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As filed with the U.S. Securities and Exchange Commission on June 2, 2021.</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2"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REGISTRATION STATEMENT</w:t>
      </w: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3"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Social Capital Suvretta Holdings Corp. III</w:t>
      </w:r>
    </w:p>
    <w:p>
      <w:pPr>
        <w:spacing w:after="0" w:line="4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44" w:lineRule="exact"/>
        <w:rPr>
          <w:sz w:val="24"/>
          <w:szCs w:val="24"/>
          <w:color w:val="auto"/>
        </w:rPr>
      </w:pPr>
    </w:p>
    <w:p>
      <w:pPr>
        <w:ind w:left="142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2360"/>
        <w:spacing w:after="0"/>
        <w:rPr>
          <w:sz w:val="20"/>
          <w:szCs w:val="20"/>
          <w:color w:val="auto"/>
        </w:rPr>
      </w:pPr>
      <w:r>
        <w:rPr>
          <w:rFonts w:ascii="Arial" w:cs="Arial" w:eastAsia="Arial" w:hAnsi="Arial"/>
          <w:sz w:val="14"/>
          <w:szCs w:val="14"/>
          <w:b w:val="1"/>
          <w:bCs w:val="1"/>
          <w:color w:val="auto"/>
        </w:rPr>
        <w:t>6770</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98-1586514</w:t>
      </w:r>
    </w:p>
    <w:p>
      <w:pPr>
        <w:spacing w:after="0" w:line="36" w:lineRule="exact"/>
        <w:rPr>
          <w:sz w:val="24"/>
          <w:szCs w:val="24"/>
          <w:color w:val="auto"/>
        </w:rPr>
      </w:pPr>
    </w:p>
    <w:p>
      <w:pPr>
        <w:sectPr>
          <w:pgSz w:w="11900" w:h="16838" w:orient="portrait"/>
          <w:cols w:equalWidth="0" w:num="3">
            <w:col w:w="4860" w:space="720"/>
            <w:col w:w="2680" w:space="720"/>
            <w:col w:w="2160"/>
          </w:cols>
          <w:pgMar w:left="320" w:top="230" w:right="439" w:bottom="1440" w:gutter="0" w:footer="0" w:header="0"/>
          <w:type w:val="continuous"/>
        </w:sectPr>
      </w:pPr>
    </w:p>
    <w:p>
      <w:pPr>
        <w:spacing w:after="0" w:line="12"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(State or other jurisdiction of</w:t>
      </w:r>
    </w:p>
    <w:p>
      <w:pPr>
        <w:ind w:left="1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2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3">
            <w:col w:w="4100" w:space="720"/>
            <w:col w:w="3120" w:space="720"/>
            <w:col w:w="2480"/>
          </w:cols>
          <w:pgMar w:left="320" w:top="230" w:right="439" w:bottom="1440" w:gutter="0" w:footer="0" w:header="0"/>
          <w:type w:val="continuous"/>
        </w:sectPr>
      </w:pPr>
    </w:p>
    <w:p>
      <w:pPr>
        <w:ind w:left="4140"/>
        <w:spacing w:after="0"/>
        <w:rPr>
          <w:sz w:val="20"/>
          <w:szCs w:val="20"/>
          <w:color w:val="auto"/>
        </w:rPr>
      </w:pPr>
      <w:r>
        <w:rPr>
          <w:rFonts w:ascii="Arial" w:cs="Arial" w:eastAsia="Arial" w:hAnsi="Arial"/>
          <w:sz w:val="14"/>
          <w:szCs w:val="14"/>
          <w:b w:val="1"/>
          <w:bCs w:val="1"/>
          <w:color w:val="auto"/>
        </w:rPr>
        <w:t>2850 W. Horizon Ridge Parkway, Suite 200</w:t>
      </w:r>
    </w:p>
    <w:p>
      <w:pPr>
        <w:spacing w:after="0" w:line="48" w:lineRule="exact"/>
        <w:rPr>
          <w:sz w:val="24"/>
          <w:szCs w:val="24"/>
          <w:color w:val="auto"/>
        </w:rPr>
      </w:pPr>
    </w:p>
    <w:p>
      <w:pPr>
        <w:ind w:left="4860"/>
        <w:spacing w:after="0"/>
        <w:rPr>
          <w:sz w:val="20"/>
          <w:szCs w:val="20"/>
          <w:color w:val="auto"/>
        </w:rPr>
      </w:pPr>
      <w:r>
        <w:rPr>
          <w:rFonts w:ascii="Arial" w:cs="Arial" w:eastAsia="Arial" w:hAnsi="Arial"/>
          <w:sz w:val="16"/>
          <w:szCs w:val="16"/>
          <w:b w:val="1"/>
          <w:bCs w:val="1"/>
          <w:color w:val="auto"/>
        </w:rPr>
        <w:t>Henderson, NV 89052</w:t>
      </w:r>
    </w:p>
    <w:p>
      <w:pPr>
        <w:spacing w:after="0" w:line="19" w:lineRule="exact"/>
        <w:rPr>
          <w:sz w:val="24"/>
          <w:szCs w:val="24"/>
          <w:color w:val="auto"/>
        </w:rPr>
      </w:pPr>
    </w:p>
    <w:p>
      <w:pPr>
        <w:ind w:left="4400"/>
        <w:spacing w:after="0"/>
        <w:rPr>
          <w:sz w:val="20"/>
          <w:szCs w:val="20"/>
          <w:color w:val="auto"/>
        </w:rPr>
      </w:pPr>
      <w:r>
        <w:rPr>
          <w:rFonts w:ascii="Arial" w:cs="Arial" w:eastAsia="Arial" w:hAnsi="Arial"/>
          <w:sz w:val="16"/>
          <w:szCs w:val="16"/>
          <w:b w:val="1"/>
          <w:bCs w:val="1"/>
          <w:color w:val="auto"/>
        </w:rPr>
        <w:t>Telephone: (650) 521-9007</w:t>
      </w:r>
    </w:p>
    <w:p>
      <w:pPr>
        <w:sectPr>
          <w:pgSz w:w="11900" w:h="16838" w:orient="portrait"/>
          <w:cols w:equalWidth="0" w:num="1">
            <w:col w:w="11140"/>
          </w:cols>
          <w:pgMar w:left="320" w:top="230" w:right="439" w:bottom="1440" w:gutter="0" w:footer="0" w:header="0"/>
          <w:type w:val="continuous"/>
        </w:sectPr>
      </w:pP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2" w:lineRule="exact"/>
        <w:rPr>
          <w:sz w:val="24"/>
          <w:szCs w:val="24"/>
          <w:color w:val="auto"/>
        </w:rPr>
      </w:pPr>
    </w:p>
    <w:p>
      <w:pPr>
        <w:ind w:left="4860"/>
        <w:spacing w:after="0"/>
        <w:rPr>
          <w:sz w:val="20"/>
          <w:szCs w:val="20"/>
          <w:color w:val="auto"/>
        </w:rPr>
      </w:pPr>
      <w:r>
        <w:rPr>
          <w:rFonts w:ascii="Arial" w:cs="Arial" w:eastAsia="Arial" w:hAnsi="Arial"/>
          <w:sz w:val="16"/>
          <w:szCs w:val="16"/>
          <w:b w:val="1"/>
          <w:bCs w:val="1"/>
          <w:color w:val="auto"/>
        </w:rPr>
        <w:t>Chamath Palihapitiya</w:t>
      </w:r>
    </w:p>
    <w:p>
      <w:pPr>
        <w:spacing w:after="0" w:line="26"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 Social Capital Suvretta Holdings Corp. III</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2850 W. Horizon Ridge Parkway, Suite 200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Henderson, NV 89052</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Telephone: (650) 521-9007</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7" w:lineRule="exact"/>
        <w:rPr>
          <w:sz w:val="24"/>
          <w:szCs w:val="24"/>
          <w:color w:val="auto"/>
        </w:rPr>
      </w:pPr>
    </w:p>
    <w:tbl>
      <w:tblPr>
        <w:tblLayout w:type="fixed"/>
        <w:tblInd w:w="1860" w:type="dxa"/>
        <w:tblCellMar>
          <w:top w:w="0" w:type="dxa"/>
          <w:left w:w="0" w:type="dxa"/>
          <w:bottom w:w="0" w:type="dxa"/>
          <w:right w:w="0" w:type="dxa"/>
        </w:tblCellMar>
      </w:tblPr>
      <w:tr>
        <w:trPr>
          <w:trHeight w:val="195"/>
        </w:trPr>
        <w:tc>
          <w:tcPr>
            <w:tcW w:w="2760" w:type="dxa"/>
            <w:vAlign w:val="bottom"/>
          </w:tcPr>
          <w:p>
            <w:pPr>
              <w:spacing w:after="0"/>
              <w:rPr>
                <w:sz w:val="16"/>
                <w:szCs w:val="16"/>
                <w:color w:val="auto"/>
              </w:rPr>
            </w:pPr>
          </w:p>
        </w:tc>
        <w:tc>
          <w:tcPr>
            <w:tcW w:w="4780" w:type="dxa"/>
            <w:vAlign w:val="bottom"/>
          </w:tcPr>
          <w:p>
            <w:pPr>
              <w:ind w:left="660"/>
              <w:spacing w:after="0"/>
              <w:rPr>
                <w:sz w:val="20"/>
                <w:szCs w:val="20"/>
                <w:color w:val="auto"/>
              </w:rPr>
            </w:pPr>
            <w:r>
              <w:rPr>
                <w:rFonts w:ascii="Arial" w:cs="Arial" w:eastAsia="Arial" w:hAnsi="Arial"/>
                <w:sz w:val="16"/>
                <w:szCs w:val="16"/>
                <w:b w:val="1"/>
                <w:bCs w:val="1"/>
                <w:i w:val="1"/>
                <w:iCs w:val="1"/>
                <w:color w:val="auto"/>
              </w:rPr>
              <w:t>Copies to:</w:t>
            </w:r>
          </w:p>
        </w:tc>
      </w:tr>
      <w:tr>
        <w:trPr>
          <w:trHeight w:val="162"/>
        </w:trPr>
        <w:tc>
          <w:tcPr>
            <w:tcW w:w="2760" w:type="dxa"/>
            <w:vAlign w:val="bottom"/>
          </w:tcPr>
          <w:p>
            <w:pPr>
              <w:jc w:val="center"/>
              <w:ind w:right="604"/>
              <w:spacing w:after="0" w:line="162" w:lineRule="exact"/>
              <w:rPr>
                <w:sz w:val="20"/>
                <w:szCs w:val="20"/>
                <w:color w:val="auto"/>
              </w:rPr>
            </w:pPr>
            <w:r>
              <w:rPr>
                <w:rFonts w:ascii="Arial" w:cs="Arial" w:eastAsia="Arial" w:hAnsi="Arial"/>
                <w:sz w:val="15"/>
                <w:szCs w:val="15"/>
                <w:b w:val="1"/>
                <w:bCs w:val="1"/>
                <w:color w:val="auto"/>
                <w:w w:val="93"/>
              </w:rPr>
              <w:t>Raaj S. Narayan, Esq.</w:t>
            </w:r>
          </w:p>
        </w:tc>
        <w:tc>
          <w:tcPr>
            <w:tcW w:w="4780" w:type="dxa"/>
            <w:vAlign w:val="bottom"/>
          </w:tcPr>
          <w:p>
            <w:pPr>
              <w:jc w:val="center"/>
              <w:ind w:left="2823"/>
              <w:spacing w:after="0" w:line="162" w:lineRule="exact"/>
              <w:rPr>
                <w:sz w:val="20"/>
                <w:szCs w:val="20"/>
                <w:color w:val="auto"/>
              </w:rPr>
            </w:pPr>
            <w:r>
              <w:rPr>
                <w:rFonts w:ascii="Arial" w:cs="Arial" w:eastAsia="Arial" w:hAnsi="Arial"/>
                <w:sz w:val="15"/>
                <w:szCs w:val="15"/>
                <w:b w:val="1"/>
                <w:bCs w:val="1"/>
                <w:color w:val="auto"/>
                <w:w w:val="93"/>
              </w:rPr>
              <w:t>Paul D. Tropp, Esq.</w:t>
            </w:r>
          </w:p>
        </w:tc>
      </w:tr>
      <w:tr>
        <w:trPr>
          <w:trHeight w:val="162"/>
        </w:trPr>
        <w:tc>
          <w:tcPr>
            <w:tcW w:w="2760" w:type="dxa"/>
            <w:vAlign w:val="bottom"/>
          </w:tcPr>
          <w:p>
            <w:pPr>
              <w:jc w:val="center"/>
              <w:ind w:right="604"/>
              <w:spacing w:after="0" w:line="162" w:lineRule="exact"/>
              <w:rPr>
                <w:sz w:val="20"/>
                <w:szCs w:val="20"/>
                <w:color w:val="auto"/>
              </w:rPr>
            </w:pPr>
            <w:r>
              <w:rPr>
                <w:rFonts w:ascii="Arial" w:cs="Arial" w:eastAsia="Arial" w:hAnsi="Arial"/>
                <w:sz w:val="15"/>
                <w:szCs w:val="15"/>
                <w:b w:val="1"/>
                <w:bCs w:val="1"/>
                <w:color w:val="auto"/>
                <w:w w:val="94"/>
              </w:rPr>
              <w:t>Wachtell, Lipton, Rosen &amp; Katz</w:t>
            </w:r>
          </w:p>
        </w:tc>
        <w:tc>
          <w:tcPr>
            <w:tcW w:w="4780" w:type="dxa"/>
            <w:vAlign w:val="bottom"/>
          </w:tcPr>
          <w:p>
            <w:pPr>
              <w:jc w:val="center"/>
              <w:ind w:left="2803"/>
              <w:spacing w:after="0" w:line="162" w:lineRule="exact"/>
              <w:rPr>
                <w:sz w:val="20"/>
                <w:szCs w:val="20"/>
                <w:color w:val="auto"/>
              </w:rPr>
            </w:pPr>
            <w:r>
              <w:rPr>
                <w:rFonts w:ascii="Arial" w:cs="Arial" w:eastAsia="Arial" w:hAnsi="Arial"/>
                <w:sz w:val="15"/>
                <w:szCs w:val="15"/>
                <w:b w:val="1"/>
                <w:bCs w:val="1"/>
                <w:color w:val="auto"/>
                <w:w w:val="95"/>
              </w:rPr>
              <w:t>Patrick O’Brien, Esq.</w:t>
            </w:r>
          </w:p>
        </w:tc>
      </w:tr>
      <w:tr>
        <w:trPr>
          <w:trHeight w:val="162"/>
        </w:trPr>
        <w:tc>
          <w:tcPr>
            <w:tcW w:w="2760" w:type="dxa"/>
            <w:vAlign w:val="bottom"/>
          </w:tcPr>
          <w:p>
            <w:pPr>
              <w:jc w:val="center"/>
              <w:ind w:right="624"/>
              <w:spacing w:after="0" w:line="162" w:lineRule="exact"/>
              <w:rPr>
                <w:sz w:val="20"/>
                <w:szCs w:val="20"/>
                <w:color w:val="auto"/>
              </w:rPr>
            </w:pPr>
            <w:r>
              <w:rPr>
                <w:rFonts w:ascii="Arial" w:cs="Arial" w:eastAsia="Arial" w:hAnsi="Arial"/>
                <w:sz w:val="15"/>
                <w:szCs w:val="15"/>
                <w:b w:val="1"/>
                <w:bCs w:val="1"/>
                <w:color w:val="auto"/>
                <w:w w:val="91"/>
              </w:rPr>
              <w:t>51 West 52nd Street</w:t>
            </w:r>
          </w:p>
        </w:tc>
        <w:tc>
          <w:tcPr>
            <w:tcW w:w="4780" w:type="dxa"/>
            <w:vAlign w:val="bottom"/>
          </w:tcPr>
          <w:p>
            <w:pPr>
              <w:jc w:val="center"/>
              <w:ind w:left="2823"/>
              <w:spacing w:after="0" w:line="162" w:lineRule="exact"/>
              <w:rPr>
                <w:sz w:val="20"/>
                <w:szCs w:val="20"/>
                <w:color w:val="auto"/>
              </w:rPr>
            </w:pPr>
            <w:r>
              <w:rPr>
                <w:rFonts w:ascii="Arial" w:cs="Arial" w:eastAsia="Arial" w:hAnsi="Arial"/>
                <w:sz w:val="15"/>
                <w:szCs w:val="15"/>
                <w:b w:val="1"/>
                <w:bCs w:val="1"/>
                <w:color w:val="auto"/>
                <w:w w:val="97"/>
              </w:rPr>
              <w:t>Ropes &amp; Gray LLP</w:t>
            </w:r>
          </w:p>
        </w:tc>
      </w:tr>
      <w:tr>
        <w:trPr>
          <w:trHeight w:val="162"/>
        </w:trPr>
        <w:tc>
          <w:tcPr>
            <w:tcW w:w="2760" w:type="dxa"/>
            <w:vAlign w:val="bottom"/>
          </w:tcPr>
          <w:p>
            <w:pPr>
              <w:jc w:val="center"/>
              <w:ind w:right="604"/>
              <w:spacing w:after="0" w:line="162" w:lineRule="exact"/>
              <w:rPr>
                <w:sz w:val="20"/>
                <w:szCs w:val="20"/>
                <w:color w:val="auto"/>
              </w:rPr>
            </w:pPr>
            <w:r>
              <w:rPr>
                <w:rFonts w:ascii="Arial" w:cs="Arial" w:eastAsia="Arial" w:hAnsi="Arial"/>
                <w:sz w:val="15"/>
                <w:szCs w:val="15"/>
                <w:b w:val="1"/>
                <w:bCs w:val="1"/>
                <w:color w:val="auto"/>
                <w:w w:val="94"/>
              </w:rPr>
              <w:t>New York, New York 10019</w:t>
            </w:r>
          </w:p>
        </w:tc>
        <w:tc>
          <w:tcPr>
            <w:tcW w:w="4780" w:type="dxa"/>
            <w:vAlign w:val="bottom"/>
          </w:tcPr>
          <w:p>
            <w:pPr>
              <w:jc w:val="center"/>
              <w:ind w:left="2823"/>
              <w:spacing w:after="0" w:line="162" w:lineRule="exact"/>
              <w:rPr>
                <w:sz w:val="20"/>
                <w:szCs w:val="20"/>
                <w:color w:val="auto"/>
              </w:rPr>
            </w:pPr>
            <w:r>
              <w:rPr>
                <w:rFonts w:ascii="Arial" w:cs="Arial" w:eastAsia="Arial" w:hAnsi="Arial"/>
                <w:sz w:val="15"/>
                <w:szCs w:val="15"/>
                <w:b w:val="1"/>
                <w:bCs w:val="1"/>
                <w:color w:val="auto"/>
                <w:w w:val="90"/>
              </w:rPr>
              <w:t>1211 Avenue of the Americas</w:t>
            </w:r>
          </w:p>
        </w:tc>
      </w:tr>
      <w:tr>
        <w:trPr>
          <w:trHeight w:val="162"/>
        </w:trPr>
        <w:tc>
          <w:tcPr>
            <w:tcW w:w="2760" w:type="dxa"/>
            <w:vAlign w:val="bottom"/>
          </w:tcPr>
          <w:p>
            <w:pPr>
              <w:jc w:val="center"/>
              <w:ind w:right="604"/>
              <w:spacing w:after="0" w:line="162" w:lineRule="exact"/>
              <w:rPr>
                <w:sz w:val="20"/>
                <w:szCs w:val="20"/>
                <w:color w:val="auto"/>
              </w:rPr>
            </w:pPr>
            <w:r>
              <w:rPr>
                <w:rFonts w:ascii="Arial" w:cs="Arial" w:eastAsia="Arial" w:hAnsi="Arial"/>
                <w:sz w:val="15"/>
                <w:szCs w:val="15"/>
                <w:b w:val="1"/>
                <w:bCs w:val="1"/>
                <w:color w:val="auto"/>
                <w:w w:val="93"/>
              </w:rPr>
              <w:t>(212) 403-1000</w:t>
            </w:r>
          </w:p>
        </w:tc>
        <w:tc>
          <w:tcPr>
            <w:tcW w:w="4780" w:type="dxa"/>
            <w:vAlign w:val="bottom"/>
          </w:tcPr>
          <w:p>
            <w:pPr>
              <w:jc w:val="center"/>
              <w:ind w:left="2823"/>
              <w:spacing w:after="0" w:line="162" w:lineRule="exact"/>
              <w:rPr>
                <w:sz w:val="20"/>
                <w:szCs w:val="20"/>
                <w:color w:val="auto"/>
              </w:rPr>
            </w:pPr>
            <w:r>
              <w:rPr>
                <w:rFonts w:ascii="Arial" w:cs="Arial" w:eastAsia="Arial" w:hAnsi="Arial"/>
                <w:sz w:val="15"/>
                <w:szCs w:val="15"/>
                <w:b w:val="1"/>
                <w:bCs w:val="1"/>
                <w:color w:val="auto"/>
                <w:w w:val="94"/>
              </w:rPr>
              <w:t>New York, New York 10036</w:t>
            </w:r>
          </w:p>
        </w:tc>
      </w:tr>
      <w:tr>
        <w:trPr>
          <w:trHeight w:val="198"/>
        </w:trPr>
        <w:tc>
          <w:tcPr>
            <w:tcW w:w="2760" w:type="dxa"/>
            <w:vAlign w:val="bottom"/>
          </w:tcPr>
          <w:p>
            <w:pPr>
              <w:spacing w:after="0"/>
              <w:rPr>
                <w:sz w:val="17"/>
                <w:szCs w:val="17"/>
                <w:color w:val="auto"/>
              </w:rPr>
            </w:pPr>
          </w:p>
        </w:tc>
        <w:tc>
          <w:tcPr>
            <w:tcW w:w="4780" w:type="dxa"/>
            <w:vAlign w:val="bottom"/>
          </w:tcPr>
          <w:p>
            <w:pPr>
              <w:jc w:val="center"/>
              <w:ind w:left="2823"/>
              <w:spacing w:after="0"/>
              <w:rPr>
                <w:sz w:val="20"/>
                <w:szCs w:val="20"/>
                <w:color w:val="auto"/>
              </w:rPr>
            </w:pPr>
            <w:r>
              <w:rPr>
                <w:rFonts w:ascii="Arial" w:cs="Arial" w:eastAsia="Arial" w:hAnsi="Arial"/>
                <w:sz w:val="15"/>
                <w:szCs w:val="15"/>
                <w:b w:val="1"/>
                <w:bCs w:val="1"/>
                <w:color w:val="auto"/>
                <w:w w:val="93"/>
              </w:rPr>
              <w:t>(212) 596-9000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99695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ind w:left="120" w:right="36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0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74"/>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580" w:firstLine="44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20" w:type="dxa"/>
            <w:vAlign w:val="bottom"/>
          </w:tcPr>
          <w:p>
            <w:pPr>
              <w:spacing w:after="0"/>
              <w:rPr>
                <w:sz w:val="11"/>
                <w:szCs w:val="11"/>
                <w:color w:val="auto"/>
              </w:rPr>
            </w:pPr>
          </w:p>
        </w:tc>
      </w:tr>
      <w:tr>
        <w:trPr>
          <w:trHeight w:val="140"/>
        </w:trPr>
        <w:tc>
          <w:tcPr>
            <w:tcW w:w="488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6"/>
              </w:rPr>
              <w:t>Title of Each Class of</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8"/>
              </w:rPr>
              <w:t>Being</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8"/>
              </w:rPr>
              <w:t>Offering Price</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7"/>
              </w:rPr>
              <w:t>Aggregate</w:t>
            </w:r>
          </w:p>
        </w:tc>
        <w:tc>
          <w:tcPr>
            <w:tcW w:w="15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Security Being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per Security</w:t>
            </w:r>
            <w:r>
              <w:rPr>
                <w:rFonts w:ascii="Arial" w:cs="Arial" w:eastAsia="Arial" w:hAnsi="Arial"/>
                <w:sz w:val="10"/>
                <w:szCs w:val="10"/>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10"/>
                <w:szCs w:val="10"/>
                <w:b w:val="1"/>
                <w:bCs w:val="1"/>
                <w:color w:val="auto"/>
                <w:w w:val="91"/>
              </w:rPr>
              <w:t>(1)</w:t>
            </w:r>
          </w:p>
        </w:tc>
        <w:tc>
          <w:tcPr>
            <w:tcW w:w="15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$0.0001 par value per share</w:t>
            </w:r>
            <w:r>
              <w:rPr>
                <w:rFonts w:ascii="Arial" w:cs="Arial" w:eastAsia="Arial" w:hAnsi="Arial"/>
                <w:sz w:val="12"/>
                <w:szCs w:val="12"/>
                <w:color w:val="auto"/>
              </w:rPr>
              <w:t>(2)(3)</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23,000,000 shares</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$10.00</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$230,000,000</w:t>
            </w:r>
          </w:p>
        </w:tc>
        <w:tc>
          <w:tcPr>
            <w:tcW w:w="1520" w:type="dxa"/>
            <w:vAlign w:val="bottom"/>
            <w:tcBorders>
              <w:bottom w:val="single" w:sz="8" w:color="auto"/>
            </w:tcBorders>
          </w:tcPr>
          <w:p>
            <w:pPr>
              <w:jc w:val="center"/>
              <w:ind w:left="14"/>
              <w:spacing w:after="0" w:line="142" w:lineRule="exact"/>
              <w:rPr>
                <w:sz w:val="20"/>
                <w:szCs w:val="20"/>
                <w:color w:val="auto"/>
              </w:rPr>
            </w:pPr>
            <w:r>
              <w:rPr>
                <w:rFonts w:ascii="Arial" w:cs="Arial" w:eastAsia="Arial" w:hAnsi="Arial"/>
                <w:sz w:val="14"/>
                <w:szCs w:val="14"/>
                <w:color w:val="auto"/>
                <w:w w:val="91"/>
              </w:rPr>
              <w:t>$25,093.00</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5"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w:t>
      </w:r>
    </w:p>
    <w:p>
      <w:pPr>
        <w:ind w:left="54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3,000,000 Class A ordinary shares that may be issued upon exercise of a 45-day option granted to the underwriter to cover over-allotments, if any.</w:t>
      </w:r>
    </w:p>
    <w:p>
      <w:pPr>
        <w:ind w:left="540" w:right="300" w:hanging="424"/>
        <w:spacing w:after="0" w:line="237"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there are also being registered an indeterminable number of additional securities as may be issued to prevent dilution resulting from share sub-divisions, share dividends or similar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6" w:lineRule="exact"/>
        <w:rPr>
          <w:sz w:val="24"/>
          <w:szCs w:val="24"/>
          <w:color w:val="auto"/>
        </w:rPr>
      </w:pPr>
    </w:p>
    <w:p>
      <w:pPr>
        <w:ind w:left="120" w:right="140" w:firstLine="4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JUNE 2,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$200,000,000</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Social Capital Suvretta Holdings Corp. III</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20,000,000 Class A Ordinary Shares</w:t>
      </w:r>
    </w:p>
    <w:p>
      <w:pPr>
        <w:spacing w:after="0" w:line="23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Social Capital Suvretta Holdings Corp. III is a newly incorporated blank check company, incorporated as a Cayman Islands exempted company for the purpose of effecting a merger, share exchange, asset acquisition, share purchase, reorganization or similar business combination with one or more businesses, which we refer to throughout this prospectus as our initial business combination. We have not selected any business combination target and we have not, nor has anyone on our behalf, initiated any substantive discussions, directly or indirectly, with any business combination target. While we may pursue an initial business combination target in any industry, subsector therein or geographic location (subject to certain limitations described in this prospectus), we intend to focus our search for a target business operating in the biotechnology industry and within the organ space subsector of such industry as described herein.</w:t>
      </w:r>
    </w:p>
    <w:p>
      <w:pPr>
        <w:spacing w:after="0" w:line="19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This is an initial public offering of our Class A ordinary shares, par value $0.0001 per share, at an initial public offering price per share of $10.00. The underwriter has a 45-day option from the date of this prospectus to purchase up to 3,000,000 additional Class A ordinary shares to cover over-allotments, if any. Unlike other initial public offerings of special purpose acquisition companies, investors in this offering will not receive any warrants (which would typically become exercisable following completion of our initial business combination).</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calculated as of two business days prior to the completion of our initial business combination, including interest (which interest shall be net of taxes payable), divided by the number of then issued and outstanding Class A ordinary shares that were sold in this offering, which we refer to collectively throughout this prospectus as our public shares, subject to the limitations described herein. If we have not completed our initial business combination within 24 months from the closing of this offering, we will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subject to applicable law and as further described herein.</w:t>
      </w:r>
    </w:p>
    <w:p>
      <w:pPr>
        <w:spacing w:after="0" w:line="165"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Our sponsor, SCS Sponsor III LLC, a Cayman Islands limited liability company, which we refer to throughout this prospectus as our sponsor, has committed to purchase an aggregate of 600,000 Class A ordinary shares, at a price of $10.00 per share, in a private placement to occur concurrently with the closing of this offering. We refer to these Class A ordinary shares throughout this prospectus as the private placement shares. The private placement shares are identical to the Class A ordinary shares sold in this offering, subject to certain limited exceptions as described in this prospectus.</w:t>
      </w:r>
    </w:p>
    <w:p>
      <w:pPr>
        <w:spacing w:after="0" w:line="15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initial shareholders currently hold 5,750,000 Class B ordinary shares, which we also refer to throughout this prospectus as founder shares, up to 750,000 of which are subject to forfeiture by our sponsor depending on the extent to which the underwriter’s over-allotment option is exercised. The Class B ordinary shares will automatically convert into Class A ordinary shares at the time of our initial business combination, or earlier at the option of the holder, on a one-for-one basis, subject to adjustment as provided herein. In the event that additional (in excess of the amounts issued in this offering) Class A ordinary shares, or equity-linked securities (as described herein), are issued or deemed issued in connection with our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20% of the total number of Class A ordinary shares outstanding after such conversion (after giving effect to any redemptions of Class A ordinary shares by public shareholders, and excluding the private placement shares), including any Class A ordinary shares issued or deemed issued, or issuable upon the conversion or exercise of any equity-linked securities or rights issued or deemed issued, by the company in connection with our initial business combination, excluding any Class A ordinary shares or equity-linked securities exercisable for or convertible into Class A ordinary shares issued, or to be issued, to any seller in the initial business combination and any private placement shares issued to our sponsor or its affiliates upon conversion of working capital loans; provided that such conversion of Class B ordinary shares will never</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occur on a less than one-for-one basis. Prior to our initial business combination, holders of the Class B ordinary shares will have the right to appoint all of our directors and may remove members of our board of directors for any reason. On any other matter submitted to a vote of our shareholders, holders of the Class B ordinary shares and holders of the Class A ordinary shares will vote together as a single class, except as required by law.</w:t>
      </w:r>
    </w:p>
    <w:p>
      <w:pPr>
        <w:spacing w:after="0" w:line="14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Class A ordinary shares. We intend to apply to list our public shares on The Nasdaq Capital Market (“Nasdaq”) under the symbol “DNAC” on or promptly after the date of this prospectus. We cannot guarantee that our public shares will be approved for listing on Nasdaq.</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are an “emerging growth company” and “smaller reporting company” under applicable federal securities laws and will be subject to reduced public company reporting requirements. Investing in our securities involves risks. See “Risk Factors” beginning on page 31. Investors will not be entitled to protections normally afforded to investors in Rule 419 blank check offerings.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Underwriting</w:t>
            </w:r>
          </w:p>
        </w:tc>
        <w:tc>
          <w:tcPr>
            <w:tcW w:w="420" w:type="dxa"/>
            <w:vAlign w:val="bottom"/>
          </w:tcPr>
          <w:p>
            <w:pPr>
              <w:spacing w:after="0"/>
              <w:rPr>
                <w:sz w:val="14"/>
                <w:szCs w:val="14"/>
                <w:color w:val="auto"/>
              </w:rPr>
            </w:pP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Proceeds, Before</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Price to Public</w:t>
            </w:r>
          </w:p>
        </w:tc>
        <w:tc>
          <w:tcPr>
            <w:tcW w:w="4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Discounts and</w:t>
            </w:r>
          </w:p>
        </w:tc>
        <w:tc>
          <w:tcPr>
            <w:tcW w:w="4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Commissions</w:t>
            </w:r>
            <w:r>
              <w:rPr>
                <w:rFonts w:ascii="Arial" w:cs="Arial" w:eastAsia="Arial" w:hAnsi="Arial"/>
                <w:sz w:val="12"/>
                <w:szCs w:val="12"/>
                <w:b w:val="1"/>
                <w:bCs w:val="1"/>
                <w:color w:val="auto"/>
                <w:w w:val="90"/>
              </w:rPr>
              <w:t>(1)</w:t>
            </w:r>
          </w:p>
        </w:tc>
        <w:tc>
          <w:tcPr>
            <w:tcW w:w="42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Expenses, to Us</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200,000,000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11,000,000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189,000,000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$0.35 per public share sold in the base offering, or $7,000,000 in the aggregate, payable to the underwriter for deferred underwriting commissions to be placed in a trust account located in the United States as described herein. Does not include certain fees and expenses payable to the underwriter in connection with this offering. See “Underwriting” for a description of compensation and other items of value payable to the underwriter.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Of the proceeds we receive from this offering and the sale of the private placement shares described in this prospectus, $200,000,000 (or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$230,000,000 if the underwriter’s over-allotment option is exercised in full) ($10.00 per share in either case), will be deposited into a U.S.-based trust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 at J.P. Morgan Chase Bank, N.A., with Continental Stock Transfer &amp; Trust Company acting as trustee. Except with respect to interest earned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funds held in the trust account that may be released to us to pay our taxes, if any, the funds held in the trust account will not be released from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trust account until the earliest to occur of: (1) our completion of an initial business combination; (2) the redemption of any public shares properly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submitted in connection with a shareholder vote to amend our amended and restated memorandum and articles of association (A) to modify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substance or timing of our obligation to allow redemption in connection with our initial business combination or to redeem 100% of our public shares if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do not complete our initial business combination within 24 months from the closing of this offering or (B) with respect to any other material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provisions relating to shareholders’ rights or pre-initial business combination activity; and (3) the redemption of our public shares if we have not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completed an initial business combination within 24 months from the closing of this offering, subject to applicable law. The proceeds deposited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trust account could become subject to the claims of our creditors, if any, which could have priority over the claims of our public shareholders.</w:t>
      </w:r>
    </w:p>
    <w:p>
      <w:pPr>
        <w:spacing w:after="0" w:line="222" w:lineRule="exact"/>
        <w:rPr>
          <w:sz w:val="20"/>
          <w:szCs w:val="20"/>
          <w:color w:val="auto"/>
        </w:rPr>
      </w:pPr>
    </w:p>
    <w:p>
      <w:pPr>
        <w:ind w:left="840" w:right="680" w:hanging="278"/>
        <w:spacing w:after="0" w:line="277" w:lineRule="auto"/>
        <w:rPr>
          <w:sz w:val="20"/>
          <w:szCs w:val="20"/>
          <w:color w:val="auto"/>
        </w:rPr>
      </w:pPr>
      <w:r>
        <w:rPr>
          <w:rFonts w:ascii="Arial" w:cs="Arial" w:eastAsia="Arial" w:hAnsi="Arial"/>
          <w:sz w:val="18"/>
          <w:szCs w:val="18"/>
          <w:color w:val="auto"/>
        </w:rPr>
        <w:t>The underwriter is offering the public shares for sale on a firm commitment basis. Delivery of the public shares will be made on or about , 2021.</w:t>
      </w:r>
    </w:p>
    <w:p>
      <w:pPr>
        <w:spacing w:after="0" w:line="166"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No invitation, whether directly or indirectly, may be made to the public in the Cayman Islands to subscribe for our securities.</w:t>
      </w: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Sole Book-Running Manager</w:t>
      </w: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Morgan Stanley</w:t>
      </w:r>
    </w:p>
    <w:p>
      <w:pPr>
        <w:spacing w:after="0" w:line="234"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202"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are responsible for the information contained in this prospectus. We have not authorized anyone to provide any information or to make any representations other than those contained in this prospectus. We and the underwriter take no responsibility for, and can provide no assurance as to the reliability of, any other information that others may give you. This prospectus is an offer to sell only the public shares offered hereby, but only under circumstances and in jurisdictions where it is lawful to do so. The information contained in this prospectus is current only as of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92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SUMMARY</w:t>
              </w:r>
            </w:hyperlink>
          </w:p>
        </w:tc>
        <w:tc>
          <w:tcPr>
            <w:tcW w:w="8880" w:type="dxa"/>
            <w:vAlign w:val="bottom"/>
            <w:gridSpan w:val="1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THE OFFERING</w:t>
              </w:r>
            </w:hyperlink>
          </w:p>
        </w:tc>
        <w:tc>
          <w:tcPr>
            <w:tcW w:w="852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CAUTIONARY NOTE REGARDING FORWARD-LOOKING STATEMENTS</w:t>
              </w:r>
            </w:hyperlink>
          </w:p>
        </w:tc>
        <w:tc>
          <w:tcPr>
            <w:tcW w:w="40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USE OF PROCEEDS</w:t>
              </w:r>
            </w:hyperlink>
          </w:p>
        </w:tc>
        <w:tc>
          <w:tcPr>
            <w:tcW w:w="820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DIVIDEND POLICY</w:t>
              </w:r>
            </w:hyperlink>
          </w:p>
        </w:tc>
        <w:tc>
          <w:tcPr>
            <w:tcW w:w="822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DILUTION</w:t>
              </w:r>
            </w:hyperlink>
          </w:p>
        </w:tc>
        <w:tc>
          <w:tcPr>
            <w:tcW w:w="8940" w:type="dxa"/>
            <w:vAlign w:val="bottom"/>
            <w:gridSpan w:val="1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CAPITALIZATION</w:t>
              </w:r>
            </w:hyperlink>
          </w:p>
        </w:tc>
        <w:tc>
          <w:tcPr>
            <w:tcW w:w="8320" w:type="dxa"/>
            <w:vAlign w:val="bottom"/>
            <w:gridSpan w:val="1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2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PROPOSED BUSINESS</w:t>
              </w:r>
            </w:hyperlink>
          </w:p>
        </w:tc>
        <w:tc>
          <w:tcPr>
            <w:tcW w:w="7080" w:type="dxa"/>
            <w:vAlign w:val="bottom"/>
            <w:tcBorders>
              <w:top w:val="single" w:sz="8" w:color="0000EE"/>
            </w:tcBorders>
            <w:gridSpan w:val="8"/>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20">
              <w:r>
                <w:rPr>
                  <w:rFonts w:ascii="Arial" w:cs="Arial" w:eastAsia="Arial" w:hAnsi="Arial"/>
                  <w:sz w:val="18"/>
                  <w:szCs w:val="18"/>
                  <w:color w:val="0000EE"/>
                  <w:w w:val="99"/>
                </w:rPr>
                <w:t>MANAGEMENT</w:t>
              </w:r>
            </w:hyperlink>
          </w:p>
        </w:tc>
        <w:tc>
          <w:tcPr>
            <w:tcW w:w="850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120" w:type="dxa"/>
            <w:vAlign w:val="bottom"/>
          </w:tcPr>
          <w:p>
            <w:pPr>
              <w:spacing w:after="0"/>
              <w:rPr>
                <w:sz w:val="17"/>
                <w:szCs w:val="17"/>
                <w:color w:val="auto"/>
              </w:rPr>
            </w:pPr>
          </w:p>
        </w:tc>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31">
              <w:r>
                <w:rPr>
                  <w:rFonts w:ascii="Arial" w:cs="Arial" w:eastAsia="Arial" w:hAnsi="Arial"/>
                  <w:sz w:val="18"/>
                  <w:szCs w:val="18"/>
                  <w:color w:val="0000EE"/>
                  <w:w w:val="94"/>
                </w:rPr>
                <w:t>PRINCIPAL SHAREHOLDERS</w:t>
              </w:r>
            </w:hyperlink>
          </w:p>
        </w:tc>
        <w:tc>
          <w:tcPr>
            <w:tcW w:w="742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12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CERTAIN RELATIONSHIPS AND RELATED PARTY TRANSACTIONS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20" w:type="dxa"/>
            <w:vAlign w:val="bottom"/>
          </w:tcPr>
          <w:p>
            <w:pPr>
              <w:spacing w:after="0"/>
              <w:rPr>
                <w:sz w:val="17"/>
                <w:szCs w:val="17"/>
                <w:color w:val="auto"/>
              </w:rPr>
            </w:pPr>
          </w:p>
        </w:tc>
        <w:tc>
          <w:tcPr>
            <w:tcW w:w="5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DESCRIPTION OF SECURITIES</w:t>
              </w:r>
            </w:hyperlink>
          </w:p>
        </w:tc>
        <w:tc>
          <w:tcPr>
            <w:tcW w:w="434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70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52">
              <w:r>
                <w:rPr>
                  <w:rFonts w:ascii="Arial" w:cs="Arial" w:eastAsia="Arial" w:hAnsi="Arial"/>
                  <w:sz w:val="18"/>
                  <w:szCs w:val="18"/>
                  <w:color w:val="0000EE"/>
                  <w:w w:val="96"/>
                </w:rPr>
                <w:t>INCOME TAX CONSIDERATIONS</w:t>
              </w:r>
            </w:hyperlink>
          </w:p>
        </w:tc>
        <w:tc>
          <w:tcPr>
            <w:tcW w:w="710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12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UNDERWRITING</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68">
              <w:r>
                <w:rPr>
                  <w:rFonts w:ascii="Arial" w:cs="Arial" w:eastAsia="Arial" w:hAnsi="Arial"/>
                  <w:sz w:val="18"/>
                  <w:szCs w:val="18"/>
                  <w:color w:val="0000EE"/>
                  <w:w w:val="96"/>
                </w:rPr>
                <w:t>LEGAL MATTERS</w:t>
              </w:r>
            </w:hyperlink>
          </w:p>
        </w:tc>
        <w:tc>
          <w:tcPr>
            <w:tcW w:w="8340" w:type="dxa"/>
            <w:vAlign w:val="bottom"/>
            <w:gridSpan w:val="1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12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EXPERTS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WHERE YOU CAN FIND ADDITIONAL INFORMATION</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7"/>
              </w:rPr>
            </w:pPr>
            <w:hyperlink w:anchor="page169">
              <w:r>
                <w:rPr>
                  <w:rFonts w:ascii="Arial" w:cs="Arial" w:eastAsia="Arial" w:hAnsi="Arial"/>
                  <w:sz w:val="18"/>
                  <w:szCs w:val="18"/>
                  <w:color w:val="0000EE"/>
                  <w:w w:val="97"/>
                </w:rPr>
                <w:t>INDEX TO FINANCIAL STATEMENTS</w:t>
              </w:r>
            </w:hyperlink>
          </w:p>
        </w:tc>
        <w:tc>
          <w:tcPr>
            <w:tcW w:w="1360" w:type="dxa"/>
            <w:vAlign w:val="bottom"/>
            <w:tcBorders>
              <w:top w:val="single" w:sz="8" w:color="0000EE"/>
            </w:tcBorders>
          </w:tcPr>
          <w:p>
            <w:pPr>
              <w:spacing w:after="0"/>
              <w:rPr>
                <w:sz w:val="17"/>
                <w:szCs w:val="17"/>
                <w:color w:val="auto"/>
              </w:rPr>
            </w:pPr>
          </w:p>
        </w:tc>
        <w:tc>
          <w:tcPr>
            <w:tcW w:w="540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ectPr>
          <w:pgSz w:w="11900" w:h="16838" w:orient="portrait"/>
          <w:cols w:equalWidth="0" w:num="1">
            <w:col w:w="11080"/>
          </w:cols>
          <w:pgMar w:left="320" w:top="44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220" w:firstLine="426"/>
        <w:spacing w:after="0" w:line="273" w:lineRule="auto"/>
        <w:rPr>
          <w:sz w:val="20"/>
          <w:szCs w:val="20"/>
          <w:color w:val="auto"/>
        </w:rPr>
      </w:pPr>
      <w:r>
        <w:rPr>
          <w:rFonts w:ascii="Arial" w:cs="Arial" w:eastAsia="Arial" w:hAnsi="Arial"/>
          <w:sz w:val="17"/>
          <w:szCs w:val="17"/>
          <w:color w:val="auto"/>
        </w:rPr>
        <w:t>We are a newly incorporated blank check company, incorporated as a Cayman Islands exempted company for the purpose of effecting a merger,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To date, we have not engaged in any operations or generated any revenues. Our only activities since inception have been organizational activities and those necessary to prepare for this offering. Following this offering, we will not generate any operating revenues until after completion of our initial business combination.</w:t>
      </w:r>
    </w:p>
    <w:p>
      <w:pPr>
        <w:spacing w:after="0" w:line="178"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While we may pursue an initial business combination target in any industry, subsector therein or geographic location (subject to certain limitations described in this prospectus), we intend to focus our search for a target business operating in the biotechnology industry and within the subsector described under “— Our Proposed Biotechnology Subsector Focus” below.</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Partnership</w:t>
      </w:r>
    </w:p>
    <w:p>
      <w:pPr>
        <w:spacing w:after="0" w:line="121"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Social Capital Suvretta Holdings Corp. III is a partnership between Chamath Palihapitiya, the founder and current Managing Partner of Social Capital, and Kishan (a/k/a Kishen) Mehta, the Portfolio Manager of the Averill strategy at Suvretta. Our company unites scientists, physicians, entrepreneurs and biotechnology-oriented investors around a shared vision of identifying and investing in innovative and agile biotechnology companies. We believe that our management team’s relationships with leading biotechnology company founders, executives of private and public companies, venture capitalists and growth equity fund managers, in addition to the extensive industry and geographical reach of Social Capital and Suvretta’s networks, will give us a competitive advantage in pursuing a broad range of opportunities.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Social Capital</w:t>
      </w:r>
    </w:p>
    <w:p>
      <w:pPr>
        <w:spacing w:after="0" w:line="117"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Social Capital is a Silicon Valley based technology holding company whose mission is to advance humanity by solving the world’s hardest problems. It was founded by Chamath Palihapitiya in 2011 to invest capital across the company lifecycle, from early stage startups to transformational public companies. The platform is oriented toward long term ownership and has a strong investment track record and experience driving dramatic growth. Social Capital focuses on investing in fast growing companies creating significant disruption in multiple industries including healthcare, education, financial services, artificial intelligence and social media. Drawing on the experience of Mr. Palihapitiya, the firm has created a growth platform that uses data science to identify investment opportunities, drive growth and improve portfolio company operational performance.</w:t>
      </w:r>
    </w:p>
    <w:p>
      <w:pPr>
        <w:spacing w:after="0" w:line="195"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Social Capital has been an early and active investor in companies that have demonstrated strong value creation in the public markets, such as Slack, a company that completed its direct listing in June 2019 and entered into a definitive agreement to be acquired by Salesforce for</w:t>
      </w:r>
    </w:p>
    <w:p>
      <w:pPr>
        <w:ind w:left="300" w:right="80"/>
        <w:spacing w:after="0" w:line="255" w:lineRule="auto"/>
        <w:rPr>
          <w:sz w:val="20"/>
          <w:szCs w:val="20"/>
          <w:color w:val="auto"/>
        </w:rPr>
      </w:pPr>
      <w:r>
        <w:rPr>
          <w:rFonts w:ascii="Arial" w:cs="Arial" w:eastAsia="Arial" w:hAnsi="Arial"/>
          <w:sz w:val="18"/>
          <w:szCs w:val="18"/>
          <w:color w:val="auto"/>
        </w:rPr>
        <w:t>$27.7 billion in cash and stock in December 2020, and Box, a company that completed its initial public offering in January 2015 and had a market capitalization of over $3.9 billion as of June 1, 2021. Social Capital was also an early investor in Yammer, a company purchased by Microsoft Corporation for $1.2 billion in 2012. Other investments with strong private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market value creation include SurveyMonkey, Intercom, Netskope and Wealthfront. Not all of the companies in which Social Capital has invested have achieved the same level of value creation.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Suvretta</w:t>
      </w:r>
    </w:p>
    <w:p>
      <w:pPr>
        <w:spacing w:after="0" w:line="117" w:lineRule="exact"/>
        <w:rPr>
          <w:sz w:val="20"/>
          <w:szCs w:val="20"/>
          <w:color w:val="auto"/>
        </w:rPr>
      </w:pPr>
    </w:p>
    <w:p>
      <w:pPr>
        <w:ind w:left="300" w:right="80" w:firstLine="426"/>
        <w:spacing w:after="0" w:line="269" w:lineRule="auto"/>
        <w:rPr>
          <w:sz w:val="20"/>
          <w:szCs w:val="20"/>
          <w:color w:val="auto"/>
        </w:rPr>
      </w:pPr>
      <w:r>
        <w:rPr>
          <w:rFonts w:ascii="Arial" w:cs="Arial" w:eastAsia="Arial" w:hAnsi="Arial"/>
          <w:sz w:val="17"/>
          <w:szCs w:val="17"/>
          <w:color w:val="auto"/>
        </w:rPr>
        <w:t>Suvretta is an investment firm founded in 2011 with over $4.5 billion in assets under management as of January 31, 2021. The firm has two core investment strategies. The Suvretta strategies primarily invest in public companies with a long-term investment horizon, combining deep industry insights with fundamental-based stock selection. Launched in 2020, the Averill strategy at Suvretta is a healthcare-oriented investment strategy that focuses on identifying companies that are disruptive to the healthcare industry. The Averill strategy seeks to own public and private companies that are developing innovative products that have the potential to disrupt or revolutionize current methods of managing or treating diseases. The Averill team is led by Kishen Mehta, who is the sole Portfolio Manager, and supported by a multifaceted senior investment team that has advanced medical and scientific expertise. Averill’s senior team has 50+ years of combined healthcare sector experience. The Averill team also has extensive experience investing across capital structures and throughout a company’s life cycle, including participating in numerous pre-IPO crossover financings. This experience affords the team access to a broad universe of management teams and companies seeking flexible capital solutions. As of December 31, 2020, the members of the Averill team had made investments in hundreds of biotechnology companies throughout their investing careers.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Management Team</w:t>
      </w:r>
    </w:p>
    <w:p>
      <w:pPr>
        <w:spacing w:after="0" w:line="121"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Our management team is led by Mr. Palihapitiya, Chairman of our board of directors and our Chief Executive Officer, and Mr. Mehta, our President and one of our directors.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Prior to founding Social Capital, Mr. Palihapitiya served as Vice President of User Growth at Facebook, and is recognized as having been a</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major force in its launch and growth. Mr. Palihapitiya was responsible for overseeing Monetization Products and Facebook Platform, both of which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were key factors driving the increase in Facebook’s user base to more than 750 million individuals worldwide. Prior to working for Facebook,</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Mr. Palihapitiya was a principal at the Mayfield Fund, one of the United States’ oldest venture firms, before which he headed the instant messaging</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division at AOL. Mr. Palihapitiya is regarded as a top technology sector venture capitalist and visionary because of his track record of identifying</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promising opportunities and nurturing their growth to become established players. He graduated from the University of Waterloo, Canada with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degree in electrical engineering.</w:t>
      </w:r>
    </w:p>
    <w:p>
      <w:pPr>
        <w:spacing w:after="0" w:line="211" w:lineRule="exact"/>
        <w:rPr>
          <w:sz w:val="20"/>
          <w:szCs w:val="20"/>
          <w:color w:val="auto"/>
        </w:rPr>
      </w:pPr>
    </w:p>
    <w:p>
      <w:pPr>
        <w:ind w:left="300" w:right="140" w:firstLine="426"/>
        <w:spacing w:after="0" w:line="287" w:lineRule="auto"/>
        <w:rPr>
          <w:sz w:val="20"/>
          <w:szCs w:val="20"/>
          <w:color w:val="auto"/>
        </w:rPr>
      </w:pPr>
      <w:r>
        <w:rPr>
          <w:rFonts w:ascii="Arial" w:cs="Arial" w:eastAsia="Arial" w:hAnsi="Arial"/>
          <w:sz w:val="16"/>
          <w:szCs w:val="16"/>
          <w:color w:val="auto"/>
        </w:rPr>
        <w:t>Prior to joining Suvretta as Portfolio Manager for the Averill strategy, Mr. Mehta served as a strategic advisor to Biohaven Pharmaceuticals, where he advised the company on various business development, capital structure and communication strategies, including a $300 million secondary public offering and the $105 million acquisition of a Priority Review Voucher from GW Pharmaceuticals plc, which included</w:t>
      </w:r>
    </w:p>
    <w:p>
      <w:pPr>
        <w:spacing w:after="0" w:line="2"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$200 million in financing from Royalty Pharma plc to fund the transaction. Prior to his advisory role at Biohaven, Mr. Mehta was a portfolio manager at Surveyor Capital, a Citadel LLC strategy, where he managed a portfolio focused on global small, mid and large-capitalization biotechnology, pharmaceutical, specialty pharmaceutical, medical device and healthcare services companies. Prior to Surveyor, Mr. Mehta was an analyst at Adage Capital where he evaluated and participated in numerous mezzanine and pre-IPO private healthcare investments. Mr. Mehta held a similar role at Apothecary Capital and started his career as a mergers and acquisitions analyst at Evercore Partners, where he focused on life sciences. Mr. Mehta graduated from New York University with a degree in finance and accounting.</w:t>
      </w:r>
    </w:p>
    <w:p>
      <w:pPr>
        <w:spacing w:after="0" w:line="178"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In February 2021, substantially concurrently with the founding of our company, Mr. Palihapitiya and Mr. Mehta also founded Social Capital Suvretta Holdings Corp. I (“DNAA”), Social Capital Suvretta Holdings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57" w:lineRule="auto"/>
        <w:rPr>
          <w:sz w:val="20"/>
          <w:szCs w:val="20"/>
          <w:color w:val="auto"/>
        </w:rPr>
      </w:pPr>
      <w:r>
        <w:rPr>
          <w:rFonts w:ascii="Arial" w:cs="Arial" w:eastAsia="Arial" w:hAnsi="Arial"/>
          <w:sz w:val="18"/>
          <w:szCs w:val="18"/>
          <w:color w:val="auto"/>
        </w:rPr>
        <w:t>Corp. II (“DNAB”) and Social Capital Suvretta Holdings Corp. IV (“DNAD”), each a blank check company incorporated for the purposes of effecting a business combination. Mr. Palihapitiya serves as the Chief Executive Officer and Chairman of the board of directors, and Mr. Mehta serves as the President and a director, of each of DNAA, DNAB and DNAD. We anticipate that each of DNAA, DNAB and DNAD will complete its initial public offering substantially concurrently with the completion of this offering, and will focus its search for a target business operating in the biotechnology industry.</w:t>
      </w:r>
    </w:p>
    <w:p>
      <w:pPr>
        <w:spacing w:after="0" w:line="188"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In addition, since 2017, Mr. Palihapitiya has incorporated six blank check companies in partnership with Hedosophia Group Limited (“Hedosophia”), an investment firm, for the purpose of effecting one or more business combinations (the “Hedosophia SPACs”), and has served as the Chief Executive Officer and Chairman of the board of directors of each of the Hedosophia SPACs. All of the Hedosophia SPACs have completed their initial public offering, and three have successfully executed business combination transactions involving target companies in the technology sector, with one other such transaction currently pending.</w:t>
      </w:r>
    </w:p>
    <w:p>
      <w:pPr>
        <w:spacing w:after="0" w:line="188"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Our management team also includes James Ryans, our Chief Financial Officer and Shoney Katz, our Director of Research. Mr. Ryans is a Partner of Social Capital and has been a professor of accounting at London Business School, with significant expertise in mergers and acquisitions and financial reporting. Mr. Katz is a Managing Director and Senior Analyst at Suvretta, with extensive experience investing in public and private markets.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Private Biotechnology Company Landscape</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Private biotechnology companies are transforming the healthcare sector — and improving quality of life — at an unprecedented pace. Advances in scientific discovery and the application of new technologies are enabling biotechnology companies to pursue novel targets and pioneer new treatment modalities and innovative approaches to disease management. New drugs, such as those used to treat the hepatitis C virus, can cure patients within weeks, and new immunotherapies offer promising treatment options to patients with otherwise fatal forms of cancer. Agile private biotechnology companies are uniquely positioned to embrace advances in drug development and rapidly innovate to develop life-changing therapies for patients.</w:t>
      </w:r>
    </w:p>
    <w:p>
      <w:pPr>
        <w:spacing w:after="0" w:line="192"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The rapid pace of biopharmaceutical innovation has led to an increase in both the number of active drug development programs and the number of biotechnology companies developing those programs. There were 688 and 626 investigational new drug applications (“INDs”) filed with the Food and Drug Administration (the “FDA”) in 2018 and 2019, respectively, compared to an average of 414 INDs filed annually from 2013 through 2017. 2020 was a record year, largely driven by an influx of INDs for the development of potential therapies for Covid-19. Further, initiatives by the FDA have facilitated more rapid drug development and shorter approval timelines for drugs that treat serious and life threatening diseases, which we believe will drive further innovation. An average of 46 novel drugs were approved annually by the FDA from 2016 through 2020, compared to an average of 36 per year from 2011 through 2015. To support these development efforts, biotechnology companies are raising more capital than ever before, as evidenced by a record-setting U.S. biotechnology initial public offering (“IPO”) volume in 2020. However, capital raised by biotechnology companies through initial public offerings remains a fraction of that raised through private offerings. Compared to the approximately $33 billion raised in U.S. biotechnology IPOs from 2016 to 2020, more than $74 billion was raised in private offerings by North America-based biotechnology companies during the same period. According to Capital IQ data, as of March 2021, there were approximately 17,400 biotechnology and pharmaceutical companies globally, only 1,572 of which were publicly traded.</w:t>
      </w:r>
    </w:p>
    <w:p>
      <w:pPr>
        <w:spacing w:after="0" w:line="168"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We believe that the universe of private biotechnology companies that are or will be looking to go public in the near term is significant. We further believe an acquisition by a blank check company provides an attractive alternative to the traditional IPO, offering privately held biotechnology companies looking to go public several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04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20"/>
        <w:spacing w:after="0" w:line="277" w:lineRule="auto"/>
        <w:rPr>
          <w:sz w:val="20"/>
          <w:szCs w:val="20"/>
          <w:color w:val="auto"/>
        </w:rPr>
      </w:pPr>
      <w:r>
        <w:rPr>
          <w:rFonts w:ascii="Arial" w:cs="Arial" w:eastAsia="Arial" w:hAnsi="Arial"/>
          <w:sz w:val="18"/>
          <w:szCs w:val="18"/>
          <w:color w:val="auto"/>
        </w:rPr>
        <w:t>key advantages, including a highly efficient process, a secure balance sheet with price certainty at the time of public listing, and a strong and diverse shareholder base that typically supports the company over time.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Current Biotechnology IPO Paradigm</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U.S. biotechnology IPO market has been robust in recent years, growing from an average of 29 IPOs greater than $50 million per year</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from 2011 through 2015 to approximately 44 IPOs greater than $50 million per year from 2016 through 2020. 2020 was a record year, with an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aggregate of $14.0 billion raised in 69 U.S. biotechnology IPOs greater than $50 million, as companies continued to go public at earlier stages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development and higher valuations. The average pre-money valuation for a U.S. biotechnology IPO greater than $50 million in 2020 was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$596 million, compared with $439 million on average from 2010 to 2019. The average U.S. biotechnology IPO greater than $50 million raised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$203 million in 2020, compared with an average of $107 million from 2010 to 2019.</w:t>
      </w:r>
    </w:p>
    <w:p>
      <w:pPr>
        <w:spacing w:after="0" w:line="21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On average, U.S. biotechnology IPOs have exhibited strong positive performance after IPO. The average price performance from offer to year-end 2020 for U.S. biotechnology IPOs greater than $50 million since 2010 was approximately 112%. This data set of 377 total IPOs includes 213 companies with positive price performance from offer to year-end 2020, as compared to 164 with negative price performance. Additionally, the average price performance for the 213 positive performers was approximately 245% from offer to year-end 2020, as compared to approximately -60% for the negative performers.</w:t>
      </w:r>
    </w:p>
    <w:p>
      <w:pPr>
        <w:spacing w:after="0" w:line="188" w:lineRule="exact"/>
        <w:rPr>
          <w:sz w:val="20"/>
          <w:szCs w:val="20"/>
          <w:color w:val="auto"/>
        </w:rPr>
      </w:pPr>
    </w:p>
    <w:p>
      <w:pPr>
        <w:ind w:left="300" w:right="60" w:firstLine="426"/>
        <w:spacing w:after="0" w:line="308" w:lineRule="auto"/>
        <w:rPr>
          <w:sz w:val="20"/>
          <w:szCs w:val="20"/>
          <w:color w:val="auto"/>
        </w:rPr>
      </w:pPr>
      <w:r>
        <w:rPr>
          <w:rFonts w:ascii="Arial" w:cs="Arial" w:eastAsia="Arial" w:hAnsi="Arial"/>
          <w:sz w:val="17"/>
          <w:szCs w:val="17"/>
          <w:color w:val="auto"/>
        </w:rPr>
        <w:t>Despite this constructive market backdrop, we believe that a number of factors, outlined below, are contributing to suboptimal IPO outcomes for biotechnology companies and hindering their ability to bring new treatments to patients as quickly and efficiently as possible.</w:t>
      </w:r>
    </w:p>
    <w:p>
      <w:pPr>
        <w:spacing w:after="0" w:line="48" w:lineRule="exact"/>
        <w:rPr>
          <w:sz w:val="20"/>
          <w:szCs w:val="20"/>
          <w:color w:val="auto"/>
        </w:rPr>
      </w:pPr>
    </w:p>
    <w:p>
      <w:pPr>
        <w:ind w:left="1240" w:right="20" w:hanging="415"/>
        <w:spacing w:after="0" w:line="269"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Short-term funding cycle and limited capital raise: </w:t>
      </w:r>
      <w:r>
        <w:rPr>
          <w:rFonts w:ascii="Arial" w:cs="Arial" w:eastAsia="Arial" w:hAnsi="Arial"/>
          <w:sz w:val="17"/>
          <w:szCs w:val="17"/>
          <w:color w:val="auto"/>
        </w:rPr>
        <w:t>Biotechnology requires a significant investment of capital and time to achieve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clinical and commercial success. The capital needed to successfully advance a drug from early stage development through commercialization can easily exceed $1 billion. An IPO represents the first of several public market financing rounds for a biotechnology company accessing the public markets, often providing just enough capital to bridge to the company’s next milestone. This short-term funding cycle is suboptimal, as it leaves little to no margin of safety to address any challenges or setbacks that may emerge along the way. Post-IPO secondary offerings often rely heavily on participation from existing investors and, in cases where the offering is not tied to a clear company catalyst, can come at a steep discount to prevailing market prices and result in outsized dilution. Raising an insufficient amount of capital to support a business plan also forces management teams to make tradeoffs in terms of which pipeline drugs to prioritize, potentially resulting in longer timelines for getting life-saving therapies to patients. </w:t>
      </w:r>
      <w:r>
        <w:rPr>
          <w:rFonts w:ascii="Arial" w:cs="Arial" w:eastAsia="Arial" w:hAnsi="Arial"/>
          <w:sz w:val="17"/>
          <w:szCs w:val="17"/>
          <w:b w:val="1"/>
          <w:bCs w:val="1"/>
          <w:i w:val="1"/>
          <w:iCs w:val="1"/>
          <w:color w:val="auto"/>
        </w:rPr>
        <w:t>We believe we can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support biotechnology companies in developing a long-term financing strategy and raising capital beyond a short-term window, which the traditional IPO route does not address.</w:t>
      </w:r>
    </w:p>
    <w:p>
      <w:pPr>
        <w:spacing w:after="0" w:line="87" w:lineRule="exact"/>
        <w:rPr>
          <w:rFonts w:ascii="Arial" w:cs="Arial" w:eastAsia="Arial" w:hAnsi="Arial"/>
          <w:sz w:val="17"/>
          <w:szCs w:val="17"/>
          <w:color w:val="auto"/>
        </w:rPr>
      </w:pPr>
    </w:p>
    <w:p>
      <w:pPr>
        <w:ind w:left="1240" w:right="100" w:hanging="415"/>
        <w:spacing w:after="0" w:line="273"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Management distraction: </w:t>
      </w:r>
      <w:r>
        <w:rPr>
          <w:rFonts w:ascii="Arial" w:cs="Arial" w:eastAsia="Arial" w:hAnsi="Arial"/>
          <w:sz w:val="17"/>
          <w:szCs w:val="17"/>
          <w:color w:val="auto"/>
        </w:rPr>
        <w:t>Preparation for and execution of an initial public offering requires management teams to devote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considerable time and attention to the lengthy IPO process, including document drafting, underwriter selection and extensive investor engagement. This is often in addition to significant time spent in advance of the IPO to secure private crossover funding, which has become the norm in the biotechnology sector. The significant commitment of time and resources required to launch a successful IPO can distract management teams from focusing on advancing the company’s product pipeline, a particularly challenging dynamic for high-growth biotechnology company executives. </w:t>
      </w:r>
      <w:r>
        <w:rPr>
          <w:rFonts w:ascii="Arial" w:cs="Arial" w:eastAsia="Arial" w:hAnsi="Arial"/>
          <w:sz w:val="17"/>
          <w:szCs w:val="17"/>
          <w:b w:val="1"/>
          <w:bCs w:val="1"/>
          <w:i w:val="1"/>
          <w:iCs w:val="1"/>
          <w:color w:val="auto"/>
        </w:rPr>
        <w:t>We believe we can offer a more efficient path to the public markets, thereby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allowing management teams to focus on running their businesses.</w:t>
      </w:r>
    </w:p>
    <w:p>
      <w:pPr>
        <w:spacing w:after="0" w:line="77" w:lineRule="exact"/>
        <w:rPr>
          <w:rFonts w:ascii="Arial" w:cs="Arial" w:eastAsia="Arial" w:hAnsi="Arial"/>
          <w:sz w:val="17"/>
          <w:szCs w:val="17"/>
          <w:color w:val="auto"/>
        </w:rPr>
      </w:pPr>
    </w:p>
    <w:p>
      <w:pPr>
        <w:ind w:left="1240" w:right="600" w:hanging="415"/>
        <w:spacing w:after="0" w:line="282"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Narrow investor base: </w:t>
      </w:r>
      <w:r>
        <w:rPr>
          <w:rFonts w:ascii="Arial" w:cs="Arial" w:eastAsia="Arial" w:hAnsi="Arial"/>
          <w:sz w:val="18"/>
          <w:szCs w:val="18"/>
          <w:color w:val="auto"/>
        </w:rPr>
        <w:t>There are a limited number of dedicated biotechnology funds with the ability to perform thorough due</w:t>
      </w:r>
      <w:r>
        <w:rPr>
          <w:rFonts w:ascii="Arial" w:cs="Arial" w:eastAsia="Arial" w:hAnsi="Arial"/>
          <w:sz w:val="18"/>
          <w:szCs w:val="18"/>
          <w:b w:val="1"/>
          <w:bCs w:val="1"/>
          <w:color w:val="auto"/>
        </w:rPr>
        <w:t xml:space="preserve"> </w:t>
      </w:r>
      <w:r>
        <w:rPr>
          <w:rFonts w:ascii="Arial" w:cs="Arial" w:eastAsia="Arial" w:hAnsi="Arial"/>
          <w:sz w:val="18"/>
          <w:szCs w:val="18"/>
          <w:color w:val="auto"/>
        </w:rPr>
        <w:t>diligence on biotechnology companies. As a result, private biotechnology</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72" w:lineRule="auto"/>
        <w:rPr>
          <w:sz w:val="20"/>
          <w:szCs w:val="20"/>
          <w:color w:val="auto"/>
        </w:rPr>
      </w:pPr>
      <w:r>
        <w:rPr>
          <w:rFonts w:ascii="Arial" w:cs="Arial" w:eastAsia="Arial" w:hAnsi="Arial"/>
          <w:sz w:val="17"/>
          <w:szCs w:val="17"/>
          <w:color w:val="auto"/>
        </w:rPr>
        <w:t xml:space="preserve">companies are often beholden to the same limited set of investors to help anchor an IPO, and generally attempt to encourage IPO participation from these investors by pursuing a private crossover funding round ahead of the IPO. Failure to capture the attention and support of these investors can negatively impact the execution of the IPO. Moreover, a biotechnology IPO book-build that produces a relatively narrow investor base can lead to material longer-term negative impacts for newly public biotechnology companies, including shareholder base turnover and increased share price volatility. These dynamics can impair a management team’s ability to focus on long-term value creation. </w:t>
      </w:r>
      <w:r>
        <w:rPr>
          <w:rFonts w:ascii="Arial" w:cs="Arial" w:eastAsia="Arial" w:hAnsi="Arial"/>
          <w:sz w:val="17"/>
          <w:szCs w:val="17"/>
          <w:b w:val="1"/>
          <w:bCs w:val="1"/>
          <w:i w:val="1"/>
          <w:iCs w:val="1"/>
          <w:color w:val="auto"/>
        </w:rPr>
        <w:t>We believe we can provide private biotechnology companies with access to a broader investor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base and enable them to skip the crossover round before going public.</w:t>
      </w:r>
    </w:p>
    <w:p>
      <w:pPr>
        <w:spacing w:after="0" w:line="79" w:lineRule="exact"/>
        <w:rPr>
          <w:sz w:val="20"/>
          <w:szCs w:val="20"/>
          <w:color w:val="auto"/>
        </w:rPr>
      </w:pPr>
    </w:p>
    <w:p>
      <w:pPr>
        <w:ind w:left="1240" w:right="60" w:hanging="415"/>
        <w:spacing w:after="0" w:line="256"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Inefficient price discovery: </w:t>
      </w:r>
      <w:r>
        <w:rPr>
          <w:rFonts w:ascii="Arial" w:cs="Arial" w:eastAsia="Arial" w:hAnsi="Arial"/>
          <w:sz w:val="18"/>
          <w:szCs w:val="18"/>
          <w:color w:val="auto"/>
        </w:rPr>
        <w:t>The process for biotechnology IPO demand generation often produces order books that are significantly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oversubscribed, but lacks an effective price discovery mechanism. Biotechnology IPO valuations are often closely tied to private crossover valuations, which are set by a smaller group of specialized investors. This limited price discovery can frustrate the ability of biotechnology companies to maximize proceeds at IPO and lead to outsized trading fluctuations post-IPO pricing. The average first day trading performance for U.S. biotechnology IPOs from 2010 to 2020 stands at over 17%. </w:t>
      </w:r>
      <w:r>
        <w:rPr>
          <w:rFonts w:ascii="Arial" w:cs="Arial" w:eastAsia="Arial" w:hAnsi="Arial"/>
          <w:sz w:val="18"/>
          <w:szCs w:val="18"/>
          <w:b w:val="1"/>
          <w:bCs w:val="1"/>
          <w:i w:val="1"/>
          <w:iCs w:val="1"/>
          <w:color w:val="auto"/>
        </w:rPr>
        <w:t>We believe we can offer greater price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valuation certainty to management teams.</w:t>
      </w:r>
    </w:p>
    <w:p>
      <w:pPr>
        <w:spacing w:after="0" w:line="92"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IPO financing windows can shut unexpectedly: </w:t>
      </w:r>
      <w:r>
        <w:rPr>
          <w:rFonts w:ascii="Arial" w:cs="Arial" w:eastAsia="Arial" w:hAnsi="Arial"/>
          <w:sz w:val="17"/>
          <w:szCs w:val="17"/>
          <w:color w:val="auto"/>
        </w:rPr>
        <w:t>Efficient and rapid access to capital is critical to the success of biotechnology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companies. A biotechnology company’s ability to access the public markets is contingent on a constructive macroeconomic backdrop, but can also be impacted by fluctuating investor sentiment due to exogenous events, which can cause financing windows to close quickly and unexpectedly. </w:t>
      </w:r>
      <w:r>
        <w:rPr>
          <w:rFonts w:ascii="Arial" w:cs="Arial" w:eastAsia="Arial" w:hAnsi="Arial"/>
          <w:sz w:val="17"/>
          <w:szCs w:val="17"/>
          <w:b w:val="1"/>
          <w:bCs w:val="1"/>
          <w:i w:val="1"/>
          <w:iCs w:val="1"/>
          <w:color w:val="auto"/>
        </w:rPr>
        <w:t>We believe we can mitigate the significant uncertainty and unpredictability around IPO financing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windows by offering a more certain and direct path to the public markets.</w:t>
      </w:r>
    </w:p>
    <w:p>
      <w:pPr>
        <w:spacing w:after="0" w:line="172" w:lineRule="exact"/>
        <w:rPr>
          <w:sz w:val="20"/>
          <w:szCs w:val="20"/>
          <w:color w:val="auto"/>
        </w:rPr>
      </w:pPr>
    </w:p>
    <w:p>
      <w:pPr>
        <w:ind w:left="300" w:right="200" w:firstLine="426"/>
        <w:spacing w:after="0" w:line="301" w:lineRule="auto"/>
        <w:rPr>
          <w:sz w:val="20"/>
          <w:szCs w:val="20"/>
          <w:color w:val="auto"/>
        </w:rPr>
      </w:pPr>
      <w:r>
        <w:rPr>
          <w:rFonts w:ascii="Arial" w:cs="Arial" w:eastAsia="Arial" w:hAnsi="Arial"/>
          <w:sz w:val="16"/>
          <w:szCs w:val="16"/>
          <w:color w:val="auto"/>
        </w:rPr>
        <w:t>We believe that biotechnology companies at a certain stage in their development will see material benefits from being publicly traded, including greater company and product awareness, a more liquid acquisition currency and diversified funding sources and access to capital. An acquisition by a blank check company with a management team that is well known and respected by biotechnology company founders, investors and management teams can provide a more transparent and efficient mechanism to bring a private biotechnology company to the public markets.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We believe that healthcare investing is unique in its ability to translate to dramatic improvements in quality of life. The more impactful a drug is on the lives of patients and their families, the greater the likelihood of commercial success. We have chosen to focus on the biotechnology sector because we believe it is an important, exciting and complicated space where incremental capital can drive outsized societal value and returns can be highly asymmetric.</w:t>
      </w:r>
    </w:p>
    <w:p>
      <w:pPr>
        <w:spacing w:after="0" w:line="187" w:lineRule="exact"/>
        <w:rPr>
          <w:sz w:val="20"/>
          <w:szCs w:val="20"/>
          <w:color w:val="auto"/>
        </w:rPr>
      </w:pPr>
    </w:p>
    <w:p>
      <w:pPr>
        <w:ind w:left="300" w:right="80" w:firstLine="426"/>
        <w:spacing w:after="0" w:line="271" w:lineRule="auto"/>
        <w:rPr>
          <w:sz w:val="20"/>
          <w:szCs w:val="20"/>
          <w:color w:val="auto"/>
        </w:rPr>
      </w:pPr>
      <w:r>
        <w:rPr>
          <w:rFonts w:ascii="Arial" w:cs="Arial" w:eastAsia="Arial" w:hAnsi="Arial"/>
          <w:sz w:val="17"/>
          <w:szCs w:val="17"/>
          <w:color w:val="auto"/>
        </w:rPr>
        <w:t>Our mission is to provide disruptive and agile biotechnology companies an alternative path to becoming a publicly traded company as compared to the traditional IPO, thereby supporting their ability to execute their business plans and achieve long-term clinical and commercial success. We also seek to provide greater access to the biotechnology sector to a broader investor base. Historically, biotechnology investing has generated strong returns for a select specialist group of investors. However, most investors lack the technical and scientific background and understanding to evaluate biotechnology opportunities. Importantly, we believe our management team has the experience, knowledge base and process in place to identify biotechnology companies that have high potential. By leveraging our extensive experience and network, we believe we can provide a number of significant benefits to potential targets and public market investors that can potentially lead to attractive long-term risk-adjusted returns in the public markets.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Acquisition and Value Creation Strategy</w:t>
      </w:r>
    </w:p>
    <w:p>
      <w:pPr>
        <w:spacing w:after="0" w:line="121" w:lineRule="exact"/>
        <w:rPr>
          <w:sz w:val="20"/>
          <w:szCs w:val="20"/>
          <w:color w:val="auto"/>
        </w:rPr>
      </w:pPr>
    </w:p>
    <w:p>
      <w:pPr>
        <w:ind w:left="300" w:right="220" w:firstLine="426"/>
        <w:spacing w:after="0" w:line="342" w:lineRule="auto"/>
        <w:rPr>
          <w:sz w:val="20"/>
          <w:szCs w:val="20"/>
          <w:color w:val="auto"/>
        </w:rPr>
      </w:pPr>
      <w:r>
        <w:rPr>
          <w:rFonts w:ascii="Arial" w:cs="Arial" w:eastAsia="Arial" w:hAnsi="Arial"/>
          <w:sz w:val="16"/>
          <w:szCs w:val="16"/>
          <w:color w:val="auto"/>
        </w:rPr>
        <w:t>We intend to leverage what we believe is a competitive advantage in sourcing potential targets that will materially benefit from our unique expertise and where we are best situated to augment the value of the business following the completion of our initial business combination.</w:t>
      </w:r>
    </w:p>
    <w:p>
      <w:pPr>
        <w:spacing w:after="0" w:line="124"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We believe our management team is well positioned to identify unique opportunities across the private biotechnology company landscape. Our selection process will leverage our relationships with leading biotechnology company founders, executives of private and public companies, venture capitalists and growth equity funds, in addition to the extensive industry and geographical reach of Social Capital and Suvretta’s platforms.</w:t>
      </w:r>
    </w:p>
    <w:p>
      <w:pPr>
        <w:spacing w:after="0" w:line="149" w:lineRule="exact"/>
        <w:rPr>
          <w:sz w:val="20"/>
          <w:szCs w:val="20"/>
          <w:color w:val="auto"/>
        </w:rPr>
      </w:pPr>
    </w:p>
    <w:p>
      <w:pPr>
        <w:ind w:left="300" w:right="240" w:firstLine="426"/>
        <w:spacing w:after="0" w:line="286" w:lineRule="auto"/>
        <w:rPr>
          <w:sz w:val="20"/>
          <w:szCs w:val="20"/>
          <w:color w:val="auto"/>
        </w:rPr>
      </w:pPr>
      <w:r>
        <w:rPr>
          <w:rFonts w:ascii="Arial" w:cs="Arial" w:eastAsia="Arial" w:hAnsi="Arial"/>
          <w:sz w:val="17"/>
          <w:szCs w:val="17"/>
          <w:color w:val="auto"/>
        </w:rPr>
        <w:t>Given our profile and approach, we anticipate that target business candidates may be brought to our attention from various sources, in particular founders of and investors in other private and public biotechnology companies in our networks. We also believe that our management team’s reputation, experience and track record of investing will make us a preferred partner for these potential targets.</w:t>
      </w:r>
    </w:p>
    <w:p>
      <w:pPr>
        <w:spacing w:after="0" w:line="165"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Consistent with our strategy, we have identified the following general criteria and guidelines to evaluate prospective target businesses. We may, however, decide to enter into our initial business combination with a target business that does not meet these criteria and guidelines. We intend to seek to acquire one or more businesses that we believe:</w:t>
      </w:r>
    </w:p>
    <w:p>
      <w:pPr>
        <w:spacing w:after="0" w:line="89" w:lineRule="exact"/>
        <w:rPr>
          <w:sz w:val="20"/>
          <w:szCs w:val="20"/>
          <w:color w:val="auto"/>
        </w:rPr>
      </w:pPr>
    </w:p>
    <w:p>
      <w:pPr>
        <w:ind w:left="1240" w:right="26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are in the biotechnology industry and can benefit from the extensive networks and insights we have built. In addition, we expect to evaluate targets in related industries that can leverage advancements in biotechnology to improve outcomes for patients;</w:t>
      </w:r>
    </w:p>
    <w:p>
      <w:pPr>
        <w:spacing w:after="0" w:line="29" w:lineRule="exact"/>
        <w:rPr>
          <w:rFonts w:ascii="Arial" w:cs="Arial" w:eastAsia="Arial" w:hAnsi="Arial"/>
          <w:sz w:val="16"/>
          <w:szCs w:val="16"/>
          <w:color w:val="auto"/>
        </w:rPr>
      </w:pPr>
    </w:p>
    <w:p>
      <w:pPr>
        <w:ind w:left="1240" w:right="2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ready to operate under the scrutiny of the public markets, with strong management, corporate governance and reporting policies in place;</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 profile that will be attractive to investors in public companies and are likely to be supported by investors in the public markets after the business combination;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at an inflection point, such as those requiring additional expertise, resources or capital;</w:t>
      </w:r>
    </w:p>
    <w:p>
      <w:pPr>
        <w:spacing w:after="0" w:line="130"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 unrecognized value or other characteristics that we believe have been misevaluated by the market based on our company-specific analysis and due diligence review; and</w:t>
      </w:r>
    </w:p>
    <w:p>
      <w:pPr>
        <w:spacing w:after="0" w:line="75" w:lineRule="exact"/>
        <w:rPr>
          <w:rFonts w:ascii="Arial" w:cs="Arial" w:eastAsia="Arial" w:hAnsi="Arial"/>
          <w:sz w:val="18"/>
          <w:szCs w:val="18"/>
          <w:color w:val="auto"/>
        </w:rPr>
      </w:pPr>
    </w:p>
    <w:p>
      <w:pPr>
        <w:ind w:left="1240" w:right="18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will offer attractive risk-adjusted equity returns for our shareholders. Financial returns will be evaluated based on, among other factors, the potential for achieving clinical and commercial success and for creating value through business development initiatives.</w:t>
      </w:r>
    </w:p>
    <w:p>
      <w:pPr>
        <w:spacing w:after="0" w:line="124" w:lineRule="exact"/>
        <w:rPr>
          <w:sz w:val="20"/>
          <w:szCs w:val="20"/>
          <w:color w:val="auto"/>
        </w:rPr>
      </w:pPr>
    </w:p>
    <w:p>
      <w:pPr>
        <w:ind w:left="300" w:right="200" w:firstLine="426"/>
        <w:spacing w:after="0" w:line="257" w:lineRule="auto"/>
        <w:rPr>
          <w:sz w:val="20"/>
          <w:szCs w:val="20"/>
          <w:color w:val="auto"/>
        </w:rPr>
      </w:pPr>
      <w:r>
        <w:rPr>
          <w:rFonts w:ascii="Arial" w:cs="Arial" w:eastAsia="Arial" w:hAnsi="Arial"/>
          <w:sz w:val="18"/>
          <w:szCs w:val="18"/>
          <w:color w:val="auto"/>
        </w:rPr>
        <w:t>Any evaluation relating to the merits of a particular initial business combination may be based on these general criteria and guidelines, as well as other considerations, factors and criteria that our management may deem relevant. In the event that we decide to enter into an initial business combination with a target business that does not meet the above criteria and guidelines, we will disclose that fact in our shareholder communications related to the acquisition. As discussed elsewhere in this prospectus, this would be in the form of proxy solicitation materials or tender offer documents that we would file with the SEC.</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Proposed Biotechnology Subsector Focus</w:t>
      </w:r>
    </w:p>
    <w:p>
      <w:pPr>
        <w:spacing w:after="0" w:line="12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While we may pursue an initial business combination target in any subsector within the biotechnology industry, or in any other industry, we intend to focus on the “organ space” — intrinsic diseases of the heart, kidney, endocrine system (including diabetes and lipids) and blood compartment (non-oncologic diseases).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Biotechnology companies have driven major advances over time in the organ space. Management of major organ diseases such as hypertension, diabetes, hypercholesterolemia, macular degeneration and anemia is significantly better today than it was prior to the decades of drug introductions, including statins, angiotensin converting enzyme inhibitors/angiotensin II receptor blockers, oral diabetes medications, better tolerated irons, vascular endothelial growth factor drugs for the eye and erythropoietins, among others. The industry is still a long way from having broad control of many diseases, however, as patients either respond incompletely to existing therapies or cannot tolerate high enough doses of existing therapies to resolve their conditions. These major organ diseases represent a major opportunity for biotechnology companies to continue innovating to develop solutions that provide better control and offer an optimal treatment profile. Even beyond major organ diseases, there remain a large number of common organ diseases for which effective therapies are lacking. The organ space has not yet seen the full benefit of recent advancements in therapeutic modalities and growing understanding of the genetic underpinnings of disease. Drug development in this area has typically required large, broad studies to capture benefits across a heterogeneous population. This is changing as novel therapies are being developed with a focus on more specific populations, where the risk-benefit ratio can be improved, the probability of success can be increased and the time to market can be shortened.</w:t>
      </w:r>
    </w:p>
    <w:p>
      <w:pPr>
        <w:spacing w:after="0" w:line="179"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Over the past three to five years, we have observed increased interest in the development of therapeutics in the organ space. New development has come with a more focused approach to identifying specific diseases or patient segments that are more homogeneous than those evaluated in the past. This tailored approach does not necessarily translate into smaller value opportunities; rather, it means populations that should respond more uniformly to experimental therapies, enabling more focused development plans using biomarkers and surrogates to accelerate time to market.</w:t>
      </w:r>
    </w:p>
    <w:p>
      <w:pPr>
        <w:spacing w:after="0" w:line="188" w:lineRule="exact"/>
        <w:rPr>
          <w:sz w:val="20"/>
          <w:szCs w:val="20"/>
          <w:color w:val="auto"/>
        </w:rPr>
      </w:pPr>
    </w:p>
    <w:p>
      <w:pPr>
        <w:ind w:left="300" w:right="480" w:firstLine="426"/>
        <w:spacing w:after="0" w:line="263" w:lineRule="auto"/>
        <w:rPr>
          <w:sz w:val="20"/>
          <w:szCs w:val="20"/>
          <w:color w:val="auto"/>
        </w:rPr>
      </w:pPr>
      <w:r>
        <w:rPr>
          <w:rFonts w:ascii="Arial" w:cs="Arial" w:eastAsia="Arial" w:hAnsi="Arial"/>
          <w:sz w:val="18"/>
          <w:szCs w:val="18"/>
          <w:color w:val="auto"/>
        </w:rPr>
        <w:t>Accordingly, in our search for a target business within the biotechnology industry, we intend to focus on identifying therapeutics, novel platforms and other modalities to help manage and treat disorders related to cardiology, nephrology, ophthalmology, hematology and endocrinology.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Disclosures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Acquisition Process</w:t>
      </w:r>
    </w:p>
    <w:p>
      <w:pPr>
        <w:spacing w:after="0" w:line="117" w:lineRule="exact"/>
        <w:rPr>
          <w:sz w:val="20"/>
          <w:szCs w:val="20"/>
          <w:color w:val="auto"/>
        </w:rPr>
      </w:pPr>
    </w:p>
    <w:p>
      <w:pPr>
        <w:ind w:left="300" w:right="180" w:firstLine="426"/>
        <w:spacing w:after="0" w:line="296" w:lineRule="auto"/>
        <w:rPr>
          <w:sz w:val="20"/>
          <w:szCs w:val="20"/>
          <w:color w:val="auto"/>
        </w:rPr>
      </w:pPr>
      <w:r>
        <w:rPr>
          <w:rFonts w:ascii="Arial" w:cs="Arial" w:eastAsia="Arial" w:hAnsi="Arial"/>
          <w:sz w:val="16"/>
          <w:szCs w:val="16"/>
          <w:color w:val="auto"/>
        </w:rPr>
        <w:t>We have not selected any business combination target and we have not, nor has anyone on our behalf, initiated any substantive discussions, directly or indirectly, with any business combination target. Certain members of our management team are employed by either Social Capital or Suvretta or one of their respective affiliates. Social Capital and Suvretta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61" w:lineRule="exact"/>
        <w:rPr>
          <w:sz w:val="20"/>
          <w:szCs w:val="20"/>
          <w:color w:val="auto"/>
        </w:rPr>
      </w:pPr>
    </w:p>
    <w:p>
      <w:pPr>
        <w:ind w:left="300" w:right="140" w:firstLine="426"/>
        <w:spacing w:after="0" w:line="279" w:lineRule="auto"/>
        <w:rPr>
          <w:sz w:val="20"/>
          <w:szCs w:val="20"/>
          <w:color w:val="auto"/>
        </w:rPr>
      </w:pPr>
      <w:r>
        <w:rPr>
          <w:rFonts w:ascii="Arial" w:cs="Arial" w:eastAsia="Arial" w:hAnsi="Arial"/>
          <w:sz w:val="17"/>
          <w:szCs w:val="17"/>
          <w:color w:val="auto"/>
        </w:rPr>
        <w:t>Our search for a business combination, ability to consummate a business combination, or the operations of a target business with which we ultimately consummate a business combination, may be materially adversely affected by the coronavirus (“Covid-19”) pandemic. See “Risk Factors — Our search for a business combination, and any target business with which we ultimately consummate a business combination, may be materially adversely affected by the Covid-19 pandemic and the status of debt and equity markets.”</w:t>
      </w:r>
    </w:p>
    <w:p>
      <w:pPr>
        <w:spacing w:after="0" w:line="171" w:lineRule="exact"/>
        <w:rPr>
          <w:sz w:val="20"/>
          <w:szCs w:val="20"/>
          <w:color w:val="auto"/>
        </w:rPr>
      </w:pPr>
    </w:p>
    <w:p>
      <w:pPr>
        <w:ind w:left="300" w:right="300" w:firstLine="426"/>
        <w:spacing w:after="0" w:line="279" w:lineRule="auto"/>
        <w:rPr>
          <w:sz w:val="20"/>
          <w:szCs w:val="20"/>
          <w:color w:val="auto"/>
        </w:rPr>
      </w:pPr>
      <w:r>
        <w:rPr>
          <w:rFonts w:ascii="Arial" w:cs="Arial" w:eastAsia="Arial" w:hAnsi="Arial"/>
          <w:sz w:val="17"/>
          <w:szCs w:val="17"/>
          <w:color w:val="auto"/>
        </w:rPr>
        <w:t>All of our officers and certain of our directors have fiduciary and contractual duties to either Social Capital or Suvretta and, as applicable, their underlying clients, and to certain companies in which either of them has invested or which either of them has sponsored. These entities, including DNAA, DNAB and DNAD (each of which is focused on pursuing an initial business combination with a target operating in the biotechnology industry) and certain other blank check companies sponsored by Social Capital (including the Hedosophia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68" w:lineRule="auto"/>
        <w:rPr>
          <w:sz w:val="20"/>
          <w:szCs w:val="20"/>
          <w:color w:val="auto"/>
        </w:rPr>
      </w:pPr>
      <w:r>
        <w:rPr>
          <w:rFonts w:ascii="Arial" w:cs="Arial" w:eastAsia="Arial" w:hAnsi="Arial"/>
          <w:sz w:val="17"/>
          <w:szCs w:val="17"/>
          <w:color w:val="auto"/>
        </w:rPr>
        <w:t>SPACs), may compete with us for acquisition opportunities. If these entities decide to pursue any such opportunity, we may be precluded from pursuing such opportunities. Subject to his or her fiduciary duties under Cayman Islands law, none of the members of our management team who are also employed by our sponsor or its affiliates have any obligation to present us with any opportunity for a potential business combination of which they become aware. Our sponsor and directors and officers are also not prohibited from sponsoring, investing or otherwise becoming involved with any other blank check companies, including in connection with their initial business combinations, prior to us completing our initial business combination. Members of our management team, in their capacities as directors, officers or employees of our sponsor or its affiliates or in their other endeavors, may choose to present potential business combinations to the related entities described above, current or future entities affiliated with or managed by our sponsor, or third parties, before they present such opportunities to us, subject to their fiduciary duties under Cayman Islands law and any other applicable fiduciary duties.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For more information, see the section entitled “Management — Conflicts of Interest.”</w:t>
      </w:r>
    </w:p>
    <w:p>
      <w:pPr>
        <w:spacing w:after="0" w:line="184"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Our directors and officers presently have, and any or all of them in the future may have, additional fiduciary or contractual obligations to other entities pursuant to which such officer or director is or will be required to present a business combination opportunity to such entity. Accordingly, if any of our directors or officers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his or her fiduciary duties under Cayman Islands law. Our directors and officers are also not required to commit any specified amount of time or resources to our affairs, including our management team who will be spending material business time on their other duties, and, accordingly, will have conflicts of interest in allocating management time and resources among various business activities, including identifying potential business combinations and monitoring the related due diligence. See “Risk Factors — Certain of our directors and officers are now, and expect in the future to become, affiliated with certain entities engaged in business activities similar to those intended to be conducted by us and, accordingly, may have conflicts of interest in determining to which entity a particular business opportunity should be presented.”</w:t>
      </w:r>
    </w:p>
    <w:p>
      <w:pPr>
        <w:spacing w:after="0" w:line="182"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Social Capital, Suvretta, or our sponsor, directors or officers. In the event we seek to complete our initial business combination with such a company, we, or a committee of independent and disinterested directors, would obtain an opinion from an independent investment banking firm or another valuation or appraisal firm that regularly renders fairness opinions on the type of target business we are seeking to acquire that such an initial business combination is fair to our company from a financial point of view. We are not required to obtain such an opinion in any other context.</w:t>
      </w:r>
    </w:p>
    <w:p>
      <w:pPr>
        <w:spacing w:after="0" w:line="176"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We do not believe, however, that the fiduciary duties or contractual obligations of our directors or officers will materially affect our ability to identify and pursue business combination opportunities or complete our initial business combination.</w:t>
      </w:r>
    </w:p>
    <w:p>
      <w:pPr>
        <w:spacing w:after="0" w:line="170" w:lineRule="exact"/>
        <w:rPr>
          <w:sz w:val="20"/>
          <w:szCs w:val="20"/>
          <w:color w:val="auto"/>
        </w:rPr>
      </w:pPr>
    </w:p>
    <w:p>
      <w:pPr>
        <w:ind w:left="300" w:right="280" w:firstLine="426"/>
        <w:spacing w:after="0" w:line="263" w:lineRule="auto"/>
        <w:rPr>
          <w:sz w:val="20"/>
          <w:szCs w:val="20"/>
          <w:color w:val="auto"/>
        </w:rPr>
      </w:pPr>
      <w:r>
        <w:rPr>
          <w:rFonts w:ascii="Arial" w:cs="Arial" w:eastAsia="Arial" w:hAnsi="Arial"/>
          <w:sz w:val="18"/>
          <w:szCs w:val="18"/>
          <w:color w:val="auto"/>
        </w:rPr>
        <w:t>You should not rely on the historical record of our founders’ and management’s performance as indicative of our future performance. See “Risk Factors — Past performance by our management team and their respective affiliates may not be indicative of future performance of an investment in our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Initial Business Combination</w:t>
      </w:r>
    </w:p>
    <w:p>
      <w:pPr>
        <w:spacing w:after="0" w:line="117" w:lineRule="exact"/>
        <w:rPr>
          <w:sz w:val="20"/>
          <w:szCs w:val="20"/>
          <w:color w:val="auto"/>
        </w:rPr>
      </w:pPr>
    </w:p>
    <w:p>
      <w:pPr>
        <w:ind w:left="300" w:right="160" w:firstLine="426"/>
        <w:spacing w:after="0" w:line="270" w:lineRule="auto"/>
        <w:rPr>
          <w:sz w:val="20"/>
          <w:szCs w:val="20"/>
          <w:color w:val="auto"/>
        </w:rPr>
      </w:pPr>
      <w:r>
        <w:rPr>
          <w:rFonts w:ascii="Arial" w:cs="Arial" w:eastAsia="Arial" w:hAnsi="Arial"/>
          <w:sz w:val="17"/>
          <w:szCs w:val="17"/>
          <w:color w:val="auto"/>
        </w:rPr>
        <w:t>The Nasdaq listing rules require that we complete one or more business combinations having an aggregate fair market value of at least 80% of the value of the assets held in the trust account (excluding deferred underwriting commissions and taxes payable on the interest earned on the trust account) at the time of our signing a definitive agreement in connection with our initial business combination. We refer to this as the 80% of net assets test. If our board of directors is not able independently to determine the fair market value of the target business or businesses, we will obtain a valuation opinion from an independent investment banking firm that is a member of the Financial Industry Regulatory Authority, Inc. (“FINRA”), or another independent entity that commonly renders valuation opinions with respect to the satisfaction of such criteria. We do not currently intend to purchase multiple businesses in unrelated industries in conjunction with our initial business combination, although there is no assurance that will be the case. Additionally, pursuant to Nasdaq rules, any initial business combination must be approved by a majority of our independent directors.</w:t>
      </w:r>
    </w:p>
    <w:p>
      <w:pPr>
        <w:spacing w:after="0" w:line="181" w:lineRule="exact"/>
        <w:rPr>
          <w:sz w:val="20"/>
          <w:szCs w:val="20"/>
          <w:color w:val="auto"/>
        </w:rPr>
      </w:pPr>
    </w:p>
    <w:p>
      <w:pPr>
        <w:ind w:left="300" w:firstLine="426"/>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shares or other equity securities of a target, or issue a substantial number of new shares to third parties in connection with financing our initial business combination.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 Notwithstanding the foregoing, if we are not then listed on Nasdaq for whatever reason, we would no longer be required to meet the foregoing 80% of net assets test.</w:t>
      </w:r>
    </w:p>
    <w:p>
      <w:pPr>
        <w:spacing w:after="0" w:line="171"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Prior to the effectiveness of the registration statement of which this prospectus forms a part, we will file a Registration Statement on Form 8-A with the SEC to voluntarily register our securities under Section 12 of the Securities Exchange Act of 1934, as amended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Corporate Information</w:t>
      </w:r>
    </w:p>
    <w:p>
      <w:pPr>
        <w:spacing w:after="0" w:line="117"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5" w:lineRule="auto"/>
        <w:rPr>
          <w:sz w:val="20"/>
          <w:szCs w:val="20"/>
          <w:color w:val="auto"/>
        </w:rPr>
      </w:pPr>
      <w:r>
        <w:rPr>
          <w:rFonts w:ascii="Arial" w:cs="Arial" w:eastAsia="Arial" w:hAnsi="Arial"/>
          <w:sz w:val="18"/>
          <w:szCs w:val="18"/>
          <w:color w:val="auto"/>
        </w:rPr>
        <w:t>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71" w:lineRule="exact"/>
        <w:rPr>
          <w:sz w:val="20"/>
          <w:szCs w:val="20"/>
          <w:color w:val="auto"/>
        </w:rPr>
      </w:pPr>
    </w:p>
    <w:p>
      <w:pPr>
        <w:ind w:left="300" w:right="100" w:firstLine="426"/>
        <w:spacing w:after="0" w:line="29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equals or exceeds $700 million as of the end of that year’s second fiscal quarter, and (2) the date on which we have issued more than $1.00 billion in non-convertible debt securities during the prior three-year period. References herein to “emerging growth company” will have the meaning associated with it in the JOBS Act.</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advantage of certain reduced disclosure obligations, including, among other things, providing only two years of audited financial statements. We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will remain a smaller reporting company until the last day of the fiscal year in which (1) the market value of our ordinary shares held by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non-affiliates equaled or exceeded $250 million as of the end of that year’s second fiscal quarter, or (2) our annual revenues equaled or exceeded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$100 million during such completed fiscal year and the market value of our ordinary shares held by non-affiliates equaled or exceeded $700 million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the end of that year’s second fiscal quarter.</w:t>
      </w:r>
    </w:p>
    <w:p>
      <w:pPr>
        <w:spacing w:after="0" w:line="211" w:lineRule="exact"/>
        <w:rPr>
          <w:sz w:val="20"/>
          <w:szCs w:val="20"/>
          <w:color w:val="auto"/>
        </w:rPr>
      </w:pPr>
    </w:p>
    <w:p>
      <w:pPr>
        <w:ind w:left="300" w:right="120" w:firstLine="426"/>
        <w:spacing w:after="0" w:line="290" w:lineRule="auto"/>
        <w:rPr>
          <w:sz w:val="20"/>
          <w:szCs w:val="20"/>
          <w:color w:val="auto"/>
        </w:rPr>
      </w:pPr>
      <w:r>
        <w:rPr>
          <w:rFonts w:ascii="Arial" w:cs="Arial" w:eastAsia="Arial" w:hAnsi="Arial"/>
          <w:sz w:val="16"/>
          <w:szCs w:val="16"/>
          <w:color w:val="auto"/>
        </w:rPr>
        <w:t>Exempted companies are Cayman Islands companies wishing to conduct business outside the Cayman Islands and, as such, are exempted from complying with certain provisions of the Companies Act. As an exempted company, we have applied for and have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are a Cayman Islands exempted company incorporated on February 25, 2021. Our executive offices are located at 2850 W. Horizon Ridge</w:t>
      </w:r>
    </w:p>
    <w:p>
      <w:pPr>
        <w:spacing w:after="0" w:line="46" w:lineRule="exact"/>
        <w:rPr>
          <w:sz w:val="20"/>
          <w:szCs w:val="20"/>
          <w:color w:val="auto"/>
        </w:rPr>
      </w:pPr>
    </w:p>
    <w:p>
      <w:pPr>
        <w:ind w:left="300" w:right="560"/>
        <w:spacing w:after="0" w:line="265" w:lineRule="auto"/>
        <w:rPr>
          <w:sz w:val="20"/>
          <w:szCs w:val="20"/>
          <w:color w:val="auto"/>
        </w:rPr>
      </w:pPr>
      <w:r>
        <w:rPr>
          <w:rFonts w:ascii="Arial" w:cs="Arial" w:eastAsia="Arial" w:hAnsi="Arial"/>
          <w:sz w:val="17"/>
          <w:szCs w:val="17"/>
          <w:color w:val="auto"/>
        </w:rPr>
        <w:t>Parkway, Suite 200, Henderson, NV 89052 and our telephone number is . Upon completion of this offering, our corporate website address will be . Our website and the information contained on, or that can be accessed through, the website is not deemed to be</w:t>
      </w:r>
    </w:p>
    <w:p>
      <w:pPr>
        <w:ind w:left="300" w:right="460"/>
        <w:spacing w:after="0" w:line="260" w:lineRule="auto"/>
        <w:rPr>
          <w:sz w:val="20"/>
          <w:szCs w:val="20"/>
          <w:color w:val="auto"/>
        </w:rPr>
      </w:pPr>
      <w:r>
        <w:rPr>
          <w:rFonts w:ascii="Arial" w:cs="Arial" w:eastAsia="Arial" w:hAnsi="Arial"/>
          <w:sz w:val="18"/>
          <w:szCs w:val="18"/>
          <w:color w:val="auto"/>
        </w:rPr>
        <w:t>incorporated by reference in, and is not considered part of, this prospectus or the registration statement of which this prospectus is a part. You should not rely on any such information in making your decision whether to invest in our securities.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96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b w:val="1"/>
          <w:bCs w:val="1"/>
          <w:i w:val="1"/>
          <w:iCs w:val="1"/>
          <w:color w:val="auto"/>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w:t>
      </w:r>
    </w:p>
    <w:p>
      <w:pPr>
        <w:spacing w:after="0" w:line="2" w:lineRule="exact"/>
        <w:rPr>
          <w:sz w:val="20"/>
          <w:szCs w:val="20"/>
          <w:color w:val="auto"/>
        </w:rPr>
      </w:pPr>
    </w:p>
    <w:p>
      <w:pPr>
        <w:ind w:left="300" w:right="200"/>
        <w:spacing w:after="0" w:line="260" w:lineRule="auto"/>
        <w:rPr>
          <w:sz w:val="20"/>
          <w:szCs w:val="20"/>
          <w:color w:val="auto"/>
        </w:rPr>
      </w:pPr>
      <w:r>
        <w:rPr>
          <w:rFonts w:ascii="Arial" w:cs="Arial" w:eastAsia="Arial" w:hAnsi="Arial"/>
          <w:sz w:val="18"/>
          <w:szCs w:val="18"/>
          <w:b w:val="1"/>
          <w:bCs w:val="1"/>
          <w:i w:val="1"/>
          <w:iCs w:val="1"/>
          <w:color w:val="auto"/>
        </w:rPr>
        <w:t>Rule 419 blank check offerings. You should carefully consider these and the other risks set forth in the section entitled “Risk Factors” of this prospectus.</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Securities offered</w:t>
            </w:r>
          </w:p>
        </w:tc>
        <w:tc>
          <w:tcPr>
            <w:tcW w:w="6040" w:type="dxa"/>
            <w:vAlign w:val="bottom"/>
          </w:tcPr>
          <w:p>
            <w:pPr>
              <w:ind w:left="180"/>
              <w:spacing w:after="0"/>
              <w:rPr>
                <w:sz w:val="20"/>
                <w:szCs w:val="20"/>
                <w:color w:val="auto"/>
              </w:rPr>
            </w:pPr>
            <w:r>
              <w:rPr>
                <w:rFonts w:ascii="Arial" w:cs="Arial" w:eastAsia="Arial" w:hAnsi="Arial"/>
                <w:sz w:val="18"/>
                <w:szCs w:val="18"/>
                <w:color w:val="auto"/>
                <w:w w:val="90"/>
              </w:rPr>
              <w:t>20,000,000 Class A ordinary shares (or 23,000,000 Class A ordinary shares if the</w:t>
            </w:r>
          </w:p>
        </w:tc>
      </w:tr>
      <w:tr>
        <w:trPr>
          <w:trHeight w:val="230"/>
        </w:trPr>
        <w:tc>
          <w:tcPr>
            <w:tcW w:w="3860" w:type="dxa"/>
            <w:vAlign w:val="bottom"/>
          </w:tcPr>
          <w:p>
            <w:pPr>
              <w:spacing w:after="0"/>
              <w:rPr>
                <w:sz w:val="20"/>
                <w:szCs w:val="20"/>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w w:val="97"/>
              </w:rPr>
              <w:t>underwriter’s over-allotment option is exercised in full), at $10.00 per share.</w:t>
            </w:r>
          </w:p>
        </w:tc>
      </w:tr>
      <w:tr>
        <w:trPr>
          <w:trHeight w:val="459"/>
        </w:trPr>
        <w:tc>
          <w:tcPr>
            <w:tcW w:w="3860" w:type="dxa"/>
            <w:vAlign w:val="bottom"/>
          </w:tcPr>
          <w:p>
            <w:pPr>
              <w:spacing w:after="0"/>
              <w:rPr>
                <w:sz w:val="20"/>
                <w:szCs w:val="20"/>
                <w:color w:val="auto"/>
              </w:rPr>
            </w:pPr>
            <w:r>
              <w:rPr>
                <w:rFonts w:ascii="Arial" w:cs="Arial" w:eastAsia="Arial" w:hAnsi="Arial"/>
                <w:sz w:val="18"/>
                <w:szCs w:val="18"/>
                <w:color w:val="auto"/>
              </w:rPr>
              <w:t>Proposed Nasdaq symbol</w:t>
            </w:r>
          </w:p>
        </w:tc>
        <w:tc>
          <w:tcPr>
            <w:tcW w:w="6040" w:type="dxa"/>
            <w:vAlign w:val="bottom"/>
          </w:tcPr>
          <w:p>
            <w:pPr>
              <w:ind w:left="180"/>
              <w:spacing w:after="0"/>
              <w:rPr>
                <w:sz w:val="20"/>
                <w:szCs w:val="20"/>
                <w:color w:val="auto"/>
              </w:rPr>
            </w:pPr>
            <w:r>
              <w:rPr>
                <w:rFonts w:ascii="Arial" w:cs="Arial" w:eastAsia="Arial" w:hAnsi="Arial"/>
                <w:sz w:val="18"/>
                <w:szCs w:val="18"/>
                <w:color w:val="auto"/>
              </w:rPr>
              <w:t>“DNAC”</w:t>
            </w:r>
          </w:p>
        </w:tc>
      </w:tr>
      <w:tr>
        <w:trPr>
          <w:trHeight w:val="446"/>
        </w:trPr>
        <w:tc>
          <w:tcPr>
            <w:tcW w:w="386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6040" w:type="dxa"/>
            <w:vAlign w:val="bottom"/>
          </w:tcPr>
          <w:p>
            <w:pPr>
              <w:spacing w:after="0"/>
              <w:rPr>
                <w:sz w:val="24"/>
                <w:szCs w:val="24"/>
                <w:color w:val="auto"/>
              </w:rPr>
            </w:pPr>
          </w:p>
        </w:tc>
      </w:tr>
      <w:tr>
        <w:trPr>
          <w:trHeight w:val="459"/>
        </w:trPr>
        <w:tc>
          <w:tcPr>
            <w:tcW w:w="3860" w:type="dxa"/>
            <w:vAlign w:val="bottom"/>
          </w:tcPr>
          <w:p>
            <w:pPr>
              <w:spacing w:after="0"/>
              <w:rPr>
                <w:sz w:val="20"/>
                <w:szCs w:val="20"/>
                <w:color w:val="auto"/>
              </w:rPr>
            </w:pPr>
            <w:r>
              <w:rPr>
                <w:rFonts w:ascii="Arial" w:cs="Arial" w:eastAsia="Arial" w:hAnsi="Arial"/>
                <w:sz w:val="18"/>
                <w:szCs w:val="18"/>
                <w:color w:val="auto"/>
                <w:w w:val="94"/>
              </w:rPr>
              <w:t>Number issued and outstanding before this offering</w:t>
            </w:r>
          </w:p>
        </w:tc>
        <w:tc>
          <w:tcPr>
            <w:tcW w:w="6040" w:type="dxa"/>
            <w:vAlign w:val="bottom"/>
          </w:tcPr>
          <w:p>
            <w:pPr>
              <w:ind w:left="180"/>
              <w:spacing w:after="0"/>
              <w:rPr>
                <w:sz w:val="20"/>
                <w:szCs w:val="20"/>
                <w:color w:val="auto"/>
              </w:rPr>
            </w:pPr>
            <w:r>
              <w:rPr>
                <w:rFonts w:ascii="Arial" w:cs="Arial" w:eastAsia="Arial" w:hAnsi="Arial"/>
                <w:sz w:val="18"/>
                <w:szCs w:val="18"/>
                <w:color w:val="auto"/>
              </w:rPr>
              <w:t>5,750,000</w:t>
            </w:r>
            <w:r>
              <w:rPr>
                <w:rFonts w:ascii="Arial" w:cs="Arial" w:eastAsia="Arial" w:hAnsi="Arial"/>
                <w:sz w:val="15"/>
                <w:szCs w:val="15"/>
                <w:color w:val="auto"/>
              </w:rPr>
              <w:t>(1)(2)</w:t>
            </w:r>
          </w:p>
        </w:tc>
      </w:tr>
      <w:tr>
        <w:trPr>
          <w:trHeight w:val="473"/>
        </w:trPr>
        <w:tc>
          <w:tcPr>
            <w:tcW w:w="3860" w:type="dxa"/>
            <w:vAlign w:val="bottom"/>
          </w:tcPr>
          <w:p>
            <w:pPr>
              <w:spacing w:after="0"/>
              <w:rPr>
                <w:sz w:val="20"/>
                <w:szCs w:val="20"/>
                <w:color w:val="auto"/>
              </w:rPr>
            </w:pPr>
            <w:r>
              <w:rPr>
                <w:rFonts w:ascii="Arial" w:cs="Arial" w:eastAsia="Arial" w:hAnsi="Arial"/>
                <w:sz w:val="18"/>
                <w:szCs w:val="18"/>
                <w:color w:val="auto"/>
                <w:w w:val="97"/>
              </w:rPr>
              <w:t>Number issued and outstanding after this offering</w:t>
            </w:r>
          </w:p>
        </w:tc>
        <w:tc>
          <w:tcPr>
            <w:tcW w:w="6040" w:type="dxa"/>
            <w:vAlign w:val="bottom"/>
          </w:tcPr>
          <w:p>
            <w:pPr>
              <w:ind w:left="180"/>
              <w:spacing w:after="0"/>
              <w:rPr>
                <w:sz w:val="20"/>
                <w:szCs w:val="20"/>
                <w:color w:val="auto"/>
              </w:rPr>
            </w:pPr>
            <w:r>
              <w:rPr>
                <w:rFonts w:ascii="Arial" w:cs="Arial" w:eastAsia="Arial" w:hAnsi="Arial"/>
                <w:sz w:val="18"/>
                <w:szCs w:val="18"/>
                <w:color w:val="auto"/>
              </w:rPr>
              <w:t>25,600,000</w:t>
            </w:r>
            <w:r>
              <w:rPr>
                <w:rFonts w:ascii="Arial" w:cs="Arial" w:eastAsia="Arial" w:hAnsi="Arial"/>
                <w:sz w:val="15"/>
                <w:szCs w:val="15"/>
                <w:color w:val="auto"/>
              </w:rPr>
              <w:t>(2)(3)(4)</w:t>
            </w:r>
          </w:p>
        </w:tc>
      </w:tr>
    </w:tbl>
    <w:p>
      <w:pPr>
        <w:spacing w:after="0" w:line="188" w:lineRule="exact"/>
        <w:rPr>
          <w:sz w:val="20"/>
          <w:szCs w:val="20"/>
          <w:color w:val="auto"/>
        </w:rPr>
      </w:pPr>
    </w:p>
    <w:p>
      <w:pPr>
        <w:ind w:left="720" w:right="320" w:hanging="422"/>
        <w:spacing w:after="0" w:line="25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solely of founder shares and includes up to 750,000 founder shares that are subject to forfeiture by our sponsor depending on the extent to which the underwriter’s over-allotment option is exercised.</w:t>
      </w:r>
    </w:p>
    <w:p>
      <w:pPr>
        <w:spacing w:after="0" w:line="1" w:lineRule="exact"/>
        <w:rPr>
          <w:rFonts w:ascii="Arial" w:cs="Arial" w:eastAsia="Arial" w:hAnsi="Arial"/>
          <w:sz w:val="18"/>
          <w:szCs w:val="18"/>
          <w:color w:val="auto"/>
        </w:rPr>
      </w:pPr>
    </w:p>
    <w:p>
      <w:pPr>
        <w:ind w:left="720" w:right="20" w:hanging="422"/>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Founder shares are currently classified as Class B ordinary shares, which shares will automatically convert into Class A ordinary shares at the time of our initial business combination, or earlier at the option of the holder, on a one-for-one basis, subject to adjustment as described below adjacent to the caption “Founder shares conversion and anti-dilution rights.”</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w:t>
      </w:r>
    </w:p>
    <w:p>
      <w:pPr>
        <w:spacing w:after="0" w:line="9" w:lineRule="exact"/>
        <w:rPr>
          <w:rFonts w:ascii="Arial" w:cs="Arial" w:eastAsia="Arial" w:hAnsi="Arial"/>
          <w:sz w:val="18"/>
          <w:szCs w:val="18"/>
          <w:color w:val="auto"/>
        </w:rPr>
      </w:pPr>
    </w:p>
    <w:p>
      <w:pPr>
        <w:ind w:left="720" w:right="20" w:hanging="422"/>
        <w:spacing w:after="0" w:line="26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20,000,000 public shares, 600,000 private placement shares and 5,000,000 founder shares (assuming the forfeiture by our sponsor of 750,000 founder shares).</w:t>
      </w:r>
    </w:p>
    <w:p>
      <w:pPr>
        <w:sectPr>
          <w:pgSz w:w="11900" w:h="16838" w:orient="portrait"/>
          <w:cols w:equalWidth="0" w:num="1">
            <w:col w:w="10940"/>
          </w:cols>
          <w:pgMar w:left="320" w:top="459" w:right="639" w:bottom="1440" w:gutter="0" w:footer="0" w:header="0"/>
        </w:sectPr>
      </w:pPr>
    </w:p>
    <w:p>
      <w:pPr>
        <w:spacing w:after="0" w:line="21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Founder shares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On March 2, 2021, our sponsor subscribed for an aggregate of 5,750,000 Class B ordinary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shares, par value $0.0001 per share, for an aggregate purchase price of $25,000, or</w:t>
      </w:r>
    </w:p>
    <w:p>
      <w:pPr>
        <w:spacing w:after="0" w:line="21"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approximately $0.004 per share. In</w:t>
      </w:r>
      <w:r>
        <w:rPr>
          <w:sz w:val="20"/>
          <w:szCs w:val="20"/>
          <w:color w:val="auto"/>
        </w:rPr>
        <w:tab/>
      </w:r>
      <w:r>
        <w:rPr>
          <w:rFonts w:ascii="Arial" w:cs="Arial" w:eastAsia="Arial" w:hAnsi="Arial"/>
          <w:sz w:val="16"/>
          <w:szCs w:val="16"/>
          <w:color w:val="auto"/>
        </w:rPr>
        <w:t>2021, our sponsor</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transferred</w:t>
      </w:r>
      <w:r>
        <w:rPr>
          <w:sz w:val="20"/>
          <w:szCs w:val="20"/>
          <w:color w:val="auto"/>
        </w:rPr>
        <w:tab/>
      </w:r>
      <w:r>
        <w:rPr>
          <w:rFonts w:ascii="Arial" w:cs="Arial" w:eastAsia="Arial" w:hAnsi="Arial"/>
          <w:sz w:val="16"/>
          <w:szCs w:val="16"/>
          <w:color w:val="auto"/>
        </w:rPr>
        <w:t>founder shares to Marc Semigran, our independent director nominee.</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61" w:lineRule="exact"/>
        <w:rPr>
          <w:sz w:val="20"/>
          <w:szCs w:val="20"/>
          <w:color w:val="auto"/>
        </w:rPr>
      </w:pPr>
    </w:p>
    <w:p>
      <w:pPr>
        <w:ind w:left="4340" w:right="80"/>
        <w:spacing w:after="0" w:line="269" w:lineRule="auto"/>
        <w:rPr>
          <w:sz w:val="20"/>
          <w:szCs w:val="20"/>
          <w:color w:val="auto"/>
        </w:rPr>
      </w:pPr>
      <w:r>
        <w:rPr>
          <w:rFonts w:ascii="Arial" w:cs="Arial" w:eastAsia="Arial" w:hAnsi="Arial"/>
          <w:sz w:val="17"/>
          <w:szCs w:val="17"/>
          <w:color w:val="auto"/>
        </w:rPr>
        <w:t>Prior to the initial investment in our company of $25,000 by our sponsor, the company had no assets, tangible or intangible. The purchase price of these founder shares was determined by dividing the amount of cash contributed to us by the number of founder shares issued. Our initial shareholders will collectively own approximately 21.9% of our issued and outstanding shares after this offering (including the private placement shares and assuming they do not purchase any public shares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9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9" w:lineRule="auto"/>
        <w:rPr>
          <w:sz w:val="20"/>
          <w:szCs w:val="20"/>
          <w:color w:val="auto"/>
        </w:rPr>
      </w:pPr>
      <w:r>
        <w:rPr>
          <w:rFonts w:ascii="Arial" w:cs="Arial" w:eastAsia="Arial" w:hAnsi="Arial"/>
          <w:sz w:val="18"/>
          <w:szCs w:val="18"/>
          <w:color w:val="auto"/>
        </w:rPr>
        <w:t>number of founder shares at 20% of our issued and outstanding ordinary shares (excluding the private placement shares) upon the consummation of this offering. Up to 750,000 founder shares are subject to forfeiture by our sponsor depending on the extent to which the underwriter’s over-allotment option is exercised.</w:t>
      </w:r>
    </w:p>
    <w:p>
      <w:pPr>
        <w:spacing w:after="0" w:line="227" w:lineRule="exact"/>
        <w:rPr>
          <w:sz w:val="20"/>
          <w:szCs w:val="20"/>
          <w:color w:val="auto"/>
        </w:rPr>
      </w:pPr>
    </w:p>
    <w:p>
      <w:pPr>
        <w:ind w:left="4340" w:right="160"/>
        <w:spacing w:after="0" w:line="277" w:lineRule="auto"/>
        <w:rPr>
          <w:sz w:val="20"/>
          <w:szCs w:val="20"/>
          <w:color w:val="auto"/>
        </w:rPr>
      </w:pPr>
      <w:r>
        <w:rPr>
          <w:rFonts w:ascii="Arial" w:cs="Arial" w:eastAsia="Arial" w:hAnsi="Arial"/>
          <w:sz w:val="18"/>
          <w:szCs w:val="18"/>
          <w:color w:val="auto"/>
        </w:rPr>
        <w:t>The founder shares are identical to the Class A ordinary shares being sold in this offering, except that:</w:t>
      </w:r>
    </w:p>
    <w:p>
      <w:pPr>
        <w:spacing w:after="0" w:line="76" w:lineRule="exact"/>
        <w:rPr>
          <w:sz w:val="20"/>
          <w:szCs w:val="20"/>
          <w:color w:val="auto"/>
        </w:rPr>
      </w:pPr>
    </w:p>
    <w:p>
      <w:pPr>
        <w:jc w:val="both"/>
        <w:ind w:left="4520" w:right="300" w:hanging="153"/>
        <w:spacing w:after="0" w:line="286" w:lineRule="auto"/>
        <w:tabs>
          <w:tab w:leader="none" w:pos="4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prior to our initial business combination, only holders of the founder shares have the right to vote on the appointment of directors and holders of a majority of our founder shares may remove a member of our board of directors for any reason;</w:t>
      </w:r>
    </w:p>
    <w:p>
      <w:pPr>
        <w:spacing w:after="0" w:line="70" w:lineRule="exact"/>
        <w:rPr>
          <w:rFonts w:ascii="Arial" w:cs="Arial" w:eastAsia="Arial" w:hAnsi="Arial"/>
          <w:sz w:val="17"/>
          <w:szCs w:val="17"/>
          <w:color w:val="auto"/>
        </w:rPr>
      </w:pPr>
    </w:p>
    <w:p>
      <w:pPr>
        <w:ind w:left="4520" w:right="140" w:hanging="153"/>
        <w:spacing w:after="0" w:line="263" w:lineRule="auto"/>
        <w:tabs>
          <w:tab w:leader="none" w:pos="4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contained in a letter agreement that our initial shareholders, directors and officers have entered into with us, as described in more detail below;</w:t>
      </w:r>
    </w:p>
    <w:p>
      <w:pPr>
        <w:spacing w:after="0" w:line="89" w:lineRule="exact"/>
        <w:rPr>
          <w:rFonts w:ascii="Arial" w:cs="Arial" w:eastAsia="Arial" w:hAnsi="Arial"/>
          <w:sz w:val="18"/>
          <w:szCs w:val="18"/>
          <w:color w:val="auto"/>
        </w:rPr>
      </w:pPr>
    </w:p>
    <w:p>
      <w:pPr>
        <w:ind w:left="4520" w:right="140" w:hanging="153"/>
        <w:spacing w:after="0" w:line="284" w:lineRule="auto"/>
        <w:tabs>
          <w:tab w:leader="none" w:pos="4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such letter agreement, our initial shareholders, directors and officers have agreed to waive: (1) their redemption rights with respect to any founder shares, private placement shares and public shares held by them, as applicable, in connection with the completion of our initial business combination; (2) their redemption rights with respect to any founder shares, private placement shares and public shares held by them in connection with a shareholder vote to amend our amended and restated memorandum and articles of association (A) to modify the substance or timing of our obligation to allow redemption in connection with our initial business combination or to redeem</w:t>
      </w:r>
    </w:p>
    <w:p>
      <w:pPr>
        <w:ind w:left="4520" w:right="20"/>
        <w:spacing w:after="0" w:line="284" w:lineRule="auto"/>
        <w:rPr>
          <w:rFonts w:ascii="Arial" w:cs="Arial" w:eastAsia="Arial" w:hAnsi="Arial"/>
          <w:sz w:val="16"/>
          <w:szCs w:val="16"/>
          <w:color w:val="auto"/>
        </w:rPr>
      </w:pPr>
      <w:r>
        <w:rPr>
          <w:rFonts w:ascii="Arial" w:cs="Arial" w:eastAsia="Arial" w:hAnsi="Arial"/>
          <w:sz w:val="16"/>
          <w:szCs w:val="16"/>
          <w:color w:val="auto"/>
        </w:rPr>
        <w:t>100% of our public shares if we do not complete our initial business combination within 24 months from the closing of this offering or (B) with respect to any other material provisions relating to shareholders’ rights or pre-initial business combination activity; and (3) their rights to liquidating distributions from the trust account with respect to any founder shares and private placement shares they hold if we fail to complete our initial business combination within 24 months from the closing of this offering or during any extended time that we have to consummate a business combination beyond 24 months as a result of a shareholder vote to amend our amended and restated memorandum and articles of association (an “Extension Period”) (although they will be entitled to liquidating distributions from the trust account with respect to any public shares they hold if we fail to complete our initial business combination within the prescribed time frame). If we submit our initial business combination to our public shareholders for a vote, our initial shareholders, directors and officers have agreed to vote any founder shares, private placement shares and public shares held by them in favor of our initial business combination. As a result, in addition to our initial shareholders’ founder shares and private placement shares, we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0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260"/>
        <w:spacing w:after="0" w:line="255" w:lineRule="auto"/>
        <w:rPr>
          <w:sz w:val="20"/>
          <w:szCs w:val="20"/>
          <w:color w:val="auto"/>
        </w:rPr>
      </w:pPr>
      <w:r>
        <w:rPr>
          <w:rFonts w:ascii="Arial" w:cs="Arial" w:eastAsia="Arial" w:hAnsi="Arial"/>
          <w:sz w:val="18"/>
          <w:szCs w:val="18"/>
          <w:color w:val="auto"/>
        </w:rPr>
        <w:t>would need 7,200,001, or 36.0% (assuming all issued and outstanding shares are voted and the over-allotment option is not exercised), or 800,001, or 4.0% (assuming only the minimum number of shares representing a quorum are voted and the over-allotment option is not exercised), of the 20,000,000 public shares sold in this offering to be voted in favor of an initial business combination in order to have such initial business combination approved;</w:t>
      </w:r>
    </w:p>
    <w:p>
      <w:pPr>
        <w:spacing w:after="0" w:line="9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w w:val="99"/>
              </w:rPr>
              <w:t>• the founder shares will automatically convert into our Class A ordinary shares at the</w:t>
            </w:r>
          </w:p>
        </w:tc>
      </w:tr>
      <w:tr>
        <w:trPr>
          <w:trHeight w:val="216"/>
        </w:trPr>
        <w:tc>
          <w:tcPr>
            <w:tcW w:w="400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time of our initial business combination, or earlier at the option of the holder, on a</w:t>
            </w:r>
          </w:p>
        </w:tc>
      </w:tr>
      <w:tr>
        <w:trPr>
          <w:trHeight w:val="216"/>
        </w:trPr>
        <w:tc>
          <w:tcPr>
            <w:tcW w:w="400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one-for-one basis, subject to adjustment pursuant to certain anti-dilution rights, as</w:t>
            </w:r>
          </w:p>
        </w:tc>
      </w:tr>
      <w:tr>
        <w:trPr>
          <w:trHeight w:val="216"/>
        </w:trPr>
        <w:tc>
          <w:tcPr>
            <w:tcW w:w="400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w w:val="95"/>
              </w:rPr>
              <w:t>described in more detail below adjacent to the caption “Founder shares conversion and</w:t>
            </w:r>
          </w:p>
        </w:tc>
      </w:tr>
      <w:tr>
        <w:trPr>
          <w:trHeight w:val="230"/>
        </w:trPr>
        <w:tc>
          <w:tcPr>
            <w:tcW w:w="4000" w:type="dxa"/>
            <w:vAlign w:val="bottom"/>
          </w:tcPr>
          <w:p>
            <w:pPr>
              <w:spacing w:after="0"/>
              <w:rPr>
                <w:sz w:val="20"/>
                <w:szCs w:val="20"/>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rPr>
              <w:t>anti-dilution rights;” and</w:t>
            </w:r>
          </w:p>
        </w:tc>
      </w:tr>
      <w:tr>
        <w:trPr>
          <w:trHeight w:val="338"/>
        </w:trPr>
        <w:tc>
          <w:tcPr>
            <w:tcW w:w="4000" w:type="dxa"/>
            <w:vAlign w:val="bottom"/>
          </w:tcPr>
          <w:p>
            <w:pPr>
              <w:spacing w:after="0"/>
              <w:rPr>
                <w:sz w:val="24"/>
                <w:szCs w:val="24"/>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 the founder shares are entitled to registration rights.</w:t>
            </w:r>
          </w:p>
        </w:tc>
      </w:tr>
      <w:tr>
        <w:trPr>
          <w:trHeight w:val="445"/>
        </w:trPr>
        <w:tc>
          <w:tcPr>
            <w:tcW w:w="4000" w:type="dxa"/>
            <w:vAlign w:val="bottom"/>
          </w:tcPr>
          <w:p>
            <w:pPr>
              <w:ind w:left="180"/>
              <w:spacing w:after="0"/>
              <w:rPr>
                <w:sz w:val="20"/>
                <w:szCs w:val="20"/>
                <w:color w:val="auto"/>
              </w:rPr>
            </w:pPr>
            <w:r>
              <w:rPr>
                <w:rFonts w:ascii="Arial" w:cs="Arial" w:eastAsia="Arial" w:hAnsi="Arial"/>
                <w:sz w:val="18"/>
                <w:szCs w:val="18"/>
                <w:color w:val="auto"/>
              </w:rPr>
              <w:t>Transfer restrictions on founder shares</w:t>
            </w: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Pursuant to a letter agreement with us, our initial shareholders have agreed not to transfer,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assign or sell any of their founder shares until the earlier to occur of: (A) one year after the</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completion of our initial business combination; and (B) subsequent to our initial business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9"/>
              </w:rPr>
              <w:t>combination (x) if the last reported sale price of our Class A ordinary shares equals or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exceeds $12.00 per share (as adjusted for share sub-divisions, share dividends, rights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issuances, consolidations, reorganizations, recapitalizations and other similar transactions)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for any 20 trading days within any 30-trading day period commencing at least 150 days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7"/>
              </w:rPr>
              <w:t>after our initial business combination or (y) the date on which we complete a liquidation,</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merger, share exchange, reorganization or other similar transaction that results in all of our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public shareholders having the right to exchange their ordinary shares for cash, securities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or other property (except with respect to permitted transferees as described herein under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“Principal Shareholders — Transfers of Founder Shares and Private Placement Shares”).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Any permitted transferees would be subject to the same restrictions and other agreements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of our initial shareholders with respect to any founder shares. Throughout this prospectus,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we refer to the transfer restrictions applicable to the founder shares and the private</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placement shares as the lock-up.</w:t>
            </w:r>
          </w:p>
        </w:tc>
      </w:tr>
      <w:tr>
        <w:trPr>
          <w:trHeight w:val="445"/>
        </w:trPr>
        <w:tc>
          <w:tcPr>
            <w:tcW w:w="4000" w:type="dxa"/>
            <w:vAlign w:val="bottom"/>
          </w:tcPr>
          <w:p>
            <w:pPr>
              <w:ind w:left="180"/>
              <w:spacing w:after="0"/>
              <w:rPr>
                <w:sz w:val="20"/>
                <w:szCs w:val="20"/>
                <w:color w:val="auto"/>
              </w:rPr>
            </w:pPr>
            <w:r>
              <w:rPr>
                <w:rFonts w:ascii="Arial" w:cs="Arial" w:eastAsia="Arial" w:hAnsi="Arial"/>
                <w:sz w:val="18"/>
                <w:szCs w:val="18"/>
                <w:color w:val="auto"/>
                <w:w w:val="95"/>
              </w:rPr>
              <w:t>Founder shares conversion and anti-dilution rights</w:t>
            </w:r>
          </w:p>
        </w:tc>
        <w:tc>
          <w:tcPr>
            <w:tcW w:w="7020" w:type="dxa"/>
            <w:vAlign w:val="bottom"/>
          </w:tcPr>
          <w:p>
            <w:pPr>
              <w:ind w:left="220"/>
              <w:spacing w:after="0"/>
              <w:rPr>
                <w:sz w:val="20"/>
                <w:szCs w:val="20"/>
                <w:color w:val="auto"/>
              </w:rPr>
            </w:pPr>
            <w:r>
              <w:rPr>
                <w:rFonts w:ascii="Arial" w:cs="Arial" w:eastAsia="Arial" w:hAnsi="Arial"/>
                <w:sz w:val="18"/>
                <w:szCs w:val="18"/>
                <w:color w:val="auto"/>
                <w:w w:val="99"/>
              </w:rPr>
              <w:t>We have 5,750,000 Class B ordinary shares, par value $0.0001 per share, issued and</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outstanding. The Class B ordinary shares will automatically convert into Class A ordinary</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shares at the time of our initial business combination, or earlier at the option of the holder,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on a one-for-one basis, subject to adjustment for share sub-divisions, share dividends,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rights issuances, consolidations, reorganizations, recapitalizations and the like, and subject</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to further adjustment as provided herein. In the event that additional (in excess of the</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amounts issued in this offering) Class A ordinary shares, or equity-linked</w:t>
            </w:r>
          </w:p>
        </w:tc>
      </w:tr>
      <w:tr>
        <w:trPr>
          <w:trHeight w:val="240"/>
        </w:trPr>
        <w:tc>
          <w:tcPr>
            <w:tcW w:w="400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spacing w:after="0"/>
              <w:rPr>
                <w:sz w:val="20"/>
                <w:szCs w:val="20"/>
                <w:color w:val="auto"/>
              </w:rPr>
            </w:pPr>
          </w:p>
        </w:tc>
      </w:tr>
      <w:tr>
        <w:trPr>
          <w:trHeight w:val="604"/>
        </w:trPr>
        <w:tc>
          <w:tcPr>
            <w:tcW w:w="4000" w:type="dxa"/>
            <w:vAlign w:val="bottom"/>
          </w:tcPr>
          <w:p>
            <w:pPr>
              <w:spacing w:after="0"/>
              <w:rPr>
                <w:sz w:val="24"/>
                <w:szCs w:val="24"/>
                <w:color w:val="auto"/>
              </w:rPr>
            </w:pPr>
          </w:p>
        </w:tc>
        <w:tc>
          <w:tcPr>
            <w:tcW w:w="7020" w:type="dxa"/>
            <w:vAlign w:val="bottom"/>
          </w:tcPr>
          <w:p>
            <w:pPr>
              <w:ind w:left="14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620" w:type="dxa"/>
            <w:vAlign w:val="bottom"/>
            <w:tcBorders>
              <w:top w:val="single" w:sz="8" w:color="auto"/>
              <w:left w:val="single" w:sz="8" w:color="auto"/>
            </w:tcBorders>
          </w:tcPr>
          <w:p>
            <w:pPr>
              <w:spacing w:after="0"/>
              <w:rPr>
                <w:sz w:val="24"/>
                <w:szCs w:val="24"/>
                <w:color w:val="auto"/>
              </w:rPr>
            </w:pPr>
          </w:p>
        </w:tc>
        <w:tc>
          <w:tcPr>
            <w:tcW w:w="740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color w:val="auto"/>
                <w:w w:val="93"/>
              </w:rPr>
              <w:t>securities, are issued or deemed issued in connection with our initial business combination,</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the ratio at which the Class B ordinary shares will convert into Class A ordinary shares will</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2"/>
              </w:rPr>
              <w:t>be adjusted (unless the holders of a majority of the issued and outstanding Class B ordinary</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shares agree to waive such anti-dilution adjustment with respect to any such issuance or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deemed issuance) so that the number of Class A ordinary shares issuable upon conversion</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9"/>
              </w:rPr>
              <w:t>of all Class B ordinary shares will equal, in the aggregate, 20% of the sum of the total</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number of Class A ordinary shares outstanding after such conversion (after giving effect to</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any redemptions of Class A ordinary shares by public shareholders, and excluding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2"/>
              </w:rPr>
              <w:t>private placement shares), including any Class A ordinary shares issued or deemed issued,</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or issuable upon the conversion or exercise of any equity-linked securities or rights issued</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or deemed issued, by the company in connection with our initial business combination,</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excluding any Class A ordinary shares or equity-linked securities exercisable for or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convertible into Class A ordinary shares issued, or to be issued, to any seller in the initial</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business combination and any private placement shares issued to our sponsor or its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affiliates upon conversion of working capital loans; provided that such conversion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Class B ordinary shares will never occur on a less than one-for-one basis. The term</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“equity-linked securities” refers to any debt or equity securities that are convertible,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exercisable or exchangeable for our Class A ordinary shares issued in a financing</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transaction in connection with our initial business combination, including but not limited to</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a private placement of equity or debt.</w:t>
            </w:r>
          </w:p>
        </w:tc>
      </w:tr>
      <w:tr>
        <w:trPr>
          <w:trHeight w:val="458"/>
        </w:trPr>
        <w:tc>
          <w:tcPr>
            <w:tcW w:w="36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Appointment of directors; Voting rights</w:t>
            </w: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6"/>
              </w:rPr>
              <w:t>Prior to our initial business combination, only holders of our founder shares will have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right to vote on the appointment of directors. Holders of our public shares and private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6"/>
              </w:rPr>
              <w:t>placement shares will not be entitled to vote on the appointment of directors during such</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time. In addition, prior to our initial business combination, holders of a majority of our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founder shares may remove a member of our board of directors for any reason. These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provisions of our amended and restated memorandum and articles of association may only</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be amended by a special resolution passed by the holders of at least 90% of our ordinary</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shares who attend and vote in a general meeting. With respect to any other matter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submitted to a vote of our shareholders, including any vote in connection with our initial</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business combination, except as required by law, holders of our founder shares, holders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our private placement shares and holders of our public shares will vote together as a single</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class, with each share entitling the holder to one vote.</w:t>
            </w:r>
          </w:p>
        </w:tc>
      </w:tr>
      <w:tr>
        <w:trPr>
          <w:trHeight w:val="445"/>
        </w:trPr>
        <w:tc>
          <w:tcPr>
            <w:tcW w:w="36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Private placement shares</w:t>
            </w: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2"/>
              </w:rPr>
              <w:t>Our sponsor has committed to purchase an aggregate of 600,000 private placement shares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2"/>
              </w:rPr>
              <w:t>at a price of $10.00 per share ($6,000,000 in the aggregate) in a private placement to occur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concurrently with the closing of this offering. The private placement shares are identical to</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the Class A ordinary shares sold in this offering, subject to certain</w:t>
            </w:r>
          </w:p>
        </w:tc>
      </w:tr>
      <w:tr>
        <w:trPr>
          <w:trHeight w:val="240"/>
        </w:trPr>
        <w:tc>
          <w:tcPr>
            <w:tcW w:w="3620" w:type="dxa"/>
            <w:vAlign w:val="bottom"/>
            <w:tcBorders>
              <w:left w:val="single" w:sz="8" w:color="auto"/>
              <w:bottom w:val="single" w:sz="8" w:color="auto"/>
            </w:tcBorders>
          </w:tcPr>
          <w:p>
            <w:pPr>
              <w:spacing w:after="0"/>
              <w:rPr>
                <w:sz w:val="20"/>
                <w:szCs w:val="20"/>
                <w:color w:val="auto"/>
              </w:rPr>
            </w:pPr>
          </w:p>
        </w:tc>
        <w:tc>
          <w:tcPr>
            <w:tcW w:w="7400" w:type="dxa"/>
            <w:vAlign w:val="bottom"/>
            <w:tcBorders>
              <w:bottom w:val="single" w:sz="8" w:color="auto"/>
              <w:right w:val="single" w:sz="8" w:color="auto"/>
            </w:tcBorders>
          </w:tcPr>
          <w:p>
            <w:pPr>
              <w:spacing w:after="0"/>
              <w:rPr>
                <w:sz w:val="20"/>
                <w:szCs w:val="20"/>
                <w:color w:val="auto"/>
              </w:rPr>
            </w:pPr>
          </w:p>
        </w:tc>
      </w:tr>
      <w:tr>
        <w:trPr>
          <w:trHeight w:val="604"/>
        </w:trPr>
        <w:tc>
          <w:tcPr>
            <w:tcW w:w="3620" w:type="dxa"/>
            <w:vAlign w:val="bottom"/>
          </w:tcPr>
          <w:p>
            <w:pPr>
              <w:spacing w:after="0"/>
              <w:rPr>
                <w:sz w:val="24"/>
                <w:szCs w:val="24"/>
                <w:color w:val="auto"/>
              </w:rPr>
            </w:pPr>
          </w:p>
        </w:tc>
        <w:tc>
          <w:tcPr>
            <w:tcW w:w="7400" w:type="dxa"/>
            <w:vAlign w:val="bottom"/>
          </w:tcPr>
          <w:p>
            <w:pPr>
              <w:ind w:left="18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limited exceptions as described in this prospectus. If we do not complete our initial</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business combination within 24 months from the closing of this offering or during any</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Extension Period, the proceeds from the sale of the private placement shares held in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trust account will be used to fund the redemption of our public shares (subject to the</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requirements of applicable law) and the private placement shares will be worthless.</w:t>
            </w:r>
          </w:p>
        </w:tc>
      </w:tr>
      <w:tr>
        <w:trPr>
          <w:trHeight w:val="45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Transfer restrictions on private placement shares</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The private placement shares will not be transferable, assignable or salable until 30 days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after the completion of our initial business combination, except as described herein under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“Principal Shareholders — Transfers of Founder Shares and Private Placement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Shares.”  Throughout this prospectus, we refer to the transfer restrictions applicable to the</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founder shares and the private placement shares as the lock-up.</w:t>
            </w:r>
          </w:p>
        </w:tc>
      </w:tr>
      <w:tr>
        <w:trPr>
          <w:trHeight w:val="445"/>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Proceeds to be held in trust account</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The Nasdaq listing rules provide that at least 90% of the gross proceeds from this offering</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and the sale of the private placement shares be deposited in a trust account. Of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9"/>
              </w:rPr>
              <w:t>$206,000,000 in proceeds we will receive from this offering and the sale of the private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placement shares described in this prospectus, or $236,000,000 if the underwriter’s over-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8"/>
              </w:rPr>
              <w:t>allotment option is exercised in full, $200,000,000 ($10.00 per share), or $230,000,000</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($10.00 per share) if the underwriter’s over-allotment option is exercised in full (including</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8"/>
              </w:rPr>
              <w:t>$7,000,000 in deferred underwriting commissions), will be deposited into a U.S.-based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trust account at J.P. Morgan Chase Bank, N.A., with Continental Stock Transfer &amp; Trust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Company acting as trustee, and $2.0 million will be used to pay expenses in connection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8"/>
              </w:rPr>
              <w:t>with the closing of this offering and for working capital following this offering. The funds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in the trust account will be invested only in U.S. government treasury bills with a maturity</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of 185 days or less or in money market funds investing solely in U.S. Treasuries.</w:t>
            </w:r>
          </w:p>
        </w:tc>
      </w:tr>
      <w:tr>
        <w:trPr>
          <w:trHeight w:val="445"/>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Except with respect to interest earned on the funds held in the trust account that may be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released to us to pay our taxes, if any, the funds held in the trust account will not be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released from the trust account until the earliest to occur of: (1) our completion of an initial</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business combination; (2) the redemption of any public shares properly submitted in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3"/>
              </w:rPr>
              <w:t>connection with a shareholder vote to amend our amended and restated memorandum and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articles of association (A) to modify the substance or timing of our obligation to allow</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redemption in connection with our initial business combination or to redeem 100% of our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9"/>
              </w:rPr>
              <w:t>public shares if we do not complete our initial business combination within 24 months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from the closing of this offering or (B) with respect to any other material provisions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relating to shareholders’ rights or pre-initial business combination activity; and (3)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redemption of our public shares if we have not completed an initial business combination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within 24 months from the closing of this offering, subject to applicable law. The proceeds</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deposited in the trust</w:t>
            </w:r>
          </w:p>
        </w:tc>
      </w:tr>
      <w:tr>
        <w:trPr>
          <w:trHeight w:val="240"/>
        </w:trPr>
        <w:tc>
          <w:tcPr>
            <w:tcW w:w="3940" w:type="dxa"/>
            <w:vAlign w:val="bottom"/>
            <w:tcBorders>
              <w:left w:val="single" w:sz="8" w:color="auto"/>
              <w:bottom w:val="single" w:sz="8" w:color="auto"/>
            </w:tcBorders>
          </w:tcPr>
          <w:p>
            <w:pPr>
              <w:spacing w:after="0"/>
              <w:rPr>
                <w:sz w:val="20"/>
                <w:szCs w:val="20"/>
                <w:color w:val="auto"/>
              </w:rPr>
            </w:pPr>
          </w:p>
        </w:tc>
        <w:tc>
          <w:tcPr>
            <w:tcW w:w="7080" w:type="dxa"/>
            <w:vAlign w:val="bottom"/>
            <w:tcBorders>
              <w:bottom w:val="single" w:sz="8" w:color="auto"/>
              <w:right w:val="single" w:sz="8" w:color="auto"/>
            </w:tcBorders>
          </w:tcPr>
          <w:p>
            <w:pPr>
              <w:spacing w:after="0"/>
              <w:rPr>
                <w:sz w:val="20"/>
                <w:szCs w:val="20"/>
                <w:color w:val="auto"/>
              </w:rPr>
            </w:pPr>
          </w:p>
        </w:tc>
      </w:tr>
      <w:tr>
        <w:trPr>
          <w:trHeight w:val="604"/>
        </w:trPr>
        <w:tc>
          <w:tcPr>
            <w:tcW w:w="3940" w:type="dxa"/>
            <w:vAlign w:val="bottom"/>
          </w:tcPr>
          <w:p>
            <w:pPr>
              <w:spacing w:after="0"/>
              <w:rPr>
                <w:sz w:val="24"/>
                <w:szCs w:val="24"/>
                <w:color w:val="auto"/>
              </w:rPr>
            </w:pPr>
          </w:p>
        </w:tc>
        <w:tc>
          <w:tcPr>
            <w:tcW w:w="7080" w:type="dxa"/>
            <w:vAlign w:val="bottom"/>
          </w:tcPr>
          <w:p>
            <w:pPr>
              <w:ind w:left="14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13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7130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80"/>
        <w:spacing w:after="0" w:line="277" w:lineRule="auto"/>
        <w:rPr>
          <w:sz w:val="20"/>
          <w:szCs w:val="20"/>
          <w:color w:val="auto"/>
        </w:rPr>
      </w:pPr>
      <w:r>
        <w:rPr>
          <w:rFonts w:ascii="Arial" w:cs="Arial" w:eastAsia="Arial" w:hAnsi="Arial"/>
          <w:sz w:val="18"/>
          <w:szCs w:val="18"/>
          <w:color w:val="auto"/>
        </w:rPr>
        <w:t>account could become subject to the claims of our creditors, if any, which could have priority over the claims of our public shareholders.</w:t>
      </w:r>
    </w:p>
    <w:p>
      <w:pPr>
        <w:sectPr>
          <w:pgSz w:w="11900" w:h="16838" w:orient="portrait"/>
          <w:cols w:equalWidth="0" w:num="1">
            <w:col w:w="10940"/>
          </w:cols>
          <w:pgMar w:left="320" w:top="459" w:right="639" w:bottom="1440" w:gutter="0" w:footer="0" w:header="0"/>
        </w:sectPr>
      </w:pPr>
    </w:p>
    <w:p>
      <w:pPr>
        <w:spacing w:after="0" w:line="2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Anticipated expenses and funding sources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and until we complete our initial business combination, no proceeds held in the trust account will be available for our use, except the withdrawal of interest to pay taxes or to redeem our public shares in connection with an amendment to our amended and restated memorandum and articles of association, as described above. Based upon current interest rates, we expect the trust account to generate approximately $200,000 of interest annually (assuming an interest rate of 0.10% per year and that the underwriter’s over-allotment option is not exercised). Unless and until we complete our initial business combination, we may pay our expenses only from:</w:t>
      </w:r>
    </w:p>
    <w:p>
      <w:pPr>
        <w:spacing w:after="0" w:line="84"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jc w:val="both"/>
        <w:ind w:left="4520" w:right="140" w:hanging="156"/>
        <w:spacing w:after="0" w:line="311" w:lineRule="auto"/>
        <w:rPr>
          <w:sz w:val="20"/>
          <w:szCs w:val="20"/>
          <w:color w:val="auto"/>
        </w:rPr>
      </w:pPr>
      <w:r>
        <w:rPr>
          <w:rFonts w:ascii="Arial" w:cs="Arial" w:eastAsia="Arial" w:hAnsi="Arial"/>
          <w:sz w:val="16"/>
          <w:szCs w:val="16"/>
          <w:color w:val="auto"/>
        </w:rPr>
        <w:t>• the net proceeds of this offering and the sale of the private placement shares not held in the trust account, which will be approximately $1,000,000 in working capital after the payment of approximately $1,000,000 in expenses relating to this offering; and</w:t>
      </w:r>
    </w:p>
    <w:p>
      <w:pPr>
        <w:spacing w:after="0" w:line="54" w:lineRule="exact"/>
        <w:rPr>
          <w:sz w:val="20"/>
          <w:szCs w:val="20"/>
          <w:color w:val="auto"/>
        </w:rPr>
      </w:pPr>
    </w:p>
    <w:p>
      <w:pPr>
        <w:ind w:left="4520" w:right="20" w:hanging="156"/>
        <w:spacing w:after="0" w:line="296" w:lineRule="auto"/>
        <w:rPr>
          <w:sz w:val="20"/>
          <w:szCs w:val="20"/>
          <w:color w:val="auto"/>
        </w:rPr>
      </w:pPr>
      <w:r>
        <w:rPr>
          <w:rFonts w:ascii="Arial" w:cs="Arial" w:eastAsia="Arial" w:hAnsi="Arial"/>
          <w:sz w:val="16"/>
          <w:szCs w:val="16"/>
          <w:color w:val="auto"/>
        </w:rPr>
        <w:t>• any loans or additional investments from our sponsor, members of our management team or any of their respective affiliates or other third parties, although they are under no obligation to loan funds to, or otherwise invest in, us; provided that any such loans will not have any claim on the proceeds held in the trust account unless such proceeds are released to us upon completion of our initial business combination.</w:t>
      </w:r>
    </w:p>
    <w:p>
      <w:pPr>
        <w:sectPr>
          <w:pgSz w:w="11900" w:h="16838" w:orient="portrait"/>
          <w:cols w:equalWidth="0" w:num="1">
            <w:col w:w="10940"/>
          </w:cols>
          <w:pgMar w:left="320" w:top="459" w:right="639" w:bottom="1440" w:gutter="0" w:footer="0" w:header="0"/>
          <w:type w:val="continuous"/>
        </w:sectPr>
      </w:pPr>
    </w:p>
    <w:p>
      <w:pPr>
        <w:spacing w:after="0" w:line="188" w:lineRule="exact"/>
        <w:rPr>
          <w:sz w:val="20"/>
          <w:szCs w:val="20"/>
          <w:color w:val="auto"/>
        </w:rPr>
      </w:pPr>
    </w:p>
    <w:p>
      <w:pPr>
        <w:ind w:left="380" w:right="80" w:hanging="78"/>
        <w:spacing w:after="0" w:line="277"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There is no limitation on our ability to raise funds privately or through loans in connection with our initial business combination. The Nasdaq listing rules require that we complete one or more business combinations that together have a fair market value equal to at least 80% of the value of the trust account (excluding any deferred underwriter fees and taxes payable on the income earned on the trust account) at the time of our signing a definitive</w:t>
      </w:r>
    </w:p>
    <w:p>
      <w:pPr>
        <w:spacing w:after="0" w:line="2"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4340" w:right="20"/>
        <w:spacing w:after="0" w:line="271" w:lineRule="auto"/>
        <w:rPr>
          <w:sz w:val="20"/>
          <w:szCs w:val="20"/>
          <w:color w:val="auto"/>
        </w:rPr>
      </w:pPr>
      <w:r>
        <w:rPr>
          <w:rFonts w:ascii="Arial" w:cs="Arial" w:eastAsia="Arial" w:hAnsi="Arial"/>
          <w:sz w:val="17"/>
          <w:szCs w:val="17"/>
          <w:color w:val="auto"/>
        </w:rPr>
        <w:t>agreement in connection with our initial business combination. We do not currently intend to purchase multiple businesses in unrelated industries in conjunction with our initial business combination, although there is no assurance that will be the case. Notwithstanding the foregoing, if we are not then listed on Nasdaq for whatever reason, we would no longer be required to meet the foregoing 80% of net assets test.</w:t>
      </w:r>
    </w:p>
    <w:p>
      <w:pPr>
        <w:spacing w:after="0" w:line="205" w:lineRule="exact"/>
        <w:rPr>
          <w:sz w:val="20"/>
          <w:szCs w:val="20"/>
          <w:color w:val="auto"/>
        </w:rPr>
      </w:pPr>
    </w:p>
    <w:p>
      <w:pPr>
        <w:ind w:left="4340" w:right="60"/>
        <w:spacing w:after="0" w:line="291" w:lineRule="auto"/>
        <w:rPr>
          <w:sz w:val="20"/>
          <w:szCs w:val="20"/>
          <w:color w:val="auto"/>
        </w:rPr>
      </w:pPr>
      <w:r>
        <w:rPr>
          <w:rFonts w:ascii="Arial" w:cs="Arial" w:eastAsia="Arial" w:hAnsi="Arial"/>
          <w:sz w:val="16"/>
          <w:szCs w:val="16"/>
          <w:color w:val="auto"/>
        </w:rPr>
        <w:t>If our board of directors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will complete our initial business combination only if the post-transaction company in which our public shareholders own shares will own or acquire 50% or more of the issued and outstanding voting securities of the target or otherwise acquires a controlling interest in the target business</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24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80"/>
        <w:spacing w:after="0" w:line="269" w:lineRule="auto"/>
        <w:rPr>
          <w:sz w:val="20"/>
          <w:szCs w:val="20"/>
          <w:color w:val="auto"/>
        </w:rPr>
      </w:pPr>
      <w:r>
        <w:rPr>
          <w:rFonts w:ascii="Arial" w:cs="Arial" w:eastAsia="Arial" w:hAnsi="Arial"/>
          <w:sz w:val="17"/>
          <w:szCs w:val="17"/>
          <w:color w:val="auto"/>
        </w:rPr>
        <w:t>sufficient for it not to be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of net assets test; provided that in the event that our initial business combination involves more than one target business, the 80% of net assets test will be based on the aggregate value of all of the target businesses.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Permitted purchases and other transactions with respect If we seek shareholder approval of our initial business combination and we do not conduct</w:t>
      </w:r>
    </w:p>
    <w:p>
      <w:pPr>
        <w:spacing w:after="0" w:line="46" w:lineRule="exact"/>
        <w:rPr>
          <w:sz w:val="20"/>
          <w:szCs w:val="20"/>
          <w:color w:val="auto"/>
        </w:rPr>
      </w:pPr>
    </w:p>
    <w:p>
      <w:pPr>
        <w:ind w:left="4340" w:hanging="3955"/>
        <w:spacing w:after="0" w:line="266" w:lineRule="auto"/>
        <w:tabs>
          <w:tab w:leader="none" w:pos="4320" w:val="left"/>
        </w:tabs>
        <w:rPr>
          <w:sz w:val="20"/>
          <w:szCs w:val="20"/>
          <w:color w:val="auto"/>
        </w:rPr>
      </w:pPr>
      <w:r>
        <w:rPr>
          <w:rFonts w:ascii="Arial" w:cs="Arial" w:eastAsia="Arial" w:hAnsi="Arial"/>
          <w:sz w:val="18"/>
          <w:szCs w:val="18"/>
          <w:color w:val="auto"/>
        </w:rPr>
        <w:t>to our securities</w:t>
      </w:r>
      <w:r>
        <w:rPr>
          <w:sz w:val="20"/>
          <w:szCs w:val="20"/>
          <w:color w:val="auto"/>
        </w:rPr>
        <w:tab/>
      </w:r>
      <w:r>
        <w:rPr>
          <w:rFonts w:ascii="Arial" w:cs="Arial" w:eastAsia="Arial" w:hAnsi="Arial"/>
          <w:sz w:val="17"/>
          <w:szCs w:val="17"/>
          <w:color w:val="auto"/>
        </w:rPr>
        <w:t>redemptions in connection with our initial business combination pursuant to the tender offer rules, our sponsor, directors, officers, advisors or any of their respective affiliates may purchase public shares in privately negotiated transactions or in the open market either prior to or following the completion of our initial business combination. Any such price per share may be different than the amount per share a public shareholder would receive if it elected to redeem its shares in connection with our initial business combination. Additionally, at any time at or prior to our initial business combination, subject to applicable securities laws (including with respect to material nonpublic information), our sponsor, directors, officers, advisors or any of their respective affiliates may enter into transactions with investors and others to provide them with incentives to acquire public shares, vote their public shares in favor of our initial business combination or not redeem their public shares. However, our sponsor, directors, officers, advisors or any of their respective affiliates are under no obligation or duty to do so and they have no current commitments, plans or intentions to engage in any such transactions and have not formulated any terms or conditions for any such transactions. None of the funds held in the trust account will be used to purchase public shares in such transactions. Such persons will be subject to restrictions in making any such purchases when they are in possession of material nonpublic information or if such purchases are prohibited by Regulation M under the Exchange Act. See “Proposed Business — Permitted purchases and other transactions with respect to our securities” for a description of how our sponsor, directors, officers, advisors or any of their respective affiliates will select which shareholders to enter into private transactions with. We do not currently anticipate that such purchases, if any, would constitute a tender offer subject to the tender offer rules under the Exchange Act or a going-private transaction subject to the going-private rules under the Exchange Act; however, if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920" w:type="dxa"/>
            <w:vAlign w:val="bottom"/>
            <w:tcBorders>
              <w:top w:val="single" w:sz="8" w:color="auto"/>
              <w:left w:val="single" w:sz="8" w:color="auto"/>
            </w:tcBorders>
          </w:tcPr>
          <w:p>
            <w:pPr>
              <w:spacing w:after="0"/>
              <w:rPr>
                <w:sz w:val="24"/>
                <w:szCs w:val="24"/>
                <w:color w:val="auto"/>
              </w:rPr>
            </w:pPr>
          </w:p>
        </w:tc>
        <w:tc>
          <w:tcPr>
            <w:tcW w:w="71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w w:val="94"/>
              </w:rPr>
              <w:t>purchasers determine at the time of any such purchases that the purchases are subject to</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such rules, the purchasers will comply with such rules. Our sponsor, directors, officers,</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advisors or any of their respective affiliates will be restricted from making any purchases if</w:t>
            </w:r>
          </w:p>
        </w:tc>
      </w:tr>
      <w:tr>
        <w:trPr>
          <w:trHeight w:val="230"/>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such purchases would violate Section 9(a)(2) or Rule 10b-5 of the Exchange Act.</w:t>
            </w:r>
          </w:p>
        </w:tc>
      </w:tr>
      <w:tr>
        <w:trPr>
          <w:trHeight w:val="458"/>
        </w:trPr>
        <w:tc>
          <w:tcPr>
            <w:tcW w:w="3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8"/>
              </w:rPr>
              <w:t>Redemption rights for public shareholders upon</w:t>
            </w: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We will provide our public shareholders with the opportunity to redeem all or a portion of</w:t>
            </w:r>
          </w:p>
        </w:tc>
      </w:tr>
      <w:tr>
        <w:trPr>
          <w:trHeight w:val="216"/>
        </w:trPr>
        <w:tc>
          <w:tcPr>
            <w:tcW w:w="39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completion of our initial business combination</w:t>
            </w: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their public shares upon the completion of our initial business combination at a per-share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price, payable in cash, equal to the aggregate amount then on deposit in the trust account</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calculated as of two business days prior to the consummation of our initial business</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combination, including interest (which interest shall be net of taxes payable), divided by</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the number of then issued and outstanding public shares, subject to the limitations</w:t>
            </w:r>
          </w:p>
        </w:tc>
      </w:tr>
      <w:tr>
        <w:trPr>
          <w:trHeight w:val="230"/>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described herein.</w:t>
            </w:r>
          </w:p>
        </w:tc>
      </w:tr>
      <w:tr>
        <w:trPr>
          <w:trHeight w:val="445"/>
        </w:trPr>
        <w:tc>
          <w:tcPr>
            <w:tcW w:w="392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The amount in the trust account is initially anticipated to be $10.00 per public share.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per-share amount we will distribute to investors who properly redeem their shares will not</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be reduced by the deferred underwriting commissions we will pay to the underwriter.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redemption rights will include the requirement that a beneficial holder must identify itself</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in order to validly redeem its shares. Our initial shareholders, directors and officers have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entered into a letter agreement with us, pursuant to which they have agreed to waive their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redemption rights with respect to any founder shares, private placement shares and public</w:t>
            </w:r>
          </w:p>
        </w:tc>
      </w:tr>
      <w:tr>
        <w:trPr>
          <w:trHeight w:val="230"/>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shares held by them in connection with the completion of our initial business combination.</w:t>
            </w:r>
          </w:p>
        </w:tc>
      </w:tr>
      <w:tr>
        <w:trPr>
          <w:trHeight w:val="445"/>
        </w:trPr>
        <w:tc>
          <w:tcPr>
            <w:tcW w:w="3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Manner of conducting redemptions</w:t>
            </w: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We will provide our public shareholders with the opportunity to redeem all or a portion of</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their public shares upon the completion of our initial business combination either (1) in</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connection with a general meeting called to approve the business combination or (2) by</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means of a tender offer. The decision as to whether we will seek shareholder approval of a</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proposed business combination or conduct a tender offer will be made by us, solely in our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discretion, and will be based on a variety of factors such as the timing of the transaction</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and whether the terms of the transaction would require us to seek shareholder approval</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under applicable law or stock exchange listing requirement. Asset acquisitions and share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purchases would not typically require shareholder approval while direct mergers with our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company where we do not survive and any transactions where we issue more than 20% of</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our issued and outstanding ordinary shares or seek to amend our amended and restated</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memorandum and articles of association would typically require shareholder approval. We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intend to conduct redemptions without a shareholder vote pursuant to the tender offer rules</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of the SEC unless shareholder approval is required by applicable law or stock exchange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listing requirement or we choose to seek shareholder approval for business or other</w:t>
            </w:r>
          </w:p>
        </w:tc>
      </w:tr>
      <w:tr>
        <w:trPr>
          <w:trHeight w:val="230"/>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reasons.</w:t>
            </w:r>
          </w:p>
        </w:tc>
      </w:tr>
      <w:tr>
        <w:trPr>
          <w:trHeight w:val="240"/>
        </w:trPr>
        <w:tc>
          <w:tcPr>
            <w:tcW w:w="3920" w:type="dxa"/>
            <w:vAlign w:val="bottom"/>
            <w:tcBorders>
              <w:left w:val="single" w:sz="8" w:color="auto"/>
              <w:bottom w:val="single" w:sz="8" w:color="auto"/>
            </w:tcBorders>
          </w:tcPr>
          <w:p>
            <w:pPr>
              <w:spacing w:after="0"/>
              <w:rPr>
                <w:sz w:val="20"/>
                <w:szCs w:val="20"/>
                <w:color w:val="auto"/>
              </w:rPr>
            </w:pPr>
          </w:p>
        </w:tc>
        <w:tc>
          <w:tcPr>
            <w:tcW w:w="7100" w:type="dxa"/>
            <w:vAlign w:val="bottom"/>
            <w:tcBorders>
              <w:bottom w:val="single" w:sz="8" w:color="auto"/>
              <w:right w:val="single" w:sz="8" w:color="auto"/>
            </w:tcBorders>
          </w:tcPr>
          <w:p>
            <w:pPr>
              <w:spacing w:after="0"/>
              <w:rPr>
                <w:sz w:val="20"/>
                <w:szCs w:val="20"/>
                <w:color w:val="auto"/>
              </w:rPr>
            </w:pPr>
          </w:p>
        </w:tc>
      </w:tr>
      <w:tr>
        <w:trPr>
          <w:trHeight w:val="604"/>
        </w:trPr>
        <w:tc>
          <w:tcPr>
            <w:tcW w:w="3920" w:type="dxa"/>
            <w:vAlign w:val="bottom"/>
          </w:tcPr>
          <w:p>
            <w:pPr>
              <w:spacing w:after="0"/>
              <w:rPr>
                <w:sz w:val="24"/>
                <w:szCs w:val="24"/>
                <w:color w:val="auto"/>
              </w:rPr>
            </w:pPr>
          </w:p>
        </w:tc>
        <w:tc>
          <w:tcPr>
            <w:tcW w:w="7100" w:type="dxa"/>
            <w:vAlign w:val="bottom"/>
          </w:tcPr>
          <w:p>
            <w:pPr>
              <w:ind w:left="150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63" w:lineRule="auto"/>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 pursuant to our amended and restated memorandum and articles of association:</w:t>
      </w:r>
    </w:p>
    <w:p>
      <w:pPr>
        <w:spacing w:after="0" w:line="89" w:lineRule="exact"/>
        <w:rPr>
          <w:sz w:val="20"/>
          <w:szCs w:val="20"/>
          <w:color w:val="auto"/>
        </w:rPr>
      </w:pPr>
    </w:p>
    <w:p>
      <w:pPr>
        <w:ind w:left="4520" w:right="240" w:hanging="153"/>
        <w:spacing w:after="0" w:line="277" w:lineRule="auto"/>
        <w:tabs>
          <w:tab w:leader="none" w:pos="4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75" w:lineRule="exact"/>
        <w:rPr>
          <w:rFonts w:ascii="Arial" w:cs="Arial" w:eastAsia="Arial" w:hAnsi="Arial"/>
          <w:sz w:val="18"/>
          <w:szCs w:val="18"/>
          <w:color w:val="auto"/>
        </w:rPr>
      </w:pPr>
    </w:p>
    <w:p>
      <w:pPr>
        <w:ind w:left="4520" w:right="60" w:hanging="153"/>
        <w:spacing w:after="0" w:line="301" w:lineRule="auto"/>
        <w:tabs>
          <w:tab w:leader="none" w:pos="4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left="4340" w:right="80"/>
        <w:spacing w:after="0" w:line="301" w:lineRule="auto"/>
        <w:rPr>
          <w:sz w:val="20"/>
          <w:szCs w:val="20"/>
          <w:color w:val="auto"/>
        </w:rPr>
      </w:pPr>
      <w:r>
        <w:rPr>
          <w:rFonts w:ascii="Arial" w:cs="Arial" w:eastAsia="Arial" w:hAnsi="Arial"/>
          <w:sz w:val="16"/>
          <w:szCs w:val="16"/>
          <w:color w:val="auto"/>
        </w:rPr>
        <w:t>Upon the public announcement of our initial business combination, if we elect to conduct redemptions pursuant to the tender offer rules, we and our sponsor will terminate any plan established in accordance with Rule 10b5-1 to purchase our ordinary shares in the open market, in order to comply with Rule 14e-5 under the Exchange Act.</w:t>
      </w:r>
    </w:p>
    <w:p>
      <w:pPr>
        <w:spacing w:after="0" w:line="184" w:lineRule="exact"/>
        <w:rPr>
          <w:sz w:val="20"/>
          <w:szCs w:val="20"/>
          <w:color w:val="auto"/>
        </w:rPr>
      </w:pPr>
    </w:p>
    <w:p>
      <w:pPr>
        <w:ind w:left="4340" w:right="40"/>
        <w:spacing w:after="0" w:line="287"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to be less than $5,000,001 following such redemptions,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199" w:lineRule="exact"/>
        <w:rPr>
          <w:sz w:val="20"/>
          <w:szCs w:val="20"/>
          <w:color w:val="auto"/>
        </w:rPr>
      </w:pPr>
    </w:p>
    <w:p>
      <w:pPr>
        <w:jc w:val="both"/>
        <w:ind w:left="4340" w:right="100"/>
        <w:spacing w:after="0" w:line="263" w:lineRule="auto"/>
        <w:rPr>
          <w:sz w:val="20"/>
          <w:szCs w:val="20"/>
          <w:color w:val="auto"/>
        </w:rPr>
      </w:pPr>
      <w:r>
        <w:rPr>
          <w:rFonts w:ascii="Arial" w:cs="Arial" w:eastAsia="Arial" w:hAnsi="Arial"/>
          <w:sz w:val="18"/>
          <w:szCs w:val="18"/>
          <w:color w:val="auto"/>
        </w:rPr>
        <w:t>If, however, shareholder approval of the transaction is required by applicable law or stock exchange listing requirement, or we decide to obtain shareholder approval for business or other reasons, we will:</w:t>
      </w:r>
    </w:p>
    <w:p>
      <w:pPr>
        <w:spacing w:after="0" w:line="89" w:lineRule="exact"/>
        <w:rPr>
          <w:sz w:val="20"/>
          <w:szCs w:val="20"/>
          <w:color w:val="auto"/>
        </w:rPr>
      </w:pPr>
    </w:p>
    <w:p>
      <w:pPr>
        <w:ind w:left="4520" w:hanging="153"/>
        <w:spacing w:after="0" w:line="263" w:lineRule="auto"/>
        <w:tabs>
          <w:tab w:leader="none" w:pos="4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89" w:lineRule="exact"/>
        <w:rPr>
          <w:rFonts w:ascii="Arial" w:cs="Arial" w:eastAsia="Arial" w:hAnsi="Arial"/>
          <w:sz w:val="18"/>
          <w:szCs w:val="18"/>
          <w:color w:val="auto"/>
        </w:rPr>
      </w:pPr>
    </w:p>
    <w:p>
      <w:pPr>
        <w:ind w:left="4520" w:hanging="153"/>
        <w:spacing w:after="0"/>
        <w:tabs>
          <w:tab w:leader="none" w:pos="4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52" w:lineRule="exact"/>
        <w:rPr>
          <w:sz w:val="20"/>
          <w:szCs w:val="20"/>
          <w:color w:val="auto"/>
        </w:rPr>
      </w:pPr>
    </w:p>
    <w:p>
      <w:pPr>
        <w:jc w:val="both"/>
        <w:ind w:left="4340" w:right="340"/>
        <w:spacing w:after="0" w:line="301" w:lineRule="auto"/>
        <w:rPr>
          <w:sz w:val="20"/>
          <w:szCs w:val="20"/>
          <w:color w:val="auto"/>
        </w:rPr>
      </w:pPr>
      <w:r>
        <w:rPr>
          <w:rFonts w:ascii="Arial" w:cs="Arial" w:eastAsia="Arial" w:hAnsi="Arial"/>
          <w:sz w:val="16"/>
          <w:szCs w:val="16"/>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w:t>
      </w: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340" w:right="240"/>
        <w:spacing w:after="0" w:line="259" w:lineRule="auto"/>
        <w:rPr>
          <w:sz w:val="20"/>
          <w:szCs w:val="20"/>
          <w:color w:val="auto"/>
        </w:rPr>
      </w:pPr>
      <w:r>
        <w:rPr>
          <w:rFonts w:ascii="Arial" w:cs="Arial" w:eastAsia="Arial" w:hAnsi="Arial"/>
          <w:sz w:val="18"/>
          <w:szCs w:val="18"/>
          <w:color w:val="auto"/>
        </w:rPr>
        <w:t>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227" w:lineRule="exact"/>
        <w:rPr>
          <w:sz w:val="20"/>
          <w:szCs w:val="20"/>
          <w:color w:val="auto"/>
        </w:rPr>
      </w:pPr>
    </w:p>
    <w:p>
      <w:pPr>
        <w:ind w:left="4340" w:right="40"/>
        <w:spacing w:after="0" w:line="267"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holders of a majority of ordinary shares who attend and vote at a general meeting of the company. In such case, pursuant to the terms of a letter agreement entered into with us, our initial shareholders have agreed (and their permitted transferees will agree) to vote their founder shares, private placement shares and any public shares held by them in favor of our initial business combination. We expect that at the time of any shareholder vote relating to our initial business combination, our initial shareholders and their permitted transferees will own approximately 21.9% of our issued and outstanding ordinary shares (including the private placement shares and assuming they do not purchase any public shares in this offering) entitled to vote thereon. Our directors and officers have also agreed to vote in favor of our initial business combination with respect to any public shares acquired by them. These voting thresholds, and the voting agreements of our initial shareholders, may make it more likely that we will consummate our initial business combination. Our public shareholders may elect to redeem their public shares without voting, and if they do vote, irrespective of whether they vote for or against the proposed transaction.</w:t>
      </w:r>
    </w:p>
    <w:p>
      <w:pPr>
        <w:spacing w:after="0" w:line="218" w:lineRule="exact"/>
        <w:rPr>
          <w:sz w:val="20"/>
          <w:szCs w:val="20"/>
          <w:color w:val="auto"/>
        </w:rPr>
      </w:pPr>
    </w:p>
    <w:p>
      <w:pPr>
        <w:ind w:left="4340"/>
        <w:spacing w:after="0" w:line="273"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following such redemptions. Redemptions of our public shares may also be subject to a higher net tangible asset test or cash requirement pursuant to an agreement relating to our initial business combination. For example, the proposed business combination may require:</w:t>
      </w:r>
    </w:p>
    <w:p>
      <w:pPr>
        <w:spacing w:after="0" w:line="83" w:lineRule="exact"/>
        <w:rPr>
          <w:sz w:val="20"/>
          <w:szCs w:val="20"/>
          <w:color w:val="auto"/>
        </w:rPr>
      </w:pPr>
    </w:p>
    <w:p>
      <w:pPr>
        <w:ind w:left="4760" w:hanging="425"/>
        <w:spacing w:after="0"/>
        <w:tabs>
          <w:tab w:leader="none" w:pos="4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consideration to be paid to the target or its owners;</w:t>
      </w:r>
    </w:p>
    <w:p>
      <w:pPr>
        <w:spacing w:after="0" w:line="130" w:lineRule="exact"/>
        <w:rPr>
          <w:rFonts w:ascii="Arial" w:cs="Arial" w:eastAsia="Arial" w:hAnsi="Arial"/>
          <w:sz w:val="18"/>
          <w:szCs w:val="18"/>
          <w:color w:val="auto"/>
        </w:rPr>
      </w:pPr>
    </w:p>
    <w:p>
      <w:pPr>
        <w:ind w:left="4760" w:right="380" w:hanging="425"/>
        <w:spacing w:after="0" w:line="277" w:lineRule="auto"/>
        <w:tabs>
          <w:tab w:leader="none" w:pos="4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to be transferred to the target for working capital or other general corporate purposes; or</w:t>
      </w:r>
    </w:p>
    <w:p>
      <w:pPr>
        <w:spacing w:after="0" w:line="75" w:lineRule="exact"/>
        <w:rPr>
          <w:rFonts w:ascii="Arial" w:cs="Arial" w:eastAsia="Arial" w:hAnsi="Arial"/>
          <w:sz w:val="18"/>
          <w:szCs w:val="18"/>
          <w:color w:val="auto"/>
        </w:rPr>
      </w:pPr>
    </w:p>
    <w:p>
      <w:pPr>
        <w:ind w:left="4760" w:right="220" w:hanging="425"/>
        <w:spacing w:after="0" w:line="277" w:lineRule="auto"/>
        <w:tabs>
          <w:tab w:leader="none" w:pos="4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retention of cash to satisfy other conditions in accordance with the terms of the proposed business combination.</w:t>
      </w:r>
    </w:p>
    <w:p>
      <w:pPr>
        <w:spacing w:after="0" w:line="197" w:lineRule="exact"/>
        <w:rPr>
          <w:sz w:val="20"/>
          <w:szCs w:val="20"/>
          <w:color w:val="auto"/>
        </w:rPr>
      </w:pPr>
    </w:p>
    <w:p>
      <w:pPr>
        <w:ind w:left="4340"/>
        <w:spacing w:after="0" w:line="275" w:lineRule="auto"/>
        <w:rPr>
          <w:sz w:val="20"/>
          <w:szCs w:val="20"/>
          <w:color w:val="auto"/>
        </w:rPr>
      </w:pPr>
      <w:r>
        <w:rPr>
          <w:rFonts w:ascii="Arial" w:cs="Arial" w:eastAsia="Arial" w:hAnsi="Arial"/>
          <w:sz w:val="17"/>
          <w:szCs w:val="17"/>
          <w:color w:val="auto"/>
        </w:rPr>
        <w:t>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ordinary shares submitted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32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67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2673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00"/>
        <w:spacing w:after="0" w:line="277" w:lineRule="auto"/>
        <w:rPr>
          <w:sz w:val="20"/>
          <w:szCs w:val="20"/>
          <w:color w:val="auto"/>
        </w:rPr>
      </w:pPr>
      <w:r>
        <w:rPr>
          <w:rFonts w:ascii="Arial" w:cs="Arial" w:eastAsia="Arial" w:hAnsi="Arial"/>
          <w:sz w:val="18"/>
          <w:szCs w:val="18"/>
          <w:color w:val="auto"/>
        </w:rPr>
        <w:t>for redemption will be returned to the holders thereof, and we instead may search for an alternate business combination.</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Tendering share certificates in connection with a tender We may require our public shareholders seeking to exercise their redemption rights,</w:t>
      </w:r>
    </w:p>
    <w:p>
      <w:pPr>
        <w:spacing w:after="0" w:line="35" w:lineRule="exact"/>
        <w:rPr>
          <w:sz w:val="20"/>
          <w:szCs w:val="20"/>
          <w:color w:val="auto"/>
        </w:rPr>
      </w:pPr>
    </w:p>
    <w:p>
      <w:pPr>
        <w:ind w:left="4340" w:right="20" w:hanging="3955"/>
        <w:spacing w:after="0" w:line="267" w:lineRule="auto"/>
        <w:tabs>
          <w:tab w:leader="none" w:pos="4320" w:val="left"/>
        </w:tabs>
        <w:rPr>
          <w:sz w:val="20"/>
          <w:szCs w:val="20"/>
          <w:color w:val="auto"/>
        </w:rPr>
      </w:pPr>
      <w:r>
        <w:rPr>
          <w:rFonts w:ascii="Arial" w:cs="Arial" w:eastAsia="Arial" w:hAnsi="Arial"/>
          <w:sz w:val="18"/>
          <w:szCs w:val="18"/>
          <w:color w:val="auto"/>
        </w:rPr>
        <w:t>offer or redemption rights</w:t>
      </w:r>
      <w:r>
        <w:rPr>
          <w:sz w:val="20"/>
          <w:szCs w:val="20"/>
          <w:color w:val="auto"/>
        </w:rPr>
        <w:tab/>
      </w:r>
      <w:r>
        <w:rPr>
          <w:rFonts w:ascii="Arial" w:cs="Arial" w:eastAsia="Arial" w:hAnsi="Arial"/>
          <w:sz w:val="17"/>
          <w:szCs w:val="17"/>
          <w:color w:val="auto"/>
        </w:rPr>
        <w:t>whether they are record holders or hold their shares in “street name,” to either tender their certificates to our transfer agent prior to the date set forth in the tender offer documents or proxy materials mailed to such holders, or up to two business days prior to the scheduled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which will include the requirement that a beneficial holder must identify itself in order to validly redeem its shares.</w:t>
      </w:r>
    </w:p>
    <w:p>
      <w:pPr>
        <w:sectPr>
          <w:pgSz w:w="11900" w:h="16838" w:orient="portrait"/>
          <w:cols w:equalWidth="0" w:num="1">
            <w:col w:w="10860"/>
          </w:cols>
          <w:pgMar w:left="320" w:top="459" w:right="719" w:bottom="1440" w:gutter="0" w:footer="0" w:header="0"/>
        </w:sectPr>
      </w:pPr>
    </w:p>
    <w:p>
      <w:pPr>
        <w:spacing w:after="0" w:line="211" w:lineRule="exact"/>
        <w:rPr>
          <w:sz w:val="20"/>
          <w:szCs w:val="20"/>
          <w:color w:val="auto"/>
        </w:rPr>
      </w:pPr>
    </w:p>
    <w:p>
      <w:pPr>
        <w:ind w:left="380" w:hanging="78"/>
        <w:spacing w:after="0" w:line="286" w:lineRule="auto"/>
        <w:rPr>
          <w:sz w:val="20"/>
          <w:szCs w:val="20"/>
          <w:color w:val="auto"/>
        </w:rPr>
      </w:pPr>
      <w:r>
        <w:rPr>
          <w:rFonts w:ascii="Arial" w:cs="Arial" w:eastAsia="Arial" w:hAnsi="Arial"/>
          <w:sz w:val="17"/>
          <w:szCs w:val="17"/>
          <w:color w:val="auto"/>
        </w:rPr>
        <w:t>Limitation on redemption rights of shareholders holding more than 15% of the shares sold in this offering if we hold shareholder vote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an initial business combination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w:t>
      </w:r>
    </w:p>
    <w:p>
      <w:pPr>
        <w:spacing w:after="0" w:line="200" w:lineRule="exact"/>
        <w:rPr>
          <w:sz w:val="20"/>
          <w:szCs w:val="20"/>
          <w:color w:val="auto"/>
        </w:rPr>
      </w:pPr>
    </w:p>
    <w:p>
      <w:pPr>
        <w:sectPr>
          <w:pgSz w:w="11900" w:h="16838" w:orient="portrait"/>
          <w:cols w:equalWidth="0" w:num="2">
            <w:col w:w="3860" w:space="480"/>
            <w:col w:w="6520"/>
          </w:cols>
          <w:pgMar w:left="320" w:top="459"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860"/>
          </w:cols>
          <w:pgMar w:left="320" w:top="459" w:right="71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387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hanging="78"/>
        <w:spacing w:after="0" w:line="311" w:lineRule="auto"/>
        <w:rPr>
          <w:sz w:val="20"/>
          <w:szCs w:val="20"/>
          <w:color w:val="auto"/>
        </w:rPr>
      </w:pPr>
      <w:r>
        <w:rPr>
          <w:rFonts w:ascii="Arial" w:cs="Arial" w:eastAsia="Arial" w:hAnsi="Arial"/>
          <w:sz w:val="16"/>
          <w:szCs w:val="16"/>
          <w:color w:val="auto"/>
        </w:rPr>
        <w:t>Redemption rights in connection with proposed amendments to our amended and restated memorandum and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ability to complete our initial business combination, particularly in connection with an initial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3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Some other blank check companies have a provision in their charter which prohibits the amendment of certain charter provisions. Our amended and restated memorandum and articles of association provide that any of its provisions (other than amendments relating to provisions governing the appointment or removal of directors prior to our initial business combination, which require the approval of the holders of at least 90% of our ordinary shares attending and voting in a general meeting), including those related to pre-business combination activity (including the requirement to deposit proceeds of this offering and the sale of private placement shares into the trust account and not release such amounts except in specified circumstances), may be amended if approved by holders of at least two-thirds of our ordinary shares who attend and vote at a general meeting, and corresponding provisions of the trust agreement governing the release of funds from our trust account may be amended if approved by holders of 65% of our ordinary shares. Our initial shareholders, who will beneficially own approximately 21.9% of our ordinary shares upon the closing of this offering including the private placement shares and assuming they do not purchase any public shares in this offering, may participate in any vote to amend our amended and restated memorandum and articles of association and/or trust agreement and will have the discretion to vote in any manner they choose. Our sponsor, officers and directors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Our initial shareholders, directors and officers have entered into a letter agreement with us, pursuant to which they have agreed to waive</w:t>
      </w:r>
    </w:p>
    <w:p>
      <w:pPr>
        <w:spacing w:after="0" w:line="200" w:lineRule="exact"/>
        <w:rPr>
          <w:sz w:val="20"/>
          <w:szCs w:val="20"/>
          <w:color w:val="auto"/>
        </w:rPr>
      </w:pPr>
    </w:p>
    <w:p>
      <w:pPr>
        <w:sectPr>
          <w:pgSz w:w="11900" w:h="16838" w:orient="portrait"/>
          <w:cols w:equalWidth="0" w:num="2">
            <w:col w:w="3720" w:space="620"/>
            <w:col w:w="6600"/>
          </w:cols>
          <w:pgMar w:left="320" w:top="459"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940"/>
          </w:cols>
          <w:pgMar w:left="320" w:top="459" w:right="6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361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Release of funds in trust account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their redemption rights with respect to any founder shares, private placement shares and public shares held by them in connection with such amendments.</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Upon completion of our initial business combination, all amounts held in the trust account will be disbursed directly by the trustee or released to us to pay amounts due to any public shareholders who properly exercise their redemption rights as described above under “Redemption rights for public shareholders upon completion of our initial business combination,” to pay the underwriter its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4100" w:space="240"/>
            <w:col w:w="6600"/>
          </w:cols>
          <w:pgMar w:left="320" w:top="459" w:right="639" w:bottom="1440" w:gutter="0" w:footer="0" w:header="0"/>
          <w:type w:val="continuous"/>
        </w:sectPr>
      </w:pPr>
    </w:p>
    <w:p>
      <w:pPr>
        <w:spacing w:after="0" w:line="9" w:lineRule="exact"/>
        <w:rPr>
          <w:sz w:val="20"/>
          <w:szCs w:val="20"/>
          <w:color w:val="auto"/>
        </w:rPr>
      </w:pPr>
    </w:p>
    <w:p>
      <w:pPr>
        <w:ind w:left="380" w:hanging="78"/>
        <w:spacing w:after="0" w:line="342" w:lineRule="auto"/>
        <w:rPr>
          <w:sz w:val="20"/>
          <w:szCs w:val="20"/>
          <w:color w:val="auto"/>
        </w:rPr>
      </w:pPr>
      <w:r>
        <w:rPr>
          <w:rFonts w:ascii="Arial" w:cs="Arial" w:eastAsia="Arial" w:hAnsi="Arial"/>
          <w:sz w:val="16"/>
          <w:szCs w:val="16"/>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ind w:left="5" w:right="100"/>
        <w:spacing w:after="0" w:line="259" w:lineRule="auto"/>
        <w:rPr>
          <w:sz w:val="20"/>
          <w:szCs w:val="20"/>
          <w:color w:val="auto"/>
        </w:rPr>
      </w:pPr>
      <w:r>
        <w:rPr>
          <w:rFonts w:ascii="Arial" w:cs="Arial" w:eastAsia="Arial" w:hAnsi="Arial"/>
          <w:sz w:val="18"/>
          <w:szCs w:val="18"/>
          <w:color w:val="auto"/>
        </w:rPr>
        <w:t>Our sponsor, officers and directors have agreed that we will have only 24 months from the closing of this offering to complete our initial business combination. If we have not completed our initial business combination within such 24-month period or during any Extension Period, we will:</w:t>
      </w:r>
    </w:p>
    <w:p>
      <w:pPr>
        <w:spacing w:after="0" w:line="92" w:lineRule="exact"/>
        <w:rPr>
          <w:sz w:val="20"/>
          <w:szCs w:val="20"/>
          <w:color w:val="auto"/>
        </w:rPr>
      </w:pPr>
    </w:p>
    <w:p>
      <w:pPr>
        <w:ind w:left="425" w:hanging="425"/>
        <w:spacing w:after="0"/>
        <w:tabs>
          <w:tab w:leader="none" w:pos="4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w:t>
      </w:r>
    </w:p>
    <w:p>
      <w:pPr>
        <w:spacing w:after="0" w:line="130" w:lineRule="exact"/>
        <w:rPr>
          <w:rFonts w:ascii="Arial" w:cs="Arial" w:eastAsia="Arial" w:hAnsi="Arial"/>
          <w:sz w:val="18"/>
          <w:szCs w:val="18"/>
          <w:color w:val="auto"/>
        </w:rPr>
      </w:pPr>
    </w:p>
    <w:p>
      <w:pPr>
        <w:ind w:left="425" w:right="40" w:hanging="425"/>
        <w:spacing w:after="0" w:line="291" w:lineRule="auto"/>
        <w:tabs>
          <w:tab w:leader="none" w:pos="4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w:t>
      </w:r>
    </w:p>
    <w:p>
      <w:pPr>
        <w:spacing w:after="0" w:line="71" w:lineRule="exact"/>
        <w:rPr>
          <w:rFonts w:ascii="Arial" w:cs="Arial" w:eastAsia="Arial" w:hAnsi="Arial"/>
          <w:sz w:val="16"/>
          <w:szCs w:val="16"/>
          <w:color w:val="auto"/>
        </w:rPr>
      </w:pPr>
    </w:p>
    <w:p>
      <w:pPr>
        <w:ind w:left="425" w:right="40" w:hanging="425"/>
        <w:spacing w:after="0" w:line="279" w:lineRule="auto"/>
        <w:tabs>
          <w:tab w:leader="none" w:pos="4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w:t>
      </w:r>
    </w:p>
    <w:p>
      <w:pPr>
        <w:spacing w:after="0" w:line="200" w:lineRule="exact"/>
        <w:rPr>
          <w:sz w:val="20"/>
          <w:szCs w:val="20"/>
          <w:color w:val="auto"/>
        </w:rPr>
      </w:pPr>
    </w:p>
    <w:p>
      <w:pPr>
        <w:sectPr>
          <w:pgSz w:w="11900" w:h="16838" w:orient="portrait"/>
          <w:cols w:equalWidth="0" w:num="2">
            <w:col w:w="3840" w:space="495"/>
            <w:col w:w="6605"/>
          </w:cols>
          <w:pgMar w:left="320" w:top="459" w:right="6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940"/>
          </w:cols>
          <w:pgMar w:left="320" w:top="459" w:right="6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24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w w:val="96"/>
              </w:rPr>
              <w:t>If we do not complete our initial business combination within 24 months from the closing</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of this offering or during any Extension Period, the proceeds from the sale of the private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placement shares held in the trust account will be used to fund the redemption of our public</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shares (subject to the requirements of applicable law) and the private placement shares will</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be worthless.</w:t>
            </w:r>
          </w:p>
        </w:tc>
      </w:tr>
      <w:tr>
        <w:trPr>
          <w:trHeight w:val="445"/>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Our initial shareholders have entered into a letter agreement with us, pursuant to which</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they have waived their rights to liquidating distributions from the trust account with respect</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to their founder shares and private placement shares if we fail to complete our initial</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business combination within 24 months from the closing of this offering or during any</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Extension Period. However, if our initial shareholders acquire public shares, they will be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entitled to liquidating distributions from the trust account with respect to such public shares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if we fail to complete our initial business combination within the allotted time frame.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underwriter has agreed to waive its rights to its deferred underwriting commission held in</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the trust account in the event we do not complete our initial business combination within</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the allotted time frame and, in such event, such amounts will be included with the funds</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held in the trust account that will be available to fund the redemption of our public shares.</w:t>
            </w:r>
          </w:p>
        </w:tc>
      </w:tr>
      <w:tr>
        <w:trPr>
          <w:trHeight w:val="445"/>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Our sponsor, officers and directors have agreed, pursuant to a written agreement with us,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that they will not propose any amendment to our amended and restated memorandum and</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articles of association (A) to modify the substance or timing of our obligation to allow</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redemption in connection with our initial business combination or to redeem 100% of our</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9"/>
              </w:rPr>
              <w:t>public shares if we do not complete our initial business combination within 24 months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from the closing of this offering or (B) with respect to any other material provisions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relating to shareholders’ rights or pre-initial business combination activity, unless we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provide our public shareholders with the opportunity to redeem their public ordinary shares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upon approval of any such amendment at a per-share price, payable in cash, equal to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aggregate amount then on deposit in the trust account, including interest (which interest</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shall be net of taxes payable), divided by the number of then issued and outstanding public</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shares. However, we may not redeem our public shares in an amount that would cause our</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net tangible assets to be less than $5,000,001 following such redemptions.</w:t>
            </w:r>
          </w:p>
        </w:tc>
      </w:tr>
      <w:tr>
        <w:trPr>
          <w:trHeight w:val="445"/>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Limited payments to insiders</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There will be no finder’s fees, reimbursements or cash payments made by us to our</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sponsor, directors or officers, or our or any of their respective affiliates, for services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rendered to us prior to or in connection with the completion of our initial business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combination, other than the following payments, none of which will be made from the</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proceeds of this offering and the sale of the private placement</w:t>
            </w:r>
          </w:p>
        </w:tc>
      </w:tr>
      <w:tr>
        <w:trPr>
          <w:trHeight w:val="240"/>
        </w:trPr>
        <w:tc>
          <w:tcPr>
            <w:tcW w:w="3240" w:type="dxa"/>
            <w:vAlign w:val="bottom"/>
            <w:tcBorders>
              <w:left w:val="single" w:sz="8" w:color="auto"/>
              <w:bottom w:val="single" w:sz="8" w:color="auto"/>
            </w:tcBorders>
          </w:tcPr>
          <w:p>
            <w:pPr>
              <w:spacing w:after="0"/>
              <w:rPr>
                <w:sz w:val="20"/>
                <w:szCs w:val="20"/>
                <w:color w:val="auto"/>
              </w:rPr>
            </w:pPr>
          </w:p>
        </w:tc>
        <w:tc>
          <w:tcPr>
            <w:tcW w:w="7780" w:type="dxa"/>
            <w:vAlign w:val="bottom"/>
            <w:tcBorders>
              <w:bottom w:val="single" w:sz="8" w:color="auto"/>
              <w:right w:val="single" w:sz="8" w:color="auto"/>
            </w:tcBorders>
          </w:tcPr>
          <w:p>
            <w:pPr>
              <w:spacing w:after="0"/>
              <w:rPr>
                <w:sz w:val="20"/>
                <w:szCs w:val="20"/>
                <w:color w:val="auto"/>
              </w:rPr>
            </w:pPr>
          </w:p>
        </w:tc>
      </w:tr>
      <w:tr>
        <w:trPr>
          <w:trHeight w:val="604"/>
        </w:trPr>
        <w:tc>
          <w:tcPr>
            <w:tcW w:w="3240" w:type="dxa"/>
            <w:vAlign w:val="bottom"/>
          </w:tcPr>
          <w:p>
            <w:pPr>
              <w:spacing w:after="0"/>
              <w:rPr>
                <w:sz w:val="24"/>
                <w:szCs w:val="24"/>
                <w:color w:val="auto"/>
              </w:rPr>
            </w:pPr>
          </w:p>
        </w:tc>
        <w:tc>
          <w:tcPr>
            <w:tcW w:w="7780" w:type="dxa"/>
            <w:vAlign w:val="bottom"/>
          </w:tcPr>
          <w:p>
            <w:pPr>
              <w:ind w:left="218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20" w:type="dxa"/>
            <w:vAlign w:val="bottom"/>
            <w:tcBorders>
              <w:top w:val="single" w:sz="8" w:color="auto"/>
              <w:left w:val="single" w:sz="8" w:color="auto"/>
            </w:tcBorders>
          </w:tcPr>
          <w:p>
            <w:pPr>
              <w:spacing w:after="0"/>
              <w:rPr>
                <w:sz w:val="24"/>
                <w:szCs w:val="24"/>
                <w:color w:val="auto"/>
              </w:rPr>
            </w:pPr>
          </w:p>
        </w:tc>
        <w:tc>
          <w:tcPr>
            <w:tcW w:w="8100" w:type="dxa"/>
            <w:vAlign w:val="bottom"/>
            <w:tcBorders>
              <w:top w:val="single" w:sz="8" w:color="auto"/>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shares held in the trust account prior to the completion of our initial business combination:</w:t>
            </w:r>
          </w:p>
        </w:tc>
      </w:tr>
      <w:tr>
        <w:trPr>
          <w:trHeight w:val="337"/>
        </w:trPr>
        <w:tc>
          <w:tcPr>
            <w:tcW w:w="2920" w:type="dxa"/>
            <w:vAlign w:val="bottom"/>
            <w:tcBorders>
              <w:left w:val="single" w:sz="8" w:color="auto"/>
            </w:tcBorders>
          </w:tcPr>
          <w:p>
            <w:pPr>
              <w:spacing w:after="0"/>
              <w:rPr>
                <w:sz w:val="24"/>
                <w:szCs w:val="24"/>
                <w:color w:val="auto"/>
              </w:rPr>
            </w:pPr>
          </w:p>
        </w:tc>
        <w:tc>
          <w:tcPr>
            <w:tcW w:w="1440" w:type="dxa"/>
            <w:vAlign w:val="bottom"/>
          </w:tcPr>
          <w:p>
            <w:pPr>
              <w:ind w:left="13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repayment of an aggregate of up to $300,000 in loans made to us by our sponsor to</w:t>
            </w:r>
          </w:p>
        </w:tc>
      </w:tr>
      <w:tr>
        <w:trPr>
          <w:trHeight w:val="230"/>
        </w:trPr>
        <w:tc>
          <w:tcPr>
            <w:tcW w:w="2920" w:type="dxa"/>
            <w:vAlign w:val="bottom"/>
            <w:tcBorders>
              <w:lef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cover offering-related and organizational expenses;</w:t>
            </w:r>
          </w:p>
        </w:tc>
      </w:tr>
      <w:tr>
        <w:trPr>
          <w:trHeight w:val="323"/>
        </w:trPr>
        <w:tc>
          <w:tcPr>
            <w:tcW w:w="2920" w:type="dxa"/>
            <w:vAlign w:val="bottom"/>
            <w:tcBorders>
              <w:left w:val="single" w:sz="8" w:color="auto"/>
            </w:tcBorders>
          </w:tcPr>
          <w:p>
            <w:pPr>
              <w:spacing w:after="0"/>
              <w:rPr>
                <w:sz w:val="24"/>
                <w:szCs w:val="24"/>
                <w:color w:val="auto"/>
              </w:rPr>
            </w:pPr>
          </w:p>
        </w:tc>
        <w:tc>
          <w:tcPr>
            <w:tcW w:w="1440" w:type="dxa"/>
            <w:vAlign w:val="bottom"/>
          </w:tcPr>
          <w:p>
            <w:pPr>
              <w:ind w:left="13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payment to an affiliate of our sponsor of a total of $10,000 per month for office space,</w:t>
            </w:r>
          </w:p>
        </w:tc>
      </w:tr>
      <w:tr>
        <w:trPr>
          <w:trHeight w:val="230"/>
        </w:trPr>
        <w:tc>
          <w:tcPr>
            <w:tcW w:w="2920" w:type="dxa"/>
            <w:vAlign w:val="bottom"/>
            <w:tcBorders>
              <w:lef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administrative and support services;</w:t>
            </w:r>
          </w:p>
        </w:tc>
      </w:tr>
      <w:tr>
        <w:trPr>
          <w:trHeight w:val="323"/>
        </w:trPr>
        <w:tc>
          <w:tcPr>
            <w:tcW w:w="2920" w:type="dxa"/>
            <w:vAlign w:val="bottom"/>
            <w:tcBorders>
              <w:left w:val="single" w:sz="8" w:color="auto"/>
            </w:tcBorders>
          </w:tcPr>
          <w:p>
            <w:pPr>
              <w:spacing w:after="0"/>
              <w:rPr>
                <w:sz w:val="24"/>
                <w:szCs w:val="24"/>
                <w:color w:val="auto"/>
              </w:rPr>
            </w:pPr>
          </w:p>
        </w:tc>
        <w:tc>
          <w:tcPr>
            <w:tcW w:w="1440" w:type="dxa"/>
            <w:vAlign w:val="bottom"/>
          </w:tcPr>
          <w:p>
            <w:pPr>
              <w:ind w:left="13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reimbursement for any out-of-pocket expenses related to identifying, investigating and</w:t>
            </w:r>
          </w:p>
        </w:tc>
      </w:tr>
      <w:tr>
        <w:trPr>
          <w:trHeight w:val="230"/>
        </w:trPr>
        <w:tc>
          <w:tcPr>
            <w:tcW w:w="2920" w:type="dxa"/>
            <w:vAlign w:val="bottom"/>
            <w:tcBorders>
              <w:lef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completing an initial business combination; and</w:t>
            </w:r>
          </w:p>
        </w:tc>
      </w:tr>
      <w:tr>
        <w:trPr>
          <w:trHeight w:val="323"/>
        </w:trPr>
        <w:tc>
          <w:tcPr>
            <w:tcW w:w="2920" w:type="dxa"/>
            <w:vAlign w:val="bottom"/>
            <w:tcBorders>
              <w:left w:val="single" w:sz="8" w:color="auto"/>
            </w:tcBorders>
          </w:tcPr>
          <w:p>
            <w:pPr>
              <w:spacing w:after="0"/>
              <w:rPr>
                <w:sz w:val="24"/>
                <w:szCs w:val="24"/>
                <w:color w:val="auto"/>
              </w:rPr>
            </w:pPr>
          </w:p>
        </w:tc>
        <w:tc>
          <w:tcPr>
            <w:tcW w:w="1440" w:type="dxa"/>
            <w:vAlign w:val="bottom"/>
          </w:tcPr>
          <w:p>
            <w:pPr>
              <w:ind w:left="13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repayment of loans which may be made by our sponsor or an affiliate of our sponsor or</w:t>
            </w:r>
          </w:p>
        </w:tc>
      </w:tr>
      <w:tr>
        <w:trPr>
          <w:trHeight w:val="216"/>
        </w:trPr>
        <w:tc>
          <w:tcPr>
            <w:tcW w:w="2920" w:type="dxa"/>
            <w:vAlign w:val="bottom"/>
            <w:tcBorders>
              <w:lef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certain of our directors and officers to fund working capital deficiencies or finance</w:t>
            </w:r>
          </w:p>
        </w:tc>
      </w:tr>
      <w:tr>
        <w:trPr>
          <w:trHeight w:val="216"/>
        </w:trPr>
        <w:tc>
          <w:tcPr>
            <w:tcW w:w="2920" w:type="dxa"/>
            <w:vAlign w:val="bottom"/>
            <w:tcBorders>
              <w:lef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transaction costs in connection with an intended initial business combination, the terms</w:t>
            </w:r>
          </w:p>
        </w:tc>
      </w:tr>
      <w:tr>
        <w:trPr>
          <w:trHeight w:val="216"/>
        </w:trPr>
        <w:tc>
          <w:tcPr>
            <w:tcW w:w="2920" w:type="dxa"/>
            <w:vAlign w:val="bottom"/>
            <w:tcBorders>
              <w:lef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of which have not been determined nor have any written agreements been executed with</w:t>
            </w:r>
          </w:p>
        </w:tc>
      </w:tr>
      <w:tr>
        <w:trPr>
          <w:trHeight w:val="216"/>
        </w:trPr>
        <w:tc>
          <w:tcPr>
            <w:tcW w:w="2920" w:type="dxa"/>
            <w:vAlign w:val="bottom"/>
            <w:tcBorders>
              <w:lef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respect thereto. Up to $1,500,000 of such loans may be convertible into shares of the</w:t>
            </w:r>
          </w:p>
        </w:tc>
      </w:tr>
      <w:tr>
        <w:trPr>
          <w:trHeight w:val="216"/>
        </w:trPr>
        <w:tc>
          <w:tcPr>
            <w:tcW w:w="2920" w:type="dxa"/>
            <w:vAlign w:val="bottom"/>
            <w:tcBorders>
              <w:lef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post-business combination entity at a price of $10.00 per share at the option of the</w:t>
            </w:r>
          </w:p>
        </w:tc>
      </w:tr>
      <w:tr>
        <w:trPr>
          <w:trHeight w:val="230"/>
        </w:trPr>
        <w:tc>
          <w:tcPr>
            <w:tcW w:w="2920" w:type="dxa"/>
            <w:vAlign w:val="bottom"/>
            <w:tcBorders>
              <w:lef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lender. The shares would be identical to the private placement shares.</w:t>
            </w:r>
          </w:p>
        </w:tc>
      </w:tr>
      <w:tr>
        <w:trPr>
          <w:trHeight w:val="445"/>
        </w:trPr>
        <w:tc>
          <w:tcPr>
            <w:tcW w:w="292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These payments may be funded using the net proceeds of this offering and the sale of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private placement shares not held in the trust account or, upon completion of our initial</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3"/>
              </w:rPr>
              <w:t>business combination, from any amounts remaining from the proceeds of the trust account</w:t>
            </w:r>
          </w:p>
        </w:tc>
      </w:tr>
      <w:tr>
        <w:trPr>
          <w:trHeight w:val="230"/>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released to us in connection therewith.</w:t>
            </w:r>
          </w:p>
        </w:tc>
      </w:tr>
      <w:tr>
        <w:trPr>
          <w:trHeight w:val="445"/>
        </w:trPr>
        <w:tc>
          <w:tcPr>
            <w:tcW w:w="292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Our audit committee will review on a quarterly basis all payments that were made by us to</w:t>
            </w:r>
          </w:p>
        </w:tc>
      </w:tr>
      <w:tr>
        <w:trPr>
          <w:trHeight w:val="230"/>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our sponsor, directors or officers, or our or any of their respective affiliates.</w:t>
            </w:r>
          </w:p>
        </w:tc>
      </w:tr>
      <w:tr>
        <w:trPr>
          <w:trHeight w:val="445"/>
        </w:trPr>
        <w:tc>
          <w:tcPr>
            <w:tcW w:w="2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Audit committee</w:t>
            </w: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6"/>
              </w:rPr>
              <w:t>Prior to the effectiveness of this registration statement, we will have established and will</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7"/>
              </w:rPr>
              <w:t>maintain an audit committee to, among other things, monitor compliance with the terms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described above and the other terms relating to this offering. If any noncompliance is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identified, then the audit committee will be charged with the responsibility to promptly</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5"/>
              </w:rPr>
              <w:t>take all action necessary to rectify such noncompliance or otherwise to cause compliance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with the terms of this offering. For more information, see the section entitled “Management</w:t>
            </w:r>
          </w:p>
        </w:tc>
      </w:tr>
      <w:tr>
        <w:trPr>
          <w:trHeight w:val="230"/>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 Committees of our Board of Directors — Audit Committee.”</w:t>
            </w:r>
          </w:p>
        </w:tc>
      </w:tr>
      <w:tr>
        <w:trPr>
          <w:trHeight w:val="445"/>
        </w:trPr>
        <w:tc>
          <w:tcPr>
            <w:tcW w:w="2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Conflicts of interest</w:t>
            </w: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All of our officers and certain of our directors have fiduciary and contractual duties to</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5"/>
              </w:rPr>
              <w:t>either Social Capital or Suvretta and, as applicable, their underlying clients, and to certain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7"/>
              </w:rPr>
              <w:t>companies in which either of them has invested or which either of them has sponsored.</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5"/>
              </w:rPr>
              <w:t>These entities, including DNAA, DNAB and DNAD (each of which is focused on pursuing</w:t>
            </w:r>
          </w:p>
        </w:tc>
      </w:tr>
      <w:tr>
        <w:trPr>
          <w:trHeight w:val="230"/>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an initial business combination with a target</w:t>
            </w:r>
          </w:p>
        </w:tc>
      </w:tr>
      <w:tr>
        <w:trPr>
          <w:trHeight w:val="240"/>
        </w:trPr>
        <w:tc>
          <w:tcPr>
            <w:tcW w:w="2920" w:type="dxa"/>
            <w:vAlign w:val="bottom"/>
            <w:tcBorders>
              <w:left w:val="single" w:sz="8" w:color="auto"/>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spacing w:after="0"/>
              <w:rPr>
                <w:sz w:val="20"/>
                <w:szCs w:val="20"/>
                <w:color w:val="auto"/>
              </w:rPr>
            </w:pPr>
          </w:p>
        </w:tc>
      </w:tr>
      <w:tr>
        <w:trPr>
          <w:trHeight w:val="604"/>
        </w:trPr>
        <w:tc>
          <w:tcPr>
            <w:tcW w:w="2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60" w:type="dxa"/>
            <w:vAlign w:val="bottom"/>
          </w:tcPr>
          <w:p>
            <w:pPr>
              <w:ind w:left="106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84" w:lineRule="auto"/>
        <w:rPr>
          <w:sz w:val="20"/>
          <w:szCs w:val="20"/>
          <w:color w:val="auto"/>
        </w:rPr>
      </w:pPr>
      <w:r>
        <w:rPr>
          <w:rFonts w:ascii="Arial" w:cs="Arial" w:eastAsia="Arial" w:hAnsi="Arial"/>
          <w:sz w:val="16"/>
          <w:szCs w:val="16"/>
          <w:color w:val="auto"/>
        </w:rPr>
        <w:t>operating in the biotechnology industry) and certain other blank check companies sponsored by Social Capital (including the Hedosophia SPACs), may compete with us for acquisition opportunities. If these entities decide to pursue any such opportunity, we may be precluded from pursuing such opportunities. Subject to his or her fiduciary duties under Cayman Islands law, none of the members of our management team who are also employed by our sponsor or its affiliates have any obligation to present us with any opportunity for a potential business combination of which they become aware. Our sponsor and directors and officers are also not prohibited from sponsoring, investing or otherwise becoming involved with any other blank check companies, including in connection with their initial business combinations, prior to us completing our initial business combination. Members of our management team, in their capacities as directors, officers or employees of our sponsor or its affiliates or in their other endeavors, may choose to present potential business combinations to the related entities described above, current or future entities affiliated with or managed by our sponsor, or third parties, before they present such opportunities to us, subject to their fiduciary duties under Cayman Islands law and any other applicable fiduciary duties.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For more information, see the section entitled “Management Conflicts of Interest.”</w:t>
      </w:r>
    </w:p>
    <w:p>
      <w:pPr>
        <w:spacing w:after="0" w:line="217" w:lineRule="exact"/>
        <w:rPr>
          <w:sz w:val="20"/>
          <w:szCs w:val="20"/>
          <w:color w:val="auto"/>
        </w:rPr>
      </w:pPr>
    </w:p>
    <w:p>
      <w:pPr>
        <w:ind w:left="4340"/>
        <w:spacing w:after="0" w:line="269" w:lineRule="auto"/>
        <w:rPr>
          <w:sz w:val="20"/>
          <w:szCs w:val="20"/>
          <w:color w:val="auto"/>
        </w:rPr>
      </w:pPr>
      <w:r>
        <w:rPr>
          <w:rFonts w:ascii="Arial" w:cs="Arial" w:eastAsia="Arial" w:hAnsi="Arial"/>
          <w:sz w:val="17"/>
          <w:szCs w:val="17"/>
          <w:color w:val="auto"/>
        </w:rPr>
        <w:t>Our directors and officers presently have, and any or all of them in the future may have, additional fiduciary or contractual obligations to other entities pursuant to which such officer or director is or will be required to present a business combination opportunity to such entity. Accordingly, if any of our directors or officers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his or her fiduciary duties under Cayman Islands law. See “Risk Factors — Certain of our directors and officers are now, and expect in the future to become, affiliated with certain entities engaged in business activities similar to those intended to be conducted by us and, accordingly, may have conflicts of interest in determining to which entity a particular business opportunity should be presented.”</w:t>
      </w:r>
    </w:p>
    <w:p>
      <w:pPr>
        <w:spacing w:after="0" w:line="206" w:lineRule="exact"/>
        <w:rPr>
          <w:sz w:val="20"/>
          <w:szCs w:val="20"/>
          <w:color w:val="auto"/>
        </w:rPr>
      </w:pPr>
    </w:p>
    <w:p>
      <w:pPr>
        <w:ind w:left="4340" w:right="440"/>
        <w:spacing w:after="0" w:line="277" w:lineRule="auto"/>
        <w:rPr>
          <w:sz w:val="20"/>
          <w:szCs w:val="20"/>
          <w:color w:val="auto"/>
        </w:rPr>
      </w:pPr>
      <w:r>
        <w:rPr>
          <w:rFonts w:ascii="Arial" w:cs="Arial" w:eastAsia="Arial" w:hAnsi="Arial"/>
          <w:sz w:val="18"/>
          <w:szCs w:val="18"/>
          <w:color w:val="auto"/>
        </w:rPr>
        <w:t>We do not believe, however, that the fiduciary duties or contractual obligations of our directors or officers will materially affect our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560" w:type="dxa"/>
            <w:vAlign w:val="bottom"/>
            <w:tcBorders>
              <w:top w:val="single" w:sz="8" w:color="auto"/>
              <w:left w:val="single" w:sz="8" w:color="auto"/>
            </w:tcBorders>
          </w:tcPr>
          <w:p>
            <w:pPr>
              <w:spacing w:after="0"/>
              <w:rPr>
                <w:sz w:val="24"/>
                <w:szCs w:val="24"/>
                <w:color w:val="auto"/>
              </w:rPr>
            </w:pPr>
          </w:p>
        </w:tc>
        <w:tc>
          <w:tcPr>
            <w:tcW w:w="8460" w:type="dxa"/>
            <w:vAlign w:val="bottom"/>
            <w:tcBorders>
              <w:top w:val="single" w:sz="8" w:color="auto"/>
              <w:right w:val="single" w:sz="8" w:color="auto"/>
            </w:tcBorders>
          </w:tcPr>
          <w:p>
            <w:pPr>
              <w:ind w:left="1660"/>
              <w:spacing w:after="0"/>
              <w:rPr>
                <w:sz w:val="20"/>
                <w:szCs w:val="20"/>
                <w:color w:val="auto"/>
              </w:rPr>
            </w:pPr>
            <w:r>
              <w:rPr>
                <w:rFonts w:ascii="Arial" w:cs="Arial" w:eastAsia="Arial" w:hAnsi="Arial"/>
                <w:sz w:val="18"/>
                <w:szCs w:val="18"/>
                <w:color w:val="auto"/>
                <w:w w:val="98"/>
              </w:rPr>
              <w:t>ability to identify and pursue business combination opportunities or complete our initial</w:t>
            </w:r>
          </w:p>
        </w:tc>
      </w:tr>
      <w:tr>
        <w:trPr>
          <w:trHeight w:val="230"/>
        </w:trPr>
        <w:tc>
          <w:tcPr>
            <w:tcW w:w="2560" w:type="dxa"/>
            <w:vAlign w:val="bottom"/>
            <w:tcBorders>
              <w:left w:val="single" w:sz="8" w:color="auto"/>
            </w:tcBorders>
          </w:tcPr>
          <w:p>
            <w:pPr>
              <w:spacing w:after="0"/>
              <w:rPr>
                <w:sz w:val="20"/>
                <w:szCs w:val="20"/>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business combination.</w:t>
            </w:r>
          </w:p>
        </w:tc>
      </w:tr>
      <w:tr>
        <w:trPr>
          <w:trHeight w:val="458"/>
        </w:trPr>
        <w:tc>
          <w:tcPr>
            <w:tcW w:w="2560" w:type="dxa"/>
            <w:vAlign w:val="bottom"/>
            <w:tcBorders>
              <w:left w:val="single" w:sz="8" w:color="auto"/>
            </w:tcBorders>
          </w:tcPr>
          <w:p>
            <w:pPr>
              <w:spacing w:after="0"/>
              <w:rPr>
                <w:sz w:val="24"/>
                <w:szCs w:val="24"/>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3"/>
              </w:rPr>
              <w:t>We are not prohibited from pursuing an initial business combination with a company that is</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4"/>
              </w:rPr>
              <w:t>affiliated with Social Capital, Suvretta, or our sponsor, directors or officers. In the event we</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3"/>
              </w:rPr>
              <w:t>seek to complete our initial business combination with such a company, we, or a committee</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5"/>
              </w:rPr>
              <w:t>of independent and disinterested directors, would obtain an opinion from an independent</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investment banking firm or another valuation or appraisal firm that regularly renders</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8"/>
              </w:rPr>
              <w:t>fairness opinions on the type of target business we are seeking to acquire that such an</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7"/>
              </w:rPr>
              <w:t>initial business combination is fair to our company from a financial point of view. We are</w:t>
            </w:r>
          </w:p>
        </w:tc>
      </w:tr>
      <w:tr>
        <w:trPr>
          <w:trHeight w:val="230"/>
        </w:trPr>
        <w:tc>
          <w:tcPr>
            <w:tcW w:w="2560" w:type="dxa"/>
            <w:vAlign w:val="bottom"/>
            <w:tcBorders>
              <w:left w:val="single" w:sz="8" w:color="auto"/>
            </w:tcBorders>
          </w:tcPr>
          <w:p>
            <w:pPr>
              <w:spacing w:after="0"/>
              <w:rPr>
                <w:sz w:val="20"/>
                <w:szCs w:val="20"/>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not required to obtain such an opinion in any other context.</w:t>
            </w:r>
          </w:p>
        </w:tc>
      </w:tr>
      <w:tr>
        <w:trPr>
          <w:trHeight w:val="445"/>
        </w:trPr>
        <w:tc>
          <w:tcPr>
            <w:tcW w:w="2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Indemnity</w:t>
            </w: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5"/>
              </w:rPr>
              <w:t>Our sponsor has agreed that it will be liable to us if and to the extent any claims by a third</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3"/>
              </w:rPr>
              <w:t>party (other than our independent auditors) for services rendered or products sold to us, or</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7"/>
              </w:rPr>
              <w:t>a prospective target business with which we have discussed entering into a transaction</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4"/>
              </w:rPr>
              <w:t>agreement, reduce the amount of funds in the trust account to below (1) $10.00 per public</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4"/>
              </w:rPr>
              <w:t>share or (2) such lesser amount per public share held in the trust account as of the date of</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3"/>
              </w:rPr>
              <w:t>the liquidation of the trust account due to reductions in the value of the trust assets, in each</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3"/>
              </w:rPr>
              <w:t>case net of the interest which may be withdrawn to pay taxes, except as to any claims by a</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5"/>
              </w:rPr>
              <w:t>third party that executed a waiver of any and all rights to seek access to the trust account</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4"/>
              </w:rPr>
              <w:t>and except as to any claims under our indemnity of the underwriter of this offering against</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6"/>
              </w:rPr>
              <w:t>certain liabilities, including liabilities under the Securities Act. Moreover, in the event that</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5"/>
              </w:rPr>
              <w:t>an executed waiver is deemed to be unenforceable against a third party, our sponsor will</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8"/>
              </w:rPr>
              <w:t>not be responsible to the extent of any liability for such third-party claims. We have not</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8"/>
              </w:rPr>
              <w:t>independently verified whether our sponsor has sufficient funds to satisfy its indemnity</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5"/>
              </w:rPr>
              <w:t>obligations and believe that our sponsor’s only assets are securities of our company and,</w:t>
            </w:r>
          </w:p>
        </w:tc>
      </w:tr>
      <w:tr>
        <w:trPr>
          <w:trHeight w:val="216"/>
        </w:trPr>
        <w:tc>
          <w:tcPr>
            <w:tcW w:w="256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3"/>
              </w:rPr>
              <w:t>therefore, our sponsor may not be able to satisfy those obligations. We have not asked our</w:t>
            </w:r>
          </w:p>
        </w:tc>
      </w:tr>
      <w:tr>
        <w:trPr>
          <w:trHeight w:val="230"/>
        </w:trPr>
        <w:tc>
          <w:tcPr>
            <w:tcW w:w="2560" w:type="dxa"/>
            <w:vAlign w:val="bottom"/>
            <w:tcBorders>
              <w:left w:val="single" w:sz="8" w:color="auto"/>
            </w:tcBorders>
          </w:tcPr>
          <w:p>
            <w:pPr>
              <w:spacing w:after="0"/>
              <w:rPr>
                <w:sz w:val="20"/>
                <w:szCs w:val="20"/>
                <w:color w:val="auto"/>
              </w:rPr>
            </w:pPr>
          </w:p>
        </w:tc>
        <w:tc>
          <w:tcPr>
            <w:tcW w:w="84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sponsor to reserve for such obligations.</w:t>
            </w:r>
          </w:p>
        </w:tc>
      </w:tr>
      <w:tr>
        <w:trPr>
          <w:trHeight w:val="240"/>
        </w:trPr>
        <w:tc>
          <w:tcPr>
            <w:tcW w:w="2560" w:type="dxa"/>
            <w:vAlign w:val="bottom"/>
            <w:tcBorders>
              <w:left w:val="single" w:sz="8" w:color="auto"/>
              <w:bottom w:val="single" w:sz="8" w:color="auto"/>
            </w:tcBorders>
          </w:tcPr>
          <w:p>
            <w:pPr>
              <w:spacing w:after="0"/>
              <w:rPr>
                <w:sz w:val="20"/>
                <w:szCs w:val="20"/>
                <w:color w:val="auto"/>
              </w:rPr>
            </w:pPr>
          </w:p>
        </w:tc>
        <w:tc>
          <w:tcPr>
            <w:tcW w:w="8460" w:type="dxa"/>
            <w:vAlign w:val="bottom"/>
            <w:tcBorders>
              <w:bottom w:val="single" w:sz="8" w:color="auto"/>
              <w:right w:val="single" w:sz="8" w:color="auto"/>
            </w:tcBorders>
          </w:tcPr>
          <w:p>
            <w:pPr>
              <w:spacing w:after="0"/>
              <w:rPr>
                <w:sz w:val="20"/>
                <w:szCs w:val="20"/>
                <w:color w:val="auto"/>
              </w:rPr>
            </w:pPr>
          </w:p>
        </w:tc>
      </w:tr>
      <w:tr>
        <w:trPr>
          <w:trHeight w:val="604"/>
        </w:trPr>
        <w:tc>
          <w:tcPr>
            <w:tcW w:w="2560" w:type="dxa"/>
            <w:vAlign w:val="bottom"/>
          </w:tcPr>
          <w:p>
            <w:pPr>
              <w:spacing w:after="0"/>
              <w:rPr>
                <w:sz w:val="24"/>
                <w:szCs w:val="24"/>
                <w:color w:val="auto"/>
              </w:rPr>
            </w:pPr>
          </w:p>
        </w:tc>
        <w:tc>
          <w:tcPr>
            <w:tcW w:w="8460" w:type="dxa"/>
            <w:vAlign w:val="bottom"/>
          </w:tcPr>
          <w:p>
            <w:pPr>
              <w:ind w:left="286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An investment in our securities involves a high degree of risk. The occurrence of one or more of the events or circumstances described in the section entitled “Risk Factors,” alone or in combination with other events or circumstances, may materially adversely affect our business, financial condition and operating results. In such event, the trading price of our securities could decline, and you could lose all or part of your investment. Such risks include, but are not limited to:</w:t>
      </w:r>
    </w:p>
    <w:p>
      <w:pPr>
        <w:spacing w:after="0" w:line="92" w:lineRule="exact"/>
        <w:rPr>
          <w:sz w:val="20"/>
          <w:szCs w:val="20"/>
          <w:color w:val="auto"/>
        </w:rPr>
      </w:pPr>
    </w:p>
    <w:p>
      <w:pPr>
        <w:ind w:left="1240" w:right="80" w:hanging="415"/>
        <w:spacing w:after="0" w:line="342"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public shareholders may not be afforded an opportunity to vote on our proposed initial business combination, which means we may complete our initial business combination even though a majority of our public shareholders do not support such a combination;</w:t>
      </w:r>
    </w:p>
    <w:p>
      <w:pPr>
        <w:spacing w:after="0" w:line="29" w:lineRule="exact"/>
        <w:rPr>
          <w:rFonts w:ascii="Arial" w:cs="Arial" w:eastAsia="Arial" w:hAnsi="Arial"/>
          <w:sz w:val="16"/>
          <w:szCs w:val="16"/>
          <w:color w:val="auto"/>
        </w:rPr>
      </w:pPr>
    </w:p>
    <w:p>
      <w:pPr>
        <w:ind w:left="124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our initial shareholders, directors and officers have agreed to vote in favor of such initial business combination, regardless of how our public shareholders vote;</w:t>
      </w:r>
    </w:p>
    <w:p>
      <w:pPr>
        <w:spacing w:after="0" w:line="75" w:lineRule="exact"/>
        <w:rPr>
          <w:rFonts w:ascii="Arial" w:cs="Arial" w:eastAsia="Arial" w:hAnsi="Arial"/>
          <w:sz w:val="18"/>
          <w:szCs w:val="18"/>
          <w:color w:val="auto"/>
        </w:rPr>
      </w:pPr>
    </w:p>
    <w:p>
      <w:pPr>
        <w:ind w:left="1240" w:right="180" w:hanging="415"/>
        <w:spacing w:after="0" w:line="342"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spacing w:after="0" w:line="29" w:lineRule="exact"/>
        <w:rPr>
          <w:rFonts w:ascii="Arial" w:cs="Arial" w:eastAsia="Arial" w:hAnsi="Arial"/>
          <w:sz w:val="16"/>
          <w:szCs w:val="16"/>
          <w:color w:val="auto"/>
        </w:rPr>
      </w:pPr>
    </w:p>
    <w:p>
      <w:pPr>
        <w:ind w:left="1240" w:right="520" w:hanging="415"/>
        <w:spacing w:after="0" w:line="342"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29" w:lineRule="exact"/>
        <w:rPr>
          <w:rFonts w:ascii="Arial" w:cs="Arial" w:eastAsia="Arial" w:hAnsi="Arial"/>
          <w:sz w:val="16"/>
          <w:szCs w:val="16"/>
          <w:color w:val="auto"/>
        </w:rPr>
      </w:pPr>
    </w:p>
    <w:p>
      <w:pPr>
        <w:ind w:left="1240" w:right="20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public shareholders to exercise redemption rights with respect to a large number of our shares may not allow us to complete the most desirable business combination or optimize our capital structure;</w:t>
      </w:r>
    </w:p>
    <w:p>
      <w:pPr>
        <w:spacing w:after="0" w:line="75" w:lineRule="exact"/>
        <w:rPr>
          <w:rFonts w:ascii="Arial" w:cs="Arial" w:eastAsia="Arial" w:hAnsi="Arial"/>
          <w:sz w:val="18"/>
          <w:szCs w:val="18"/>
          <w:color w:val="auto"/>
        </w:rPr>
      </w:pPr>
    </w:p>
    <w:p>
      <w:pPr>
        <w:jc w:val="both"/>
        <w:ind w:left="1240" w:right="300" w:hanging="415"/>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89" w:lineRule="exact"/>
        <w:rPr>
          <w:rFonts w:ascii="Arial" w:cs="Arial" w:eastAsia="Arial" w:hAnsi="Arial"/>
          <w:sz w:val="18"/>
          <w:szCs w:val="18"/>
          <w:color w:val="auto"/>
        </w:rPr>
      </w:pPr>
    </w:p>
    <w:p>
      <w:pPr>
        <w:ind w:left="1240" w:right="20" w:hanging="415"/>
        <w:spacing w:after="0" w:line="279"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76" w:lineRule="exact"/>
        <w:rPr>
          <w:rFonts w:ascii="Arial" w:cs="Arial" w:eastAsia="Arial" w:hAnsi="Arial"/>
          <w:sz w:val="17"/>
          <w:szCs w:val="17"/>
          <w:color w:val="auto"/>
        </w:rPr>
      </w:pPr>
    </w:p>
    <w:p>
      <w:pPr>
        <w:ind w:left="1240" w:right="140" w:hanging="415"/>
        <w:spacing w:after="0" w:line="286"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shareholders may receive only $10.00 per share, or less than such amount in certain circumstances;</w:t>
      </w:r>
    </w:p>
    <w:p>
      <w:pPr>
        <w:spacing w:after="0" w:line="70" w:lineRule="exact"/>
        <w:rPr>
          <w:rFonts w:ascii="Arial" w:cs="Arial" w:eastAsia="Arial" w:hAnsi="Arial"/>
          <w:sz w:val="17"/>
          <w:szCs w:val="17"/>
          <w:color w:val="auto"/>
        </w:rPr>
      </w:pPr>
    </w:p>
    <w:p>
      <w:pPr>
        <w:ind w:left="1240" w:right="40" w:hanging="415"/>
        <w:spacing w:after="0" w:line="259"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our initial business combination. If we have not completed our initial business combination within the required time period, our public shareholders may receive only approximately $10.00 per share, or less in certain circumstances, on our redemption of their shares;</w:t>
      </w:r>
    </w:p>
    <w:p>
      <w:pPr>
        <w:spacing w:after="0" w:line="92" w:lineRule="exact"/>
        <w:rPr>
          <w:rFonts w:ascii="Arial" w:cs="Arial" w:eastAsia="Arial" w:hAnsi="Arial"/>
          <w:sz w:val="18"/>
          <w:szCs w:val="18"/>
          <w:color w:val="auto"/>
        </w:rPr>
      </w:pPr>
    </w:p>
    <w:p>
      <w:pPr>
        <w:ind w:left="1240" w:right="100" w:hanging="415"/>
        <w:spacing w:after="0" w:line="259"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320" w:top="459" w:right="6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24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hanging="415"/>
        <w:spacing w:after="0" w:line="308" w:lineRule="auto"/>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search for a business combination, and any target business with which we ultimately consummate a business combination, may be materially adversely affected by the Covid-19 pandemic and other events and the status of debt and equity markets;</w:t>
      </w:r>
    </w:p>
    <w:p>
      <w:pPr>
        <w:spacing w:after="0" w:line="51" w:lineRule="exact"/>
        <w:rPr>
          <w:rFonts w:ascii="Arial" w:cs="Arial" w:eastAsia="Arial" w:hAnsi="Arial"/>
          <w:sz w:val="17"/>
          <w:szCs w:val="17"/>
          <w:color w:val="auto"/>
        </w:rPr>
      </w:pPr>
    </w:p>
    <w:p>
      <w:pPr>
        <w:ind w:left="124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initial business combination or reincorporation may result in taxes imposed on shareholders;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face risks related to companies in the biotechnology industry;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dependent upon our directors and officers and their departure could adversely affect our ability to operate;</w:t>
      </w:r>
    </w:p>
    <w:p>
      <w:pPr>
        <w:spacing w:after="0" w:line="130" w:lineRule="exact"/>
        <w:rPr>
          <w:rFonts w:ascii="Arial" w:cs="Arial" w:eastAsia="Arial" w:hAnsi="Arial"/>
          <w:sz w:val="18"/>
          <w:szCs w:val="18"/>
          <w:color w:val="auto"/>
        </w:rPr>
      </w:pPr>
    </w:p>
    <w:p>
      <w:pPr>
        <w:jc w:val="both"/>
        <w:ind w:left="1240" w:right="16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directors and officers will allocate their time to other businesses, thereby causing conflicts of interest in their determination as to how much time to devote to our affairs. These conflicts of interest could have a negative impact on our ability to complete our initial business combination;</w:t>
      </w:r>
    </w:p>
    <w:p>
      <w:pPr>
        <w:spacing w:after="0" w:line="89" w:lineRule="exact"/>
        <w:rPr>
          <w:rFonts w:ascii="Arial" w:cs="Arial" w:eastAsia="Arial" w:hAnsi="Arial"/>
          <w:sz w:val="18"/>
          <w:szCs w:val="18"/>
          <w:color w:val="auto"/>
        </w:rPr>
      </w:pPr>
    </w:p>
    <w:p>
      <w:pPr>
        <w:ind w:left="1240" w:right="30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of our directors and officers are now, and expect in the future to become, affiliated with certain entities engaged in business activities similar to those intended to be conducted by us and, accordingly, may have conflicts of interest in determining to which entity a particular business opportunity should be presented;</w:t>
      </w:r>
    </w:p>
    <w:p>
      <w:pPr>
        <w:spacing w:after="0" w:line="89"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75" w:lineRule="exact"/>
        <w:rPr>
          <w:rFonts w:ascii="Arial" w:cs="Arial" w:eastAsia="Arial" w:hAnsi="Arial"/>
          <w:sz w:val="18"/>
          <w:szCs w:val="18"/>
          <w:color w:val="auto"/>
        </w:rPr>
      </w:pPr>
    </w:p>
    <w:p>
      <w:pPr>
        <w:ind w:left="1240" w:right="64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75"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 newly incorporated company with no operating history and no revenues, and you have no basis on which to evaluate our ability to achieve our business objective;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 and</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past performance by our management team and their respective affiliates may not be indicative of future performance of an investment in our company.</w:t>
      </w:r>
    </w:p>
    <w:p>
      <w:pPr>
        <w:spacing w:after="0" w:line="170"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 Rule 419.”</w:t>
      </w:r>
    </w:p>
    <w:p>
      <w:pPr>
        <w:spacing w:after="0" w:line="19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You should carefully consider these and the other risks set forth in the section entitled “Risk Factors” in this 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32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31" w:lineRule="exact"/>
        <w:rPr>
          <w:sz w:val="20"/>
          <w:szCs w:val="20"/>
          <w:color w:val="auto"/>
        </w:rPr>
      </w:pPr>
    </w:p>
    <w:p>
      <w:pPr>
        <w:ind w:left="1240" w:right="58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“amended and restated memorandum and articles of association” are to our amended and restated memorandum and articles of association to be in effect upon completion of this offering;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“Companies Act” are to the Companies Act (As Revised) of the Cayman Islands as the same may be amended from time to time;</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“directors” are to our current directors and our director nominee named in this prospectus;</w:t>
      </w:r>
    </w:p>
    <w:p>
      <w:pPr>
        <w:spacing w:after="0" w:line="130" w:lineRule="exact"/>
        <w:rPr>
          <w:rFonts w:ascii="Arial" w:cs="Arial" w:eastAsia="Arial" w:hAnsi="Arial"/>
          <w:sz w:val="18"/>
          <w:szCs w:val="18"/>
          <w:color w:val="auto"/>
        </w:rPr>
      </w:pPr>
    </w:p>
    <w:p>
      <w:pPr>
        <w:ind w:left="1240" w:right="40" w:hanging="415"/>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“founder shares” are to our Class B ordinary shares initially purchased by our sponsor in a private placement prior to this offering and our Class A ordinary shares that will be issued upon the conversion thereof as provided herein (for the avoidance of doubt, such Class A ordinary shares will not be “public shares”);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“initial shareholders” are to our sponsor and the other holders of our founder shares prior to this offering (if any);</w:t>
      </w:r>
    </w:p>
    <w:p>
      <w:pPr>
        <w:spacing w:after="0" w:line="130" w:lineRule="exact"/>
        <w:rPr>
          <w:rFonts w:ascii="Arial" w:cs="Arial" w:eastAsia="Arial" w:hAnsi="Arial"/>
          <w:sz w:val="18"/>
          <w:szCs w:val="18"/>
          <w:color w:val="auto"/>
        </w:rPr>
      </w:pPr>
    </w:p>
    <w:p>
      <w:pPr>
        <w:ind w:left="1240" w:right="54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“letter agreement” are to the letter agreement, the form of which is filed as an exhibit to the registration statement of which this prospectus forms a part;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or our “management team” are to our directors and officers;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shares” are to our Class A ordinary shares and our Class B ordinary shares;</w:t>
      </w:r>
    </w:p>
    <w:p>
      <w:pPr>
        <w:spacing w:after="0" w:line="130" w:lineRule="exact"/>
        <w:rPr>
          <w:rFonts w:ascii="Arial" w:cs="Arial" w:eastAsia="Arial" w:hAnsi="Arial"/>
          <w:sz w:val="18"/>
          <w:szCs w:val="18"/>
          <w:color w:val="auto"/>
        </w:rPr>
      </w:pPr>
    </w:p>
    <w:p>
      <w:pPr>
        <w:ind w:left="1240" w:right="100" w:hanging="415"/>
        <w:spacing w:after="0" w:line="259"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“private placement shares” are to the Class A ordinary shares to be issued to our sponsor in a private placement to occur concurrently with the closing of this offering (which private placement shares are identical to the Class A ordinary shares sold in this offering, subject to certain limited exceptions as described in this prospectus) (for the avoidance of doubt, such private placement shares will not be “public shares”);</w:t>
      </w:r>
    </w:p>
    <w:p>
      <w:pPr>
        <w:spacing w:after="0" w:line="92" w:lineRule="exact"/>
        <w:rPr>
          <w:rFonts w:ascii="Arial" w:cs="Arial" w:eastAsia="Arial" w:hAnsi="Arial"/>
          <w:sz w:val="18"/>
          <w:szCs w:val="18"/>
          <w:color w:val="auto"/>
        </w:rPr>
      </w:pPr>
    </w:p>
    <w:p>
      <w:pPr>
        <w:ind w:left="1240" w:right="80" w:hanging="415"/>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shareholders” are to the holders of our public shares, including our sponsor, directors and officers to the extent our sponsor, directors or officers purchase public shares, provided their status as a “public shareholder” shall only exist with respect to such public shares;</w:t>
      </w:r>
    </w:p>
    <w:p>
      <w:pPr>
        <w:spacing w:after="0" w:line="89"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shares” are to our Class A ordinary shares sold in this offering (whether they are purchased in this offering or thereafter in the open market);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“Social Capital” are to Social Capital Holdings Inc. and, where applicable, its affiliates;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“sponsor” are to SCS Sponsor III LLC, a Cayman Islands limited liability company and an affiliate of Social Capital and Suvretta;</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“Suvretta” are to Suvretta Capital Management, LLC and, where applicable, its affiliates;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“us,” “our” or our “company” are to Social Capital Suvretta Holdings Corp. III, a Cayman Islands exempted company.</w:t>
      </w:r>
    </w:p>
    <w:p>
      <w:pPr>
        <w:spacing w:after="0" w:line="237"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All references in this prospectus to shares of the company being forfeited shall take effect as surrenders for no consideration of such shares as a matter of Cayman Islands law. All references to the conversion of our Class B ordinary shares shall take effect as a redemption of such Class B ordinary shares and issuance of the corresponding Class A ordinary shares as a matter of Cayman Islands law. Any share dividends described in this prospectus shall take effect as share capitalizations as a matter of Cayman Islands law. Unless we tell you otherwise, the information in this prospectus assumes that the underwriter will not exercise its over-allotment option and the forfeiture by our sponsor of 750,000 founder shares.</w:t>
      </w: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320" w:top="459" w:right="6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Class A ordinary shares. If any of the following events occur, our business, financial condition and operating results may be materially adversely affected, the trading price of our securities could decline, and you could lose all or part of your investment.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Search for, Consummation of or Inability to Consummate, a Business Combination</w:t>
      </w:r>
    </w:p>
    <w:p>
      <w:pPr>
        <w:spacing w:after="0" w:line="12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Our public shareholders may not be afforded an opportunity to vote on our proposed initial business combination, which means we may complete our initial business combination even though a majority of our public shareholders do not support such a combination.</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not hold a shareholder vote to approve our initial business combination unless the business combination would require shareholder approval under applicable law or stock exchange rules or if we decide to hold a shareholder vote for business or other reasons. For instance, the Nasdaq listing rules currently allow us to engage in a tender offer in lieu of a general meeting, but would still require us to obtain shareholder approval if we were seeking to issue more than 20% of our issued and outstanding shares to a target business as consideration in any business combination. Therefore, if we were structuring a business combination that required us to issue more than 20% of our issued and outstanding shares, we would seek shareholder approval of such business combination. However, except as required by applicable law or stock exchange rules,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consummate our initial business combination even if holders of a majority of the issued and outstanding ordinary shares do not approve of the business combination we consummate. Please see the section entitled “Proposed Business — Effecting Our Initial Business Combination — Shareholders may not have the ability to approve our initial business combination” for additional information.</w:t>
      </w:r>
    </w:p>
    <w:p>
      <w:pPr>
        <w:spacing w:after="0" w:line="2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initial shareholders, directors and officers have agreed to vote in favor of such initial business combination, regardless of how our public shareholders vote.</w:t>
      </w:r>
    </w:p>
    <w:p>
      <w:pPr>
        <w:spacing w:after="0" w:line="62"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Unlike some other blank check companies in which the initial shareholders agree to vote their founder shares in accordance with the majority of the votes cast by the public shareholders in connection with an initial business combination, our initial shareholders, directors and officers have agreed (and their permitted transferees will agree), pursuant to the terms of a letter agreement entered into with us, to vote their founder shares, private placement shares and any public shares held by them in favor of our initial business combination. As a result, in addition to our initial shareholders’ founder shares and the private placement shares, we would need 7,200,001, or 36.0% (assuming all issued and outstanding shares are voted and the over-allotment option is not exercised), or 800,001, or 4.0% (assuming only the minimum number of shares representing a quorum are voted and the over-allotment option is not exercised), of the 20,000,000 public shares sold in this offering to be voted in favor of an initial business combination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approximately 21.9% of our issued and outstanding ordinary shares (including the private placement shares and assuming they do not purchase any public shares in this offering)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b w:val="1"/>
          <w:bCs w:val="1"/>
          <w:i w:val="1"/>
          <w:iCs w:val="1"/>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spacing w:after="0" w:line="3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300"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3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 will not be adjusted for any shares that are redeemed in connection with a business combination and such amount of deferred underwriting discount is not available for us to use as consideration in an initial business combination. If we are able to consummate an initial business combination, the per-share value of shares held by non-redeeming shareholders will reflect our obligation to pay and the payment of the deferred underwriting commissions. Furthermore, in no event will we redeem our public shares in an amount that would cause our net tangible assets to be less than $5,000,001 following such redemptions, or any greater net tangible asset or cash requirement that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7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 Raising additional third-party financing may involve dilutive equity issuances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In addition,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292"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286"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7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end of the 24-month period. In addition, we may have limited time to conduct due diligence and may enter into our initial business combination on terms that we would have rejected upon a more comprehensive investigation.</w:t>
      </w:r>
    </w:p>
    <w:p>
      <w:pPr>
        <w:spacing w:after="0" w:line="30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shareholders may receive only $10.00 per share, or less than such amount in certain circumstances.</w:t>
      </w:r>
    </w:p>
    <w:p>
      <w:pPr>
        <w:spacing w:after="0" w:line="76"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Our sponsor, directors and officers have agreed that we must complete our initial business combination within 24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equity and debt markets and the other risks described herein, including as a result of terrorist attacks, natural disasters or a significant outbreak of infectious diseases. For example, Covid-19 continues to spread both in the U.S. and globally and, while the extent of the impact of the pandemic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Covid-19 pandemic and other events (such as terrorist attacks, natural disasters or a significant outbreak of other infectious diseases) may negatively impact businesses we may seek to acquire.</w:t>
      </w:r>
    </w:p>
    <w:p>
      <w:pPr>
        <w:spacing w:after="0" w:line="19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we have not completed our initial business combination within such time period or during any Extension Period, we will: (1) cease all operations except for the purpose of winding up; (2) as promptly as reasonably possible but not more than 10 business days thereafter, redeem the public shares, at a per-share price, payable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In such case, our public shareholders may receive only $10.00 per share, or less than $10.00 per share, on the redemption of their shares. See “— If third parties bring claims against us, the proceeds held in the trust account could be reduced and the per-share redemption amount received by shareholders may be less than $10.00 per share” and other risk factors herein.</w:t>
      </w:r>
    </w:p>
    <w:p>
      <w:pPr>
        <w:spacing w:after="0" w:line="286" w:lineRule="exact"/>
        <w:rPr>
          <w:sz w:val="20"/>
          <w:szCs w:val="20"/>
          <w:color w:val="auto"/>
        </w:rPr>
      </w:pPr>
    </w:p>
    <w:p>
      <w:pPr>
        <w:ind w:left="120" w:right="40"/>
        <w:spacing w:after="0" w:line="375" w:lineRule="auto"/>
        <w:rPr>
          <w:sz w:val="20"/>
          <w:szCs w:val="20"/>
          <w:color w:val="auto"/>
        </w:rPr>
      </w:pPr>
      <w:r>
        <w:rPr>
          <w:rFonts w:ascii="Arial" w:cs="Arial" w:eastAsia="Arial" w:hAnsi="Arial"/>
          <w:sz w:val="15"/>
          <w:szCs w:val="15"/>
          <w:b w:val="1"/>
          <w:bCs w:val="1"/>
          <w:i w:val="1"/>
          <w:iCs w:val="1"/>
          <w:color w:val="auto"/>
        </w:rPr>
        <w:t>If we seek shareholder approval of our initial business combination, our sponsor, directors, officers, advisors or any of their respective affiliates may elect to purchase public shares, which may influence a vote on a proposed business combination and reduce the public “float” of our securities.</w:t>
      </w:r>
    </w:p>
    <w:p>
      <w:pPr>
        <w:spacing w:after="0" w:line="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officers, advisors or any of their respective affiliates may purchase public shares in privately negotiated transactions or in the open market either prior to or following the completion of our initial business combination. Any such price per share may be different than the amount per share a public shareholder would receive if it elected to redeem its shares in connection with our initial business combination. Additionally, at any time at or prior to our initial business combination, subject to applicable securities laws (including with respect to material nonpublic information), our sponsor, directors, officers, advisors or any of their respective affiliates may enter into transactions with investors and others to provide them with incentives to acquire public shares, vote their public shares in favor of our initial business combination or not redeem their public shares. However, our sponsor, directors, officers, advisors or any of their respective affiliates are under no obligation or duty to do so and they have no current commitments, plans or intentions to engage in any such transactions and have not formulated any terms or conditions for any such transactions. See “Proposed Business — Permitted purchases and other transactions with respect to our securities” for a description of how our sponsor, directors, officers, advisors or any of their respective affiliates will select which shareholders to enter into private transactions with.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16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In addition, if such purchases are made, the public “float” of our securities and the number of beneficial holders of our securities may be reduced, possibly making it difficult to maintain or obtain the quotation, listing or trading of our securities on a national securities exchange.</w:t>
      </w:r>
    </w:p>
    <w:p>
      <w:pPr>
        <w:spacing w:after="0" w:line="254"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76" w:lineRule="exact"/>
        <w:rPr>
          <w:sz w:val="20"/>
          <w:szCs w:val="20"/>
          <w:color w:val="auto"/>
        </w:rPr>
      </w:pPr>
    </w:p>
    <w:p>
      <w:pPr>
        <w:jc w:val="both"/>
        <w:ind w:left="120" w:right="300" w:firstLine="440"/>
        <w:spacing w:after="0" w:line="27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7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“Proposed Business — Manner of Conducting Redemptions — Tendering share certificates in connection with a tender offer or redemption rights.”</w:t>
      </w:r>
    </w:p>
    <w:p>
      <w:pPr>
        <w:spacing w:after="0" w:line="303"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b w:val="1"/>
          <w:bCs w:val="1"/>
          <w:i w:val="1"/>
          <w:iCs w:val="1"/>
          <w:color w:val="auto"/>
        </w:rPr>
        <w:t>Because of our limited resources and the significant competition for business combination opportunities, it may be more difficult for us to complete our initial business combination. If we have not completed our initial business combination within the required time period, our public shareholders may receive only approximately $10.00 per share, or less in certain circumstances, on our redemption of their shares.</w:t>
      </w:r>
    </w:p>
    <w:p>
      <w:pPr>
        <w:spacing w:after="0" w:line="4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(including DNAA, DNAB and DNAD, each of which is focused on pursuing an initial business combination with a target operating in the biotechnology industry)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shares,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public shares, it will potentially reduce the resources available to us for our initial business combination. Any of these obligations may place us at a competitive disadvantage in successfully negotiating a business combination. If we have not completed our initial business combination within the required time period, our public shareholders may receive only approximately $10.00 per share, or less in certain circumstances, on the liquidation of our trust account. See “— If third parties bring claims against us, the proceeds held in the trust account could be reduced and the per-share redemption amount received by shareholders may be less than $10.00 per share” and other risk factors herein.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 and there may be more competition for attractive targets. This could increase the cost of our initial business combination and could even result in our inability to find a target or to consummate an initial business combination.</w:t>
      </w:r>
    </w:p>
    <w:p>
      <w:pPr>
        <w:spacing w:after="0" w:line="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effort and resources to identify a suitable target and consummate an initial business combination.</w:t>
      </w:r>
    </w:p>
    <w:p>
      <w:pPr>
        <w:spacing w:after="0" w:line="188"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w:t>
      </w:r>
    </w:p>
    <w:p>
      <w:pPr>
        <w:spacing w:after="0" w:line="28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the funds not being held in the trust account are insufficient to allow us to operate for at least the 24 months following the closing of this offering, we may be unable to complete our initial business combination.</w:t>
      </w:r>
    </w:p>
    <w:p>
      <w:pPr>
        <w:spacing w:after="0" w:line="6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for at least the 24 months following the closing of this offering,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believe that, upon the closing of this offering, the funds available to us outside of the trust account will be sufficient to allow us to operate for at least the 24 months following the closing of this offering; however, we cannot assure you that our estimate is accurate. Of the funds available to us, we could use a portion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have not completed our initial business combination within the required time period, our public shareholders may receive only approximately $10.00 per share, or less in certain circumstances, on the liquidation of our trust account. See “— If third parties bring claims against us, the proceeds held in the trust account could be reduced and the per-share redemption amount received by shareholders may be less than $10.00 per share” and other risk factors herein.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b w:val="1"/>
          <w:bCs w:val="1"/>
          <w:i w:val="1"/>
          <w:iCs w:val="1"/>
          <w:color w:val="auto"/>
        </w:rPr>
        <w:t>If the net proceeds of this offering and the sale of the private placement shares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w:t>
      </w:r>
    </w:p>
    <w:p>
      <w:pPr>
        <w:spacing w:after="0" w:line="4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Of the net proceeds of this offering and the sale of the private placement shares, only approximately $1,000,000 will be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to loan funds to, or otherwise invest in, us in such circumstances. Any such loans may be repaid only from funds held outside the trust account or from funds released to us upon completion of our initial business combination. If we have not completed our initial business combination within the required time period because we do not have sufficient funds available to us, we will be forced to cease operations and liquidate the trust account. In such case, our public shareholders may receive only $10.00 per share, or less in certain circumstances. See “— If third parties bring claims against us, the proceeds held in the trust account could be reduced and the per-share redemption amount received by shareholders may be less than $10.00 per share” and other risk factors herein.</w:t>
      </w:r>
    </w:p>
    <w:p>
      <w:pPr>
        <w:spacing w:after="0" w:line="2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62"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In recent months, 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and complete an initial business combination. In order to obtain directors and officers liability insurance or modify its coverage as a result of becoming a public company, the post-business combination entity might need to incur greater expense and/or accept less favorable terms. Furthermore,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addition, after completion of any initial business combination, our directors and officers could be subject to potential liability from claims arising from conduct alleged to have occurred prior to such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make more expensive our ability to consummate an initial business combination.</w:t>
      </w:r>
    </w:p>
    <w:p>
      <w:pPr>
        <w:spacing w:after="0" w:line="29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62"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will seek to have all vendors, service providers (other than our independent auditors), prospective target businesses and other entities with which we do business execute agreements with us waiving any right, title, interest or claim of any kind in or to any monies held in the trust account for the benefit of our public</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spacing w:after="0" w:line="164"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completed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sponsor has agreed that it will be liable to us if and to the extent any claims by a third party (other than our independent auditors) for services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rendered or products sold to us, or a prospective target business with which we have discussed entering into a transaction agreement, reduce the amount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funds in the trust account to below (1) $10.00 per public share or (2) such lesser amount per public share held in the trust account as of the date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liquidation of the trust account due to reductions in the value of the trust assets, in each case net of the interest which may be withdrawn to pay taxes,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except as to any claims by a third party that executed a waiver of any and all rights to seek access to the trust account and except as to any claims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indemnity of the underwriter of this offering against certain liabilities, including liabilities under the Securities Act. Moreover, in the event that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executed waiver is deemed to be unenforceable against a third party, our sponsor will not be responsible to the extent of any liability for such third-party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claims. We have not independently verified whether our sponsor has sufficient funds to satisfy its indemnity obligations and believe that our sponsor’s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only assets are securities of our company. Our sponsor may not have sufficient funds available to satisfy those obligations. We have not asked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sponsor to reserve for such obligations, and therefore, no funds are currently set aside to cover any such obligations. As a result, if any such claims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successfully made against the trust account, the funds available for our initial business combination and redemptions could be reduced to less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 per public share. In such event, we may not be able to complete our initial business combination, and you would receive such lesser amount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public share in connection with any redemption of your public shares. None of our directors or officers will indemnify us for claims by third parties,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 without limitation, claims by vendors and prospective target businesses.</w:t>
      </w:r>
    </w:p>
    <w:p>
      <w:pPr>
        <w:spacing w:after="0" w:line="31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(1) $10.00 per public share or (2) such lesser amount per public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29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6"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The proceeds held in the trust account will be invested only in U.S. government treasury bills with a maturity of 185 days or less or in money market funds investing solely in U.S. Treasuries.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28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7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spacing w:after="0" w:line="296"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If, after distributing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after distributing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375"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which may make it difficult for us to complete our initial business combination.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 to which we are currently not subject.</w:t>
      </w:r>
    </w:p>
    <w:p>
      <w:pPr>
        <w:spacing w:after="0" w:line="24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The proceeds held in the trust account may be invested by the trustee only in U.S. government treasury bills with a maturity of 185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have not completed our initial business combination within the required time period, our public shareholders may receive only approximately $10.00 per share, or less in certain circumstances, on the liquidation of our trust account.</w:t>
      </w:r>
    </w:p>
    <w:p>
      <w:pPr>
        <w:spacing w:after="0" w:line="2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have not completed our initial business combination within the allotted time period, our public shareholders may be forced to wait beyond such allotted time period before redemption from our trust account.</w:t>
      </w:r>
    </w:p>
    <w:p>
      <w:pPr>
        <w:spacing w:after="0" w:line="62"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If we have not completed our initial business combination within 24 months from the closing of this offering or during any Extension Period,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 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the allotted time period before the redemption proceeds of our trust account become available to them and they receive the return of their</w:t>
      </w:r>
    </w:p>
    <w:p>
      <w:pPr>
        <w:spacing w:after="0" w:line="1" w:lineRule="exact"/>
        <w:rPr>
          <w:sz w:val="20"/>
          <w:szCs w:val="20"/>
          <w:color w:val="auto"/>
        </w:rPr>
      </w:pPr>
    </w:p>
    <w:p>
      <w:pPr>
        <w:ind w:left="120" w:right="80"/>
        <w:spacing w:after="0" w:line="292" w:lineRule="auto"/>
        <w:rPr>
          <w:sz w:val="20"/>
          <w:szCs w:val="20"/>
          <w:color w:val="auto"/>
        </w:rPr>
      </w:pPr>
      <w:r>
        <w:rPr>
          <w:rFonts w:ascii="Arial" w:cs="Arial" w:eastAsia="Arial" w:hAnsi="Arial"/>
          <w:sz w:val="16"/>
          <w:szCs w:val="16"/>
          <w:color w:val="auto"/>
        </w:rPr>
        <w:t>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then only in cases where investors have properly sought to redeem their Class A ordinary shares. Only upon our redemption or any liquidation will public shareholders be entitled to distributions if we have not completed our initial business combination within the required time period and do not amend certain provisions of our amended and restated memorandum and articles of association prior thereto.</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up to approximately $18,300 and to imprisonment for up to five years in the Cayman Islands.</w:t>
      </w:r>
    </w:p>
    <w:p>
      <w:pPr>
        <w:spacing w:after="0" w:line="273"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may not hold an annual general meeting until after the consummation of our initial business combination. Our public shareholders will not have the right to elect or remove directors prior to the consummation of our initial business combination.</w:t>
      </w:r>
    </w:p>
    <w:p>
      <w:pPr>
        <w:spacing w:after="0" w:line="3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one year after our first fiscal year end following our listing on Nasdaq. There is no requirement under the Companies Act for us to hold annual or general meetings to appoint directors. Until we hold an annual general meeting, public shareholders may not be afforded the opportunity to discuss company affairs with management. In addition, as holders of our Class A ordinary shares, our public shareholders and private placement shareholders will not have the right to vote on the appointment of directors prior to consummation of our initial business combination. In addition, holders of a majority of our founder shares may remove a member of our board of directors for any reason.</w:t>
      </w:r>
    </w:p>
    <w:p>
      <w:pPr>
        <w:spacing w:after="0" w:line="286"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Because we are not limited to a particular industry, subsector therein, geographic area or any specific target businesses with which to pursue our initial business combination, you will be unable to ascertain the merits or risks of any particular target business’s operations.</w:t>
      </w:r>
    </w:p>
    <w:p>
      <w:pPr>
        <w:spacing w:after="0" w:line="1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Although we expect to focus our search for a target business in the biotechnology industry and within a particular subsector (as further detailed in the sections entitled “Proposed Business — The Private Biotechnology Company Landscape” and “Proposed Business — Our Proposed Biotechnology Subsector Focus”), we may seek to complete a business combination with an operating company of any size (subject to our satisfaction of the 80% of net assets test) and in any industry, subsector therein or geographic area. However, we will not, under our amended and restated memorandum and articles of association, be permitted to effectuate our initial business combination solely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development stage entity. Although our directors and officers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securities will not ultimately prove to be less favorable to our investors than a direct investment, if such opportunity were available, in a business combination target. Accordingly, any shareholder who chooses to remain a shareholder following our initial</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combination could suffer a reduction in the value of their securities. Such shareholders may not have a remedy for such reduction in value.</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seek acquisition opportunities outside the biotechnology industry, which may be outside of our management’s areas of expertise.</w:t>
      </w:r>
    </w:p>
    <w:p>
      <w:pPr>
        <w:spacing w:after="0" w:line="14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will consider a business combination outside the biotechnology industry and/or our intended subsector focus (for more information about the biotechnology industry and our intended subsector focus, see the sections entitled “Proposed Business — The Private Biotechnology Company Landscape” and “Proposed Business — Our Proposed Biotechnology Subsector Focus”), which may be outside of our management’s areas of expertise, if a business combination candidate is presented to us and we determine that such candidate offers an attractive acquisition opportunity for our company. In the event we elect to pursue such an acquisition,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shareholder who chooses to remain a shareholder following our initial business combination could suffer a reduction in the value of their securities. Such shareholders may not have a remedy for such reduction in value.</w:t>
      </w:r>
    </w:p>
    <w:p>
      <w:pPr>
        <w:spacing w:after="0" w:line="274"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requirements, or we decide to obtain shareholder approval for business or other reasons, it may be more difficult for us to attain shareholder approval of our initial business combination if the target business does not meet our general criteria and guidelines. If we have not completed our initial business combination within the required time period, our public shareholders may receive only approximately $10.00 per share, or less in certain circumstances, on the liquidation of our trust account.</w:t>
      </w:r>
    </w:p>
    <w:p>
      <w:pPr>
        <w:spacing w:after="0" w:line="276"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Covid-19 pandemic and other events and the status of debt and equity markets.</w:t>
      </w:r>
    </w:p>
    <w:p>
      <w:pPr>
        <w:spacing w:after="0" w:line="3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Covid-19 pandemic has adversely affected, and other events (such as terrorist attacks, natural disasters or a significant outbreak of other infectious diseases) could adversely affect, economies and financial markets worldwide, business operations and the conduct of commerce generally, and the business of any potential target business with which we consummate a business combination could be, or may already have been, materially and adversely affected. Furthermore, we may be unable to complete a business combination if concerns relating to Covid-19 continue to restrict travel, limit the ability to have meetings with potential investors or limit the ability to conduct due diligence,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including new information which may emerge concerning Covid-19 and the actions being taken to contain Covid-19 or treat its impact, among others. While vaccines for Covid-19 are being and have been developed, there is no guarantee that any such vaccine will be durable and effective consistent with current expectations, and we expect it may take significant time before the vaccines are available and accepted on a significant scale. If the disruptions posed by Covid-19 or other events (such as terrorist attacks, natural disasters or a significant outbreak of other infectious diseases) continue for a prolonged period of time, our ability to consummate a business combination, or the operations of a target business with which we ultimately consummate a business combination, may be materially adversely affected.</w:t>
      </w:r>
    </w:p>
    <w:p>
      <w:pPr>
        <w:spacing w:after="0" w:line="178"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addition, our ability to consummate a transaction may be dependent on the ability to raise equity and debt financing which may be impacted by Covid-19 and other events (such as terrorist attacks, natural disasters or a significant outbreak of other infectious diseases), including as a result of increased market volatility and decreased market liquidity and third-party financing being unavailable on terms acceptable to us or at all.</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Finally, the Covid-19 pandemic may also have the effect of heightening many of the other risks described in this “Risk Factors” section, such as those related to the market for our securities and cross-border transactions.</w:t>
      </w:r>
    </w:p>
    <w:p>
      <w:pPr>
        <w:spacing w:after="0" w:line="27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may seek acquisition opportunities with an early stage company, a financially unstable business or an entity lacking an established record of revenue or earnings.</w:t>
      </w:r>
    </w:p>
    <w:p>
      <w:pPr>
        <w:spacing w:after="0" w:line="6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product, technology or business model and with limited historical financial data, volatile revenues or earnings, intense competition, difficulties in obtaining and retaining key personnel, scientific challenges and regulatory hurdles. Although our directors and officers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274"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Any due diligence in connection with an initial business combination may not reveal all relevant considerations or liabilities of a target business, which could have a material adverse effect on our business, financial condition, results of operations and prospects.</w:t>
      </w:r>
    </w:p>
    <w:p>
      <w:pPr>
        <w:spacing w:after="0" w:line="1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intend to conduct such due diligence as we deem reasonably practicable and appropriate based on the target business and the facts and circumstances applicable to the proposed transaction prior to any initial business combination. The objective of the due diligence process will be to identify material issues which might affect the decision to proceed with an initial business combination or the consideration payable in connection with such initial business combination. We also intend to use information provided during the due diligence process to formulate our business and operational planning for, and valuation of, any target company or business. While conducting due diligence and assessing a potential target business, we will rely on publicly available information (if any), information provided by the relevant target business to the extent provided and, in some circumstances, third-party studies.</w:t>
      </w:r>
    </w:p>
    <w:p>
      <w:pPr>
        <w:spacing w:after="0" w:line="195"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 due diligence undertaken with respect to a potential initial business combination may not reveal all relevant facts that may be necessary to evaluate such transaction or to formulate a business strategy. Furthermore, the information provided during due diligence may not be adequate or accurate. As part of the due diligence process, we will also make subjective judgments regarding the results of operations, financial condition and prospects of a potential initial business combination, and these judgments may be inaccurate.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Due diligence conducted in connection with an initial business combination may not result in the initial business combination being successful. If the due diligence investigation fails to identify material information regarding an opportunity, or if we consider such material risks to be commercially acceptable relative to the opportunity, and we proceed with an initial business combination, our company may subsequently incur substantial impairment charges or other losses. In addition, following an initial business combination, we may be subject to significant, previously undisclosed liabilities of the acquired business that were not identified during due diligence and which could have a material adverse effect on our business, financial condition, results of operations and prospects.</w:t>
      </w:r>
    </w:p>
    <w:p>
      <w:pPr>
        <w:spacing w:after="0" w:line="30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are not required to obtain an opinion regarding fairness. Consequently, you may have no assurance from an independent source that the price we are paying for the business is fair to our company from a financial point of view.</w:t>
      </w:r>
    </w:p>
    <w:p>
      <w:pPr>
        <w:spacing w:after="0" w:line="6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Unless we complete our initial business combination with an affiliated entity, we are not required to obtain an opinion that the price we are paying is fair to our company from a financial point of view. If no opinion is obtained, our shareholders will be relying on the judgment of our board of directors, which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27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acquisitions that are not completed, which could materially adversely affect subsequent attempts to locate and acquire or merge with another business. If we have not completed our initial business combination within the required time period, our public shareholders may receive only approximately $10.00 per share, or less than such amount in certain circumstances, on the liquidation of our trust account.</w:t>
      </w:r>
    </w:p>
    <w:p>
      <w:pPr>
        <w:spacing w:after="0" w:line="7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have not completed our initial business combination within the required time period, our public shareholders may receive only approximately $10.00 per share, or less in certain circumstances, on the liquidation of our trust account.</w:t>
      </w:r>
    </w:p>
    <w:p>
      <w:pPr>
        <w:spacing w:after="0" w:line="28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sponsor, directors or officers, which may raise potential conflicts of interest.</w:t>
      </w:r>
    </w:p>
    <w:p>
      <w:pPr>
        <w:spacing w:after="0" w:line="6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light of the involvement of our sponsor, directors and officers with other entities, we may decide to acquire one or more businesses affiliated with our sponsor, directors and officers. Certain of our directors and officers also serve as officers and board members for other entities, including those described under “Management — Conflicts of Interest.” Such entities, including DNAA, DNAB and DNAD (each of which is focused on pursuing an initial business combination with a target operating in the biotechnology industry)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certain other blank check companies sponsored by Social Capital, may compete with us for business combination opportunities. Our sponsor, directors and officers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and guidelines for a business combination as set forth in “Proposed Business — Effecting Our Initial Business Combination — Selection of a target business and structuring of our initial business combination” and such transaction was approved by a majority of our independent and disinterested directors. Despite our agreement that we, or a committee of independent and disinterested directors, will obtain an opinion from an independent investment banking firm or another valuation or appraisal firm that regularly renders fairness opinions on the type of target business we are seeking to acquire, regarding the fairness to our company from a financial point of view of a business combination with one or more businesses affiliated with our sponsor, directors or officers, potential conflicts of interest still may exist and, as a result, the terms of the business combination may not be as advantageous to our public shareholders as they would be absent any conflicts of interest.</w:t>
      </w:r>
    </w:p>
    <w:p>
      <w:pPr>
        <w:spacing w:after="0" w:line="280"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Since our initial shareholders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March 2, 2021, our sponsor subscribed for an aggregate of 5,750,000 founder shares for an aggregate purchase price of $25,000, or</w:t>
      </w:r>
    </w:p>
    <w:p>
      <w:pPr>
        <w:spacing w:after="0" w:line="35"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auto"/>
        </w:rPr>
        <w:t>approximately $0.004 per share. In 2021, our sponsor transferred founder shares to Marc Semigran, our independent director nominee. Our initial shareholders will collectively own approximately 21.9% of our issued and outstanding shares after this offering (including the private placement shares and assuming they do not purchase any public shares in this offering). If we increase or decrease the size of this offering, we will effect a capitalization or share repurchase or redemption or other appropriate mechanism, as applicable, immediately prior to the consummation of this offering in such amount as to maintain the number of founder shares at 20% of our issued and outstanding ordinary shares (excluding the private placement shares) upon the consummation of this offering. The founder shares will be worthless if we do not complete an initial business combination.</w:t>
      </w:r>
    </w:p>
    <w:p>
      <w:pPr>
        <w:spacing w:after="0" w:line="16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our sponsor has committed to purchase an aggregate of 600,000 private placement shares, at $10.00 per share, for a purchase price of $6,000,000 in the aggregate, which will also be worthless if we do not complete a business combination.</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founder shares are identical to the Class A ordinary shares being sold in this offering except that: (1) prior to our initial business combination, only holders of the founder shares have the right to vote on the appointment of directors and holders of a majority of our founder shares may remove a member of our board of directors for any reason; (2) the founder shares are subject to certain transfer restrictions contained in a letter agreement that our initial shareholders, directors and officers have entered into with us; (3) pursuant to such letter agreement, our initial shareholders, directors and officers have agreed to waive: (i) their redemption rights with respect to any founder shares, private placement shares and public shares held by them, as applicable, in connection with the completion of our initial business combination; (ii) their redemption rights with respect to any founder shares, private placement shares and public shares held by them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and (iii) their rights to liquidating distributions from the trust account with respect to any founder shares and private placement shares they hold if we fail to complete our initial business combination within 24 months from the closing of this offering or during any Extension Period (although they will be entitled to liquidating distributions from the trust account with respect to any public shares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they hold if we fail to complete our initial business combination within the prescribed time frame); (4) the founder shares will automatically convert into our Class A ordinary shares at the time of our initial business combination, or earlier at the option of the holder, on a one-for-one basis, subject to adjustment pursuant to certain anti-dilution rights; and (5) the founder shares are entitled to registration rights. If we submit our initial business combination to our public shareholders for a vote, our initial shareholders have agreed (and their permitted transferees will agree), pursuant to the terms of a letter agreement entered into with us, to vote their founder shares and any public shares held by them purchased during or after this offering in favor of our initial business combination. While we do not expect our board of directors to approve any amendment to or waiver of the letter agreement or registration rights agreement prior to our initial business combination, it may be possible that our board of directors, in exercising its business judgment and subject to its fiduciary duties, chooses to approve one or more amendments to or waivers of such agreements in connection with the consummation of our initial business combination. Any such amendments or waivers would not require approval from our shareholders, may result in the completion of our initial business combination that may not otherwise have been possible, and may have an adverse effect on the value of an investment in our securities.</w:t>
      </w:r>
    </w:p>
    <w:p>
      <w:pPr>
        <w:spacing w:after="0" w:line="18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personal and financial interests of our sponsor, directors and officers may influence their motivation in identifying and selecting a target business combination, completing an initial business combination and operating the business following the initial business combination. This risk may become more acute as the 24-month anniversary of the closing of this offering nears, which is the deadline for the completion of our initial business combination.</w:t>
      </w:r>
    </w:p>
    <w:p>
      <w:pPr>
        <w:spacing w:after="0" w:line="29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b w:val="1"/>
          <w:bCs w:val="1"/>
          <w:i w:val="1"/>
          <w:iCs w:val="1"/>
          <w:color w:val="auto"/>
        </w:rPr>
        <w:t>We may engage our underwriter or its affiliates to provide additional services to us after this offering, which may include acting as financial advisor in connection with an initial business combination or as placement agent in connection with a related financing transaction. Our underwriter is entitled to receive deferred commissions that will be released from the trust only upon completion of an initial business combination. These financial incentives may cause them to have potential conflicts of interest in rendering any such additional services to us after this offering, including, for example, in connection with the sourcing and consummation of an initial business combination.</w:t>
      </w:r>
    </w:p>
    <w:p>
      <w:pPr>
        <w:spacing w:after="0" w:line="53"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We may engage our underwriter or one of its affiliates to provide additional services to us after this offering, including, for example, identifying potential targets, providing financial advisory services, acting as a placement agent in a private offering or arranging debt financing. We may pay such underwriter or its affiliate fair and reasonable fees or other compensation that would be determined at that time in an arm’s length negotiation; provided that no agreement will be entered into with the underwriter or its affiliates and no fees or other compensation for such services will be paid to the underwriter or its affiliates prior to the date that is 60 days from the date of this prospectus, unless such payment would not be deemed underwriter’s compensation in connection with this offering. The underwriter is also entitled to receive deferred commissions that are conditioned on the completion of an initial business combination. The underwriter’s or its respective affiliates’ financial interests tied to the consummation of a business combination transaction may give rise to potential conflicts of interest in providing any such additional services to us, including potential conflicts of interest in connection with the sourcing and consummation of an initial business combination.</w:t>
      </w:r>
    </w:p>
    <w:p>
      <w:pPr>
        <w:spacing w:after="0" w:line="27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3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trust account. As such, no issuance of debt will affect the per-share amount available for redemption from the trust account. Nevertheless, the incurrence of debt could have a variety of negative effects, including:</w:t>
      </w:r>
    </w:p>
    <w:p>
      <w:pPr>
        <w:spacing w:after="0" w:line="76" w:lineRule="exact"/>
        <w:rPr>
          <w:sz w:val="20"/>
          <w:szCs w:val="20"/>
          <w:color w:val="auto"/>
        </w:rPr>
      </w:pPr>
    </w:p>
    <w:p>
      <w:pPr>
        <w:ind w:left="1080" w:right="5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pay dividends on our ordinary shares;</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3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b w:val="1"/>
          <w:bCs w:val="1"/>
          <w:i w:val="1"/>
          <w:i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Class B ordinary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spacing w:after="0" w:line="8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amended and restated memorandum and articles of association authorize the issuance of up to 500,000,000 Class A ordinary shares, par value $0.0001 per share, 50,000,000 Class B ordinary shares, par value $0.0001 per share, and 5,000,000 undesignated preference shares, par value $0.0001 per share. Immediately after this offering, there will be 479,400,000 and 45,000,000 (assuming in each case that the underwriter has not exercised its over-allotment option and the forfeiture of 750,000 Class B ordinary shares) authorized but unissued Class A ordinary shares and Class B ordinary shares, respectively, available for issuance, which amount does not take into account shares issuable upon conversion of the Class B ordinary shares, if any. The Class B ordinary shares are automatically convertible into Class A ordinary shares at the time of our initial business combination, or earlier at the option of the holder, initially at a one-for-one ratio but subject to adjustment as set forth herein and in our amended and restated memorandum and articles of association, including in certain circumstances in which we issue additional Class A ordinary shares or equity-linked securities in connection with our initial business combination. Immediately after this offering, there will be no preference shares issued and outstanding.</w:t>
      </w:r>
    </w:p>
    <w:p>
      <w:pPr>
        <w:spacing w:after="0" w:line="166"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We may issue a substantial number of additional Class A ordinary shares, and may issue preference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contained in our amended and restated memorandum and articles of association. However,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our amended and restated memorandum and articles of association provide, among other things, that prior to our initial business combination, we may not issue additional ordinary shares that would entitle the holders thereof to (1) receive funds from the trust account or (2) vote as a class with our public shares on any initial business combination. The issuance of additional ordinary shares or preference shares:</w:t>
      </w:r>
    </w:p>
    <w:p>
      <w:pPr>
        <w:spacing w:after="0" w:line="71" w:lineRule="exact"/>
        <w:rPr>
          <w:sz w:val="20"/>
          <w:szCs w:val="20"/>
          <w:color w:val="auto"/>
        </w:rPr>
      </w:pPr>
    </w:p>
    <w:p>
      <w:pPr>
        <w:ind w:left="1080" w:right="12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subordinate the rights of holders of ordinary shares if preference shares are issued with rights senior to those afforded our ordinary shares;</w:t>
      </w:r>
    </w:p>
    <w:p>
      <w:pPr>
        <w:spacing w:after="0" w:line="75"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our ordinary shares is issued, which may affect, among other things, our ability to use our net operating loss carryforwards, if any, and could result in the resignation or removal of our present directors and officers;</w:t>
      </w:r>
    </w:p>
    <w:p>
      <w:pPr>
        <w:spacing w:after="0" w:line="29"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w:t>
      </w:r>
    </w:p>
    <w:p>
      <w:pPr>
        <w:spacing w:after="0" w:line="225"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Unlike some other similarly structured special purpose acquisition companies, our initial shareholders will be entitled to receive additional Class A ordinary shares if we issue certain shares related to or in connection with an initial business combination.</w:t>
      </w:r>
    </w:p>
    <w:p>
      <w:pPr>
        <w:spacing w:after="0" w:line="3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our initial business combination, or earlier at the option of the holder, on a one-for-one basis, subject to adjustment for share sub-divisions, share dividends, rights issuances, consolidations, reorganizations, recapitalizations and the like, and subject to further adjustment as described herein. In the event that additional (in excess of the amounts issued in this offering) Class A ordinary shares or equity-linked securities are issued or deemed issued in connection with our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20% of the sum of the total number of Class A ordinary shares outstanding after such conversion (after giving effect to any redemptions of Class A ordinary shares by public shareholders, and excluding the private placement shares), including any Class A ordinary shares issued or deemed issued, or issuable upon the conversion or exercise of any equity-linked securities or rights issued or deemed issued, by the company in connection with our initial business combination, excluding any Class A ordinary shares or equity-linked securities exercisable for or convertible into Class A ordinary shares issued, or to be issued, to any seller in the initial business combination and any private placement shares issued to our sponsor or its affiliates upon conversion of working capital loans; provided that such conversion of Class B ordinary shares will never occur on a less than one-for-one basis.</w:t>
      </w:r>
    </w:p>
    <w:p>
      <w:pPr>
        <w:spacing w:after="0" w:line="28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Although we believe that the net proceeds of this offering and the sale of the private placement shares will be sufficient to allow us to complete our initial business combination, because we have not yet selected any target business we cannot ascertain the capital requirements for any particular transaction. If the net proceeds of this offering and the sale of the private placement shares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directors, officers or shareholders is required to provide any financing to us in connection with or after our initial business combination. If we have not completed our initial business combination within the required time period, our public shareholders may receive only approximately $10.00 per share, or less in certain circumstances, on the liquidation of our trust account.</w:t>
      </w:r>
    </w:p>
    <w:p>
      <w:pPr>
        <w:spacing w:after="0" w:line="2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may be able to complete only one business combination with the proceeds of this offering and the sale of the private placement shares, which will cause us to be solely dependent on a single business which may have a limited number of products or services. This lack of diversification may negatively impact our operations and profitability.</w:t>
      </w:r>
    </w:p>
    <w:p>
      <w:pPr>
        <w:spacing w:after="0" w:line="76"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 net proceeds from this offering and the sale of the private placement shares will provide us with $201,000,000 (or $231,000,000 if the underwriter’s over-allotment option is exercised in full) that we may use to complete our initial business combination (which includes $7,000,000 of deferred underwriting commissions being held in the trust account, after deducting estimated offering expenses of $1,000,000).</w:t>
      </w:r>
    </w:p>
    <w:p>
      <w:pPr>
        <w:spacing w:after="0" w:line="16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financial,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4"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dependent upon the development or market acceptance of a single or limited number of products, processes, technologies or services.</w:t>
      </w:r>
    </w:p>
    <w:p>
      <w:pPr>
        <w:spacing w:after="0" w:line="248"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This lack of diversification may subject us to numerous financial, economic, competitive and regulatory risks, any or all of which may have a substantial adverse impact upon the particular industry in which we may operate subsequent to our initial business combination.</w:t>
      </w:r>
    </w:p>
    <w:p>
      <w:pPr>
        <w:spacing w:after="0" w:line="254"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each such seller to agree that our purchase of its business is contingent on the simultaneous closing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shareholders do not agree.</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amended and restated memorandum and articles of association do not provide a specified maximum redemption threshold, except that in no event will we redeem our public shares in an amount that would cause our net tangible assets to be less than $5,000,001 following such redemptions.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directors, officers, advisors or any of their respective affiliates.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ordinary shares submitted for redemption will be returned to the holders thereof, and we instead may search for an alternate business combination.</w:t>
      </w:r>
    </w:p>
    <w:p>
      <w:pPr>
        <w:spacing w:after="0" w:line="28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special purpose acquisition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7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order to effectuate an initial business combination, special purpose acquisition companies have, in the recent past, amended various provisions of their charters and modified governing instruments. For example, special purpose acquisition companies have amended the definition of business combination, increased redemption thresholds and extended the time to consummate an initial business combination. Amending our amended and restated memorandum and articles of association requires at least a special resolution of our shareholders as a matter of Cayman Islands law. A resolution is deemed to be a special resolution as a matter of Cayman Islands law where it has been approved either (1) by holders of at least two-thirds (or any higher threshold specified in a company’s articles of association) of a company’s ordinary shares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provide that special resolutions must be approved either by holders of at least two-thirds of our ordinary shares who attend and vote at a general meeting (i.e., the lowest threshold permissible under Cayman Islands law) (other than amendments relating to provisions governing the appointment or removal of directors prior to our initial business combination, which require the approval of the holders of at least 90% of our ordinary shares attending and voting in a general meeting), or by a unanimous written resolution of all of our shareholders. We cannot assure you that we will not seek to amend our amended and restated memorandum and articles of association or governing instruments or extend the time to consummate an initial business combination in order to effectuate our initial business combination. To the extent any of such amendments would be deemed to fundamentally change the nature of any of the securities offered through this registration statement, we would register, or seek an exemption from registration for, the affected securities.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20" w:lineRule="auto"/>
        <w:rPr>
          <w:sz w:val="20"/>
          <w:szCs w:val="20"/>
          <w:color w:val="auto"/>
        </w:rPr>
      </w:pPr>
      <w:r>
        <w:rPr>
          <w:rFonts w:ascii="Arial" w:cs="Arial" w:eastAsia="Arial" w:hAnsi="Arial"/>
          <w:sz w:val="15"/>
          <w:szCs w:val="15"/>
          <w:b w:val="1"/>
          <w:bCs w:val="1"/>
          <w:i w:val="1"/>
          <w:iCs w:val="1"/>
          <w:color w:val="auto"/>
        </w:rPr>
        <w:t>Certain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 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3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provide that any of its provisions, including those related to pre-business combination activity (including the requirement to deposit proceeds of this offering and the sale of private placement shares into the trust account and not release such amounts except in specified circumstances), may be amended if approved by holders of at least two-thirds of our ordinary shares who attend and vote at a general meeting, and corresponding provisions of the trust agreement governing the release of funds from our trust account may be amended if approved by holders of 65% of our ordinary shares (other than amendments relating to provisions governing the appointment or removal of directors prior to our initial business combination, which require the approval of the holders of at least 90% of our ordinary shares attending and voting in a general meeting). Our initial shareholders, who will collectively beneficially own approximately 21.9% of our ordinary shares upon the closing of this offering (including the private placement shares and assuming they do not purchase any public shares in this offering),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an initial business combination with which you do not agree. In certain circumstances, our shareholders may pursue remedies against us for any breach of our amended and restated memorandum and articles of association.</w:t>
      </w:r>
    </w:p>
    <w:p>
      <w:pPr>
        <w:spacing w:after="0" w:line="284"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b w:val="1"/>
          <w:bCs w:val="1"/>
          <w:i w:val="1"/>
          <w:iCs w:val="1"/>
          <w:color w:val="auto"/>
        </w:rPr>
        <w:t>Our initial shareholders will control the election of our board of directors until consummation of our initial business combination and will hold a substantial interest in us. As a result, they will appoint all of our directors prior to our initial business combination and may exert a substantial influence on actions requiring shareholder vote, potentially in a manner that you do not support.</w:t>
      </w:r>
    </w:p>
    <w:p>
      <w:pPr>
        <w:spacing w:after="0" w:line="5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Upon the closing of this offering, our initial shareholders will own approximately 21.9% of our issued and outstanding ordinary shares (including the private placement shares and assuming they do not purchase any public shares in this offering). In addition, prior to our initial business combination, holders of the founder shares will have the right to appoint all of our directors and may remove members of our board of directors for any reason.</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Holders of our public shares and private placement shares will have no right to vote on the appointment of directors during such time. These provisions of our amended and restated memorandum and articles of association may only be amended by a special resolution passed by the holders of at least 90% of our ordinary shares attending and voting in a general meeting. As a result, you will not have any influence over the appointment of directors prior to our initial business combination.</w:t>
      </w:r>
    </w:p>
    <w:p>
      <w:pPr>
        <w:spacing w:after="0" w:line="19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Neither our initial shareholders nor, to our knowledge, any of our directors or officers, have any current intention to purchase additional securities, other than as disclosed in this prospectus.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If our initial shareholders purchase any Class 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ordinary shares in this offering or in the aftermarket or in privately negotiated transactions, this would increase their influence over these actions. Accordingly, our initial shareholders will exert significant influence over actions requiring a shareholder vote at least until the completion of our initial business combination.</w:t>
      </w:r>
    </w:p>
    <w:p>
      <w:pPr>
        <w:spacing w:after="0" w:line="292"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spacing w:after="0" w:line="1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Pursuant to a registration rights agreement to be entered into on or prior to the closing of this offering, our initial shareholders and their permitted transferees can demand, at or after the time of our initial business combination, that we register the resale of their founder shares after those shares convert to our Class A ordinary shares. In addition, our sponsor and its permitted transferees can demand that we register the resale of the private placement shares, and holders of private placement shares that may be issued upon conversion of working capital loans may demand that we register the resale of such private placement shares.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or their permitted transferees, the private placement shares or any private placement shares issued in connection with working capital loans are registered for resale.</w:t>
      </w:r>
    </w:p>
    <w:p>
      <w:pPr>
        <w:spacing w:after="0" w:line="276"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Our founder shares and private placement shares issuable upon conversion of working capital loans may have an adverse effect on the market price of our Class A ordinary shares and make it more difficult to effectuate our initial business combination.</w:t>
      </w:r>
    </w:p>
    <w:p>
      <w:pPr>
        <w:spacing w:after="0" w:line="3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initial shareholders currently hold an aggregate of 5,750,000 Class B ordinary shares (up to 750,000 of which are subject to forfeiture by our sponsor depending on the extent to which the underwriter’s over-allotment option is exercised). The Class B ordinary shares are convertible into Class A ordinary shares on a one-for-one basis, subject to adjustment as set forth herein. In addition, if our sponsor, an affiliate of our sponsor or certain of our directors and officers make any working capital loans, up to $1,500,000 of such loans may be converted into shares of the post-business combination entity, at a price of $10.00 per share, at the option of the lender. The shares would be identical to the private placement shares. To the extent we issue Class A ordinary shares to effectuate a business combination, the potential for the issuance of a substantial number of additional Class A ordinary shares upon exercise of these conversion rights could make us a less attractive acquisition vehicle to a target business. Any such issuance will increase the number of issued and outstanding Class A ordinary shares and reduce the value of the Class A ordinary shares issued to complete the business combination. Therefore, our founder shares and private placement shares issuable upon conversion of working capital loans may make it more difficult to effectuate a business combination or increase the cost of acquiring the target business.</w:t>
      </w:r>
    </w:p>
    <w:p>
      <w:pPr>
        <w:spacing w:after="0" w:line="27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292"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acquisition.</w:t>
      </w:r>
    </w:p>
    <w:p>
      <w:pPr>
        <w:spacing w:after="0" w:line="1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initial business combination or reincorporation may result in taxes imposed on shareholders.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may, subject to requisite shareholder approval by special resolution under the Companies Act, effect a business combination with a target company in another jurisdiction, reincorporate in the jurisdiction in which the target company or business is located, or reincorporate in another jurisdiction. Such transactions may result in tax liability for a shareholder in the jurisdiction in which the shareholder is a tax resident (or in which its members are resident if it is a tax transparent entity), in which the target company is located, or in which we reincorporate (or may result in adverse tax consequences). In the event of a reincorporation pursuant to our initial business combination, such tax liability may attach prior to any consummation of redemptions. We do not intend to make any cash distributions to shareholders to pay such taxes.</w:t>
      </w:r>
    </w:p>
    <w:p>
      <w:pPr>
        <w:spacing w:after="0" w:line="286"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b w:val="1"/>
          <w:bCs w:val="1"/>
          <w:i w:val="1"/>
          <w:iCs w:val="1"/>
          <w:color w:val="auto"/>
        </w:rPr>
        <w:t>If our management team pursues a company with operations or opportunities outside of the United States for our initial business combination, we may face additional burdens in connection with investigating, agreeing to and completing such combination, and if we effect such initial business combination, we would be subject to a variety of additional risks that may negatively impact our operations.</w:t>
      </w:r>
    </w:p>
    <w:p>
      <w:pPr>
        <w:spacing w:after="0" w:line="4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market, having such transaction approved by any local governments, regulators or agencies and changes in the purchase price based on fluctuations in foreign exchange rates.</w:t>
      </w:r>
    </w:p>
    <w:p>
      <w:pPr>
        <w:spacing w:after="0" w:line="171"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If we effect our initial business combination with such a company, we would be subject to any special considerations or risks associated with companies operating in an international setting (including how relevant governments respond to such factors), including any of the following:</w:t>
      </w:r>
    </w:p>
    <w:p>
      <w:pPr>
        <w:spacing w:after="0" w:line="29" w:lineRule="exact"/>
        <w:rPr>
          <w:sz w:val="20"/>
          <w:szCs w:val="20"/>
          <w:color w:val="auto"/>
        </w:rPr>
      </w:pPr>
    </w:p>
    <w:p>
      <w:pPr>
        <w:ind w:left="1080" w:right="6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 and complying with commercial, legal and regulatory requirements of overseas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consequences, such as tax law changes, including termination or reduction of tax and other incentives that the applicable government provides to domestic companies, and variations in tax laws as compared to the United States;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fluctuations and exchange controls, including devaluations and other exchange rate movements;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rates of inflation, price instability and interest rate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liquidity of domestic capital and lending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healthcare and data privacy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energy shortages;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industry, regulatory or environmental standards within the jurisdictions where we operate;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health or safety concerns and related governmental restrictions, including those caused by outbreaks of disease such as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wars and other forms of social instability;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obligatory military service by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appropriation of assets.</w:t>
      </w:r>
    </w:p>
    <w:p>
      <w:pPr>
        <w:spacing w:after="0" w:line="22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may not be able to adequately address these additional risks. If we were unable to do so, we may be unable to complete such combination or, if we complete such combination, our operations might suffer, either of which may adversely impact our results of operations and financial condition.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Post-Business Combination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risks related to companies in the biotechnology industry.</w:t>
      </w:r>
    </w:p>
    <w:p>
      <w:pPr>
        <w:spacing w:after="0" w:line="11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Business combinations with companies in the biotechnology industry entail special considerations and risks. If we are successful in completing a business combination with such a target business, we may be subject to, and possibly adversely affected by, the following risks:</w:t>
      </w:r>
    </w:p>
    <w:p>
      <w:pPr>
        <w:spacing w:after="0" w:line="52" w:lineRule="exact"/>
        <w:rPr>
          <w:sz w:val="20"/>
          <w:szCs w:val="20"/>
          <w:color w:val="auto"/>
        </w:rPr>
      </w:pPr>
    </w:p>
    <w:p>
      <w:pPr>
        <w:ind w:left="1080" w:right="52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rapid technological development and significant competition from other biopharmaceutical and biotechnology companies, academic institutions, government agencies and research organizations, many of which have substantially greater resources than we do;</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need for substantial additional funding to complete development of product candidates, which may not be available on favorable terms or at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predicting the timing and cost of product candidate development;</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lengthy and uncertain preclinical testing and clinical development processes, which may not support further development, yield regulatory approval or lead to commercially viable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secure and maintain regulatory and marketing approvals for product candidates;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liability exposure, including as a result of serious adverse events, undesirable side effects or other unexpected properties of product candidates;</w:t>
      </w:r>
    </w:p>
    <w:p>
      <w:pPr>
        <w:spacing w:after="0" w:line="75" w:lineRule="exact"/>
        <w:rPr>
          <w:rFonts w:ascii="Arial" w:cs="Arial" w:eastAsia="Arial" w:hAnsi="Arial"/>
          <w:sz w:val="18"/>
          <w:szCs w:val="18"/>
          <w:color w:val="auto"/>
        </w:rPr>
      </w:pPr>
    </w:p>
    <w:p>
      <w:pPr>
        <w:ind w:left="1080" w:right="52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successfully develop or commercialize product candidates, including failure to achieve market acceptance by physicians, patients, hospitals, treatment centers, third-party payors and the broader medical community and failure to reach profitability;</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secure and maintain intellectual property rights and patent and trade secret protection for biotechnology and product candidates;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liability for intellectual property infringement or other claims based on the nature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production or manufacturing of clinical supply;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supply and regulatory status of third-party drugs used in combination with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rely on previous findings of safety and efficacy for similar approved products and published scientific literature;</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failures related to the Covid-19 pandemic, which may result in clinical site closures, delays to patient enrollment, discontinued treatment and changes to trial protocols;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secure adequate coverage, reimbursement and payment rates for product candidates from government or third-party payors;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adapt to healthcare legislative reform measures;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comply with applicable regulations, including with respect to data privacy and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third-party vendors or service providers;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or failure of our networks, systems or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attract, hire and retain experienced research and development, clinical, commercial, operational and support personnel;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costs and expenses associated with operating our business and being a public company.</w:t>
      </w:r>
    </w:p>
    <w:p>
      <w:pPr>
        <w:spacing w:after="0" w:line="225"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Any of the foregoing could have an adverse impact on our operations following a business combination. However, our efforts in identifying prospective target businesses will not be limited to the biotechnology industry or our proposed subsector focus therein. Accordingly, if we acquire a target business in another industry, we will be subject to risks attendant with the specific industry in which we operate or target business which we acquire, which may or may not be different than those risks listed above.</w:t>
      </w:r>
    </w:p>
    <w:p>
      <w:pPr>
        <w:spacing w:after="0" w:line="295"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7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who chooses to remain a shareholder following our initial business combination could suffer a reduction in the value of their securities. Such shareholders may not have a remedy for such reduction in value.</w:t>
      </w:r>
    </w:p>
    <w:p>
      <w:pPr>
        <w:spacing w:after="0" w:line="273"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After our initial business combination, our results of operations and prospects could be subject, to a significant extent, to the economic, political and social developments and conditions, as well as government policies, in the country in which we operate.</w:t>
      </w:r>
    </w:p>
    <w:p>
      <w:pPr>
        <w:spacing w:after="0" w:line="3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30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shareholders own shares will own less than 100% of the equity interests or assets of a target business, but we will complete such business combination only if the post-transaction company owns or acquires 50% or more of the issued and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post-business combination company, depending on valuations ascribed to the target and us in our initial business combination transaction. For example, we could pursue a transaction in which we issue a substantial number of new ordinary shares in exchange for all of the issued and outstanding capital stock, shares or other equity securities of a target, or issue a substantial number of new shares to third parties in connection with financing our initial business combination. In this case, we would acquire a 100% interest in the target. However, as a result of the issuance of a substantial number of new ordinary shares, our shareholders immediately prior to such transaction could own less than a majority of our issued and outstanding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our control of the target business.</w:t>
      </w:r>
    </w:p>
    <w:p>
      <w:pPr>
        <w:spacing w:after="0" w:line="282"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shareholder who chooses to remain a shareholder following our initial business combination could suffer a reduction in the value of their securities. Such shareholders may not have a remedy for such reduction in value.</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directors and officers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us following our initial business combination, it is possible that members of the management of an acquisition candidate will not wish to remain in place.</w:t>
      </w:r>
    </w:p>
    <w:p>
      <w:pPr>
        <w:spacing w:after="0" w:line="2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After our initial business combination, it is possible that a majority of our directors and officers will live outside the United States and all or substantially all of our assets will be located outside the United States; therefore investors may not be able to enforce federal securities laws or their other legal rights.</w:t>
      </w:r>
    </w:p>
    <w:p>
      <w:pPr>
        <w:spacing w:after="0" w:line="76" w:lineRule="exact"/>
        <w:rPr>
          <w:sz w:val="20"/>
          <w:szCs w:val="20"/>
          <w:color w:val="auto"/>
        </w:rPr>
      </w:pPr>
    </w:p>
    <w:p>
      <w:pPr>
        <w:jc w:val="both"/>
        <w:ind w:left="120" w:right="180" w:firstLine="440"/>
        <w:spacing w:after="0" w:line="279" w:lineRule="auto"/>
        <w:rPr>
          <w:sz w:val="20"/>
          <w:szCs w:val="20"/>
          <w:color w:val="auto"/>
        </w:rPr>
      </w:pPr>
      <w:r>
        <w:rPr>
          <w:rFonts w:ascii="Arial" w:cs="Arial" w:eastAsia="Arial" w:hAnsi="Arial"/>
          <w:sz w:val="17"/>
          <w:szCs w:val="17"/>
          <w:color w:val="auto"/>
        </w:rPr>
        <w:t>It is possible that after our initial business combination, a majority of our directors and officers will reside outside of the United States and all or substantially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79" w:lineRule="exact"/>
        <w:rPr>
          <w:sz w:val="20"/>
          <w:szCs w:val="20"/>
          <w:color w:val="auto"/>
        </w:rPr>
      </w:pPr>
    </w:p>
    <w:p>
      <w:pPr>
        <w:jc w:val="both"/>
        <w:ind w:left="120" w:right="16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121" w:lineRule="exact"/>
        <w:rPr>
          <w:sz w:val="20"/>
          <w:szCs w:val="20"/>
          <w:color w:val="auto"/>
        </w:rPr>
      </w:pPr>
    </w:p>
    <w:p>
      <w:pPr>
        <w:ind w:left="120" w:right="560"/>
        <w:spacing w:after="0" w:line="342" w:lineRule="auto"/>
        <w:rPr>
          <w:sz w:val="20"/>
          <w:szCs w:val="20"/>
          <w:color w:val="auto"/>
        </w:rPr>
      </w:pPr>
      <w:r>
        <w:rPr>
          <w:rFonts w:ascii="Arial" w:cs="Arial" w:eastAsia="Arial" w:hAnsi="Arial"/>
          <w:sz w:val="16"/>
          <w:szCs w:val="16"/>
          <w:b w:val="1"/>
          <w:bCs w:val="1"/>
          <w:i w:val="1"/>
          <w:iCs w:val="1"/>
          <w:color w:val="auto"/>
        </w:rPr>
        <w:t>Certain members of our management team and their affiliated companies are, and may from time to time be, involved in legal proceedings or governmental investigations, and may experience harm to their reputation, which may materially and adversely affect us.</w:t>
      </w:r>
    </w:p>
    <w:p>
      <w:pPr>
        <w:spacing w:after="0" w:line="1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Members of our management team have been involved in a wide variety of businesses. Such involvement has led to, and may in the future lead to, media coverage and public awareness. As a result of such involvement, certain members of our management team and their affiliated companies are, and may from time to time be, involved in legal proceedings or governmental investigations unrelated to our business, and may be exposed to reputational risks resulting from other events such as allegations of misconduct or other negative publicity or press speculation, whether or not accurate. Any such proceedings or investigations or other events may be detrimental to our reputation and could negatively affect our ability to identify and complete an initial business combination and may have a material adverse effect on the price of our securities or on our business, financial condition, results of operations and prospects.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upon our directors and officers and their departure could adversely affect our ability to operate.</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Our operations are dependent upon a relatively small group of individuals and in particular, Chamath Palihapitiya, Chairman of our board of directors and our Chief Executive Officer, and Kishen Mehta, our President and one of our directors. We believe that our success depends on the continued service of our directors and officers, at least until we have completed our initial business combination. In addition, our directors and officers are not required to commit any specified amount of time or resources to our affairs, including our management team who will be spending material business time on their other duties, and, accordingly, will have conflicts of interest in allocating their time and resources among various business activities, including identifying potential business combinations and monitoring the related due diligence. Moreover, certain of our directors and officers have time and attention requirements for investment funds of which affiliates of our sponsor are the investment managers. We do not have an employment agreement with, or key man insurance on the life of, any of our directors or officers. The unexpected loss of the services of one or more of our directors or officers could have a detrimental effect on us.</w:t>
      </w:r>
    </w:p>
    <w:p>
      <w:pPr>
        <w:spacing w:after="0" w:line="28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our or a target’s key personnel could negatively impact the operations and profitability of our post-combination business.</w:t>
      </w:r>
    </w:p>
    <w:p>
      <w:pPr>
        <w:spacing w:after="0" w:line="7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6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the directors and officers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286"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4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his or her fiduciary duties under Cayman Islands law. However, we believe the ability of such individuals to remain with us after the completion of our initial business combination will not be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295" w:lineRule="exact"/>
        <w:rPr>
          <w:sz w:val="20"/>
          <w:szCs w:val="20"/>
          <w:color w:val="auto"/>
        </w:rPr>
      </w:pPr>
    </w:p>
    <w:p>
      <w:pPr>
        <w:jc w:val="both"/>
        <w:ind w:left="120" w:right="340"/>
        <w:spacing w:after="0" w:line="375" w:lineRule="auto"/>
        <w:rPr>
          <w:sz w:val="20"/>
          <w:szCs w:val="20"/>
          <w:color w:val="auto"/>
        </w:rPr>
      </w:pPr>
      <w:r>
        <w:rPr>
          <w:rFonts w:ascii="Arial" w:cs="Arial" w:eastAsia="Arial" w:hAnsi="Arial"/>
          <w:sz w:val="15"/>
          <w:szCs w:val="15"/>
          <w:b w:val="1"/>
          <w:bCs w:val="1"/>
          <w:i w:val="1"/>
          <w:iCs w:val="1"/>
          <w:color w:val="auto"/>
        </w:rPr>
        <w:t>Our directors and officers will allocate their time to other businesses, thereby causing conflicts of interest in their determination as to how much time to devote to our affairs. These conflicts of interest could have a negative impact on our ability to complete our initial business combination.</w:t>
      </w:r>
    </w:p>
    <w:p>
      <w:pPr>
        <w:spacing w:after="0" w:line="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directors and officers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In particular, all of our officers and certain of our directors have fiduciary and contractual duties to either Social Capital or Suvretta and, as applicable, their underlying clients, and to certain companies in which either of them has invested or which either of them has sponsored, including companies in industries we may target for our initial business combination. Certain of these entities, including DNAA, DNAB and DNAD, which are blank check companies sponsored by affiliates of our sponsor focused on pursuing an initial business combination with a target operating in the biotechnology industry, have not yet announced initial business combinations. Further, Mr. Palihapitiya, Chairman of our board of directors and our Chief Executive Officer, Mr. Mehta, our President and one of our directors, Mr. Ryans, our Chief Financial Officer, and Mr. Katz, our Director of Research, all hold the same positions at DNAA, DNAB and DNAD. Certain of our independent directors also serve as officers and/or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 — Directors, Director Nominee and Officers.”</w:t>
      </w:r>
    </w:p>
    <w:p>
      <w:pPr>
        <w:spacing w:after="0" w:line="29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Certain of our directors and officers are now, and expect in the future to become, affiliated with certain entities engaged in business activities similar to those intended to be conducted by us and, accordingly, may have conflicts of interest in determining to which entity a particular business opportunity should be presented.</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sponsor and directors and officers are, or may in the future become, affiliated with entities that are engaged in a similar business. For example, Mr. Palihapitiya and Mr. Mehta have also founded DNAA, DNAB and DNAD, each a blank check company incorporated as a Cayman Islands exempted company for the purpose of effecting its own initial business combination in the biotechnology industry. Mr. Palihapitiya is the Chief Executive Officer and Chairman of the board of directors, Mr. Mehta is the President and a director, and each of our other officers is an officer, of each of DNAA, DNAB and DNAD, and each of the foregoing persons owes fiduciary duties under Cayman Islands law to DNAA, DNAB and DNAD. In addition, Mr. Palihapitiya founded the Hedosophia SPACs in partnership with Hedosophia, and Mr. Palihapitiya, as well as certain of our other officers, serve as an officer and/or director of, and owe fiduciary duties under Cayman Islands law to, such companies or their successors, as applicable. Our sponsor and directors and officers are also not prohibited from sponsoring, investing or otherwise becoming involved with any other blank check companies, including in connection with their initial business combinations, prior to us completing our initial business combination. Moreover, certain of our directors and officers have time and attention requirements for investment funds of which affiliates of our sponsor are the investment managers.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Our directors and officers also may become aware of business opportunities which may be appropriate for presentation to us and the other entities to which they owe certain fiduciary or contractual duties, including DNAA, DNAB and DNAD and certain other blank check companies sponsored by Social Capital. Accordingly, they may have conflicts of interest in determining to which entity a particular business opportunity should be presented.</w:t>
      </w:r>
    </w:p>
    <w:p>
      <w:pPr>
        <w:spacing w:after="0" w:line="2" w:lineRule="exact"/>
        <w:rPr>
          <w:sz w:val="20"/>
          <w:szCs w:val="20"/>
          <w:color w:val="auto"/>
        </w:rPr>
      </w:pPr>
    </w:p>
    <w:p>
      <w:pPr>
        <w:jc w:val="both"/>
        <w:ind w:left="120" w:right="80"/>
        <w:spacing w:after="0" w:line="270" w:lineRule="auto"/>
        <w:rPr>
          <w:sz w:val="20"/>
          <w:szCs w:val="20"/>
          <w:color w:val="auto"/>
        </w:rPr>
      </w:pPr>
      <w:r>
        <w:rPr>
          <w:rFonts w:ascii="Arial" w:cs="Arial" w:eastAsia="Arial" w:hAnsi="Arial"/>
          <w:sz w:val="17"/>
          <w:szCs w:val="17"/>
          <w:color w:val="auto"/>
        </w:rPr>
        <w:t>These conflicts may not be resolved in our favor and a potential target business may be presented to other entities prior to its presentation to us, subject to his or her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w:t>
      </w:r>
    </w:p>
    <w:p>
      <w:pPr>
        <w:spacing w:after="0" w:line="17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“Management — Directors, Director Nominee and Officers,” “Management — Conflicts of Interest” and “Certain Relationships and Related Party Transactions.”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directors, officers, security holders and their respective affiliates may have competitive pecuniary interests that conflict with our interests.</w:t>
      </w:r>
    </w:p>
    <w:p>
      <w:pPr>
        <w:spacing w:after="0" w:line="140"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have not adopted a policy that expressly prohibits our directors, officers, security holders or their respective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 In particular, affiliates of our sponsor have invested in industries as diverse as technology, healthcare, education, financial services, artificial intelligence and social media. As a result, there may be substantial overlap between companies that would be a suitable business combination for us and companies that would make an attractive target for such other affiliates.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letter agreement with our initial shareholders, officers and directors may be amended without shareholder approval.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letter agreement with our initial shareholders, officers and directors contains provisions relating to, among other things, restrictions on transfer of our founder shares and private placement shares, indemnification of the trust account, waiver of redemption rights and participation in liquidating distributions from the trust account. The letter agreement may be amended without shareholder approval (although releasing the parties from the restriction not to transfer any founder shares, private placement shares or public shares held by them for 180 days following the date of this prospectus will require the prior written consent of the underwriter).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Securities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6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public shareholders will be entitled to receive funds from the trust account only upon the earliest to occur of: (1) our completion of an initial business combination, and then only in connection with those Class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and (3) the redemption of our public shares if we have not completed an initial business combination within 24 months from the closing of this offering, subject to applicable law. In no other circumstances will a public shareholder have any right or interest of any kind to or in the trust account. Accordingly, to liquidate your investment, you may be forced to sell your public shares, potentially at a loss.</w:t>
      </w:r>
    </w:p>
    <w:p>
      <w:pPr>
        <w:spacing w:after="0" w:line="30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intend to have our public shares listed on Nasdaq on or promptly after the date of this prospectus. Although after giving effect to this offering we expect to meet, on a pro forma basis, the minimum initial listing standards set forth in the Nasdaq listing rules,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in order for our Class A ordinary shares to be listed upon the consummation of our initial business combination, at such time, our share price would generally be required to be at least $4.00 per share, and our shareholders’ equity would generally be required to be at least $5,000,000 and we would be required to have a minimum of 300 round lot holders of our securities, with at least 50% of such round lot holders holding securities with a market value of at least $2,500. We cannot assure you that we will be able to meet those initial listing requirements at that time.</w:t>
      </w:r>
    </w:p>
    <w:p>
      <w:pPr>
        <w:spacing w:after="0" w:line="17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such securities could be quoted on an over-the-counter market. If this were to occur, we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080" w:right="20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Class A ordinary shares will be listed on Nasdaq,</w:t>
      </w:r>
    </w:p>
    <w:p>
      <w:pPr>
        <w:ind w:left="120"/>
        <w:spacing w:after="0" w:line="271" w:lineRule="auto"/>
        <w:rPr>
          <w:sz w:val="20"/>
          <w:szCs w:val="20"/>
          <w:color w:val="auto"/>
        </w:rPr>
      </w:pPr>
      <w:r>
        <w:rPr>
          <w:rFonts w:ascii="Arial" w:cs="Arial" w:eastAsia="Arial" w:hAnsi="Arial"/>
          <w:sz w:val="17"/>
          <w:szCs w:val="17"/>
          <w:color w:val="auto"/>
        </w:rPr>
        <w:t>our Class A ordinary shares will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special purpose acquisition companies, other than the State of Idaho, certain state securities regulators view blank check companies unfavorably and might use these powers, or threaten to use these powers,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spacing w:after="0" w:line="25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sponsor paid an aggregate of $25,000 for its founder shares, or approximately $0.004 per founder share, and, accordingly, you will experience immediate and substantial dilution upon the purchase of our Class A ordinary shares.</w:t>
      </w:r>
    </w:p>
    <w:p>
      <w:pPr>
        <w:spacing w:after="0" w:line="6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difference between the public offering price per Class A ordinary share and the pro forma net tangible book value per ordinary share after this offering constitutes the dilution to you and the other investors in this offering. Our sponsor acquired the founder shares at a nominal price, significantly contributing to this dilution. Upon the closing of this offering, you and the other public shareholders will incur an immediate and substantial dilution of approximately 92.5% (or $9.25 per share, assuming no exercise of the underwriter’s over-allotment option), the difference between the pro forma net tangible book value per share of $0.75 and the initial offering price of $10.00 per share. This dilution would increase to the extent that the anti-dilution provisions of the Class B ordinary shares result in the issuance of Class A ordinary shares on a greater than one-to-one basis upon conversion of the Class B ordinary shares at the time of our initial business combination and would be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27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Because, unlike many other initial public offerings by special purpose acquisition companies, investors in this offering will not receive warrants that would become exercisable following the completion of our initial business combination, our securities offered may be worth less than the securities offered in other initial public offerings by special purpose acquisition companies.</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This is an initial public offering of our Class A ordinary shares. Unlike many other initial public offerings by special purpose acquisition companies, investors in this offering will not receive warrants that would become exercisable following the completion of our initial business combination. We are not offering warrants in order to remove the dilutive effect of warrants upon completion of an initial business combination, thus making us, we believe, a more attractive business combination partner for target businesses. Nevertheless, this offering structure may cause our offered securities to be worth less than if we were also offering a whole or fractional warrant to purchase shares.</w:t>
      </w:r>
    </w:p>
    <w:p>
      <w:pPr>
        <w:spacing w:after="0" w:line="2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determination of the size of this offering and the terms of the securities offered are more arbitrary than the size of an offering and the terms of the securities offered of an operating company in a particular industry.</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In determining the size of this offering, management held customary organizational meetings with the underwriter, both prior to our inception and thereafter, with respect to the state of capital markets, generally, and the amount the underwriter believed they reasonably could raise on our behalf. Factors considered in determining the size of this offering and terms of the public shares include:</w:t>
      </w:r>
    </w:p>
    <w:p>
      <w:pPr>
        <w:spacing w:after="0" w:line="9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 investment in this offering may result in uncertain U.S. federal income tax consequences. For instance, it is unclear whether the redemption rights with respect to our ordinary shares suspend the running of a U.S. Holder’s (as defined below in “Income Tax Considerations — U.S. Federal Income Taxation — U.S. Holders”)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entitled “Income Tax Considerations — U.S. Federal Income Taxation — U.S. Holders”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27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6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pandemic and other events (such as terrorist attacks, natural disasters or a significant outbreak of other infectious diseases). Furthermore, an active trading market for our securities may never develop or, if developed, it may not be sustained. You may be unable to sell your securities unless a market can be established and sustained.</w:t>
      </w:r>
    </w:p>
    <w:p>
      <w:pPr>
        <w:spacing w:after="0" w:line="26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6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amended and restated memorandum and articles of association contain provisions that may discourage unsolicited takeover proposals that shareholders may consider to be in their best interests. These provisions include the ability of our board of directors to designate the terms of and issue new series of preference shares, which may discourage transactions that otherwise could involve payment of a premium over prevailing market prices for our securities.</w:t>
      </w:r>
    </w:p>
    <w:p>
      <w:pPr>
        <w:spacing w:after="0" w:line="295"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b w:val="1"/>
          <w:bCs w:val="1"/>
          <w:i w:val="1"/>
          <w:iCs w:val="1"/>
          <w:color w:val="auto"/>
        </w:rPr>
        <w:t>Since only holders of our founder shares will have the right to vote on the election of directors prior to our initial business combination, Nasdaq may consider us to be a “controlled company” within the meaning of the Nasdaq listing rules and, as a result, we may qualify for exemptions from certain corporate governance requirements that would otherwise provide protection to shareholders of other companies.</w:t>
      </w:r>
    </w:p>
    <w:p>
      <w:pPr>
        <w:spacing w:after="0" w:line="4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After completion of this offering, only holders of our founder shares will have the right to vote on the election of directors prior to our initial business combination. As a result, Nasdaq may consider us to be a “controlled company” within the meaning of the Nasdaq listing rules. Under the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subject to applicable phase-in rules, that:</w:t>
      </w:r>
    </w:p>
    <w:p>
      <w:pPr>
        <w:spacing w:after="0" w:line="93" w:lineRule="exact"/>
        <w:rPr>
          <w:sz w:val="20"/>
          <w:szCs w:val="20"/>
          <w:color w:val="auto"/>
        </w:rPr>
      </w:pPr>
    </w:p>
    <w:p>
      <w:pPr>
        <w:ind w:left="5540" w:right="2080" w:hanging="4884"/>
        <w:spacing w:after="0" w:line="449" w:lineRule="auto"/>
        <w:tabs>
          <w:tab w:leader="none" w:pos="10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a board that includes a majority of “independent directors,” as defined under the Nasdaq listing rules; 63</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compensation committee of our board that is comprised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independent director oversight of our director nominations.</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are a newly incorporated company with no operating history and no revenues, and you have no basis on which to evaluate our ability to achieve our business objective.</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a newly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Since the net proceeds of this offering and the sale of the private placement shares are intended to be used to complete an initial business combination with a target business that has not been selected, we may be deemed to be a “blank check” company under the U.S. securities laws. However, because we will have net tangible assets in excess of $5,000,000 upon the successful completion of this offering and the sale of the private placement shares and will file a Current Report on Form 8-K, including an audited balance sheet of the company demonstrating this fact, we are exempt from rules promulgated by the SEC to protect investors in blank check companies, such as Rule 419. Accordingly, investors will not be afforded the benefits or protections of those rules. Among other things, this means our public shares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2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of March 31, 2021, we had no cash and a working capital deficiency of $5,299. Further, we expect to incur significant costs in pursuit of our acquisition plans. Management’s plans to address this need for capital through this offering are discussed in the section of this prospectus titled “Management’s Discussion and Analysis of Financial Condition and Results of Operations.” Our plans to raise capital and to consummate our initial business combination may not be successful. These factors, among others, raise substantial doubt about our ability to continue as a going concern for the next twelve months from the filing of the registration statement of which this prospectus forms a part. The financial statements contained elsewhere in this prospectus do not include any adjustments that might result from our inability to consummate this offering or our inability to continue as a going concern.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30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Past performance by our management team and their respective affiliates may not be indicative of future performance of an investment in our company.</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Information regarding performance by our management team and their respective affiliates, including Social Capital and Suvretta, is presented for informational purposes only. Past performance by our management team and their respective affiliates, including Social Capital, Suvretta and certain other blank check companies sponsored by Social Capital, is not a guarantee either (1) that we will be able to identify a suitable candidate for our initial business combination or (2) of success with respect to any business combination we may consummate. You should not rely on the historical record of our management team or their affiliates, including Social Capital, Suvretta and certain other blank check companies sponsored by Social Capital, or any related investment’s performance as indicative of our future performance of an investment in our company or the returns our company will, or is likely to, generate going forward.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 disruption and/or financial loss.</w:t>
      </w:r>
    </w:p>
    <w:p>
      <w:pPr>
        <w:spacing w:after="0" w:line="12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be a passive foreign investment company, or “PFIC,” which could result in adverse U.S. federal income tax consequences to U.S. investors.</w:t>
      </w:r>
    </w:p>
    <w:p>
      <w:pPr>
        <w:spacing w:after="0" w:line="15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entitled “Income Tax Considerations — U.S. Federal Income Taxation — U.S. Holders”) of our Class A ordinary shares, the U.S. Holder may be subject to adverse U.S. federal income tax consequences and may be subject to additional reporting requirements. Our PFIC status for our current and subsequent taxable years may depend upon the status of an acquired company pursuant to a business combination and whether we qualify for the PFIC start-up exception (see “Income Tax Considerations — U.S. Federal Income Taxation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(and if the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start-up exception may be applicable, potentially not until after the two taxable years following the start-up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We urge U.S. Holders to consult their own tax advisors regarding the possible application of the PFIC rules. For a more detailed explanation of the tax consequences of PFIC classification to U.S. Holders, see “Income Tax Considerations — U.S. Federal Income Taxation — U.S. Holders — Passive Foreign Investment Company Rules.”</w:t>
      </w:r>
    </w:p>
    <w:p>
      <w:pPr>
        <w:spacing w:after="0" w:line="272"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4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ordinary shares held by non-affiliates equals or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equaled or exceeded $250 million as of the end of that year’s second fiscal quarter, or (2) our annual revenues equaled or exceeded $100 million during such completed fiscal year and the market value of our ordinary shares held by non-affiliates equaled or exceeded $700 million as of the end of that year’s second fiscal quarter. To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extent we take advantage of such reduced disclosure obligations, it may also make comparison of our financial statements with other public companies difficult or impossible.</w:t>
      </w:r>
    </w:p>
    <w:p>
      <w:pPr>
        <w:spacing w:after="0" w:line="27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6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corporate affairs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 derivative action in a federal court of the United States.</w:t>
      </w:r>
    </w:p>
    <w:p>
      <w:pPr>
        <w:spacing w:after="0" w:line="16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have been advised by Maples and Calder (Hong Kong)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68"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our board of directors or controlling shareholders than they would as public shareholders of a United States company.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Some statements contained in this prospectus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70"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directors, officers or key employees following our initial business combination;</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directors and officers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pool of prospective target businesses and the biotechnology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consummate an initial business combination due to the uncertainty resulting from the ongoing Covid-19 pandemic;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directors and officers to generate a number of potential business combination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We are offering 20,000,000 Class A ordinary shares at an offering price of $10.00 per share. We estimate that the net proceeds of this offering, together with the funds we will receive from the sale of the private placement shares, will be used as set forth in the following table.</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6"/>
              </w:rPr>
              <w:t>Gross proceeds</w:t>
            </w:r>
          </w:p>
        </w:tc>
        <w:tc>
          <w:tcPr>
            <w:tcW w:w="43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5"/>
              </w:rPr>
              <w:t>Without Over-</w:t>
            </w: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Over-Allotment</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4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Allotment Option</w:t>
            </w: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Option Exercised</w:t>
            </w:r>
          </w:p>
        </w:tc>
        <w:tc>
          <w:tcPr>
            <w:tcW w:w="0" w:type="dxa"/>
            <w:vAlign w:val="bottom"/>
          </w:tcPr>
          <w:p>
            <w:pPr>
              <w:spacing w:after="0"/>
              <w:rPr>
                <w:sz w:val="1"/>
                <w:szCs w:val="1"/>
                <w:color w:val="auto"/>
              </w:rPr>
            </w:pPr>
          </w:p>
        </w:tc>
      </w:tr>
      <w:tr>
        <w:trPr>
          <w:trHeight w:val="175"/>
        </w:trPr>
        <w:tc>
          <w:tcPr>
            <w:tcW w:w="52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Gross proceeds from Class A ordinary shares offered to</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public</w:t>
            </w:r>
            <w:r>
              <w:rPr>
                <w:rFonts w:ascii="Arial" w:cs="Arial" w:eastAsia="Arial" w:hAnsi="Arial"/>
                <w:sz w:val="15"/>
                <w:szCs w:val="15"/>
                <w:color w:val="auto"/>
              </w:rPr>
              <w:t>(1)</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200,000,000</w:t>
            </w: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230,000,000</w:t>
            </w:r>
          </w:p>
        </w:tc>
        <w:tc>
          <w:tcPr>
            <w:tcW w:w="0" w:type="dxa"/>
            <w:vAlign w:val="bottom"/>
          </w:tcPr>
          <w:p>
            <w:pPr>
              <w:spacing w:after="0"/>
              <w:rPr>
                <w:sz w:val="1"/>
                <w:szCs w:val="1"/>
                <w:color w:val="auto"/>
              </w:rPr>
            </w:pPr>
          </w:p>
        </w:tc>
      </w:tr>
      <w:tr>
        <w:trPr>
          <w:trHeight w:val="202"/>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rPr>
              <w:t>Gross proceeds from private placement shares offered in the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private placement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proceeds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206,000,000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236,000,000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i w:val="1"/>
                <w:iCs w:val="1"/>
                <w:color w:val="auto"/>
              </w:rPr>
              <w:t>Estimated offering expenses</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commissions (excluding deferred portion)</w:t>
            </w:r>
            <w:r>
              <w:rPr>
                <w:rFonts w:ascii="Arial" w:cs="Arial" w:eastAsia="Arial" w:hAnsi="Arial"/>
                <w:sz w:val="15"/>
                <w:szCs w:val="15"/>
                <w:color w:val="auto"/>
              </w:rPr>
              <w:t>(3)</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3"/>
          </w:tcPr>
          <w:p>
            <w:pPr>
              <w:jc w:val="right"/>
              <w:ind w:right="76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25,093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25,093</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FINRA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3"/>
          </w:tcPr>
          <w:p>
            <w:pPr>
              <w:jc w:val="right"/>
              <w:ind w:right="76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officer insurance premiums</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Nasdaq listing and filing fees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3"/>
          </w:tcPr>
          <w:p>
            <w:pPr>
              <w:jc w:val="right"/>
              <w:ind w:right="76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r>
              <w:rPr>
                <w:rFonts w:ascii="Arial" w:cs="Arial" w:eastAsia="Arial" w:hAnsi="Arial"/>
                <w:sz w:val="15"/>
                <w:szCs w:val="15"/>
                <w:color w:val="auto"/>
              </w:rPr>
              <w:t>(5)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99,907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99,907</w:t>
            </w:r>
          </w:p>
        </w:tc>
        <w:tc>
          <w:tcPr>
            <w:tcW w:w="0" w:type="dxa"/>
            <w:vAlign w:val="bottom"/>
          </w:tcPr>
          <w:p>
            <w:pPr>
              <w:spacing w:after="0"/>
              <w:rPr>
                <w:sz w:val="1"/>
                <w:szCs w:val="1"/>
                <w:color w:val="auto"/>
              </w:rPr>
            </w:pPr>
          </w:p>
        </w:tc>
      </w:tr>
      <w:tr>
        <w:trPr>
          <w:trHeight w:val="209"/>
        </w:trPr>
        <w:tc>
          <w:tcPr>
            <w:tcW w:w="5260" w:type="dxa"/>
            <w:vAlign w:val="bottom"/>
            <w:gridSpan w:val="2"/>
          </w:tcPr>
          <w:p>
            <w:pPr>
              <w:spacing w:after="0"/>
              <w:rPr>
                <w:sz w:val="20"/>
                <w:szCs w:val="20"/>
                <w:color w:val="auto"/>
              </w:rPr>
            </w:pPr>
            <w:r>
              <w:rPr>
                <w:rFonts w:ascii="Arial" w:cs="Arial" w:eastAsia="Arial" w:hAnsi="Arial"/>
                <w:sz w:val="18"/>
                <w:szCs w:val="18"/>
                <w:color w:val="auto"/>
              </w:rPr>
              <w:t>Total estimated offering expenses (other than underwriting</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commissions)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after estimated offering expenses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201,000,000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231,000,000</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15"/>
                <w:szCs w:val="15"/>
                <w:color w:val="auto"/>
              </w:rPr>
              <w:t>(3)</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200,000,000</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230,000,000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of public offering size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Not held in trust account</w:t>
            </w:r>
            <w:r>
              <w:rPr>
                <w:rFonts w:ascii="Arial" w:cs="Arial" w:eastAsia="Arial" w:hAnsi="Arial"/>
                <w:sz w:val="15"/>
                <w:szCs w:val="15"/>
                <w:color w:val="auto"/>
              </w:rPr>
              <w:t>(2)</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15"/>
          <w:szCs w:val="15"/>
          <w:color w:val="auto"/>
        </w:rPr>
        <w:t>(6)</w:t>
      </w:r>
      <w:r>
        <w:rPr>
          <w:rFonts w:ascii="Arial" w:cs="Arial" w:eastAsia="Arial" w:hAnsi="Arial"/>
          <w:sz w:val="18"/>
          <w:szCs w:val="18"/>
          <w:color w:val="auto"/>
        </w:rPr>
        <w:t>.</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 of Total</w:t>
            </w:r>
          </w:p>
        </w:tc>
        <w:tc>
          <w:tcPr>
            <w:tcW w:w="0" w:type="dxa"/>
            <w:vAlign w:val="bottom"/>
          </w:tcPr>
          <w:p>
            <w:pPr>
              <w:spacing w:after="0"/>
              <w:rPr>
                <w:sz w:val="1"/>
                <w:szCs w:val="1"/>
                <w:color w:val="auto"/>
              </w:rPr>
            </w:pPr>
          </w:p>
        </w:tc>
      </w:tr>
      <w:tr>
        <w:trPr>
          <w:trHeight w:val="182"/>
        </w:trPr>
        <w:tc>
          <w:tcPr>
            <w:tcW w:w="6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Legal, accounting, due diligence, travel and other expenses in connection</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any business combination</w:t>
            </w:r>
            <w:r>
              <w:rPr>
                <w:rFonts w:ascii="Arial" w:cs="Arial" w:eastAsia="Arial" w:hAnsi="Arial"/>
                <w:sz w:val="15"/>
                <w:szCs w:val="15"/>
                <w:color w:val="auto"/>
              </w:rPr>
              <w:t>(7)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350,000</w:t>
            </w:r>
          </w:p>
        </w:tc>
        <w:tc>
          <w:tcPr>
            <w:tcW w:w="5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5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Payment for office space, administrative and support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240,000</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Nasdaq continued listing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58,000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320" w:hanging="424"/>
        <w:spacing w:after="0" w:line="25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amounts payable to public shareholders who properly redeem their shares in connection with our successful completion of our initial business combination.</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portion of the offering expenses have been paid from the proceeds of a loan from our sponsor of $300,000 as described in this prospectus. As of March 31, 2021, we had borrowed $255 under the promissory note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with our sponsor. These loans will be repaid upon completion of this offering out of the $1,000,000 of offering proceeds that has been allocated for the payment of offering expenses (other than underwriting commissions) not held in the trust account. These expenses are estimates only.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1" w:lineRule="exact"/>
        <w:rPr>
          <w:sz w:val="20"/>
          <w:szCs w:val="20"/>
          <w:color w:val="auto"/>
        </w:rPr>
      </w:pPr>
    </w:p>
    <w:p>
      <w:pPr>
        <w:ind w:left="540" w:right="6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underwriter has agreed to defer underwriting commissions equal to 3.5% of the gross proceeds of the public shares sold in the base offering. Upon completion of our initial business combination, $7,000,000, which constitutes the underwriter’s deferred commissions, will be paid to the underwriter from the funds held in the trust account, and the remaining funds, less amounts used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 will not be entitled to any interest accrued on the deferred underwriting discounts and commissions.</w:t>
      </w:r>
    </w:p>
    <w:p>
      <w:pPr>
        <w:spacing w:after="0" w:line="1" w:lineRule="exact"/>
        <w:rPr>
          <w:rFonts w:ascii="Arial" w:cs="Arial" w:eastAsia="Arial" w:hAnsi="Arial"/>
          <w:sz w:val="17"/>
          <w:szCs w:val="17"/>
          <w:color w:val="auto"/>
        </w:rPr>
      </w:pPr>
    </w:p>
    <w:p>
      <w:pPr>
        <w:ind w:left="540" w:right="4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approximate amount of annualized director and officer liability insurance premiums we anticipate paying following the completion of this offering and until we complete our initial business combination.</w:t>
      </w:r>
    </w:p>
    <w:p>
      <w:pPr>
        <w:ind w:left="540" w:right="4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organizational and administrative expenses and may include amounts related to above-listed expenses in the event actual amounts exceed estimates.</w:t>
      </w:r>
    </w:p>
    <w:p>
      <w:pPr>
        <w:ind w:left="540" w:hanging="424"/>
        <w:spacing w:after="0" w:line="28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Based on current interest rates, we would expect approximately $200,000 to be available to us from interest earned on the funds held in the trust account over the 12 months following the closing of this offering (assuming the underwriter’s over-allotment option is not exercised); however, we can provide no assurances regarding this amount. This estimate assumes an interest rate of 0.10% per annum based upon current yields of securities in which the trust account may be invested. In addition, in order to fund working capital deficiencies or finance transaction costs in connection with an intended initial business combination, our sponsor or an affiliate of our sponsor or certain of our directors and officers may, but are not obligated to, loan us funds as may be required. If we complete our initial business combination, we may repay such loaned amounts out of the proceeds of the trust account released to us. Otherwise, such loans may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converted into shares of the post-business combination entity, at a price of $10.00 per share, at the option of the lender. The shares would be identical to the private placement shares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 w:lineRule="exact"/>
        <w:rPr>
          <w:rFonts w:ascii="Arial" w:cs="Arial" w:eastAsia="Arial" w:hAnsi="Arial"/>
          <w:sz w:val="16"/>
          <w:szCs w:val="16"/>
          <w:color w:val="auto"/>
        </w:rPr>
      </w:pPr>
    </w:p>
    <w:p>
      <w:pPr>
        <w:ind w:left="540" w:right="760" w:hanging="424"/>
        <w:spacing w:after="0" w:line="26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 Nasdaq listing rules provide that at least 90% of the gross proceeds from this offering and the sale of the private placement shares be deposited in a trust account. Of the net proceeds of this offering and the sale of the private placement shares, $200,000,000 (or $230,000,000 if the underwriter’s over-allotment option is exercised in full), including $7,000,000 of deferred underwriting commissions, will, upon the consummation of this offering, be placed in a U.S.-based trust account at J.P. Morgan Chase Bank, N.A., with Continental Stock Transfer &amp; Trust Company acting as trustee. The funds in the trust account will be invested only in U.S. government treasury bills with a maturity of 185 days or less or in money market funds investing solely in U.S. Treasuries and meeting certain conditions under Rule 2a-7 under the Investment Company Act. Based on current interest rates, we estimate that the interest earned on the trust account will be approximately $200,000 per year, assuming an interest rate of 0.10% per year and that the underwriter’s over-allotment option is not exercised. We will not be permitted to withdraw any of the principal or interest held in the trust account except for the withdrawal of interest to pay taxes, if any. The funds held in the trust account will not otherwise be released from the trust account until the earliest of: (1) our completion of an initial business combination; (2)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and (3) the redemption of our public shares if we have not completed an initial business combination within 24 months from the closing of this offering, subject to applicable law. Based on current interest rates, we expect that interest earned on the trust account will be sufficient to pay taxes.</w:t>
      </w:r>
    </w:p>
    <w:p>
      <w:pPr>
        <w:spacing w:after="0" w:line="18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net proceeds held in the trust account may be used as consideration to pay the sellers of a target business with which we ultimately complete our initial business combination and to pay the deferred underwriting commissions.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respective affiliates, but such persons are not under any obligation to loan funds to, or otherwise invest in, us.</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will enter into an administrative services agreement pursuant to which we will pay an affiliate of our sponsor a total of $10,000 per month for office space, administrative and support services. Upon completion of our initial business combination or our liquidation, we will cease paying these monthly fees.</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sponsor has agreed to loan us up to $300,000 under an unsecured promissory note to be used for a portion of the expenses of this offering. As of March 31, 2021, we had borrowed $255 under the promissory note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with our sponsor. These loans are non-interest bearing, unsecured and are due at the earlier of December 31, 2021 and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in order to fund working capital deficiencies or finance transaction costs in connection with an intended initial business combination, our sponsor or an affiliate of our sponsor or certain of our directors and officers may, but are not obligated to, loan us funds as may be required. If we complete our initial business combination, we may repay such loaned amounts out of the proceeds of the trust account released to us. Otherwise, such loans may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converted into shares of the post-business combination entity, at a price of $10.00 per share, at the option of the lender. The shares would be identical to the private placement shares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officers, advisors or any of their respective affiliates may also purchase shares in privately negotiated transactions or in the open market either prior to or following the completion of our initial business combination. Please see “Proposed Business — Permitted purchases and other transactions with respect to our securities” for a description of how such persons will determine from which shareholders to seek to acquire shares. The price per share paid in any such transaction may be different than the amount per share a public shareholder would receive if it elected to redeem its shares in connection with our initial business combination. However, such persons have no current commitments, plans or intentions to engage in any such transactions and have not formulated any terms or conditions for any such transactions. Such persons will be subject to restrictions in making any such purchases when they are in possession of material nonpublic information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7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not redeem our public shares in an amount that would cause our net tangible assets to be less than $5,000,001 following such redemptions and the agreement for our initial business combination may require as a closing condition that we have a minimum net worth or a certain amount of cash. If too many public shareholders exercise their redemption rights so that we cannot satisfy the net tangible asset requirement or any net worth or cash requirements, we would not proceed with such redemption and the related business combination, and may instead search for an alternate business combination.</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earliest to occur of: (1) our completion of an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and (3) the redemption of our public shares if we have not completed an initial business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combination within 24 months from the closing of this offering, subject to applicable law. In no other circumstances will a public shareholder have any right or interest of any kind to or in the trust account.</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initial shareholders, directors and officers have entered into a letter agreement with us, pursuant to which they have agreed to waive their redemption rights with respect to any founder shares, private placement shares and public shares held by them in connection with the completion of our initial business combination or certain amendments to our amended and restated memorandum and articles of association as described elsewhere in this prospectus. In addition, our initial shareholders have agreed to waive their rights to liquidating distributions from the trust account with respect to their founder shares and private placement shares if we fail to complete our initial business combination within the prescribed time frame. However, if our initial shareholders acquire public shares, they will be entitled to liquidating distributions from the trust account with respect to such public shares if we fail to complete our initial business combination within the prescribed time frame.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40"/>
          </w:cols>
          <w:pgMar w:left="320" w:top="459" w:right="5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except if we increase the size of this offering, in which case we will effect a capitalization or other appropriate mechanism immediately prior to the consummation of this offering in such amount as to maintain the number of founder shares at 20% of our issued and outstanding ordinary shares (excluding the private placement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difference between the public offering price per Class A ordinary share and the pro forma net tangible book value per ordinary share after this offering constitutes the dilution to investors in this offering. Net tangible book value per share is determined by dividing our net tangible book value, which is our total tangible assets less total liabilities (including the value of public shares which may be redeemed for cash), by the number of issued and outstanding ordinary shares.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At March 31, 2021, our net tangible book value was a deficiency of $5,299, or approximately $(0.00) per Class B ordinary share. After giving effect to the sale of 20,000,000 Class A ordinary shares we are offering by this prospectus, the sale of the 600,000 private placement shares and the deduction of underwriting commissions and estimated expenses of this offering, our pro forma net tangible book value at March 31, 2021 would have been $5,000,008 or $0.75 per share, representing an immediate increase in net tangible book value (as decreased by the value of the 18,901,981 Class A ordinary shares that may be redeemed for cash and assuming no exercise of the underwriter’s over-allotment option) of $0.75 per share to our initial shareholders as of the date of this prospectus and an immediate dilution of $9.25 per share or 92.5% to our public shareholders not exercising their redemption rights. The dilution to new investors if the underwriter exercises the over-allotment option in full would be an immediate dilution of $9.33 per share or 93.3%.</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w w:val="98"/>
              </w:rPr>
              <w:t>The following table illustrates the dilution to the public shareholders on a per-share basis:</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Increase attributable to public shareholders</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8"/>
              </w:rPr>
              <w:t>Pro forma net tangible book value after this offering and the sale of the private</w:t>
            </w:r>
          </w:p>
        </w:tc>
        <w:tc>
          <w:tcPr>
            <w:tcW w:w="4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placement shares</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shareholders</w:t>
            </w:r>
          </w:p>
        </w:tc>
        <w:tc>
          <w:tcPr>
            <w:tcW w:w="154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2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 w:type="dxa"/>
            <w:vAlign w:val="bottom"/>
          </w:tcPr>
          <w:p>
            <w:pPr>
              <w:spacing w:after="0"/>
              <w:rPr>
                <w:sz w:val="19"/>
                <w:szCs w:val="19"/>
                <w:color w:val="auto"/>
              </w:rPr>
            </w:pPr>
          </w:p>
        </w:tc>
        <w:tc>
          <w:tcPr>
            <w:tcW w:w="61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$189,019,810 because holders of up to approximately 94.5% of our public shares may redeem their shares for a pro rata share of the aggregate amount then on deposit in the trust account at a per-share redemption price equal to the amount in the trust account calculated as of two business days prior to the consummation of the initial business combination, including interest (which interest shall be net of taxes payable), divided by the number of Class A ordinary shares sold in this offering.</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with respect to our initial shareholders and the public shareholders: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9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77"/>
        </w:trPr>
        <w:tc>
          <w:tcPr>
            <w:tcW w:w="5380" w:type="dxa"/>
            <w:vAlign w:val="bottom"/>
          </w:tcPr>
          <w:p>
            <w:pPr>
              <w:spacing w:after="0"/>
              <w:rPr>
                <w:sz w:val="6"/>
                <w:szCs w:val="6"/>
                <w:color w:val="auto"/>
              </w:rPr>
            </w:pPr>
          </w:p>
        </w:tc>
        <w:tc>
          <w:tcPr>
            <w:tcW w:w="192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5380" w:type="dxa"/>
            <w:vAlign w:val="bottom"/>
          </w:tcPr>
          <w:p>
            <w:pPr>
              <w:spacing w:after="0"/>
              <w:rPr>
                <w:sz w:val="4"/>
                <w:szCs w:val="4"/>
                <w:color w:val="auto"/>
              </w:rPr>
            </w:pPr>
          </w:p>
        </w:tc>
        <w:tc>
          <w:tcPr>
            <w:tcW w:w="8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Number</w:t>
            </w:r>
          </w:p>
        </w:tc>
        <w:tc>
          <w:tcPr>
            <w:tcW w:w="380" w:type="dxa"/>
            <w:vAlign w:val="bottom"/>
            <w:vMerge w:val="restart"/>
          </w:tcPr>
          <w:p>
            <w:pPr>
              <w:spacing w:after="0"/>
              <w:rPr>
                <w:sz w:val="4"/>
                <w:szCs w:val="4"/>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Percentage</w:t>
            </w:r>
          </w:p>
        </w:tc>
        <w:tc>
          <w:tcPr>
            <w:tcW w:w="34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360" w:type="dxa"/>
            <w:vAlign w:val="bottom"/>
            <w:vMerge w:val="restart"/>
          </w:tcPr>
          <w:p>
            <w:pPr>
              <w:spacing w:after="0"/>
              <w:rPr>
                <w:sz w:val="4"/>
                <w:szCs w:val="4"/>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Percentage</w:t>
            </w:r>
          </w:p>
        </w:tc>
        <w:tc>
          <w:tcPr>
            <w:tcW w:w="34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7"/>
              </w:rPr>
              <w:t>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Initial Shareholders</w:t>
            </w:r>
            <w:r>
              <w:rPr>
                <w:rFonts w:ascii="Arial" w:cs="Arial" w:eastAsia="Arial" w:hAnsi="Arial"/>
                <w:sz w:val="15"/>
                <w:szCs w:val="15"/>
                <w:color w:val="auto"/>
              </w:rPr>
              <w:t>(1)(2)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Private Placement Shares</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600,000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6,000,000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Public Shareholders</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20,000,000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200,000,000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25,600,000</w:t>
            </w:r>
          </w:p>
        </w:tc>
        <w:tc>
          <w:tcPr>
            <w:tcW w:w="380" w:type="dxa"/>
            <w:vAlign w:val="bottom"/>
            <w:vMerge w:val="continue"/>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206,025,000</w:t>
            </w:r>
          </w:p>
        </w:tc>
        <w:tc>
          <w:tcPr>
            <w:tcW w:w="360" w:type="dxa"/>
            <w:vAlign w:val="bottom"/>
            <w:vMerge w:val="continue"/>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right="40" w:hanging="424"/>
        <w:spacing w:after="0" w:line="25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full forfeiture of the 750,000 shares that are subject to forfeiture by our sponsor depending on the extent to which the underwriter’s over-allotment option is exercised.</w:t>
      </w:r>
    </w:p>
    <w:p>
      <w:pPr>
        <w:spacing w:after="0" w:line="1" w:lineRule="exact"/>
        <w:rPr>
          <w:rFonts w:ascii="Arial" w:cs="Arial" w:eastAsia="Arial" w:hAnsi="Arial"/>
          <w:sz w:val="18"/>
          <w:szCs w:val="18"/>
          <w:color w:val="auto"/>
        </w:rPr>
      </w:pPr>
    </w:p>
    <w:p>
      <w:pPr>
        <w:ind w:left="540" w:right="160" w:hanging="424"/>
        <w:spacing w:after="0" w:line="255"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conversion of Class B ordinary shares into Class A ordinary shares on a one-for-one basis. The dilution to public shareholders would increase to the extent that the anti-dilution provisions of the Class B ordinary shares result in the issuance of Class A ordinary shares on a greater than one-to-one basis upon such conversion.</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8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8180" w:type="dxa"/>
            <w:vAlign w:val="bottom"/>
            <w:gridSpan w:val="3"/>
          </w:tcPr>
          <w:p>
            <w:pPr>
              <w:jc w:val="right"/>
              <w:ind w:right="990"/>
              <w:spacing w:after="0"/>
              <w:rPr>
                <w:sz w:val="20"/>
                <w:szCs w:val="20"/>
                <w:color w:val="auto"/>
              </w:rPr>
            </w:pPr>
            <w:r>
              <w:rPr>
                <w:rFonts w:ascii="Arial" w:cs="Arial" w:eastAsia="Arial" w:hAnsi="Arial"/>
                <w:sz w:val="18"/>
                <w:szCs w:val="18"/>
                <w:color w:val="auto"/>
                <w:w w:val="98"/>
              </w:rPr>
              <w:t>The pro forma net tangible book value per share after this offering is calculated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Pr>
          <w:p>
            <w:pPr>
              <w:ind w:left="360"/>
              <w:spacing w:after="0"/>
              <w:rPr>
                <w:sz w:val="20"/>
                <w:szCs w:val="20"/>
                <w:color w:val="auto"/>
              </w:rPr>
            </w:pPr>
            <w:r>
              <w:rPr>
                <w:rFonts w:ascii="Arial" w:cs="Arial" w:eastAsia="Arial" w:hAnsi="Arial"/>
                <w:sz w:val="18"/>
                <w:szCs w:val="18"/>
                <w:color w:val="auto"/>
              </w:rPr>
              <w:t>Net tangible book value before this offering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Proceeds from this offering and sale of the private placement shares,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of expenses (including non-deferred underwriting commissions)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201,000,000</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00" w:type="dxa"/>
            <w:vAlign w:val="bottom"/>
          </w:tcPr>
          <w:p>
            <w:pPr>
              <w:ind w:left="360"/>
              <w:spacing w:after="0" w:line="201" w:lineRule="exact"/>
              <w:rPr>
                <w:sz w:val="20"/>
                <w:szCs w:val="20"/>
                <w:color w:val="auto"/>
              </w:rPr>
            </w:pPr>
            <w:r>
              <w:rPr>
                <w:rFonts w:ascii="Arial" w:cs="Arial" w:eastAsia="Arial" w:hAnsi="Arial"/>
                <w:sz w:val="18"/>
                <w:szCs w:val="18"/>
                <w:color w:val="auto"/>
              </w:rPr>
              <w:t>Offering costs accrued for and paid in advance, excluded from net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300" w:type="dxa"/>
            <w:vAlign w:val="bottom"/>
          </w:tcPr>
          <w:p>
            <w:pPr>
              <w:ind w:left="540"/>
              <w:spacing w:after="0"/>
              <w:rPr>
                <w:sz w:val="20"/>
                <w:szCs w:val="20"/>
                <w:color w:val="auto"/>
              </w:rPr>
            </w:pPr>
            <w:r>
              <w:rPr>
                <w:rFonts w:ascii="Arial" w:cs="Arial" w:eastAsia="Arial" w:hAnsi="Arial"/>
                <w:sz w:val="18"/>
                <w:szCs w:val="18"/>
                <w:color w:val="auto"/>
              </w:rPr>
              <w:t>tangible book value before this offering</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25,117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deferred underwriter’s commissions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00" w:type="dxa"/>
            <w:vAlign w:val="bottom"/>
          </w:tcPr>
          <w:p>
            <w:pPr>
              <w:ind w:left="360"/>
              <w:spacing w:after="0" w:line="201" w:lineRule="exact"/>
              <w:rPr>
                <w:sz w:val="20"/>
                <w:szCs w:val="20"/>
                <w:color w:val="auto"/>
              </w:rPr>
            </w:pPr>
            <w:r>
              <w:rPr>
                <w:rFonts w:ascii="Arial" w:cs="Arial" w:eastAsia="Arial" w:hAnsi="Arial"/>
                <w:sz w:val="18"/>
                <w:szCs w:val="18"/>
                <w:color w:val="auto"/>
              </w:rPr>
              <w:t>Less: amount of Class A ordinary shares subject to redemption to</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300" w:type="dxa"/>
            <w:vAlign w:val="bottom"/>
          </w:tcPr>
          <w:p>
            <w:pPr>
              <w:ind w:left="540"/>
              <w:spacing w:after="0"/>
              <w:rPr>
                <w:sz w:val="20"/>
                <w:szCs w:val="20"/>
                <w:color w:val="auto"/>
              </w:rPr>
            </w:pPr>
            <w:r>
              <w:rPr>
                <w:rFonts w:ascii="Arial" w:cs="Arial" w:eastAsia="Arial" w:hAnsi="Arial"/>
                <w:sz w:val="18"/>
                <w:szCs w:val="18"/>
                <w:color w:val="auto"/>
              </w:rPr>
              <w:t>maintain net tangible assets of $5,000,001</w:t>
            </w: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(189,019,810)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20" w:type="dxa"/>
            <w:vAlign w:val="bottom"/>
            <w:gridSpan w:val="2"/>
            <w:vMerge w:val="restart"/>
          </w:tcPr>
          <w:p>
            <w:pPr>
              <w:ind w:left="520"/>
              <w:spacing w:after="0"/>
              <w:rPr>
                <w:sz w:val="20"/>
                <w:szCs w:val="20"/>
                <w:color w:val="auto"/>
              </w:rPr>
            </w:pPr>
            <w:r>
              <w:rPr>
                <w:rFonts w:ascii="Arial" w:cs="Arial" w:eastAsia="Arial" w:hAnsi="Arial"/>
                <w:sz w:val="18"/>
                <w:szCs w:val="18"/>
                <w:color w:val="auto"/>
              </w:rPr>
              <w:t>Denominator:</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6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ordinary shares issued and outstanding prior to this offering</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Pr>
          <w:p>
            <w:pPr>
              <w:ind w:left="360"/>
              <w:spacing w:after="0"/>
              <w:rPr>
                <w:sz w:val="20"/>
                <w:szCs w:val="20"/>
                <w:color w:val="auto"/>
              </w:rPr>
            </w:pPr>
            <w:r>
              <w:rPr>
                <w:rFonts w:ascii="Arial" w:cs="Arial" w:eastAsia="Arial" w:hAnsi="Arial"/>
                <w:sz w:val="18"/>
                <w:szCs w:val="18"/>
                <w:color w:val="auto"/>
              </w:rPr>
              <w:t>Shares forfeited if over-allotment is not exercised</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ordinary shares offered and sale of private placement shares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20,600,000</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00" w:type="dxa"/>
            <w:vAlign w:val="bottom"/>
          </w:tcPr>
          <w:p>
            <w:pPr>
              <w:ind w:left="360"/>
              <w:spacing w:after="0" w:line="201" w:lineRule="exact"/>
              <w:rPr>
                <w:sz w:val="20"/>
                <w:szCs w:val="20"/>
                <w:color w:val="auto"/>
              </w:rPr>
            </w:pPr>
            <w:r>
              <w:rPr>
                <w:rFonts w:ascii="Arial" w:cs="Arial" w:eastAsia="Arial" w:hAnsi="Arial"/>
                <w:sz w:val="18"/>
                <w:szCs w:val="18"/>
                <w:color w:val="auto"/>
              </w:rPr>
              <w:t>Less: shares subject to redemption to maintain net tangible assets of</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gridSpan w:val="3"/>
          </w:tcPr>
          <w:p>
            <w:pPr>
              <w:ind w:left="2420"/>
              <w:spacing w:after="0"/>
              <w:rPr>
                <w:sz w:val="20"/>
                <w:szCs w:val="20"/>
                <w:color w:val="auto"/>
              </w:rPr>
            </w:pPr>
            <w:r>
              <w:rPr>
                <w:rFonts w:ascii="Arial" w:cs="Arial" w:eastAsia="Arial" w:hAnsi="Arial"/>
                <w:sz w:val="18"/>
                <w:szCs w:val="18"/>
                <w:color w:val="auto"/>
              </w:rPr>
              <w:t>$5,000,001</w:t>
            </w: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(18,901,981)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jc w:val="right"/>
              <w:ind w:right="237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following table sets forth our capitalization at March 31, 2021, and as adjusted to give effect to the sale of our 20,000,000 Class A ordinary shares in this offering for $200,000,000 (or $10.00 per share) and the sale of 600,000 private placement shares for $6,000,000 (or $10.00 per share) and the application of the estimated net proceeds derived from the sale of such securities: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4"/>
              </w:rPr>
              <w:t>March 31, 2021</w:t>
            </w:r>
          </w:p>
        </w:tc>
      </w:tr>
      <w:tr>
        <w:trPr>
          <w:trHeight w:val="142"/>
        </w:trPr>
        <w:tc>
          <w:tcPr>
            <w:tcW w:w="6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w w:val="88"/>
              </w:rPr>
              <w:t>Actual</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As Adjusted</w:t>
            </w:r>
            <w:r>
              <w:rPr>
                <w:rFonts w:ascii="Arial" w:cs="Arial" w:eastAsia="Arial" w:hAnsi="Arial"/>
                <w:sz w:val="12"/>
                <w:szCs w:val="12"/>
                <w:b w:val="1"/>
                <w:bCs w:val="1"/>
                <w:color w:val="auto"/>
                <w:w w:val="97"/>
              </w:rPr>
              <w:t>(2)</w:t>
            </w:r>
          </w:p>
        </w:tc>
        <w:tc>
          <w:tcPr>
            <w:tcW w:w="120" w:type="dxa"/>
            <w:vAlign w:val="bottom"/>
          </w:tcPr>
          <w:p>
            <w:pPr>
              <w:spacing w:after="0"/>
              <w:rPr>
                <w:sz w:val="12"/>
                <w:szCs w:val="12"/>
                <w:color w:val="auto"/>
              </w:rPr>
            </w:pP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Promissory note</w:t>
            </w:r>
            <w:r>
              <w:rPr>
                <w:rFonts w:ascii="Arial" w:cs="Arial" w:eastAsia="Arial" w:hAnsi="Arial"/>
                <w:sz w:val="15"/>
                <w:szCs w:val="15"/>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7,000,000</w:t>
            </w: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subject to redemption; 0 shares actual and 18,901,981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as adjusted</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189,019,810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Preference shares, $0.0001 par value, 5,000,000 shares authorized (actual and</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adjusted); none issued or outstanding (actual and as adjusted)</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Class A ordinary shares, $0.0001 par value, 500,000,000 shares authorized</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(actual and as adjusted); no shares issued and outstanding (actual);</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1,698,019 shares issued and outstanding (excluding 18,901,981 shares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subject to redemption) (as adjusted)</w:t>
            </w:r>
          </w:p>
        </w:tc>
        <w:tc>
          <w:tcPr>
            <w:tcW w:w="100" w:type="dxa"/>
            <w:vAlign w:val="bottom"/>
          </w:tcPr>
          <w:p>
            <w:pPr>
              <w:spacing w:after="0"/>
              <w:rPr>
                <w:sz w:val="20"/>
                <w:szCs w:val="20"/>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ordinary shares, $0.0001 par value, 50,000,000 shares authorized</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(actual and as adjusted); 5,750,000 issued and outstanding (actual),</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5,000,000 issued and outstanding (as adjusted)</w:t>
            </w:r>
            <w:r>
              <w:rPr>
                <w:rFonts w:ascii="Arial" w:cs="Arial" w:eastAsia="Arial" w:hAnsi="Arial"/>
                <w:sz w:val="15"/>
                <w:szCs w:val="15"/>
                <w:color w:val="auto"/>
              </w:rPr>
              <w:t>(4)</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780" w:type="dxa"/>
            <w:vAlign w:val="bottom"/>
            <w:gridSpan w:val="2"/>
          </w:tcPr>
          <w:p>
            <w:pPr>
              <w:jc w:val="right"/>
              <w:ind w:right="208"/>
              <w:spacing w:after="0"/>
              <w:rPr>
                <w:sz w:val="20"/>
                <w:szCs w:val="20"/>
                <w:color w:val="auto"/>
              </w:rPr>
            </w:pPr>
            <w:r>
              <w:rPr>
                <w:rFonts w:ascii="Arial" w:cs="Arial" w:eastAsia="Arial" w:hAnsi="Arial"/>
                <w:sz w:val="18"/>
                <w:szCs w:val="18"/>
                <w:color w:val="auto"/>
                <w:w w:val="87"/>
              </w:rPr>
              <w:t>24,425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5,004,520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4"/>
              </w:rPr>
              <w:t>(5,182)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(5,182)</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19,818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5,000,008</w:t>
            </w:r>
          </w:p>
        </w:tc>
        <w:tc>
          <w:tcPr>
            <w:tcW w:w="120" w:type="dxa"/>
            <w:vAlign w:val="bottom"/>
          </w:tcPr>
          <w:p>
            <w:pPr>
              <w:spacing w:after="0"/>
              <w:rPr>
                <w:sz w:val="20"/>
                <w:szCs w:val="20"/>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87"/>
              </w:rPr>
              <w:t>20,073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201,019,818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right="320" w:hanging="424"/>
        <w:spacing w:after="0" w:line="255"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sponsor has agreed to loan us up to $300,000 under an unsecured promissory note to be used for a portion of the expenses of this offering, which loan is due at the earlier of December 31, 2021 and the closing of this offering. As of March 31, 2021, we had borrowed $255 under the promissory note with our sponsor.</w:t>
      </w:r>
    </w:p>
    <w:p>
      <w:pPr>
        <w:spacing w:after="0" w:line="2" w:lineRule="exact"/>
        <w:rPr>
          <w:rFonts w:ascii="Arial" w:cs="Arial" w:eastAsia="Arial" w:hAnsi="Arial"/>
          <w:sz w:val="18"/>
          <w:szCs w:val="18"/>
          <w:color w:val="auto"/>
        </w:rPr>
      </w:pPr>
    </w:p>
    <w:p>
      <w:pPr>
        <w:ind w:left="540" w:right="20" w:hanging="424"/>
        <w:spacing w:after="0" w:line="265"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Assumes the full forfeiture of 750,000 shares that are subject to forfeiture by our sponsor depending on the extent to which the underwriter’s over-allotment option is exercised. The proceeds of the sale of such shares will not be deposited into the trust account, and the shares will not be eligible for redemption from the trust account nor will they be eligible to vote upon the initial business combination.</w:t>
      </w:r>
    </w:p>
    <w:p>
      <w:pPr>
        <w:ind w:left="540" w:hanging="424"/>
        <w:spacing w:after="0" w:line="28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Upon the completion of our initial business combination, we will provide our public shareholders with the opportunity to redeem their public shares for cash equal to their pro rata share of the aggregate amount then on deposit in the trust account calculated as of two business days prior to the consummation of the initial business combination, including interest (which interest shall be net of taxes payable), subject to the limitations described herein whereby our net tangible assets will be maintained at a minimum of $5,000,001 following such redemptions, and any limitations (including, but not limited to, cash requirements) pursuant to the terms of the proposed business combination. The as adjusted amount of ordinary shares, subject to redemption, equals the as adjusted total assets of $201,019,818, less the as adjusted total liabilities of $7,000,000, less the as adjusted total shareholder’s equity of $5,000,008. The value of Class A ordinary shares that may be redeemed is equal to $10.00 per share (which is the assumed redemption price) multiplied by 18,901,981 Class A ordinary shares, which is the maximum number of Class A ordinary shares that may be redeemed for a $10.00 purchase price per share and still maintain at least $5,000,001 of net tangible assets.</w:t>
      </w:r>
    </w:p>
    <w:p>
      <w:pPr>
        <w:spacing w:after="0" w:line="5" w:lineRule="exact"/>
        <w:rPr>
          <w:rFonts w:ascii="Arial" w:cs="Arial" w:eastAsia="Arial" w:hAnsi="Arial"/>
          <w:sz w:val="16"/>
          <w:szCs w:val="16"/>
          <w:color w:val="auto"/>
        </w:rPr>
      </w:pPr>
    </w:p>
    <w:p>
      <w:pPr>
        <w:ind w:left="540" w:right="78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by our sponsor and as adjusted share amount assumes no exercise of the underwriter’s over-allotment option.</w:t>
      </w:r>
    </w:p>
    <w:p>
      <w:pPr>
        <w:ind w:left="540" w:right="280" w:hanging="424"/>
        <w:spacing w:after="0" w:line="26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 adjusted additional paid-in capital calculation is equal to the as adjusted total shareholder’s equity of $5,000,008, minus ordinary shares (par value) of $670, minus the accumulated deficit of $(5,182).</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a newly incorporated blank check company, incorporated as a Cayman Islands exempted company for the purpose of effecting a merger,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While we may pursue an initial business combination target in any industry, we intend to focus our search for a target business operating in the biotechnology industry and within the organ space subsector of such industry as described herein. We intend to effectuate our initial business combination using cash from the proceeds of this offering and the sale of the private placement shares, our shares, debt or a combination of cash, shares and debt.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issuance of additional ordinary shares or preference shares in a business combination:</w:t>
      </w:r>
    </w:p>
    <w:p>
      <w:pPr>
        <w:spacing w:after="0" w:line="131" w:lineRule="exact"/>
        <w:rPr>
          <w:sz w:val="20"/>
          <w:szCs w:val="20"/>
          <w:color w:val="auto"/>
        </w:rPr>
      </w:pPr>
    </w:p>
    <w:p>
      <w:pPr>
        <w:ind w:left="1080" w:right="12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subordinate the rights of holders of ordinary shares if preference shares are issued with rights senior to those afforded our ordinary shares;</w:t>
      </w:r>
    </w:p>
    <w:p>
      <w:pPr>
        <w:spacing w:after="0" w:line="75"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our ordinary shares is issued, which may affect, among other things, our ability to use our net operating loss carryforwards, if any, and could result in the resignation or removal of our present directors and officers;</w:t>
      </w:r>
    </w:p>
    <w:p>
      <w:pPr>
        <w:spacing w:after="0" w:line="29"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Similarly, if we issue debt or otherwise incur significant indebtedness, it could result in:</w:t>
      </w:r>
    </w:p>
    <w:p>
      <w:pPr>
        <w:spacing w:after="0" w:line="131" w:lineRule="exact"/>
        <w:rPr>
          <w:sz w:val="20"/>
          <w:szCs w:val="20"/>
          <w:color w:val="auto"/>
        </w:rPr>
      </w:pPr>
    </w:p>
    <w:p>
      <w:pPr>
        <w:ind w:left="1080" w:right="5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pay dividends on our ordinary shares;</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20" w:hanging="331"/>
        <w:spacing w:after="0" w:line="342" w:lineRule="auto"/>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liquidity needs have been satisfied prior to the completion of this offering through a capital contribution in the amount of $25,000 from the sale of the founder shares to our sponsor and up to $300,000 in loans from our sponsor under an unsecured promissory note. As of March 31, 2021, we had borrowed $255 under the promissory note with our sponsor. We estimate that the net proceeds from (1) the sale of the Class A ordinary shares in this offering, after deducting offering expenses of approximately $1,000,000 and underwriting commissions of $4,000,000 (excluding deferred underwriting commissions of $7,000,000), and (2) the sale of the private placement shares for an aggregate purchase price of $6,000,000, will be $201,000,000 (or $231,000,000 in the aggregate if the underwriter’s over-allotment option is exercised in full). Of this amount, $200,000,000 (or $230,000,000 if the underwriter’s over-allotment option is exercised in full), including $7,000,000 in deferred underwriting commissions, will be deposited into the trust account. The funds in the trust account will be invested only in U.S. government treasury bills with a maturity of 185 days or less or in money market funds investing solely in U.S. Treasuries. The remaining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6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intend to use substantially all of the funds held in the trust account, including any amounts representing interest earned on the trust account (which interest shall be net of taxes payable and excluding deferred underwriting commissions), to complete our initial business combination. We may withdraw interest to pay taxes, if any. Our annual income tax obligations will depend on the amount of interest and other income earned on the amounts held in the trust account. We expect the interest earned on the amount in the trust account will be sufficient to pay our taxes. We expect the only taxes payable by us out of the funds in the trust account will be income and franchise taxes, if any. To the extent that our ordinary shares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66"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Prior to the completion of our initial business combination, we will have available to us $1,000,000 of proceeds held outside the trust account. We will use these funds primarily to identify and evaluate target businesses, perform business due diligence on prospective target businesses, travel to and from the offices, plants or similar locations of prospective target businesses or their representatives or owners, review corporate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documents and material agreements of prospective target businesses, structure, negotiate and complete a business combination, and to pay taxes to the extent the interest earned on the trust account is not sufficient to pay our taxes.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order to fund working capital deficiencies or finance transaction costs in connection with an intended initial business combination, our sponsor or an affiliate of our sponsor or certain of our directors and officers may, but are not obligated to, loan us funds as may be required. If we complete our initial business combination, we may repay such loaned amounts out of the proceeds of the trust account released to us. Otherwise, such loans may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converted into shares of the post-business combination entity, at a price of $10.00 per share, at the option of the lender. The shares would be identical to the private placement shares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expect our primary liquidity requirements during that period to include approximately $350,000 for legal, accounting, due diligence, travel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expenses in connection with any business combinations; $150,000 for legal and accounting fees related to regulatory reporting requirements;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$58,000 for Nasdaq continued listing fees; $240,000 for office space, administrative and support services; and $202,000 for general working capital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 be used for miscellaneous expenses and reserves net of estimated interest income.</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spacing w:after="0" w:line="17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As indicated in the accompanying financial statements, at March 31, 2021 we had no cash, a working capital deficit of $5,299 and deferred offering costs of $25,117. Further, we expect to continue to incur significant costs in the pursuit of our acquisition plans. We cannot assure you that our plans to raise capital or to complete our initial business combination will be successful. These factors, among others, raise substantial doubt about our ability to continue as a going concern for the next twelve months from the filing of the registration statement of which this prospectus forms a part.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reporting requirements of the Sarbanes-Oxley Act for the fiscal year ending December 31, 2022. Only in the event that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registered independent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98"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5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Once our management’s report on internal controls is complete, we will retain our registered independent accounting firm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net proceeds of this offering and the sale of the private placement shares held in the trust account will be invested in U.S. government treasury bills with a maturity of 185 days or less or in money market funds investing solely in U.S. Treasuries and meeting certain conditions under Rule 2a-7 under the Investment Company Act. Due to the short-term nature of these investments, we believe there will be no associated material exposure to interest rate risk.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2, 2021, our sponsor purchased 5,750,000 founder shares for an aggregate purchase price of $25,000, or approximately $0.004 per</w:t>
      </w:r>
    </w:p>
    <w:p>
      <w:pPr>
        <w:spacing w:after="0" w:line="4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share. In 2021, our sponsor transferred founder shares to Marc Semigran, our independent director nominee. Our initial shareholders will collectively own approximately 21.9% of our issued and outstanding shares after this offering (including the private placement shares and assuming they do not purchase any public shares in this offering). If we increase or decrease the size of this offering, we will effect a capitalization or share repurchase or redemption or other appropriate mechanism, as applicable, with respect to our Class B ordinary shares immediately prior to the consummation of this offering in such amount as to maintain the number of founder shares at 20% of our issued and outstanding ordinary shares (excluding the private placement shares) upon the consummation of this offering. Up to 750,000 founder shares are subject to forfeiture by our sponsor depending on the extent to which the underwriter’s over-allotment option is exercised.</w:t>
      </w:r>
    </w:p>
    <w:p>
      <w:pPr>
        <w:spacing w:after="0" w:line="18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will enter into an administrative services agreement pursuant to which we will also pay an affiliate of our sponsor a total of $10,000 per month for office space, administrative and support services. Upon completion of our initial business combination or our liquidation, we will cease paying these monthly fees.</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Our sponsor, directors and officers,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directors, officers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176"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sponsor has agreed to loan us up to $300,000 under an unsecured promissory note to be used for a portion of the expenses of this offering. As of March 31, 2021, we had borrowed $255 under the promissory note with our sponsor. These loans are non-interest bearing, unsecured and are due at the earlier of December 31, 2021 and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in order to fund working capital deficiencies or finance transaction costs in connection with an intended initial business combination, our sponsor or an affiliate of our sponsor or certain of our directors and officers may, but are not obligated to, loan us funds as may be required. If we complete our initial business combination, we may repay such loaned amounts out of the proceeds of the trust account released to us. Otherwise, such loans may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converted into shares of the post-business combination entity, at a price of $10.00 per share, at the option of the lender. The shares would be identical to the private placement shares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sponsor has committed to purchase an aggregate of 600,000 private placement shares at a price of $10.00 per share ($6,000,000 in the aggregate) in a private placement to occur concurrently with the closing of this offering. Our sponsor will be permitted to transfer the private placement shares held by it to certain permitted transferees, including our officers and directors and other persons or entities affiliated with or related to it, but the transferees receiving such shares will be subject to the same agreements with respect to such shares as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sponsor. Otherwise, these shares will not, subject to certain limited exceptions, be transferable or salable until 30 days after the completion of our initial business combination.</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a registration rights agreement that we will enter into with our initial shareholders on or prior to the closing of this offering, we may be required to register certain securities for sale under the Securities Act. These holders, and holders of private placement shares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However, the registration rights agreement provides that we will not be required to effect or permit any registration or cause any registration statement to become effective until the securities covered thereby are released from their lock-up restrictions, as described herein. We will bear the costs and expenses of filing any such registration statements. See “Principal Shareholders — Registration Rights.”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March 31, 2021,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a newly incorporated blank check company, incorporated as a Cayman Islands exempted company for the purpose of effecting a merger,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To date, we have not engaged in any operations or generated any revenues. Our only activities since inception have been organizational activities and those necessary to prepare for this offering. Following this offering, we will not generate any operating revenues until after completion of our initial business combination.</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While we may pursue an initial business combination target in any industry, subsector therein or geographic location (subject to certain limitations described in this prospectus), we intend to focus our search for a target business operating in the biotechnology industry and within the subsector described under “— Our Proposed Biotechnology Subsector Focus”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Partnership</w:t>
      </w:r>
    </w:p>
    <w:p>
      <w:pPr>
        <w:spacing w:after="0" w:line="121" w:lineRule="exact"/>
        <w:rPr>
          <w:sz w:val="20"/>
          <w:szCs w:val="20"/>
          <w:color w:val="auto"/>
        </w:rPr>
      </w:pPr>
    </w:p>
    <w:p>
      <w:pPr>
        <w:ind w:left="120" w:right="340" w:firstLine="440"/>
        <w:spacing w:after="0" w:line="273" w:lineRule="auto"/>
        <w:rPr>
          <w:sz w:val="20"/>
          <w:szCs w:val="20"/>
          <w:color w:val="auto"/>
        </w:rPr>
      </w:pPr>
      <w:r>
        <w:rPr>
          <w:rFonts w:ascii="Arial" w:cs="Arial" w:eastAsia="Arial" w:hAnsi="Arial"/>
          <w:sz w:val="17"/>
          <w:szCs w:val="17"/>
          <w:color w:val="auto"/>
        </w:rPr>
        <w:t>Social Capital Suvretta Holdings Corp. III is a partnership between Chamath Palihapitiya, the founder and current Managing Partner of Social Capital, and Kishan (a/k/a Kishen) Mehta, the Portfolio Manager of the Averill strategy at Suvretta. Our company unites scientists, physicians, entrepreneurs and biotechnology-oriented investors around a shared vision of identifying and investing in innovative and agile biotechnology companies. We believe that our management team’s relationships with leading biotechnology company founders, executives of private and public companies, venture capitalists and growth equity fund managers, in addition to the extensive industry and geographical reach of Social Capital and Suvretta’s networks, will give us a competitive advantage in pursuing a broad range of opportunities.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Social Capital</w:t>
      </w:r>
    </w:p>
    <w:p>
      <w:pPr>
        <w:spacing w:after="0" w:line="11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Social Capital is a Silicon Valley based technology holding company whose mission is to advance humanity by solving the world’s hardest problems. It was founded by Chamath Palihapitiya in 2011 to invest capital across the company lifecycle, from early stage startups to transformational public companies. The platform is oriented toward long term ownership and has a strong investment track record and experience driving dramatic growth. Social Capital focuses on investing in fast growing companies creating significant disruption in multiple industries including healthcare, education, financial services, artificial intelligence and social media. Drawing on the experience of Mr. Palihapitiya, the firm has created a growth platform that uses data science to identify investment opportunities, drive growth and improve portfolio company operational performance.</w:t>
      </w:r>
    </w:p>
    <w:p>
      <w:pPr>
        <w:spacing w:after="0" w:line="16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Social Capital has been an early and active investor in companies that have demonstrated strong value creation in the public markets, such as Slack, a company that completed its direct listing in June 2019 and entered into a definitive agreement to be acquired by Salesforce for $27.7 billion in cash and stock in December 2020, and Box, a company that completed its initial public offering in January 2015 and had a market capitalization of over $3.9 billion as of June 1, 2021. Social Capital was also an early investor in Yammer, a company purchased by Microsoft Corporation for $1.2 billion in 2012. Other investments with strong private market value creation include SurveyMonkey, Intercom, Netskope and Wealthfront. Not all of the companies in which Social Capital has invested have achieved the same level of value creation.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Suvretta</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Suvretta is an investment firm founded in 2011 with over $4.5 billion in assets under management as of January 31, 2021. The firm has two core investment strategies. The Suvretta strategies primarily invest in public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companies with a long-term investment horizon, combining deep industry insights with fundamental-based stock selection. Launched in 2020, the Averill strategy at Suvretta is a healthcare-oriented investment strategy that focuses on identifying companies that are disruptive to the healthcare industry. The Averill strategy seeks to own public and private companies that are developing innovative products that have the potential to disrupt or revolutionize current methods of managing or treating diseases. The Averill team is led by Kishen Mehta, who is the sole Portfolio Manager, and supported by a multifaceted senior investment team that has advanced medical and scientific expertise. Averill’s senior team has 50+ years of combined healthcare sector experience. The Averill team also has extensive experience investing across capital structures and throughout a company’s life cycle, including participating in numerous pre-IPO crossover financings. This experience affords the team access to a broad universe of management teams and companies seeking flexible capital solutions. As of December 31, 2020, the members of the Averill team had made investments in hundreds of biotechnology companies throughout their investing careers.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Management Team</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Our management team is led by Mr. Palihapitiya, Chairman of our board of directors and our Chief Executive Officer, and Mr. Mehta, our President and one of our directors.</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Prior to founding Social Capital, Mr. Palihapitiya served as Vice President of User Growth at Facebook, and is recognized as having been a major force in its launch and growth. Mr. Palihapitiya was responsible for overseeing Monetization Products and Facebook Platform, both of which were key factors driving the increase in Facebook’s user base to more than 750 million individuals worldwide. Prior to working for Facebook, Mr. Palihapitiya was a principal at the Mayfield Fund, one of the United States’ oldest venture firms, before which he headed the instant messaging division at AOL. Mr. Palihapitiya is regarded as a top technology sector venture capitalist and visionary because of his track record of identifying promising opportunities and nurturing their growth to become established players. He graduated from the University of Waterloo, Canada with a degree in electrical engineering.</w:t>
      </w:r>
    </w:p>
    <w:p>
      <w:pPr>
        <w:spacing w:after="0" w:line="16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Prior to joining Suvretta as Portfolio Manager for the Averill strategy, Mr. Mehta served as a strategic advisor to Biohaven Pharmaceuticals, where he advised the company on various business development, capital structure and communication strategies, including a $300 million secondary public offering and the $105 million acquisition of a Priority Review Voucher from GW Pharmaceuticals plc, which included $200 million in financing from Royalty Pharma plc to fund the transaction. Prior to his advisory role at Biohaven, Mr. Mehta was a portfolio manager at Surveyor Capital, a Citadel LLC strategy, where he managed a portfolio focused on global small, mid and large-capitalization biotechnology, pharmaceutical, specialty pharmaceutical, medical device and healthcare services companies. Prior to Surveyor, Mr. Mehta was an analyst at Adage Capital where he evaluated and participated in numerous mezzanine and pre-IPO private healthcare investments. Mr. Mehta held a similar role at Apothecary Capital and started his career as a mergers and acquisitions analyst at Evercore Partners, where he focused on life sciences. Mr. Mehta graduated from New York University with a degree in finance and accounting.</w:t>
      </w:r>
    </w:p>
    <w:p>
      <w:pPr>
        <w:spacing w:after="0" w:line="18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February 2021, substantially concurrently with the founding of our company, Mr. Palihapitiya and Mr. Mehta also founded DNAA, DNAB and DNAD, each a blank check company incorporated for the purposes of effecting a business combination. Mr. Palihapitiya serves as the Chief Executive Officer and Chairman of the board of directors, and Mr. Mehta serves as the President and a director, of each of DNAA, DNAB and DNAD. We anticipate that each of DNAA, DNAB and DNAD will complete its initial public offering substantially concurrently with the completion of this offering, and will focus its search for a target business operating in the biotechnology industry.</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since 2017, Mr. Palihapitiya has incorporated six blank check companies in partnership with Hedosophia, an investment firm, for the purpose of effecting one or more business combinations, and has served as the Chief Executive Officer and Chairman of the board of directors of each of the Hedosophia SPACs. All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Hedosophia SPACs have completed their initial public offering, and three have successfully executed business combination transactions involving target companies in the technology sector, with one other such transaction currently pending.</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Our management team also includes James Ryans, our Chief Financial Officer and Shoney Katz, our Director of Research. Mr. Ryans is a Partner of Social Capital and has been a professor of accounting at London Business School, with significant expertise in mergers and acquisitions and financial reporting. Mr. Katz is a Managing Director and Senior Analyst at Suvretta, with extensive experience investing in public and private markets.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Private Biotechnology Company Landscape</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Private biotechnology companies are transforming the healthcare sector — and improving quality of life — at an unprecedented pace. Advances in scientific discovery and the application of new technologies are enabling biotechnology companies to pursue novel targets and pioneer new treatment modalities and innovative approaches to disease management. New drugs, such as those used to treat the hepatitis C virus, can cure patients within weeks, and new immunotherapies offer promising treatment options to patients with otherwise fatal forms of cancer. Agile private biotechnology companies are uniquely positioned to embrace advances in drug development and rapidly innovate to develop life-changing therapies for patients.</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rapid pace of biopharmaceutical innovation has led to an increase in both the number of active drug development programs and the number of biotechnology companies developing those programs. There were 688 and 626 INDs filed with the FDA in 2018 and 2019, respectively, compared to an average of 414 INDs filed annually from 2013 through 2017. 2020 was a record year, largely driven by an influx of INDs for the development of potential therapies for Covid-19. Further, initiatives by the FDA have facilitated more rapid drug development and shorter approval timelines for drugs that treat serious and life threatening diseases, which we believe will drive further innovation. An average of 46 novel drugs were approved annually by the FDA from 2016 through 2020, compared to an average of 36 per year from 2011 through 2015. To support these development efforts, biotechnology companies are raising more capital than ever before, as evidenced by a record-setting U.S. biotechnology IPO volume in 2020. However, capital raised by biotechnology companies through initial public offerings remains a fraction of that raised through private offerings. Compared to the approximately $33 billion raised in U.S. biotechnology IPOs from 2016 to 2020, more than $74 billion was raised in private offerings by North America-based biotechnology companies during the same period. According to Capital IQ data, as of March 2021, there were approximately 17,400 biotechnology and pharmaceutical companies globally, only 1,572 of which were publicly traded.</w:t>
      </w:r>
    </w:p>
    <w:p>
      <w:pPr>
        <w:spacing w:after="0" w:line="18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believe that the universe of private biotechnology companies that are or will be looking to go public in the near term is significant. We further believe an acquisition by a blank check company provides an attractive alternative to the traditional IPO, offering privately held biotechnology companies looking to go public several key advantages, including a highly efficient process, a secure balance sheet with price certainty at the time of public listing, and a strong and diverse shareholder base that typically supports the company over time.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Current Biotechnology IPO Paradigm</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U.S. biotechnology IPO market has been robust in recent years, growing from an average of 29 IPOs greater than $50 million per year from 2011 through 2015 to approximately 44 IPOs greater than $50 million per year from 2016 through 2020. 2020 was a record year, with an aggregate of $14.0 billion raised in 69 U.S. biotechnology IPOs greater than $50 million, as companies continued to go public at earlier stages of development and higher valuations. The average pre-money valuation for a U.S. biotechnology IPO greater than $50 million in 2020 was $596 million, compared with $439 million on average from 2010 to 2019. The average U.S. biotechnology IPO greater than $50 million raised $203 million in 2020, compared with an average of $107 million from 2010 to 2019.</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average, U.S. biotechnology IPOs have exhibited strong positive performance after IPO. The average price performance from offer to year-end 2020 for U.S. biotechnology IPOs greater than $50 million since 2010 was approximately 112%. This data set of 377 total IPOs includes 213 companies with positive price performance from offer to year-end 2020, as compared to 164 with negative price performance. Additionally, the average price performance for the 213 positive performers was approximately 245% from offer to year-end 2020, as compared to approximately -60% for the negative performers.</w:t>
      </w:r>
    </w:p>
    <w:p>
      <w:pPr>
        <w:spacing w:after="0" w:line="188"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Despite this constructive market backdrop, we believe that a number of factors, outlined below, are contributing to suboptimal IPO outcomes for biotechnology companies and hindering their ability to bring new treatments to patients as quickly and efficiently as possible.</w:t>
      </w:r>
    </w:p>
    <w:p>
      <w:pPr>
        <w:spacing w:after="0" w:line="48" w:lineRule="exact"/>
        <w:rPr>
          <w:sz w:val="20"/>
          <w:szCs w:val="20"/>
          <w:color w:val="auto"/>
        </w:rPr>
      </w:pPr>
    </w:p>
    <w:p>
      <w:pPr>
        <w:ind w:left="1080" w:hanging="424"/>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Short-term funding cycle and limited capital raise: </w:t>
      </w:r>
      <w:r>
        <w:rPr>
          <w:rFonts w:ascii="Arial" w:cs="Arial" w:eastAsia="Arial" w:hAnsi="Arial"/>
          <w:sz w:val="18"/>
          <w:szCs w:val="18"/>
          <w:color w:val="auto"/>
        </w:rPr>
        <w:t>Biotechnology requires a significant investment of capital and time to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clinical and commercial success. The capital needed to successfully advance a drug from early stage development through commercialization can easily exceed $1 billion. An IPO represents the first of several public market financing rounds for a biotechnology company accessing the public markets, often providing just enough capital to bridge to the company’s next milestone. This short-term funding cycle is suboptimal, as it leaves little to no margin of safety to address any challenges or setbacks that may emerge along the way. Post-IPO secondary offerings often rely heavily on participation from existing investors and, in cases where the offering is not tied to a clear company catalyst, can come at a steep discount to prevailing market prices and result in outsized dilution. Raising an insufficient amount of capital to support a business plan also forces management teams to make tradeoffs in terms of which pipeline drugs to prioritize, potentially resulting in longer timelines for getting life-saving therapies to patients. </w:t>
      </w:r>
      <w:r>
        <w:rPr>
          <w:rFonts w:ascii="Arial" w:cs="Arial" w:eastAsia="Arial" w:hAnsi="Arial"/>
          <w:sz w:val="18"/>
          <w:szCs w:val="18"/>
          <w:b w:val="1"/>
          <w:bCs w:val="1"/>
          <w:i w:val="1"/>
          <w:iCs w:val="1"/>
          <w:color w:val="auto"/>
        </w:rPr>
        <w:t>We believe we can support biotechnology companies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 developing a long-term financing strategy and raising capital beyond a short-term window, which the traditional IPO route does not address.</w:t>
      </w:r>
    </w:p>
    <w:p>
      <w:pPr>
        <w:spacing w:after="0" w:line="97" w:lineRule="exact"/>
        <w:rPr>
          <w:rFonts w:ascii="Arial" w:cs="Arial" w:eastAsia="Arial" w:hAnsi="Arial"/>
          <w:sz w:val="18"/>
          <w:szCs w:val="18"/>
          <w:color w:val="auto"/>
        </w:rPr>
      </w:pPr>
    </w:p>
    <w:p>
      <w:pPr>
        <w:ind w:left="1080" w:right="40" w:hanging="424"/>
        <w:spacing w:after="0" w:line="255"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Management distraction: </w:t>
      </w:r>
      <w:r>
        <w:rPr>
          <w:rFonts w:ascii="Arial" w:cs="Arial" w:eastAsia="Arial" w:hAnsi="Arial"/>
          <w:sz w:val="18"/>
          <w:szCs w:val="18"/>
          <w:color w:val="auto"/>
        </w:rPr>
        <w:t>Preparation for and execution of an initial public offering requires management teams to devote considerable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and attention to the lengthy IPO process, including document drafting, underwriter selection and extensive investor engagement. This is often in addition to significant time spent in advance of the IPO to secure private crossover funding, which has become the norm in the biotechnology sector. The significant commitment of time and resources required to launch a successful IPO can distract management teams from focusing on advancing the company’s product pipeline, a particularly challenging dynamic for high-growth biotechnology company executives. </w:t>
      </w:r>
      <w:r>
        <w:rPr>
          <w:rFonts w:ascii="Arial" w:cs="Arial" w:eastAsia="Arial" w:hAnsi="Arial"/>
          <w:sz w:val="18"/>
          <w:szCs w:val="18"/>
          <w:b w:val="1"/>
          <w:bCs w:val="1"/>
          <w:i w:val="1"/>
          <w:iCs w:val="1"/>
          <w:color w:val="auto"/>
        </w:rPr>
        <w:t>We believe we can offer a more efficient path to the public markets, thereby allowing management teams to focus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on running their businesses.</w:t>
      </w:r>
    </w:p>
    <w:p>
      <w:pPr>
        <w:spacing w:after="0" w:line="94"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Narrow investor base: </w:t>
      </w:r>
      <w:r>
        <w:rPr>
          <w:rFonts w:ascii="Arial" w:cs="Arial" w:eastAsia="Arial" w:hAnsi="Arial"/>
          <w:sz w:val="16"/>
          <w:szCs w:val="16"/>
          <w:color w:val="auto"/>
        </w:rPr>
        <w:t>There are a limited number of dedicated biotechnology funds with the ability to perform thorough due diligence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biotechnology companies. As a result, private biotechnology companies are often beholden to the same limited set of investors to help anchor an IPO, and generally attempt to encourage IPO participation from these investors by pursuing a private crossover funding round ahead of the IPO. Failure to capture the attention and support of these investors can negatively impact the execution of the IPO. Moreover, a biotechnology IPO book-build that produces a relatively narrow investor base can lead to material longer-term negative impacts for newly public biotechnology companies, including shareholder base turnover and increased share price volatility. These dynamics can impair a management team’s ability to focus on long-term value creation. </w:t>
      </w:r>
      <w:r>
        <w:rPr>
          <w:rFonts w:ascii="Arial" w:cs="Arial" w:eastAsia="Arial" w:hAnsi="Arial"/>
          <w:sz w:val="16"/>
          <w:szCs w:val="16"/>
          <w:b w:val="1"/>
          <w:bCs w:val="1"/>
          <w:i w:val="1"/>
          <w:iCs w:val="1"/>
          <w:color w:val="auto"/>
        </w:rPr>
        <w:t>We believe we can provide private biotechnology companies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with access to a broader investor base and enable them to skip the crossover round before going public.</w:t>
      </w:r>
    </w:p>
    <w:p>
      <w:pPr>
        <w:spacing w:after="0" w:line="64" w:lineRule="exact"/>
        <w:rPr>
          <w:rFonts w:ascii="Arial" w:cs="Arial" w:eastAsia="Arial" w:hAnsi="Arial"/>
          <w:sz w:val="16"/>
          <w:szCs w:val="16"/>
          <w:color w:val="auto"/>
        </w:rPr>
      </w:pPr>
    </w:p>
    <w:p>
      <w:pPr>
        <w:ind w:left="1080" w:right="20" w:hanging="424"/>
        <w:spacing w:after="0" w:line="25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Inefficient price discovery: </w:t>
      </w:r>
      <w:r>
        <w:rPr>
          <w:rFonts w:ascii="Arial" w:cs="Arial" w:eastAsia="Arial" w:hAnsi="Arial"/>
          <w:sz w:val="18"/>
          <w:szCs w:val="18"/>
          <w:color w:val="auto"/>
        </w:rPr>
        <w:t>The process for biotechnology IPO demand generation often produces order books that are significantly</w:t>
      </w:r>
      <w:r>
        <w:rPr>
          <w:rFonts w:ascii="Arial" w:cs="Arial" w:eastAsia="Arial" w:hAnsi="Arial"/>
          <w:sz w:val="18"/>
          <w:szCs w:val="18"/>
          <w:b w:val="1"/>
          <w:bCs w:val="1"/>
          <w:color w:val="auto"/>
        </w:rPr>
        <w:t xml:space="preserve"> </w:t>
      </w:r>
      <w:r>
        <w:rPr>
          <w:rFonts w:ascii="Arial" w:cs="Arial" w:eastAsia="Arial" w:hAnsi="Arial"/>
          <w:sz w:val="18"/>
          <w:szCs w:val="18"/>
          <w:color w:val="auto"/>
        </w:rPr>
        <w:t>oversubscribed, but lacks an effective price discovery mechanism. Biotechnology IPO valuations are often closely tied to private crossover valuations, which are set by a smaller group of specialized investors. This limited price discovery can frustrate the ability of biotechnology companies to maximize proceeds at IPO and lead to outsized trading fluctuations post-IPO pricing. The average first day trading performance for U.S. biotechnology IPOs from 2010 to 2020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stands at over 17%. </w:t>
      </w:r>
      <w:r>
        <w:rPr>
          <w:rFonts w:ascii="Arial" w:cs="Arial" w:eastAsia="Arial" w:hAnsi="Arial"/>
          <w:sz w:val="18"/>
          <w:szCs w:val="18"/>
          <w:b w:val="1"/>
          <w:bCs w:val="1"/>
          <w:i w:val="1"/>
          <w:iCs w:val="1"/>
          <w:color w:val="auto"/>
        </w:rPr>
        <w:t>We believe we can offer greater price and valuation certainty to management teams.</w:t>
      </w:r>
    </w:p>
    <w:p>
      <w:pPr>
        <w:spacing w:after="0" w:line="127" w:lineRule="exact"/>
        <w:rPr>
          <w:sz w:val="20"/>
          <w:szCs w:val="20"/>
          <w:color w:val="auto"/>
        </w:rPr>
      </w:pPr>
    </w:p>
    <w:p>
      <w:pPr>
        <w:ind w:left="1080" w:right="40" w:hanging="424"/>
        <w:spacing w:after="0" w:line="25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IPO financing windows can shut unexpectedly: </w:t>
      </w:r>
      <w:r>
        <w:rPr>
          <w:rFonts w:ascii="Arial" w:cs="Arial" w:eastAsia="Arial" w:hAnsi="Arial"/>
          <w:sz w:val="18"/>
          <w:szCs w:val="18"/>
          <w:color w:val="auto"/>
        </w:rPr>
        <w:t>Efficient and rapid access to capital is critical to the success of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companies. A biotechnology company’s ability to access the public markets is contingent on a constructive macroeconomic backdrop, but can also be impacted by fluctuating investor sentiment due to exogenous events, which can cause financing windows to close quickly and unexpectedly. </w:t>
      </w:r>
      <w:r>
        <w:rPr>
          <w:rFonts w:ascii="Arial" w:cs="Arial" w:eastAsia="Arial" w:hAnsi="Arial"/>
          <w:sz w:val="18"/>
          <w:szCs w:val="18"/>
          <w:b w:val="1"/>
          <w:bCs w:val="1"/>
          <w:i w:val="1"/>
          <w:iCs w:val="1"/>
          <w:color w:val="auto"/>
        </w:rPr>
        <w:t>We believe we can mitigate the significant uncertainty and unpredictability around IPO financing windows by offering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more certain and direct path to the public markets.</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believe that biotechnology companies at a certain stage in their development will see material benefits from being publicly traded, including greater company and product awareness, a more liquid acquisition currency and diversified funding sources and access to capital. An acquisition by a blank check company with a management team that is well known and respected by biotechnology company founders, investors and management teams can provide a more transparent and efficient mechanism to bring a private biotechnology company to the public markets.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believe that healthcare investing is unique in its ability to translate to dramatic improvements in quality of life. The more impactful a drug is on the lives of patients and their families, the greater the likelihood of commercial success. We have chosen to focus on the biotechnology sector because we believe it is an important, exciting and complicated space where incremental capital can drive outsized societal value and returns can be highly asymmetric.</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mission is to provide disruptive and agile biotechnology companies an alternative path to becoming a publicly traded company as compared to the traditional IPO, thereby supporting their ability to execute their business plans and achieve long-term clinical and commercial success. We also seek to provide greater access to the biotechnology sector to a broader investor base. Historically, biotechnology investing has generated strong returns for a select specialist group of investors. However, most investors lack the technical and scientific background and understanding to evaluate biotechnology opportunities. Importantly, we believe our management team has the experience, knowledge base and process in place to identify biotechnology companies that have high potential. By leveraging our extensive experience and network, we believe we can provide a number of significant benefits to potential targets and public market investors that can potentially lead to attractive long-term risk-adjusted returns in the public markets.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Acquisition and Value Creation Strategy</w:t>
      </w:r>
    </w:p>
    <w:p>
      <w:pPr>
        <w:spacing w:after="0" w:line="121"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We intend to leverage what we believe is a competitive advantage in sourcing potential targets that will materially benefit from our unique expertise and where we are best situated to augment the value of the business following the completion of our initial business combination.</w:t>
      </w:r>
    </w:p>
    <w:p>
      <w:pPr>
        <w:spacing w:after="0" w:line="124"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We believe our management team is well positioned to identify unique opportunities across the private biotechnology company landscape. Our selection process will leverage our relationships with leading biotechnology company founders, executives of private and public companies, venture capitalists and growth equity funds, in addition to the extensive industry and geographical reach of Social Capital and Suvretta’s platforms.</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Given our profile and approach, we anticipate that target business candidates may be brought to our attention from various sources, in particular founders of and investors in other private and public biotechnology companies in our networks. We also believe that our management team’s reputation, experience and track record of investing will make us a preferred partner for these potential targets.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Consistent with our strategy, we have identified the following general criteria and guidelines to evaluate prospective target businesses. We may, however, decide to enter into our initial business combination with a target business that does not meet these criteria and guidelines. We intend to seek to acquire one or more businesses that we believe:</w:t>
      </w:r>
    </w:p>
    <w:p>
      <w:pPr>
        <w:spacing w:after="0" w:line="89" w:lineRule="exact"/>
        <w:rPr>
          <w:sz w:val="20"/>
          <w:szCs w:val="20"/>
          <w:color w:val="auto"/>
        </w:rPr>
      </w:pPr>
    </w:p>
    <w:p>
      <w:pPr>
        <w:ind w:left="1080" w:right="62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are in the biotechnology industry and can benefit from the extensive networks and insights we have built. In addition, we expect to evaluate targets in related industries that can leverage advancements in biotechnology to improve outcomes for patients;</w:t>
      </w:r>
    </w:p>
    <w:p>
      <w:pPr>
        <w:spacing w:after="0" w:line="29" w:lineRule="exact"/>
        <w:rPr>
          <w:rFonts w:ascii="Arial" w:cs="Arial" w:eastAsia="Arial" w:hAnsi="Arial"/>
          <w:sz w:val="16"/>
          <w:szCs w:val="16"/>
          <w:color w:val="auto"/>
        </w:rPr>
      </w:pPr>
    </w:p>
    <w:p>
      <w:pPr>
        <w:ind w:left="1080" w:right="3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are ready to operate under the scrutiny of the public markets, with strong management, corporate governance and reporting policies in place;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a profile that will be attractive to investors in public companies and are likely to be supported by investors in the public markets after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are at an inflection point, such as those requiring additional expertise, resources or capital;</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 unrecognized value or other characteristics that we believe have been misevaluated by the market based on our company-specific analysis and due diligence review; and</w:t>
      </w:r>
    </w:p>
    <w:p>
      <w:pPr>
        <w:spacing w:after="0" w:line="75"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will offer attractive risk-adjusted equity returns for our shareholders. Financial returns will be evaluated based on, among other factors, the potential for achieving clinical and commercial success and for creating value through business development initiatives.</w:t>
      </w:r>
    </w:p>
    <w:p>
      <w:pPr>
        <w:spacing w:after="0" w:line="14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Any evaluation relating to the merits of a particular initial business combination may be based on these general criteria and guidelines, as well as other considerations, factors and criteria that our management may deem relevant. In the event that we decide to enter into an initial business combination with a target business that does not meet the above criteria and guidelines, we will disclose that fact in our shareholder communications related to the acquisition. As discussed elsewhere in this prospectus, this would be in the form of proxy solicitation materials or tender offer documents that we would file with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Proposed Biotechnology Subsector Focus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While we may pursue an initial business combination target in any subsector within the biotechnology industry, or in any other industry, we intend to focus on the “organ space” — intrinsic diseases of the heart, kidney, endocrine system (including diabetes and lipids) and blood compartment (non-oncologic diseases).</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Biotechnology companies have driven major advances over time in the organ space. Management of major organ diseases such as hypertension, diabetes, hypercholesterolemia, macular degeneration and anemia is significantly better today than it was prior to the decades of drug introductions, including statins, angiotensin converting enzyme inhibitors/angiotensin II receptor blockers, oral diabetes medications, better tolerated irons, vascular endothelial growth factor drugs for the eye and erythropoietins, among others. The industry is still a long way from having broad control of many diseases, however, as patients either respond incompletely to existing therapies or cannot tolerate high enough doses of existing therapies to resolve their conditions. These major organ diseases represent a major opportunity for biotechnology companies to continue innovating to develop solutions that provide better control and offer an optimal treatment profile. Even beyond major organ diseases, there remain a large number of common organ diseases for which effective therapies are lacking. The organ space has not yet seen the full benefit of recent advancements in therapeutic modalities and growing understanding of the genetic underpinnings of disease. Drug development in this area has typically required large, broad studies to capture benefits across a heterogeneous population. This is changing as novel therapies are being developed with a focus on more specific populations, where the risk-benefit ratio can be improved, the probability of success can be increased and the time to market can be shortened.</w:t>
      </w:r>
    </w:p>
    <w:p>
      <w:pPr>
        <w:spacing w:after="0" w:line="17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Over the past three to five years, we have observed increased interest in the development of therapeutics in the organ space. New development has come with a more focused approach to identifying specific diseases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patient segments that are more homogeneous than those evaluated in the past. This tailored approach does not necessarily translate into smaller value opportunities; rather, it means populations that should respond more uniformly to experimental therapies, enabling more focused development plans using biomarkers and surrogates to accelerate time to market.</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Accordingly, in our search for a target business within the biotechnology industry, we intend to focus on identifying therapeutics, novel platforms and other modalities to help manage and treat disorders related to cardiology, nephrology, ophthalmology, hematology and endocrinology.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Acquisition Process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have not selected any business combination target and we have not, nor has anyone on our behalf, initiated any substantive discussions, directly or indirectly, with any business combination target. Certain members of our management team are employed by either Social Capital or Suvretta or one of their respective affiliates. Social Capital and Suvretta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6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search for a business combination, ability to consummate a business combination, or the operations of a target business with which we ultimately consummate a business combination, may be materially adversely affected by the Covid-19 pandemic. See “Risk Factors — Our search for a business combination, and any target business with which we ultimately consummate a business combination, may be materially adversely affected by the Covid-19 pandemic and the status of debt and equity markets.”</w:t>
      </w:r>
    </w:p>
    <w:p>
      <w:pPr>
        <w:spacing w:after="0" w:line="18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All of our officers and certain of our directors have fiduciary and contractual duties to either Social Capital or Suvretta and, as applicable, their underlying clients, and to certain companies in which either of them has invested or which either of them has sponsored. These entities, including DNAA, DNAB and DNAD (each of which is focused on pursuing an initial business combination with a target operating in the biotechnology industry) and certain other blank check companies sponsored by Social Capital (including the Hedosophia SPACs), may compete with us for acquisition opportunities. If these entities decide to pursue any such opportunity, we may be precluded from pursuing such opportunities. Subject to his or her fiduciary duties under Cayman Islands law, none of the members of our management team who are also employed by our sponsor or its affiliates have any obligation to present us with any opportunity for a potential business combination of which they become aware. Our sponsor and directors and officers are also not prohibited from sponsoring, investing or otherwise becoming involved with any other blank check companies, including in connection with their initial business combinations, prior to us completing our initial business combination. Members of our management team, in their capacities as directors, officers or employees of our sponsor or its affiliates or in their other endeavors, may choose to present potential business combinations to the related entities described above, current or future entities affiliated with or managed by our sponsor, or third parties, before they present such opportunities to us, subject to their fiduciary duties under Cayman Islands law and any other applicable fiduciary duties.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For more information, see the section entitled “Management — Conflicts of Interest.”</w:t>
      </w:r>
    </w:p>
    <w:p>
      <w:pPr>
        <w:spacing w:after="0" w:line="17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directors and officers presently have, and any or all of them in the future may have, additional fiduciary or contractual obligations to other entities pursuant to which such officer or director is or will be required to present a business combination opportunity to such entity. Accordingly, if any of our directors or officers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his or her fiduciary duties under Cayman Islands law. Our directors and officers are also not required to commit any specified amount of time or resources to our affairs, including our management team who will be spending material business time on their other duties, and, accordingly, will have conflicts of interest in allocating management time and resources among various business activities, including identifying potential business combinations and monitoring the related due diligence. See “Risk Factors — Certain of our directors and officers are now, and expect in the future to become, affiliated with certain entities engaged in business activities similar to those intended to be conducted by us and, accordingly, may have conflicts of interest in determining to which entity a particular business opportunity should be presented.”</w:t>
      </w:r>
    </w:p>
    <w:p>
      <w:pPr>
        <w:spacing w:after="0" w:line="16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Social Capital, Suvretta, or our sponsor, directors or officers. In the event we seek to complete our initial business combination with such a company, we, or a committee of independent and disinterested directors, would obtain an opinion from an independent investment banking firm or another valuation or appraisal firm that regularly renders fairness opinions on the type of target business we are seeking to acquire that such an initial business combination is fair to our company from a financial point of view. We are not required to obtain such an opinion in any other context.</w:t>
      </w:r>
    </w:p>
    <w:p>
      <w:pPr>
        <w:spacing w:after="0" w:line="17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do not believe, however, that the fiduciary duties or contractual obligations of our directors or officers will materially affect our ability to identify and pursue business combination opportunities or complete our initial business combination.</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You should not rely on the historical record of our founders’ and management’s performance as indicative of our future performance. See “Risk Factors — Past performance by our management team and their respective affiliates may not be indicative of future performance of an investment in our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Nasdaq listing rules require that we complete one or more business combinations having an aggregate fair market value of at least 80% of the value of the assets held in the trust account (excluding deferred underwriting commissions and taxes payable on the interest earned on the trust account) at the time of our signing a definitive agreement in connection with our initial business combination. We refer to this as the 80% of net assets test. If our board of directors is not able independently to determine the fair market value of the target business or businesses, we will obtain a valuation opinion from an independent investment banking firm that is a member of FINRA, or another independent entity that commonly renders valuation opinions with respect to the satisfaction of such criteria. We do not currently intend to purchase multiple businesses in unrelated industries in conjunction with our initial business combination, although there is no assurance that will be the case. Additionally, pursuant to Nasdaq rules, any initial business combination must be approved by a majority of our independent directors.</w:t>
      </w:r>
    </w:p>
    <w:p>
      <w:pPr>
        <w:spacing w:after="0" w:line="178"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shares or other equity securities of a target, or issue a substantial number of new shares to third parties in connection with financing our initial business combination.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 Notwithstanding the foregoing, if we are not then listed on Nasdaq for whatever reason, we would no longer be required to meet the foregoing 80% of net assets test.</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believe our management team’s significant operating and transaction experience and relationships with companies will provide us with a substantial number of potential business combination targets. Over the course of their careers, the members of our management team have developed a broad network of contacts and corporate relationships around the world. This network has grown through the activities of our management team sourcing, acquiring, financing and selling businesses, our management team’s relationships with sellers, financing sources and target management teams and the experience of our management team in executing transactions under varying economic and financial market conditions.</w:t>
      </w:r>
    </w:p>
    <w:p>
      <w:pPr>
        <w:spacing w:after="0" w:line="161"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In addition, members of our management team have developed contacts from investing in public and private biotechnology companies for more than 15 years. Our management team has cumulatively met with hundreds of companies through this investment process to establish a deep network of biotechnology founders, management teams, boards of directors, innovators and other contacts across the drug development ecosystem.</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believe this network will provide our management team with a robust and consistent flow of acquisition opportunities. We believe that the network of contacts and relationships of our management team will provide us with important sources of acquisition opportunities. In addition, we anticipate that target business candidates will be brought to our attention from various sources, including investment market participants, private equity funds and large business enterprises seeking to divest non-core assets or divisions.</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directors or officers, or making the acquisition through a joint venture or other form of shared ownership with our sponsor, directors or officers. In the event we seek to complete an initial business combination with a target that is affiliated with our sponsor, directors or officers, we, or a committee of independent and disinterested directors, would obtain an opinion from an independent investment banking firm or another valuation or appraisal firm that regularly renders fairness opinions on the type of target business we are seeking to acquire that such an initial business combination is fair to our company from a financial point of view. We are not required to obtain such an opinion in any other context.</w:t>
      </w:r>
    </w:p>
    <w:p>
      <w:pPr>
        <w:spacing w:after="0" w:line="17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more fully discussed in “Management — Conflicts of Interest,” if any of our directors or officers becomes aware of a business combination opportunity that falls within the line of business of any entity to which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he or she has pre-existing fiduciary or contractual obligations, including DNAA, DNAB and DNAD and certain other blank check companies sponsored by Social Capital, he or she may be required to present such business combination opportunity to such entity prior to presenting such business combination opportunity to us. Our directors and officers currently have fiduciary duties or contractual obligations that may take priority, subject to their fiduciary duties under Cayman Islands law.</w:t>
      </w:r>
    </w:p>
    <w:p>
      <w:pPr>
        <w:spacing w:after="0" w:line="187" w:lineRule="exact"/>
        <w:rPr>
          <w:sz w:val="20"/>
          <w:szCs w:val="20"/>
          <w:color w:val="auto"/>
        </w:rPr>
      </w:pPr>
    </w:p>
    <w:p>
      <w:pPr>
        <w:ind w:left="560"/>
        <w:spacing w:after="0"/>
        <w:tabs>
          <w:tab w:leader="none" w:pos="10860" w:val="left"/>
        </w:tabs>
        <w:rPr>
          <w:sz w:val="20"/>
          <w:szCs w:val="20"/>
          <w:color w:val="auto"/>
        </w:rPr>
      </w:pPr>
      <w:r>
        <w:rPr>
          <w:rFonts w:ascii="Arial" w:cs="Arial" w:eastAsia="Arial" w:hAnsi="Arial"/>
          <w:sz w:val="17"/>
          <w:szCs w:val="17"/>
          <w:color w:val="auto"/>
        </w:rPr>
        <w:t>Our executive offices are located at 2850 W. Horizon Ridge Parkway, Suite 200, Henderson, NV 89052 and our telephone number is</w:t>
      </w:r>
      <w:r>
        <w:rPr>
          <w:sz w:val="20"/>
          <w:szCs w:val="20"/>
          <w:color w:val="auto"/>
        </w:rPr>
        <w:tab/>
      </w:r>
      <w:r>
        <w:rPr>
          <w:rFonts w:ascii="Arial" w:cs="Arial" w:eastAsia="Arial" w:hAnsi="Arial"/>
          <w:sz w:val="13"/>
          <w:szCs w:val="13"/>
          <w:color w:val="auto"/>
        </w:rPr>
        <w:t>.</w:t>
      </w:r>
    </w:p>
    <w:p>
      <w:pPr>
        <w:spacing w:after="0" w:line="23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Mail addressed to the company and received at its registered office will be forwarded unopened to the forwarding address supplied by the company to be dealt with. None of the company or its directors, officers, advisors or service providers (including the organization which provides registered office services in the Cayman Islands) will bear any responsibility for any delay caused with regard to mail reaching the forwarding address.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Status as a Public Company</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target businesses an alternative to the traditional initial public offering through a merger, share exchange, asset acquisition, share purchase, reorganization or similar business combination. In this situation, the owners of the target business would exchange their equity securities, shares or shares of stock in the target business for our shares or for a combination of our shares and cash, allowing us to tailor the consideration to the specific needs of the sellers. Although there are various costs and obligations associated with being a public company, we believe target businesses will find this method a more certain and cost-effective method to becoming a public company than the typical initial public offering. In a typical initial public offering, there are additional expenses incurred in marketing, road show and public reporting efforts that may not be present to the same extent in connection with a business combination with us.</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public, we believe the target business would then have greater access to capital and an additional means of providing management incentives consistent with shareholders’ interests. It can offer further benefits by augmenting a company’s profile among potential new customers and vendors and aid in attracting talented employees.</w:t>
      </w:r>
    </w:p>
    <w:p>
      <w:pPr>
        <w:spacing w:after="0" w:line="18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equals or exceeds $700 million as of the end of that year’s second fiscal quarter, and (2) the date on which we have issued more than $1.00 billion in non-convertible debt securities during the prior three-year period.</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equaled or exceeded $250 million as of the end of that year’s second fiscal quarter, or (2) our annual revenues equaled or exceeded $100 million during such completed fiscal year and the market value of our ordinary shares held by non-affiliates equaled or exceeded $700 million as of the end of that year’s second fiscal quarter.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Position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With funds available for a business combination initially in the amount of $193,000,000 (or $223,000,000 if the underwriter’s over-allotment option is exercised in full) assuming no redemptions and after payment of $7,000,000 of deferred underwriting fees,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shares,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the redemptions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the case of an initial business combination funded with assets other than the trust account assets, our tender offer documents or proxy materials disclosing the business combination would disclose the terms of the financing and, only if required by law or we decide to do so for business or other reasons, we would seek shareholder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Nasdaq listing rules require that we complete one or more business combinations having an aggregate fair market value of at least 80% of the value of the assets held in the trust account (excluding deferred underwriting commissions and taxes payable on the interest earned on the trust account) at the time of our signing a definitive agreement in connection with our initial business combination. We refer to this as the 80% of net assets test. The fair market value of the target or targets will be determined by our board of directors based upon one or more standards generally accepted by the financial community, such as discounted cash flow valuation or value of comparable businesses. If our board of directors is not able independently to determine the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fair market value of the target business or businesses, we will obtain a valuation opinion from an independent investment banking firm that is a member of FINRA, or another independent entity that commonly renders valuation opinions with respect to the satisfaction of such criteria. We do not currently intend to purchase multiple businesses in unrelated industries in conjunction with our initial business combination, although there is no assurance that will be the case. Subject to the foregoing, our management will have virtually unrestricted flexibility in identifying and selecting one or more prospective target businesses, although we will not be permitted to effectuate our initial business combination solely with another blank check company or a similar company with nominal operations. Additionally, pursuant to Nasdaq rules, any initial business combination must be approved by a majority of our independent directors.</w:t>
      </w:r>
    </w:p>
    <w:p>
      <w:pPr>
        <w:spacing w:after="0" w:line="19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any case, we will only complete an initial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If less than 100% of the equity interests or assets of a target business or businesses are owned or acquired by the post-transaction company, the portion of such business or businesses that is owned or acquired is what will be valued for purposes of the 80% of net assets test. There is no basis for investors in this offering to evaluate the possible merits or risks of any target business with which we may ultimately complete our initial business combination.</w:t>
      </w:r>
    </w:p>
    <w:p>
      <w:pPr>
        <w:spacing w:after="0" w:line="178" w:lineRule="exact"/>
        <w:rPr>
          <w:sz w:val="20"/>
          <w:szCs w:val="20"/>
          <w:color w:val="auto"/>
        </w:rPr>
      </w:pPr>
    </w:p>
    <w:p>
      <w:pPr>
        <w:jc w:val="both"/>
        <w:ind w:left="120" w:right="500" w:firstLine="440"/>
        <w:spacing w:after="0" w:line="311" w:lineRule="auto"/>
        <w:rPr>
          <w:sz w:val="20"/>
          <w:szCs w:val="20"/>
          <w:color w:val="auto"/>
        </w:rPr>
      </w:pPr>
      <w:r>
        <w:rPr>
          <w:rFonts w:ascii="Arial" w:cs="Arial" w:eastAsia="Arial" w:hAnsi="Arial"/>
          <w:sz w:val="16"/>
          <w:szCs w:val="16"/>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may encompass, among other things, meetings with incumbent management and employees, document reviews, inspection of facilities, as well as a review of financial, operational, legal and other information, which will be made available to us.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time required to select and evaluate a target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Lack of business diversification</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the prospects for our success may be:</w:t>
      </w:r>
    </w:p>
    <w:p>
      <w:pPr>
        <w:spacing w:after="0" w:line="131" w:lineRule="exact"/>
        <w:rPr>
          <w:sz w:val="20"/>
          <w:szCs w:val="20"/>
          <w:color w:val="auto"/>
        </w:rPr>
      </w:pPr>
    </w:p>
    <w:p>
      <w:pPr>
        <w:ind w:left="5540" w:right="4220" w:hanging="4884"/>
        <w:spacing w:after="0" w:line="449" w:lineRule="auto"/>
        <w:tabs>
          <w:tab w:leader="none" w:pos="10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 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rule, or we may decide to seek shareholder approval for business or other reasons.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Nasdaq listing rules, shareholder approval would be required for our initial business combination if, for example:</w:t>
      </w:r>
    </w:p>
    <w:p>
      <w:pPr>
        <w:spacing w:after="0" w:line="131" w:lineRule="exact"/>
        <w:rPr>
          <w:sz w:val="20"/>
          <w:szCs w:val="20"/>
          <w:color w:val="auto"/>
        </w:rPr>
      </w:pPr>
    </w:p>
    <w:p>
      <w:pPr>
        <w:ind w:left="1080" w:right="2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 outstanding (other than in a public offering);</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of our directors, officers or substantial shareholders (as defined by Nasdaq rules) has a 5% or greater interest (or such persons collectively have a 10% or greater interest), directly or indirectly, in the target business or assets to be acquired or in the consideration to be paid in the transaction and the present or potential issuance of ordinary shares could result in an increase in outstanding ordinary shares or voting power of 5% or more; 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Companies Act and Cayman Islands law do not currently require, and we are not aware of any other applicable law that will require, shareholder approval of our initial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Permitted purchases and other transactions with respect to our securities</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the event we seek shareholder approval of our initial business combination and we do not conduct redemptions in connection with our initial business combination pursuant to the tender offer rules, our sponsor, directors, officers, advisors or any of their respective affiliates may purchase public shares in privately negotiated transactions or in the open market either prior to or following the completion of our initial business combination. There is no limit on the number of securities such persons may purchase. Additionally, at any time at or prior to our initial business combination, subject to applicable securities laws (including with respect to material nonpublic information), our sponsor, directors, officers, advisors or any of their respective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any such transactions and have not formulated any terms or conditions for any such transactions. None of the funds held in the trust account will be used to purchase public shares in such transactions. Such persons will be subject to restrictions in making any such purchases when they are in possession of material nonpublic information or if such purchases are prohibited by Regulation M under the Exchange Act. Such a purchase may include a contractual acknowledgement that such shareholder, although still the record holder of our shares, is no longer the beneficial owner thereof and therefore agrees not to exercise its redemption rights. We will adopt an insider trading policy which will require insiders to (1) refrain from purchasing securities during certain blackout periods and when they are in possession of material nonpublic information and (2)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176"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the event that our sponsor, directors, officers, advisors or any of their respective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64" w:lineRule="exact"/>
        <w:rPr>
          <w:sz w:val="20"/>
          <w:szCs w:val="20"/>
          <w:color w:val="auto"/>
        </w:rPr>
      </w:pPr>
    </w:p>
    <w:p>
      <w:pPr>
        <w:jc w:val="both"/>
        <w:ind w:left="120" w:right="580" w:firstLine="440"/>
        <w:spacing w:after="0" w:line="301" w:lineRule="auto"/>
        <w:rPr>
          <w:sz w:val="20"/>
          <w:szCs w:val="20"/>
          <w:color w:val="auto"/>
        </w:rPr>
      </w:pPr>
      <w:r>
        <w:rPr>
          <w:rFonts w:ascii="Arial" w:cs="Arial" w:eastAsia="Arial" w:hAnsi="Arial"/>
          <w:sz w:val="16"/>
          <w:szCs w:val="16"/>
          <w:color w:val="auto"/>
        </w:rPr>
        <w:t>The purpose of such transaction could be to (1) vote in favor of the business combination and thereby increase the likelihood of obtaining shareholder approval of our initial business combination or (2)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157"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In addition, if such purchases are made, the public “float” of our Class A ordinary shares and the number of beneficial holders of our securities may be reduced, possibly making it difficult to maintain or obtain the quotation, listing or trading of our securities on a national securities exchange.</w:t>
      </w:r>
    </w:p>
    <w:p>
      <w:pPr>
        <w:spacing w:after="0" w:line="12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sponsor, directors, officers, advisors and/or any of their respective affiliates anticipate that they may identify the shareholders with whom our sponsor, directors, officers, advisors or any of their respective affiliates may pursue privately negotiated transactions by either the shareholders contacting us directly or by our receipt of redemption requests submitted by shareholders (in the case of public shares) following our mailing of tender offer or proxy materials in connection with our initial business combination. To the extent that our sponsor, directors, officers, advisors or any of their respective affiliates enter into private transactions, they would identify and contact only potential selling or redeeming shareholders who have expressed their election to redeem their shares for a pro rata share of the trust account or vote against our initial business combination. Such persons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would select the shareholders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shareholder would receive if it elected to redeem its shares in connection with our initial business combination. Our sponsor, directors, officers, advisors or any of their respective affiliates will be restricted from purchasing shares if such purchases do not comply with Regulation M under the Exchange Act and the other federal securities laws.</w:t>
      </w:r>
    </w:p>
    <w:p>
      <w:pPr>
        <w:spacing w:after="0" w:line="188"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Any purchases by our sponsor, directors, officers and/or any of their respective affiliates who are affiliated purchasers under Rule 10b-18 under the Exchange Act will be restricted unless such purchases are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directors, officers and/or any of their respective affiliates will be restricted from making purchases of ordinary shares if the purchases would violate Section 9(a)(2) or Rule 10b-5 of the Exchange Act.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Our initial shareholders, directors and officers have entered into a letter agreement with us, pursuant to which they have agreed to waive their redemption rights with respect to any founder shares, private placement shares and public shares held by them in connection with the completion of our initial business combination.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Manner of Conducting Redemptions</w:t>
      </w:r>
    </w:p>
    <w:p>
      <w:pPr>
        <w:spacing w:after="0" w:line="121"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either (1) in connection with a general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16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 pursuant to our amended and restated memorandum and articles of association:</w:t>
      </w:r>
    </w:p>
    <w:p>
      <w:pPr>
        <w:spacing w:after="0" w:line="76" w:lineRule="exact"/>
        <w:rPr>
          <w:sz w:val="20"/>
          <w:szCs w:val="20"/>
          <w:color w:val="auto"/>
        </w:rPr>
      </w:pPr>
    </w:p>
    <w:p>
      <w:pPr>
        <w:jc w:val="center"/>
        <w:ind w:left="5540" w:right="660" w:hanging="4884"/>
        <w:spacing w:after="0" w:line="449" w:lineRule="auto"/>
        <w:tabs>
          <w:tab w:leader="none" w:pos="10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 98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our ordinary shares in the open market, in order to comply with Rule 14e-5 under the Exchange Act.</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to be less than $5,000,001 following such redemptions,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195"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p>
      <w:pPr>
        <w:spacing w:after="0" w:line="29" w:lineRule="exact"/>
        <w:rPr>
          <w:sz w:val="20"/>
          <w:szCs w:val="20"/>
          <w:color w:val="auto"/>
        </w:rPr>
      </w:pPr>
    </w:p>
    <w:p>
      <w:pPr>
        <w:ind w:left="1080" w:right="3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18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our initial business combination.</w:t>
      </w:r>
    </w:p>
    <w:p>
      <w:pPr>
        <w:spacing w:after="0" w:line="146"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If we seek shareholder approval, we will complete our initial business combination only if we receive an ordinary resolution under Cayman Islands law, which requires the affirmative vote of holders of a majority of ordinary shares who attend and vote at a general meeting of the company. In such case, pursuant to the terms of a letter agreement entered into with us, our initial shareholders have agreed (and their permitted transferees will agree) to vote their founder shares, private placement shares and any public shares held by them in favor of our initial business combination. Our directors and officers have also agreed to vote in favor of our initial business combination with respect to public shares acquired by them, if any. We expect that at the time of any shareholder vote relating to our initial business combination, our initial shareholders and their permitted transferees will own approximately 21.9% of our issued and outstanding ordinary shares entitled to vote thereon. Our public shareholders may elect to redeem their public shares without voting and, if they do vote, irrespective of whether they vote for or against the proposed transaction. In addition, our initial shareholders, directors and officers have entered into a letter agreement with us, pursuant to which they have agreed to waive their redemption rights with</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respect to any founder shares, private placement shares and public shares held by them in connection with the completion of a business combination.</w:t>
      </w:r>
    </w:p>
    <w:p>
      <w:pPr>
        <w:spacing w:after="0" w:line="24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following such redemptions.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ordinary shares submitted for redemption will be returned to the holders thereof, and we instead may search for an alternate business combination.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or our sponsor or its affiliates at a premium to the then-current market price or on other undesirable terms. By limiting our shareholders’ ability to redeem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scheduled vote on the proposal to approve the business combination in the event we distribute proxy materials, or to deliver their shares to the transfer agent electronically using The Depository Trust Company’s DWAC (Deposit/Withdrawal At Custodian) System,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scheduled vote on the business combination if we distribute proxy materials, as applicable, to tender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its shares if it wishes to seek to exercise its 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foregoing is different from the procedures used by some blank check companies. In order to perfect redemption rights in connection with their business combinations, some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general meeting, would become “option” rights surviving past the completion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tender offer materials or two business days prior to the scheduled date of the general meeting set forth in our proxy materials, as applicable (unless we elect to allow additional withdrawal rights).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24 months from the closing of this offering or during any Extension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Our sponsor, directors and officers have agreed that we will have only 24 months from the closing of this offering to complete our initial business combination. If we have not completed our initial business combination within such 24-month period or during any Extension Period, we will: (1) cease all operations except for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w:t>
      </w:r>
    </w:p>
    <w:p>
      <w:pPr>
        <w:spacing w:after="0" w:line="195"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Our initial shareholders have entered into a letter agreement with us, pursuant to which they have waived their rights to liquidating distributions from the trust account with respect to their founder shares and private placement shares if we fail to complete our initial business combination within 24 months from the closing of this offering or during any Extension Period. However, if our initial shareholders acquire public shares, they will be entitled to liquidating distributions from the trust account with respect to such public shares if we fail to complete our initial business combination within the allotted time period.</w:t>
      </w:r>
    </w:p>
    <w:p>
      <w:pPr>
        <w:spacing w:after="0" w:line="18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Our sponsor, directors and officers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to be less than $5,000,001 following such redemptions.</w:t>
      </w:r>
    </w:p>
    <w:p>
      <w:pPr>
        <w:spacing w:after="0" w:line="17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shares,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92"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Although we will seek to have all vendors, service providers (other than our independent auditors),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completed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w:t>
      </w:r>
    </w:p>
    <w:p>
      <w:pPr>
        <w:spacing w:after="0" w:line="2" w:lineRule="exact"/>
        <w:rPr>
          <w:sz w:val="20"/>
          <w:szCs w:val="20"/>
          <w:color w:val="auto"/>
        </w:rPr>
      </w:pPr>
    </w:p>
    <w:p>
      <w:pPr>
        <w:ind w:left="120" w:hanging="4"/>
        <w:spacing w:after="0" w:line="268" w:lineRule="auto"/>
        <w:tabs>
          <w:tab w:leader="none" w:pos="3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such lesser amount per public share held in the trust account as of the date of the liquidation of the trust account, due to reductions in value of the trust assets, in each case net of the amount of interest which may be withdrawn to pay taxes, except as to any claims by a third party that executed a waiver of any and all rights to seek access to the trust account and except as to any claims under our indemnity of the underwriter of this offering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None of our other officers will indemnify us for claims by third parties, including, without limitation, claims by vendors and prospective target businesses.</w:t>
      </w:r>
    </w:p>
    <w:p>
      <w:pPr>
        <w:spacing w:after="0" w:line="183"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the event that the proceeds in the trust account are reduced below (1) $10.00 per public share or (2) 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spacing w:after="0" w:line="178"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We will seek to reduce the possibility that our sponsor will have to indemnify the trust account due to claims of creditors by endeavoring to have all vendors, service providers (other than our independent auditors), prospective target businesses and other entities with which we do business execute agreements with us waiving any right, title, interest or claim of any kind in or to monies held in the trust account. Our sponsor will also not be liable as to any claims under our indemnity of the underwriter of this offering against certain liabilities, including liabilities under the Securities Act. We will have access to up to $1,000,000 from the proceeds of this offering and the sale of the private placement shares,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4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we file a winding-up or bankruptcy petition or an involuntary winding-up or bankruptcy petition is filed against us that is not dismissed, the proceeds held in the trust account could be subject to applicable insolvency law, and may be included in our insolvency estate and subject to the claims of third parties with priority over the claims of our shareholders. To the extent any insolvency claims deplete the trust account, we cannot assure you that we will be able to return $10.00 per share to our public shareholders. Additionally, if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(1) our completion of an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and (3) the redemption of our public shares if we have not completed an initial business combination within 24 months from the closing of this offering, subject to applicable law. In no other circumstances will a public shareholder have any right or interest of any kind to or in the trust account.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amended and restated memorandum and articles of association contain certain requirements and restrictions relating to this offering that will apply to us until the consummation of our initial business combination. Our amended and restated memorandum and articles of association contain a provision which provides that, if we seek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we will provide public shareholders with the opportunity to redeem their public shares in connection with any such amendment. Specifically, our amended and restated memorandum and articles of association provide, among other things, that:</w:t>
      </w:r>
    </w:p>
    <w:p>
      <w:pPr>
        <w:spacing w:after="0" w:line="97" w:lineRule="exact"/>
        <w:rPr>
          <w:sz w:val="20"/>
          <w:szCs w:val="20"/>
          <w:color w:val="auto"/>
        </w:rPr>
      </w:pPr>
    </w:p>
    <w:p>
      <w:pPr>
        <w:ind w:left="1080" w:right="80" w:hanging="424"/>
        <w:spacing w:after="0" w:line="25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shareholder approval of our initial business combination at a meeting called for such purpose at which public shareholders may seek to redeem their public shares without voting, and if they do vote, irrespective of whether they vote for or against the proposed transaction, into their pro rata share of the aggregate amount then on deposit in the trust account, calculated as of two business days prior to the completion of our initial business combination, including interest (which interest shall be net of taxes payable), or (2) provide our public shareholders with the opportunity to tender their public shares to us by means of a tender offer (and thereby avoid the need for a shareholder vote) for an amount equal to their pro rata share of the aggregate amount then on deposit in the trust account, calculated as of two business days prior to the completion of our initial business combination, including interest (which interest shall be net of taxes payable), in each case subject to the limitations described herein;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no event will we redeem our public shares in an amount that would cause our net tangible assets to be less than $5,000,001 following such redemptions;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we seek shareholder approval, we will complete our initial business combination only if we receive an ordinary resolution under Cayman Islands law, which requires the affirmative vote of holders of a majority of ordinary shares who attend and vote at a general meeting of the company;</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from the closing of this offering or during any Extension Period, then our existence will terminate and we will distribute all amounts in the trust account;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ordinary shares that would entitle the holders thereof to (1) receive funds from the trust account or (2) vote as a class with our public shares on any initial business combination.</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These provisions cannot be amended without the approval of holders of at least two-thirds of our ordinary shares who attend and vote in a general meeting. In the event we seek shareholder approval in connection with our initial business combination, our amended and restated memorandum and articles of association provide that we may consummate our initial business combination only if approved by a majority of the ordinary shares voted by our shareholders at a duly held general meeting.</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Additionally, our amended and restated memorandum and articles of association provide that, prior to our initial business combination, only holders of our founder shares will have the right to vote on the appointment of directors and that holders of a majority of our founder shares may remove a member of our board of directors for any reason. These provisions of our amended and restated memorandum and articles of association may only be amended by a special resolution passed by the holders of at least 90% of our ordinary shares attending and voting in a general meeting. With respect to any other matter submitted to a vote of our shareholders, including any vote in connection with our initial business combination, except as required by law, holders of our founder shares, holders of our private placement shares and holders of our public shares will vote together as a single class, with each share entitling the holder to one vote.</w:t>
      </w:r>
    </w:p>
    <w:p>
      <w:pPr>
        <w:spacing w:after="0" w:line="173"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have not completed our initial business combination within 24 months from the closing of this offering or during any Extension Period.</w:t>
      </w:r>
    </w:p>
    <w:p>
      <w:pPr>
        <w:spacing w:after="0" w:line="190" w:lineRule="exact"/>
        <w:rPr>
          <w:sz w:val="20"/>
          <w:szCs w:val="20"/>
          <w:color w:val="auto"/>
        </w:rPr>
      </w:pPr>
    </w:p>
    <w:tbl>
      <w:tblPr>
        <w:tblLayout w:type="fixed"/>
        <w:tblInd w:w="4160" w:type="dxa"/>
        <w:tblCellMar>
          <w:top w:w="0" w:type="dxa"/>
          <w:left w:w="0" w:type="dxa"/>
          <w:bottom w:w="0" w:type="dxa"/>
          <w:right w:w="0" w:type="dxa"/>
        </w:tblCellMar>
      </w:tblPr>
      <w:tr>
        <w:trPr>
          <w:trHeight w:val="161"/>
        </w:trPr>
        <w:tc>
          <w:tcPr>
            <w:tcW w:w="2060" w:type="dxa"/>
            <w:vAlign w:val="bottom"/>
          </w:tcPr>
          <w:p>
            <w:pPr>
              <w:jc w:val="center"/>
              <w:ind w:right="748"/>
              <w:spacing w:after="0"/>
              <w:rPr>
                <w:sz w:val="20"/>
                <w:szCs w:val="20"/>
                <w:color w:val="auto"/>
              </w:rPr>
            </w:pPr>
            <w:r>
              <w:rPr>
                <w:rFonts w:ascii="Arial" w:cs="Arial" w:eastAsia="Arial" w:hAnsi="Arial"/>
                <w:sz w:val="14"/>
                <w:szCs w:val="14"/>
                <w:b w:val="1"/>
                <w:bCs w:val="1"/>
                <w:color w:val="auto"/>
                <w:w w:val="91"/>
              </w:rPr>
              <w:t>Redemptions in</w:t>
            </w:r>
          </w:p>
        </w:tc>
        <w:tc>
          <w:tcPr>
            <w:tcW w:w="27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6"/>
              </w:rPr>
              <w:t>Other Permitted</w:t>
            </w:r>
          </w:p>
        </w:tc>
        <w:tc>
          <w:tcPr>
            <w:tcW w:w="192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2"/>
              </w:rPr>
              <w:t>Redemptions if we Fail</w:t>
            </w:r>
          </w:p>
        </w:tc>
        <w:tc>
          <w:tcPr>
            <w:tcW w:w="0" w:type="dxa"/>
            <w:vAlign w:val="bottom"/>
          </w:tcPr>
          <w:p>
            <w:pPr>
              <w:spacing w:after="0"/>
              <w:rPr>
                <w:sz w:val="1"/>
                <w:szCs w:val="1"/>
                <w:color w:val="auto"/>
              </w:rPr>
            </w:pPr>
          </w:p>
        </w:tc>
      </w:tr>
      <w:tr>
        <w:trPr>
          <w:trHeight w:val="149"/>
        </w:trPr>
        <w:tc>
          <w:tcPr>
            <w:tcW w:w="20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Connection with our</w:t>
            </w:r>
          </w:p>
        </w:tc>
        <w:tc>
          <w:tcPr>
            <w:tcW w:w="276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1"/>
              </w:rPr>
              <w:t>Initial Business</w:t>
            </w:r>
          </w:p>
        </w:tc>
        <w:tc>
          <w:tcPr>
            <w:tcW w:w="27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9"/>
              </w:rPr>
              <w:t>Purchases of Public</w:t>
            </w:r>
          </w:p>
        </w:tc>
        <w:tc>
          <w:tcPr>
            <w:tcW w:w="192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6"/>
              </w:rPr>
              <w:t>to Complete an Initial</w:t>
            </w:r>
          </w:p>
        </w:tc>
        <w:tc>
          <w:tcPr>
            <w:tcW w:w="0" w:type="dxa"/>
            <w:vAlign w:val="bottom"/>
          </w:tcPr>
          <w:p>
            <w:pPr>
              <w:spacing w:after="0"/>
              <w:rPr>
                <w:sz w:val="1"/>
                <w:szCs w:val="1"/>
                <w:color w:val="auto"/>
              </w:rPr>
            </w:pPr>
          </w:p>
        </w:tc>
      </w:tr>
      <w:tr>
        <w:trPr>
          <w:trHeight w:val="185"/>
        </w:trPr>
        <w:tc>
          <w:tcPr>
            <w:tcW w:w="2060" w:type="dxa"/>
            <w:vAlign w:val="bottom"/>
          </w:tcPr>
          <w:p>
            <w:pPr>
              <w:jc w:val="center"/>
              <w:ind w:right="728"/>
              <w:spacing w:after="0"/>
              <w:rPr>
                <w:sz w:val="20"/>
                <w:szCs w:val="20"/>
                <w:color w:val="auto"/>
              </w:rPr>
            </w:pPr>
            <w:r>
              <w:rPr>
                <w:rFonts w:ascii="Arial" w:cs="Arial" w:eastAsia="Arial" w:hAnsi="Arial"/>
                <w:sz w:val="14"/>
                <w:szCs w:val="14"/>
                <w:b w:val="1"/>
                <w:bCs w:val="1"/>
                <w:color w:val="auto"/>
                <w:w w:val="95"/>
              </w:rPr>
              <w:t>Combination</w:t>
            </w:r>
          </w:p>
        </w:tc>
        <w:tc>
          <w:tcPr>
            <w:tcW w:w="276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Shares by our Affiliates</w:t>
            </w:r>
          </w:p>
        </w:tc>
        <w:tc>
          <w:tcPr>
            <w:tcW w:w="1920" w:type="dxa"/>
            <w:vAlign w:val="bottom"/>
          </w:tcPr>
          <w:p>
            <w:pPr>
              <w:jc w:val="center"/>
              <w:ind w:left="448"/>
              <w:spacing w:after="0"/>
              <w:rPr>
                <w:sz w:val="20"/>
                <w:szCs w:val="20"/>
                <w:color w:val="auto"/>
              </w:rPr>
            </w:pPr>
            <w:r>
              <w:rPr>
                <w:rFonts w:ascii="Arial" w:cs="Arial" w:eastAsia="Arial" w:hAnsi="Arial"/>
                <w:sz w:val="14"/>
                <w:szCs w:val="14"/>
                <w:b w:val="1"/>
                <w:bCs w:val="1"/>
                <w:color w:val="auto"/>
                <w:w w:val="89"/>
              </w:rPr>
              <w:t>Business Combination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0</wp:posOffset>
            </wp:positionV>
            <wp:extent cx="30175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tbl>
      <w:tblPr>
        <w:tblLayout w:type="fixed"/>
        <w:tblInd w:w="120" w:type="dxa"/>
        <w:tblCellMar>
          <w:top w:w="0" w:type="dxa"/>
          <w:left w:w="0" w:type="dxa"/>
          <w:bottom w:w="0" w:type="dxa"/>
          <w:right w:w="0" w:type="dxa"/>
        </w:tblCellMar>
      </w:tblPr>
      <w:tr>
        <w:trPr>
          <w:trHeight w:val="195"/>
        </w:trPr>
        <w:tc>
          <w:tcPr>
            <w:tcW w:w="3280" w:type="dxa"/>
            <w:vAlign w:val="bottom"/>
          </w:tcPr>
          <w:p>
            <w:pPr>
              <w:spacing w:after="0" w:line="195" w:lineRule="exact"/>
              <w:rPr>
                <w:sz w:val="20"/>
                <w:szCs w:val="20"/>
                <w:color w:val="auto"/>
              </w:rPr>
            </w:pPr>
            <w:r>
              <w:rPr>
                <w:rFonts w:ascii="Arial" w:cs="Arial" w:eastAsia="Arial" w:hAnsi="Arial"/>
                <w:sz w:val="18"/>
                <w:szCs w:val="18"/>
                <w:b w:val="1"/>
                <w:bCs w:val="1"/>
                <w:color w:val="auto"/>
              </w:rPr>
              <w:t>Calculation of redemption price</w:t>
            </w:r>
          </w:p>
        </w:tc>
        <w:tc>
          <w:tcPr>
            <w:tcW w:w="27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3"/>
              </w:rPr>
              <w:t>Redemptions at the time of our initial</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4"/>
              </w:rPr>
              <w:t>business combination may be made</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pursuant to a tender offer or in</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6"/>
              </w:rPr>
              <w:t>connection with a shareholder vote.</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The redemption price will be the</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same whether we conduct</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88"/>
              </w:rPr>
              <w:t>redemptions pursuant to a tender offer</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7"/>
              </w:rPr>
              <w:t>or in connection with a shareholder</w:t>
            </w:r>
          </w:p>
        </w:tc>
      </w:tr>
      <w:tr>
        <w:trPr>
          <w:trHeight w:val="230"/>
        </w:trPr>
        <w:tc>
          <w:tcPr>
            <w:tcW w:w="328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vote. In</w:t>
            </w:r>
          </w:p>
        </w:tc>
      </w:tr>
      <w:tr>
        <w:trPr>
          <w:trHeight w:val="580"/>
        </w:trPr>
        <w:tc>
          <w:tcPr>
            <w:tcW w:w="3280" w:type="dxa"/>
            <w:vAlign w:val="bottom"/>
          </w:tcPr>
          <w:p>
            <w:pPr>
              <w:spacing w:after="0"/>
              <w:rPr>
                <w:sz w:val="24"/>
                <w:szCs w:val="24"/>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105</w:t>
            </w:r>
          </w:p>
        </w:tc>
      </w:tr>
    </w:tbl>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If we seek shareholder approval of our initial business combination, our sponsor, directors, officers, advisors or any of their respective affiliates may purchase public shares in privately negotiated transactions or in the open market either prior to or following the completion of our initial</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6"/>
          <w:szCs w:val="16"/>
          <w:color w:val="auto"/>
        </w:rPr>
        <w:t>If we have not completed our initial business combination within</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24 months from the closing of this offering or during any Extension Period, we will redeem all public shares at a per-share price, payable in cash, equal to the</w:t>
      </w:r>
    </w:p>
    <w:p>
      <w:pPr>
        <w:sectPr>
          <w:pgSz w:w="11900" w:h="16838" w:orient="portrait"/>
          <w:cols w:equalWidth="0" w:num="3">
            <w:col w:w="6160" w:space="220"/>
            <w:col w:w="2720" w:space="160"/>
            <w:col w:w="1860"/>
          </w:cols>
          <w:pgMar w:left="320" w:top="459" w:right="45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1"/>
              </w:rPr>
              <w:t>Redemptions in</w:t>
            </w:r>
          </w:p>
        </w:tc>
      </w:tr>
      <w:tr>
        <w:trPr>
          <w:trHeight w:val="148"/>
        </w:trPr>
        <w:tc>
          <w:tcPr>
            <w:tcW w:w="328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Connection with our</w:t>
            </w:r>
          </w:p>
        </w:tc>
      </w:tr>
      <w:tr>
        <w:trPr>
          <w:trHeight w:val="148"/>
        </w:trPr>
        <w:tc>
          <w:tcPr>
            <w:tcW w:w="328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Initial Business</w:t>
            </w:r>
          </w:p>
        </w:tc>
      </w:tr>
      <w:tr>
        <w:trPr>
          <w:trHeight w:val="185"/>
        </w:trPr>
        <w:tc>
          <w:tcPr>
            <w:tcW w:w="328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Combination</w:t>
            </w:r>
          </w:p>
        </w:tc>
      </w:tr>
      <w:tr>
        <w:trPr>
          <w:trHeight w:val="195"/>
        </w:trPr>
        <w:tc>
          <w:tcPr>
            <w:tcW w:w="3280" w:type="dxa"/>
            <w:vAlign w:val="bottom"/>
          </w:tcPr>
          <w:p>
            <w:pPr>
              <w:spacing w:after="0"/>
              <w:rPr>
                <w:sz w:val="16"/>
                <w:szCs w:val="16"/>
                <w:color w:val="auto"/>
              </w:rPr>
            </w:pPr>
          </w:p>
        </w:tc>
        <w:tc>
          <w:tcPr>
            <w:tcW w:w="2760" w:type="dxa"/>
            <w:vAlign w:val="bottom"/>
          </w:tcPr>
          <w:p>
            <w:pPr>
              <w:ind w:left="20"/>
              <w:spacing w:after="0" w:line="195" w:lineRule="exact"/>
              <w:rPr>
                <w:sz w:val="20"/>
                <w:szCs w:val="20"/>
                <w:color w:val="auto"/>
              </w:rPr>
            </w:pPr>
            <w:r>
              <w:rPr>
                <w:rFonts w:ascii="Arial" w:cs="Arial" w:eastAsia="Arial" w:hAnsi="Arial"/>
                <w:sz w:val="18"/>
                <w:szCs w:val="18"/>
                <w:color w:val="auto"/>
                <w:w w:val="95"/>
              </w:rPr>
              <w:t>either case, our public shareholders</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8"/>
              </w:rPr>
              <w:t>may redeem their public shares for</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4"/>
              </w:rPr>
              <w:t>cash equal to the aggregate amount</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7"/>
              </w:rPr>
              <w:t>then on deposit in the trust account</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8"/>
              </w:rPr>
              <w:t>calculated as of two business days</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prior to the consummation of the</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2"/>
              </w:rPr>
              <w:t>initial business combination (which is</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6"/>
              </w:rPr>
              <w:t>initially anticipated to be $10.00 per</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share), including interest (which</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89"/>
              </w:rPr>
              <w:t>interest shall be net of taxes payable),</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2"/>
              </w:rPr>
              <w:t>divided by the number of then issued</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88"/>
              </w:rPr>
              <w:t>and outstanding public shares, subject</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5"/>
              </w:rPr>
              <w:t>to the limitation that no redemptions</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will take place if all of the</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redemptions would cause our net</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tangible assets to be less than</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$5,000,001 following such</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redemptions, and any limitations</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(including, but not limited to, cash</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89"/>
              </w:rPr>
              <w:t>requirements) agreed to in connection</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with the negotiation of terms of a</w:t>
            </w:r>
          </w:p>
        </w:tc>
      </w:tr>
      <w:tr>
        <w:trPr>
          <w:trHeight w:val="230"/>
        </w:trPr>
        <w:tc>
          <w:tcPr>
            <w:tcW w:w="328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proposed business combination.</w:t>
            </w:r>
          </w:p>
        </w:tc>
      </w:tr>
      <w:tr>
        <w:trPr>
          <w:trHeight w:val="310"/>
        </w:trPr>
        <w:tc>
          <w:tcPr>
            <w:tcW w:w="3280" w:type="dxa"/>
            <w:vAlign w:val="bottom"/>
          </w:tcPr>
          <w:p>
            <w:pPr>
              <w:spacing w:after="0"/>
              <w:rPr>
                <w:sz w:val="20"/>
                <w:szCs w:val="20"/>
                <w:color w:val="auto"/>
              </w:rPr>
            </w:pPr>
            <w:r>
              <w:rPr>
                <w:rFonts w:ascii="Arial" w:cs="Arial" w:eastAsia="Arial" w:hAnsi="Arial"/>
                <w:sz w:val="18"/>
                <w:szCs w:val="18"/>
                <w:b w:val="1"/>
                <w:bCs w:val="1"/>
                <w:color w:val="auto"/>
              </w:rPr>
              <w:t>Impact to remaining shareholders</w:t>
            </w:r>
          </w:p>
        </w:tc>
        <w:tc>
          <w:tcPr>
            <w:tcW w:w="2760" w:type="dxa"/>
            <w:vAlign w:val="bottom"/>
          </w:tcPr>
          <w:p>
            <w:pPr>
              <w:ind w:left="20"/>
              <w:spacing w:after="0"/>
              <w:rPr>
                <w:sz w:val="20"/>
                <w:szCs w:val="20"/>
                <w:color w:val="auto"/>
              </w:rPr>
            </w:pPr>
            <w:r>
              <w:rPr>
                <w:rFonts w:ascii="Arial" w:cs="Arial" w:eastAsia="Arial" w:hAnsi="Arial"/>
                <w:sz w:val="18"/>
                <w:szCs w:val="18"/>
                <w:color w:val="auto"/>
                <w:w w:val="96"/>
              </w:rPr>
              <w:t>The redemptions in connection with</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7"/>
              </w:rPr>
              <w:t>our initial business combination will</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5"/>
              </w:rPr>
              <w:t>reduce the book value per share for</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3"/>
              </w:rPr>
              <w:t>our remaining shareholders, who will</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bear the burden of the deferred</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underwriting commissions and</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interest withdrawn in order to pay</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taxes (to the extent not paid from</w:t>
            </w:r>
          </w:p>
        </w:tc>
      </w:tr>
      <w:tr>
        <w:trPr>
          <w:trHeight w:val="216"/>
        </w:trPr>
        <w:tc>
          <w:tcPr>
            <w:tcW w:w="328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96"/>
              </w:rPr>
              <w:t>amounts accrued as interest on the</w:t>
            </w:r>
          </w:p>
        </w:tc>
      </w:tr>
      <w:tr>
        <w:trPr>
          <w:trHeight w:val="230"/>
        </w:trPr>
        <w:tc>
          <w:tcPr>
            <w:tcW w:w="328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funds held in the trust account).</w:t>
            </w:r>
          </w:p>
        </w:tc>
      </w:tr>
      <w:tr>
        <w:trPr>
          <w:trHeight w:val="581"/>
        </w:trPr>
        <w:tc>
          <w:tcPr>
            <w:tcW w:w="3280" w:type="dxa"/>
            <w:vAlign w:val="bottom"/>
          </w:tcPr>
          <w:p>
            <w:pPr>
              <w:spacing w:after="0"/>
              <w:rPr>
                <w:sz w:val="24"/>
                <w:szCs w:val="24"/>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106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Other Permitted</w:t>
      </w:r>
    </w:p>
    <w:p>
      <w:pPr>
        <w:jc w:val="center"/>
        <w:ind w:left="-59"/>
        <w:spacing w:after="0" w:line="226" w:lineRule="auto"/>
        <w:rPr>
          <w:sz w:val="20"/>
          <w:szCs w:val="20"/>
          <w:color w:val="auto"/>
        </w:rPr>
      </w:pPr>
      <w:r>
        <w:rPr>
          <w:rFonts w:ascii="Arial" w:cs="Arial" w:eastAsia="Arial" w:hAnsi="Arial"/>
          <w:sz w:val="14"/>
          <w:szCs w:val="14"/>
          <w:b w:val="1"/>
          <w:bCs w:val="1"/>
          <w:color w:val="auto"/>
        </w:rPr>
        <w:t>Purchases of Public</w:t>
      </w:r>
    </w:p>
    <w:p>
      <w:pPr>
        <w:jc w:val="center"/>
        <w:ind w:left="-59"/>
        <w:spacing w:after="0"/>
        <w:rPr>
          <w:sz w:val="20"/>
          <w:szCs w:val="20"/>
          <w:color w:val="auto"/>
        </w:rPr>
      </w:pPr>
      <w:r>
        <w:rPr>
          <w:rFonts w:ascii="Arial" w:cs="Arial" w:eastAsia="Arial" w:hAnsi="Arial"/>
          <w:sz w:val="14"/>
          <w:szCs w:val="14"/>
          <w:b w:val="1"/>
          <w:bCs w:val="1"/>
          <w:color w:val="auto"/>
        </w:rPr>
        <w:t>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7487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ind w:right="40"/>
        <w:spacing w:after="0" w:line="268" w:lineRule="auto"/>
        <w:rPr>
          <w:sz w:val="20"/>
          <w:szCs w:val="20"/>
          <w:color w:val="auto"/>
        </w:rPr>
      </w:pPr>
      <w:r>
        <w:rPr>
          <w:rFonts w:ascii="Arial" w:cs="Arial" w:eastAsia="Arial" w:hAnsi="Arial"/>
          <w:sz w:val="17"/>
          <w:szCs w:val="17"/>
          <w:color w:val="auto"/>
        </w:rPr>
        <w:t>business combination. Such purchases will be restricted except to the extent such purchases are able to be made in compliance with</w:t>
      </w:r>
    </w:p>
    <w:p>
      <w:pPr>
        <w:spacing w:after="0" w:line="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Rule 10b-18, which is a safe harbor from liability for manipulation under Section 9(a)(2) and Rule 10b-5 of the Exchange Act. None of the funds in the trust account will be used to purchase shares in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the permitted purchases described above are made, there will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60" w:right="220" w:hanging="19"/>
        <w:spacing w:after="0" w:line="280" w:lineRule="auto"/>
        <w:rPr>
          <w:sz w:val="20"/>
          <w:szCs w:val="20"/>
          <w:color w:val="auto"/>
        </w:rPr>
      </w:pPr>
      <w:r>
        <w:rPr>
          <w:rFonts w:ascii="Arial" w:cs="Arial" w:eastAsia="Arial" w:hAnsi="Arial"/>
          <w:sz w:val="12"/>
          <w:szCs w:val="12"/>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1830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86" w:lineRule="auto"/>
        <w:rPr>
          <w:sz w:val="20"/>
          <w:szCs w:val="20"/>
          <w:color w:val="auto"/>
        </w:rPr>
      </w:pPr>
      <w:r>
        <w:rPr>
          <w:rFonts w:ascii="Arial" w:cs="Arial" w:eastAsia="Arial" w:hAnsi="Arial"/>
          <w:sz w:val="16"/>
          <w:szCs w:val="16"/>
          <w:color w:val="auto"/>
        </w:rPr>
        <w:t>aggregate amount then on deposit in the trust account (which is initially anticipated to be $10.00 per share), including interest (less up to $100,000 of interest to pay dissolution expenses and which interest shall be net of taxes payable), divided by the number of then issued and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3">
            <w:col w:w="6160" w:space="220"/>
            <w:col w:w="2700" w:space="180"/>
            <w:col w:w="186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w:t>
      </w:r>
    </w:p>
    <w:p>
      <w:pPr>
        <w:spacing w:after="0" w:line="3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Rule 419. This comparison assumes that the gross proceeds, underwriting commissions and underwriting expenses of our offering would be identical to those of an offering undertaken by a company subject to Rule 419, and that the underwriter will not exercise its over-allotment option. None of the provisions of Rule 419 apply to our offering.</w:t>
      </w:r>
    </w:p>
    <w:p>
      <w:pPr>
        <w:sectPr>
          <w:pgSz w:w="11900" w:h="16838" w:orient="portrait"/>
          <w:cols w:equalWidth="0" w:num="1">
            <w:col w:w="11120"/>
          </w:cols>
          <w:pgMar w:left="320" w:top="459" w:right="459" w:bottom="1440" w:gutter="0" w:footer="0" w:header="0"/>
        </w:sect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98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195"/>
        </w:trPr>
        <w:tc>
          <w:tcPr>
            <w:tcW w:w="3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8"/>
              </w:rPr>
              <w:t>The Nasdaq listing rules provide that at least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9"/>
              </w:rPr>
              <w:t>90% of the gross proceeds from this offering</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2"/>
              </w:rPr>
              <w:t>and the sale of the private placement shares be</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89"/>
              </w:rPr>
              <w:t>deposited in a trust account. $200,000,000 of the</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3"/>
              </w:rPr>
              <w:t>net proceeds of this offering and the sale of the</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0"/>
              </w:rPr>
              <w:t>private placement shares will be deposited into a</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2"/>
              </w:rPr>
              <w:t>U.S.-based trust account at J.P. Morgan Chase</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6"/>
              </w:rPr>
              <w:t>Bank, N.A., with Continental Stock Transfer &amp;</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rPr>
              <w:t>Trust Company acting as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Approximately $170,100,000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74" w:lineRule="exact"/>
        <w:rPr>
          <w:sz w:val="20"/>
          <w:szCs w:val="20"/>
          <w:color w:val="auto"/>
        </w:rPr>
      </w:pPr>
    </w:p>
    <w:p>
      <w:pPr>
        <w:sectPr>
          <w:pgSz w:w="11900" w:h="16838" w:orient="portrait"/>
          <w:cols w:equalWidth="0" w:num="2">
            <w:col w:w="7720" w:space="220"/>
            <w:col w:w="31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$200,000,000 of the net offering proceeds and the sale of the private placement shares held in trust will be invested only in U.S. government treasury bills with a maturity of 185 days or less or in money market funds investing solely in U.S. Treasuries and meeting certain conditions under Rule 2a-7 under the Investment Company Act.</w:t>
      </w:r>
    </w:p>
    <w:p>
      <w:pPr>
        <w:spacing w:after="0" w:line="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Interest on proceeds from the trust account to be paid to shareholders is reduced by (1) any taxes paid or payable and (2)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5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Nasdaq listing rules require that we complete one or more business combinations that</w:t>
      </w:r>
    </w:p>
    <w:p>
      <w:pPr>
        <w:spacing w:after="0" w:line="1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or net assets of a target business must represent at</w:t>
      </w:r>
    </w:p>
    <w:p>
      <w:pPr>
        <w:sectPr>
          <w:pgSz w:w="11900" w:h="16838" w:orient="portrait"/>
          <w:cols w:equalWidth="0" w:num="3">
            <w:col w:w="3640" w:space="560"/>
            <w:col w:w="3480" w:space="260"/>
            <w:col w:w="3180"/>
          </w:cols>
          <w:pgMar w:left="320" w:top="459" w:right="45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Terms of Our Offering</w:t>
            </w:r>
          </w:p>
        </w:tc>
      </w:tr>
      <w:tr>
        <w:trPr>
          <w:trHeight w:val="195"/>
        </w:trPr>
        <w:tc>
          <w:tcPr>
            <w:tcW w:w="3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9"/>
              </w:rPr>
              <w:t>together have a fair market value equal to at</w:t>
            </w:r>
          </w:p>
        </w:tc>
      </w:tr>
      <w:tr>
        <w:trPr>
          <w:trHeight w:val="216"/>
        </w:trPr>
        <w:tc>
          <w:tcPr>
            <w:tcW w:w="3080" w:type="dxa"/>
            <w:vAlign w:val="bottom"/>
          </w:tcPr>
          <w:p>
            <w:pPr>
              <w:spacing w:after="0"/>
              <w:rPr>
                <w:sz w:val="18"/>
                <w:szCs w:val="18"/>
                <w:color w:val="auto"/>
              </w:rPr>
            </w:pPr>
          </w:p>
        </w:tc>
        <w:tc>
          <w:tcPr>
            <w:tcW w:w="4520" w:type="dxa"/>
            <w:vAlign w:val="bottom"/>
            <w:gridSpan w:val="2"/>
          </w:tcPr>
          <w:p>
            <w:pPr>
              <w:ind w:left="1000"/>
              <w:spacing w:after="0"/>
              <w:rPr>
                <w:sz w:val="20"/>
                <w:szCs w:val="20"/>
                <w:color w:val="auto"/>
              </w:rPr>
            </w:pPr>
            <w:r>
              <w:rPr>
                <w:rFonts w:ascii="Arial" w:cs="Arial" w:eastAsia="Arial" w:hAnsi="Arial"/>
                <w:sz w:val="18"/>
                <w:szCs w:val="18"/>
                <w:color w:val="auto"/>
              </w:rPr>
              <w:t>least 80% of the value of the trust account</w:t>
            </w:r>
          </w:p>
        </w:tc>
      </w:tr>
      <w:tr>
        <w:trPr>
          <w:trHeight w:val="216"/>
        </w:trPr>
        <w:tc>
          <w:tcPr>
            <w:tcW w:w="3080" w:type="dxa"/>
            <w:vAlign w:val="bottom"/>
          </w:tcPr>
          <w:p>
            <w:pPr>
              <w:spacing w:after="0"/>
              <w:rPr>
                <w:sz w:val="18"/>
                <w:szCs w:val="18"/>
                <w:color w:val="auto"/>
              </w:rPr>
            </w:pPr>
          </w:p>
        </w:tc>
        <w:tc>
          <w:tcPr>
            <w:tcW w:w="4520" w:type="dxa"/>
            <w:vAlign w:val="bottom"/>
            <w:gridSpan w:val="2"/>
          </w:tcPr>
          <w:p>
            <w:pPr>
              <w:ind w:left="1000"/>
              <w:spacing w:after="0"/>
              <w:rPr>
                <w:sz w:val="20"/>
                <w:szCs w:val="20"/>
                <w:color w:val="auto"/>
              </w:rPr>
            </w:pPr>
            <w:r>
              <w:rPr>
                <w:rFonts w:ascii="Arial" w:cs="Arial" w:eastAsia="Arial" w:hAnsi="Arial"/>
                <w:sz w:val="18"/>
                <w:szCs w:val="18"/>
                <w:color w:val="auto"/>
                <w:w w:val="97"/>
              </w:rPr>
              <w:t>(excluding any deferred underwriter fees and</w:t>
            </w:r>
          </w:p>
        </w:tc>
      </w:tr>
      <w:tr>
        <w:trPr>
          <w:trHeight w:val="216"/>
        </w:trPr>
        <w:tc>
          <w:tcPr>
            <w:tcW w:w="3080" w:type="dxa"/>
            <w:vAlign w:val="bottom"/>
          </w:tcPr>
          <w:p>
            <w:pPr>
              <w:spacing w:after="0"/>
              <w:rPr>
                <w:sz w:val="18"/>
                <w:szCs w:val="18"/>
                <w:color w:val="auto"/>
              </w:rPr>
            </w:pPr>
          </w:p>
        </w:tc>
        <w:tc>
          <w:tcPr>
            <w:tcW w:w="4520" w:type="dxa"/>
            <w:vAlign w:val="bottom"/>
            <w:gridSpan w:val="2"/>
          </w:tcPr>
          <w:p>
            <w:pPr>
              <w:ind w:left="1000"/>
              <w:spacing w:after="0"/>
              <w:rPr>
                <w:sz w:val="20"/>
                <w:szCs w:val="20"/>
                <w:color w:val="auto"/>
              </w:rPr>
            </w:pPr>
            <w:r>
              <w:rPr>
                <w:rFonts w:ascii="Arial" w:cs="Arial" w:eastAsia="Arial" w:hAnsi="Arial"/>
                <w:sz w:val="18"/>
                <w:szCs w:val="18"/>
                <w:color w:val="auto"/>
                <w:w w:val="90"/>
              </w:rPr>
              <w:t>taxes payable on the income earned on the trust</w:t>
            </w:r>
          </w:p>
        </w:tc>
      </w:tr>
      <w:tr>
        <w:trPr>
          <w:trHeight w:val="216"/>
        </w:trPr>
        <w:tc>
          <w:tcPr>
            <w:tcW w:w="3080" w:type="dxa"/>
            <w:vAlign w:val="bottom"/>
          </w:tcPr>
          <w:p>
            <w:pPr>
              <w:spacing w:after="0"/>
              <w:rPr>
                <w:sz w:val="18"/>
                <w:szCs w:val="18"/>
                <w:color w:val="auto"/>
              </w:rPr>
            </w:pPr>
          </w:p>
        </w:tc>
        <w:tc>
          <w:tcPr>
            <w:tcW w:w="4520" w:type="dxa"/>
            <w:vAlign w:val="bottom"/>
            <w:gridSpan w:val="2"/>
          </w:tcPr>
          <w:p>
            <w:pPr>
              <w:ind w:left="1000"/>
              <w:spacing w:after="0"/>
              <w:rPr>
                <w:sz w:val="20"/>
                <w:szCs w:val="20"/>
                <w:color w:val="auto"/>
              </w:rPr>
            </w:pPr>
            <w:r>
              <w:rPr>
                <w:rFonts w:ascii="Arial" w:cs="Arial" w:eastAsia="Arial" w:hAnsi="Arial"/>
                <w:sz w:val="18"/>
                <w:szCs w:val="18"/>
                <w:color w:val="auto"/>
                <w:w w:val="96"/>
              </w:rPr>
              <w:t>account) at the time of our signing a definitive</w:t>
            </w:r>
          </w:p>
        </w:tc>
      </w:tr>
      <w:tr>
        <w:trPr>
          <w:trHeight w:val="216"/>
        </w:trPr>
        <w:tc>
          <w:tcPr>
            <w:tcW w:w="3080" w:type="dxa"/>
            <w:vAlign w:val="bottom"/>
          </w:tcPr>
          <w:p>
            <w:pPr>
              <w:spacing w:after="0"/>
              <w:rPr>
                <w:sz w:val="18"/>
                <w:szCs w:val="18"/>
                <w:color w:val="auto"/>
              </w:rPr>
            </w:pPr>
          </w:p>
        </w:tc>
        <w:tc>
          <w:tcPr>
            <w:tcW w:w="4520" w:type="dxa"/>
            <w:vAlign w:val="bottom"/>
            <w:gridSpan w:val="2"/>
          </w:tcPr>
          <w:p>
            <w:pPr>
              <w:ind w:left="1000"/>
              <w:spacing w:after="0"/>
              <w:rPr>
                <w:sz w:val="20"/>
                <w:szCs w:val="20"/>
                <w:color w:val="auto"/>
              </w:rPr>
            </w:pPr>
            <w:r>
              <w:rPr>
                <w:rFonts w:ascii="Arial" w:cs="Arial" w:eastAsia="Arial" w:hAnsi="Arial"/>
                <w:sz w:val="18"/>
                <w:szCs w:val="18"/>
                <w:color w:val="auto"/>
              </w:rPr>
              <w:t>agreement in connection with our initial</w:t>
            </w:r>
          </w:p>
        </w:tc>
      </w:tr>
      <w:tr>
        <w:trPr>
          <w:trHeight w:val="230"/>
        </w:trPr>
        <w:tc>
          <w:tcPr>
            <w:tcW w:w="3080" w:type="dxa"/>
            <w:vAlign w:val="bottom"/>
          </w:tcPr>
          <w:p>
            <w:pPr>
              <w:spacing w:after="0"/>
              <w:rPr>
                <w:sz w:val="20"/>
                <w:szCs w:val="20"/>
                <w:color w:val="auto"/>
              </w:rPr>
            </w:pPr>
          </w:p>
        </w:tc>
        <w:tc>
          <w:tcPr>
            <w:tcW w:w="4520" w:type="dxa"/>
            <w:vAlign w:val="bottom"/>
            <w:gridSpan w:val="2"/>
          </w:tcPr>
          <w:p>
            <w:pPr>
              <w:ind w:left="1000"/>
              <w:spacing w:after="0"/>
              <w:rPr>
                <w:sz w:val="20"/>
                <w:szCs w:val="20"/>
                <w:color w:val="auto"/>
              </w:rPr>
            </w:pPr>
            <w:r>
              <w:rPr>
                <w:rFonts w:ascii="Arial" w:cs="Arial" w:eastAsia="Arial" w:hAnsi="Arial"/>
                <w:sz w:val="18"/>
                <w:szCs w:val="18"/>
                <w:color w:val="auto"/>
              </w:rPr>
              <w:t>business combination.</w:t>
            </w:r>
          </w:p>
        </w:tc>
      </w:tr>
      <w:tr>
        <w:trPr>
          <w:trHeight w:val="310"/>
        </w:trPr>
        <w:tc>
          <w:tcPr>
            <w:tcW w:w="3080" w:type="dxa"/>
            <w:vAlign w:val="bottom"/>
          </w:tcPr>
          <w:p>
            <w:pPr>
              <w:spacing w:after="0"/>
              <w:rPr>
                <w:sz w:val="20"/>
                <w:szCs w:val="20"/>
                <w:color w:val="auto"/>
              </w:rPr>
            </w:pPr>
            <w:r>
              <w:rPr>
                <w:rFonts w:ascii="Arial" w:cs="Arial" w:eastAsia="Arial" w:hAnsi="Arial"/>
                <w:sz w:val="18"/>
                <w:szCs w:val="18"/>
                <w:b w:val="1"/>
                <w:bCs w:val="1"/>
                <w:color w:val="auto"/>
              </w:rPr>
              <w:t>Trading of securities issued</w:t>
            </w:r>
          </w:p>
        </w:tc>
        <w:tc>
          <w:tcPr>
            <w:tcW w:w="4520" w:type="dxa"/>
            <w:vAlign w:val="bottom"/>
            <w:gridSpan w:val="2"/>
          </w:tcPr>
          <w:p>
            <w:pPr>
              <w:ind w:left="1000"/>
              <w:spacing w:after="0"/>
              <w:rPr>
                <w:sz w:val="20"/>
                <w:szCs w:val="20"/>
                <w:color w:val="auto"/>
              </w:rPr>
            </w:pPr>
            <w:r>
              <w:rPr>
                <w:rFonts w:ascii="Arial" w:cs="Arial" w:eastAsia="Arial" w:hAnsi="Arial"/>
                <w:sz w:val="18"/>
                <w:szCs w:val="18"/>
                <w:color w:val="auto"/>
              </w:rPr>
              <w:t>The public shares will begin trading on or</w:t>
            </w:r>
          </w:p>
        </w:tc>
      </w:tr>
      <w:tr>
        <w:trPr>
          <w:trHeight w:val="230"/>
        </w:trPr>
        <w:tc>
          <w:tcPr>
            <w:tcW w:w="3080" w:type="dxa"/>
            <w:vAlign w:val="bottom"/>
          </w:tcPr>
          <w:p>
            <w:pPr>
              <w:spacing w:after="0"/>
              <w:rPr>
                <w:sz w:val="20"/>
                <w:szCs w:val="20"/>
                <w:color w:val="auto"/>
              </w:rPr>
            </w:pPr>
          </w:p>
        </w:tc>
        <w:tc>
          <w:tcPr>
            <w:tcW w:w="4520" w:type="dxa"/>
            <w:vAlign w:val="bottom"/>
            <w:gridSpan w:val="2"/>
          </w:tcPr>
          <w:p>
            <w:pPr>
              <w:ind w:left="1000"/>
              <w:spacing w:after="0"/>
              <w:rPr>
                <w:sz w:val="20"/>
                <w:szCs w:val="20"/>
                <w:color w:val="auto"/>
              </w:rPr>
            </w:pPr>
            <w:r>
              <w:rPr>
                <w:rFonts w:ascii="Arial" w:cs="Arial" w:eastAsia="Arial" w:hAnsi="Arial"/>
                <w:sz w:val="18"/>
                <w:szCs w:val="18"/>
                <w:color w:val="auto"/>
              </w:rPr>
              <w:t>promptly after the date of this prospectus.</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shareholders with the</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opportunity to redeem their public shares for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cash equal to their pro rata share of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aggregate amount then on deposit in the trust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account calculated as of two business days prior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to the consummation of our initial business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combination, including interest, which interest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shall be net of taxes payable, upon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completion of our initial business combination,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subject to the limitations described herein. We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may not be required by law to hold a</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shareholder vote. If we are not required by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applicable law or stock exchange rules and do</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 otherwise decide to hold a shareholder vote,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we will, pursuant to our amended and restated</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memorandum and articles of association,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conduct the redemptions pursuant to the tender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offer rules of the SEC and file tender offer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documents with the SEC which will contain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substantially the same financial and other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information about the initial business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combination and the redemption rights as is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required under the SEC’s proxy rules. If,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however, we hold a shareholder vote, we will,</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like many blank check companies,</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ind w:right="620"/>
        <w:spacing w:after="0" w:line="274" w:lineRule="auto"/>
        <w:rPr>
          <w:sz w:val="20"/>
          <w:szCs w:val="20"/>
          <w:color w:val="auto"/>
        </w:rPr>
      </w:pPr>
      <w:r>
        <w:rPr>
          <w:rFonts w:ascii="Arial" w:cs="Arial" w:eastAsia="Arial" w:hAnsi="Arial"/>
          <w:sz w:val="18"/>
          <w:szCs w:val="18"/>
          <w:color w:val="auto"/>
        </w:rPr>
        <w:t>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 trading of the public shares would be permitted until the completion of a business combination. During this period, the securities would be held in the escrow or trust account.</w:t>
      </w:r>
    </w:p>
    <w:p>
      <w:pPr>
        <w:spacing w:after="0" w:line="8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7720" w:space="220"/>
            <w:col w:w="318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Terms of Our Offering</w:t>
            </w:r>
          </w:p>
        </w:tc>
      </w:tr>
      <w:tr>
        <w:trPr>
          <w:trHeight w:val="195"/>
        </w:trPr>
        <w:tc>
          <w:tcPr>
            <w:tcW w:w="3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offer to redeem shares in conjunction with a</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9"/>
              </w:rPr>
              <w:t>proxy solicitation pursuant to the proxy rules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and not pursuant to the tender offer rules.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8"/>
              </w:rPr>
              <w:t>Pursuant to the tender offer rules, the tender</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8"/>
              </w:rPr>
              <w:t>offer period will be not less than 20 business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6"/>
              </w:rPr>
              <w:t>days and, in the case of a shareholder vote, a</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3"/>
              </w:rPr>
              <w:t>final proxy statement would be mailed to public</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shareholders at least 10 days prior to the</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8"/>
              </w:rPr>
              <w:t>shareholder vote. However, we expect that a</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4"/>
              </w:rPr>
              <w:t>draft proxy statement would be made available</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7"/>
              </w:rPr>
              <w:t>to such shareholders well in advance of such</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5"/>
              </w:rPr>
              <w:t>time, providing additional notice of redemption</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3"/>
              </w:rPr>
              <w:t>if we conduct redemptions in conjunction with a</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proxy solicitation. If we seek shareholder</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6"/>
              </w:rPr>
              <w:t>approval, we will complete our initial business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combination only if we receive an ordinary</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9"/>
              </w:rPr>
              <w:t>resolution under Cayman Islands law, which</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requires the affirmative vote of holders of a</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2"/>
              </w:rPr>
              <w:t>majority of ordinary shares who attend and vote</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at a general meeting of the company.</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4"/>
              </w:rPr>
              <w:t>Additionally, our public shareholders may elect</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to redeem their public shares without voting</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1"/>
              </w:rPr>
              <w:t>and, if they do vote, irrespective of whether they</w:t>
            </w:r>
          </w:p>
        </w:tc>
      </w:tr>
      <w:tr>
        <w:trPr>
          <w:trHeight w:val="230"/>
        </w:trPr>
        <w:tc>
          <w:tcPr>
            <w:tcW w:w="3220" w:type="dxa"/>
            <w:vAlign w:val="bottom"/>
          </w:tcPr>
          <w:p>
            <w:pPr>
              <w:spacing w:after="0"/>
              <w:rPr>
                <w:sz w:val="20"/>
                <w:szCs w:val="20"/>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9"/>
              </w:rPr>
              <w:t>vote for or against the proposed transaction.</w:t>
            </w:r>
          </w:p>
        </w:tc>
      </w:tr>
      <w:tr>
        <w:trPr>
          <w:trHeight w:val="310"/>
        </w:trPr>
        <w:tc>
          <w:tcPr>
            <w:tcW w:w="322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9"/>
              </w:rPr>
              <w:t>If we have not completed our initial business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4"/>
              </w:rPr>
              <w:t>combination within 24 months from the closing</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4"/>
              </w:rPr>
              <w:t>of this offering or during any Extension Period,</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7"/>
              </w:rPr>
              <w:t>we will (1) cease all operations except for the</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purpose of winding up, (2) as promptly as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reasonably possible but not more than 10</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5"/>
              </w:rPr>
              <w:t>business days thereafter, redeem 100% of the</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6"/>
              </w:rPr>
              <w:t>public shares, at a per-share price, payable in</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w w:val="97"/>
              </w:rPr>
              <w:t>cash, equal to the aggregate amount then on</w:t>
            </w:r>
          </w:p>
        </w:tc>
      </w:tr>
      <w:tr>
        <w:trPr>
          <w:trHeight w:val="230"/>
        </w:trPr>
        <w:tc>
          <w:tcPr>
            <w:tcW w:w="3220" w:type="dxa"/>
            <w:vAlign w:val="bottom"/>
          </w:tcPr>
          <w:p>
            <w:pPr>
              <w:spacing w:after="0"/>
              <w:rPr>
                <w:sz w:val="20"/>
                <w:szCs w:val="20"/>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deposit in the trust account, including</w:t>
            </w:r>
          </w:p>
        </w:tc>
      </w:tr>
      <w:tr>
        <w:trPr>
          <w:trHeight w:val="365"/>
        </w:trPr>
        <w:tc>
          <w:tcPr>
            <w:tcW w:w="3220" w:type="dxa"/>
            <w:vAlign w:val="bottom"/>
          </w:tcPr>
          <w:p>
            <w:pPr>
              <w:spacing w:after="0"/>
              <w:rPr>
                <w:sz w:val="24"/>
                <w:szCs w:val="24"/>
                <w:color w:val="auto"/>
              </w:rPr>
            </w:pPr>
          </w:p>
        </w:tc>
        <w:tc>
          <w:tcPr>
            <w:tcW w:w="4380" w:type="dxa"/>
            <w:vAlign w:val="bottom"/>
            <w:gridSpan w:val="2"/>
          </w:tcPr>
          <w:p>
            <w:pPr>
              <w:jc w:val="right"/>
              <w:ind w:right="1879"/>
              <w:spacing w:after="0"/>
              <w:rPr>
                <w:sz w:val="20"/>
                <w:szCs w:val="20"/>
                <w:color w:val="auto"/>
              </w:rPr>
            </w:pPr>
            <w:r>
              <w:rPr>
                <w:rFonts w:ascii="Arial" w:cs="Arial" w:eastAsia="Arial" w:hAnsi="Arial"/>
                <w:sz w:val="18"/>
                <w:szCs w:val="18"/>
                <w:color w:val="auto"/>
              </w:rPr>
              <w:t>109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720" w:space="220"/>
            <w:col w:w="314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Terms of Our Offering</w:t>
            </w:r>
          </w:p>
        </w:tc>
      </w:tr>
      <w:tr>
        <w:trPr>
          <w:trHeight w:val="195"/>
        </w:trPr>
        <w:tc>
          <w:tcPr>
            <w:tcW w:w="2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5"/>
              </w:rPr>
              <w:t>interest (less up to $100,000 of interest to pay</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1"/>
              </w:rPr>
              <w:t>dissolution expenses and which interest shall be</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3"/>
              </w:rPr>
              <w:t>net of taxes payable), divided by the number of</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89"/>
              </w:rPr>
              <w:t>then issued and outstanding public shares, which</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redemption will completely extinguish public</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4"/>
              </w:rPr>
              <w:t>shareholders’ rights as shareholders (including</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the right to receive further liquidating</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distributions, if any), and (3) as promptly as</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2"/>
              </w:rPr>
              <w:t>reasonably possible following such redemption,</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subject to the approval of our remaining</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shareholders and our board of directors,</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5"/>
              </w:rPr>
              <w:t>liquidate and dissolve, subject in each case to</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8"/>
              </w:rPr>
              <w:t>our obligations under Cayman Islands law to</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provide for claims of creditors and the</w:t>
            </w:r>
          </w:p>
        </w:tc>
      </w:tr>
      <w:tr>
        <w:trPr>
          <w:trHeight w:val="230"/>
        </w:trPr>
        <w:tc>
          <w:tcPr>
            <w:tcW w:w="2660" w:type="dxa"/>
            <w:vAlign w:val="bottom"/>
          </w:tcPr>
          <w:p>
            <w:pPr>
              <w:spacing w:after="0"/>
              <w:rPr>
                <w:sz w:val="20"/>
                <w:szCs w:val="20"/>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requirements of other applicable law.</w:t>
            </w:r>
          </w:p>
        </w:tc>
      </w:tr>
      <w:tr>
        <w:trPr>
          <w:trHeight w:val="310"/>
        </w:trPr>
        <w:tc>
          <w:tcPr>
            <w:tcW w:w="2660" w:type="dxa"/>
            <w:vAlign w:val="bottom"/>
          </w:tcPr>
          <w:p>
            <w:pPr>
              <w:spacing w:after="0"/>
              <w:rPr>
                <w:sz w:val="20"/>
                <w:szCs w:val="20"/>
                <w:color w:val="auto"/>
              </w:rPr>
            </w:pPr>
            <w:r>
              <w:rPr>
                <w:rFonts w:ascii="Arial" w:cs="Arial" w:eastAsia="Arial" w:hAnsi="Arial"/>
                <w:sz w:val="18"/>
                <w:szCs w:val="18"/>
                <w:b w:val="1"/>
                <w:bCs w:val="1"/>
                <w:color w:val="auto"/>
              </w:rPr>
              <w:t>Release of funds</w:t>
            </w: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8"/>
              </w:rPr>
              <w:t>Except with respect to interest earned on the</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funds held in the trust account that may be</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1"/>
              </w:rPr>
              <w:t>released to us to pay our taxes, if any, the funds</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9"/>
              </w:rPr>
              <w:t>held in the trust account will not be released</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from the trust account until the earliest of:</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(1) our completion of an initial business</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7"/>
              </w:rPr>
              <w:t>combination; (2) the redemption of any public</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4"/>
              </w:rPr>
              <w:t>shares properly submitted in connection with a</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7"/>
              </w:rPr>
              <w:t>shareholder vote to amend our amended and</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89"/>
              </w:rPr>
              <w:t>restated memorandum and articles of association</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(A) to modify the substance or timing of our</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obligation to allow redemption in connection</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with our initial business combination or to</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4"/>
              </w:rPr>
              <w:t>redeem 100% of our public shares if we do not</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2"/>
              </w:rPr>
              <w:t>complete our initial business combination within</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8"/>
              </w:rPr>
              <w:t>24 months from the closing of this offering or</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w w:val="92"/>
              </w:rPr>
              <w:t>(B) with respect to any other material provisions</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relating to shareholders’ rights or pre-initial</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business combination activity; and (3) the</w:t>
            </w:r>
          </w:p>
        </w:tc>
      </w:tr>
      <w:tr>
        <w:trPr>
          <w:trHeight w:val="230"/>
        </w:trPr>
        <w:tc>
          <w:tcPr>
            <w:tcW w:w="2660" w:type="dxa"/>
            <w:vAlign w:val="bottom"/>
          </w:tcPr>
          <w:p>
            <w:pPr>
              <w:spacing w:after="0"/>
              <w:rPr>
                <w:sz w:val="20"/>
                <w:szCs w:val="20"/>
                <w:color w:val="auto"/>
              </w:rPr>
            </w:pPr>
          </w:p>
        </w:tc>
        <w:tc>
          <w:tcPr>
            <w:tcW w:w="4940" w:type="dxa"/>
            <w:vAlign w:val="bottom"/>
            <w:gridSpan w:val="2"/>
          </w:tcPr>
          <w:p>
            <w:pPr>
              <w:ind w:left="1420"/>
              <w:spacing w:after="0"/>
              <w:rPr>
                <w:sz w:val="20"/>
                <w:szCs w:val="20"/>
                <w:color w:val="auto"/>
              </w:rPr>
            </w:pPr>
            <w:r>
              <w:rPr>
                <w:rFonts w:ascii="Arial" w:cs="Arial" w:eastAsia="Arial" w:hAnsi="Arial"/>
                <w:sz w:val="18"/>
                <w:szCs w:val="18"/>
                <w:color w:val="auto"/>
              </w:rPr>
              <w:t>redemption of</w:t>
            </w:r>
          </w:p>
        </w:tc>
      </w:tr>
      <w:tr>
        <w:trPr>
          <w:trHeight w:val="364"/>
        </w:trPr>
        <w:tc>
          <w:tcPr>
            <w:tcW w:w="2660" w:type="dxa"/>
            <w:vAlign w:val="bottom"/>
          </w:tcPr>
          <w:p>
            <w:pPr>
              <w:spacing w:after="0"/>
              <w:rPr>
                <w:sz w:val="24"/>
                <w:szCs w:val="24"/>
                <w:color w:val="auto"/>
              </w:rPr>
            </w:pPr>
          </w:p>
        </w:tc>
        <w:tc>
          <w:tcPr>
            <w:tcW w:w="4940" w:type="dxa"/>
            <w:vAlign w:val="bottom"/>
            <w:gridSpan w:val="2"/>
          </w:tcPr>
          <w:p>
            <w:pPr>
              <w:jc w:val="right"/>
              <w:ind w:right="1879"/>
              <w:spacing w:after="0"/>
              <w:rPr>
                <w:sz w:val="20"/>
                <w:szCs w:val="20"/>
                <w:color w:val="auto"/>
              </w:rPr>
            </w:pPr>
            <w:r>
              <w:rPr>
                <w:rFonts w:ascii="Arial" w:cs="Arial" w:eastAsia="Arial" w:hAnsi="Arial"/>
                <w:sz w:val="18"/>
                <w:szCs w:val="18"/>
                <w:color w:val="auto"/>
              </w:rPr>
              <w:t>110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2">
            <w:col w:w="7720" w:space="220"/>
            <w:col w:w="3100"/>
          </w:cols>
          <w:pgMar w:left="320" w:top="459" w:right="5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20" w:right="20"/>
        <w:spacing w:after="0" w:line="314" w:lineRule="auto"/>
        <w:rPr>
          <w:sz w:val="20"/>
          <w:szCs w:val="20"/>
          <w:color w:val="auto"/>
        </w:rPr>
      </w:pPr>
      <w:r>
        <w:rPr>
          <w:rFonts w:ascii="Arial" w:cs="Arial" w:eastAsia="Arial" w:hAnsi="Arial"/>
          <w:sz w:val="16"/>
          <w:szCs w:val="16"/>
          <w:b w:val="1"/>
          <w:bCs w:val="1"/>
          <w:color w:val="auto"/>
        </w:rPr>
        <w:t>Limitation on redemption rights of shareholders holding more than 15% of the shares sold in this offering if we hold a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120"/>
        <w:spacing w:after="0" w:line="282" w:lineRule="auto"/>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-627380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our public shares if we have not completed an initial business combination within 24 months from the closing of this offering, subject to applicable law.</w:t>
      </w:r>
    </w:p>
    <w:p>
      <w:pPr>
        <w:spacing w:after="0" w:line="8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Excess Shares (more than an aggregate of 15% of the shares sold in this offering), without our prior consent. Our public shareholders’ inability to redeem Excess Shares will reduce their influence over our ability to complete our initial business combination and they could suffer a material loss on their investment in us if they sell Excess Shares in open market transactions.</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scheduled vote on the proposal to approve our initial business combination in the event we distribute proxy materials, or to deliver their shares to the transfer</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Most blank check companies provide no restrictions on the ability of shareholders to redeem shares based on the number of shares held by such shareholders in connection with an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shareholders to arrange for them to deliver their certificate to verify ownership.</w:t>
      </w:r>
    </w:p>
    <w:p>
      <w:pPr>
        <w:sectPr>
          <w:pgSz w:w="11900" w:h="16838" w:orient="portrait"/>
          <w:cols w:equalWidth="0" w:num="3">
            <w:col w:w="3840" w:space="360"/>
            <w:col w:w="3500" w:space="240"/>
            <w:col w:w="316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60"/>
        <w:spacing w:after="0"/>
        <w:tabs>
          <w:tab w:leader="none" w:pos="84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agent electronically using The Depository Trust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Company’s DWAC (Deposit/Withdrawal At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Custodian) System, at the holder’s option.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tender offer or proxy materials, as applicable,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that we will furnish to holders of our public</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shares in connection with our initial business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combination will indicate whether we are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requiring public shareholders to satisfy such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delivery requirements, which will include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requirement that a beneficial holder must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identify itself in order to validly redeem its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shares. Accordingly, a public shareholder would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have from the time we send out our tender offer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materials until the close of the tender offer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period, or up to two business days prior to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scheduled vote on the business combination if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we distribute proxy materials, as applicable, to</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tender its shares if it wishes to seek to exercise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its redemption rights.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(including DNAA, DNAB and DNAD, each of which is focused on pursuing an initial business combination with a target operating in the biotechnology industry)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shares,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 If we have not completed our initial business combination within the required time period, our public shareholders may receive only approximately $10.00 per share, or less in certain circumstances, on the liquidation of our trust account.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All of our officers and certain of our directors have fiduciary and contractual duties to either Social Capital or Suvretta and, as applicable, their underlying clients, and to certain companies in which either of them has invested or which either of them has sponsored. These entities, including DNAA, DNAB and DNAD (each of which is focused on pursuing an initial business combination with a target operating in the biotechnology industry) and certain other blank check companies sponsored by Social Capital (including the Hedosophia SPACs), may compete with us for acquisition opportunities. If these entities decide to pursue any such opportunity, we may be precluded from pursuing such opportunities. Subject to his or her fiduciary duties under Cayman Islands law, none of the members of our management team who are also employed by our sponsor or its affiliates have any obligation to present us with any opportunity for a potential business combination of which they become aware. Our sponsor and directors and officers are also not prohibited from sponsoring, investing or otherwise becoming involved with any other blank check companies, including in connection with their initial business combinations, prior to us completing our initial business combination. Members of our management team, in their capacities as directors, officers or employees of our sponsor or its affiliates or in their other endeavors, may choose to present potential business combinations to the related entities described above, current or future entities affiliated with or managed by our sponsor, or third parties, before they present such opportunities to us, subject to their fiduciary duties under Cayman Islands law and any other applicable fiduciary duties.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For more information, see the section entitled “Management — Conflicts of Interest.”</w:t>
      </w:r>
    </w:p>
    <w:p>
      <w:pPr>
        <w:spacing w:after="0" w:line="17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Our directors and officers presently have, and any or all of them in the future may have, additional fiduciary or contractual obligations to other entities pursuant to which such officer or director is or will be required to present a business combination opportunity to such entity. Accordingly, if any of our directors or officers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his or her fiduciary duties under Cayman Islands law. See “Risk Factors — Certain of our directors and officers are now, and expect in the future to become, affiliated with certain entities engaged in business activities similar to those intended to be conducted by us and, accordingly, may have conflicts of interest in determining to which entity a particular business opportunity should be presented.”</w:t>
      </w:r>
    </w:p>
    <w:p>
      <w:pPr>
        <w:spacing w:after="0" w:line="16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do not believe, however, that the fiduciary duties or contractual obligations of our directors or officers will materially affect our ability to identify and pursue business combination opportunities or complete our initial business combination.</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Social Capital, Suvretta, or our sponsor, directors or officers. In the event we seek to complete our initial business combination with such a company, we, or a committee of independent and disinterested directors, would obtain an opinion from an independent investment banking firm or another valuation or appraisal firm that regularly renders fairness opinions on the type of target business we are seeking to acquire that such an initial business combination is fair to our company from a financial point of view. We are not required to obtain such an opinion in any other context.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that executed a waiver of any and all rights to seek access to the trust account and except as to any claims under our indemnity of the underwriter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their indemnity obligations and believe that our sponsor’s only assets are securities of our company and, therefore, our sponsor may not be able to satisfy those obligations. We have not asked our sponsor to reserve for such obligations.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currently maintain our executive offices at 2850 W. Horizon Ridge Parkway, Suite 200, Henderson, NV 89052. The cost for this space is included in the $10,000 per month fee that we will pay an affiliate of our sponsor for office space, administrative and support services. We consider our current office space adequate for our current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currently have four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will vary based on whether a target business has been selected for our initial business combination and the current stage of the business combination process.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register our Class A ordinary shares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8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tender offer materials or proxy solicitation materials sent to shareholders to assist them in assessing the target business. These financial statements may be required to be prepared in accordance with, or be reconciled to, GAAP or IFRS, depending on the circumstances and the historical financial statements may be required to be audited in accordance with PCAOB standards.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 While this may limit the pool of potential business combination candidates, we do not believe that this limitation will be material.</w:t>
      </w:r>
    </w:p>
    <w:p>
      <w:pPr>
        <w:spacing w:after="0" w:line="17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2022 as required by the Sarbanes-Oxley Act. Only in the event we are deemed to be a large accelerated filer or an accelerated filer, and no longer qualify as an emerging growth company, will we be required to comply with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equals or exceeds $700 million as of the end of that year’s second fiscal quarter, and (2) the date on which we have issued more than $1.00 billion in non-convertible debt securities during the prior three-year period. References herein to “emerging growth company” will have the meaning associated with it in the JOBS Act.</w:t>
      </w:r>
    </w:p>
    <w:p>
      <w:pPr>
        <w:spacing w:after="0" w:line="17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equaled or exceeded $250 million as of the end of that year’s second fiscal quarter, or (2) our annual revenues equaled or exceeded $100 million during such completed fiscal year and the market value of our ordinary shares held by non-affiliates equaled or exceeded $700 million as of the end of that year’s second fiscal quarter.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20" w:type="dxa"/>
            <w:vAlign w:val="bottom"/>
          </w:tcPr>
          <w:p>
            <w:pPr>
              <w:ind w:left="520"/>
              <w:spacing w:after="0"/>
              <w:rPr>
                <w:sz w:val="20"/>
                <w:szCs w:val="20"/>
                <w:color w:val="auto"/>
              </w:rPr>
            </w:pPr>
            <w:r>
              <w:rPr>
                <w:rFonts w:ascii="Arial" w:cs="Arial" w:eastAsia="Arial" w:hAnsi="Arial"/>
                <w:sz w:val="18"/>
                <w:szCs w:val="18"/>
                <w:b w:val="1"/>
                <w:bCs w:val="1"/>
                <w:color w:val="auto"/>
              </w:rPr>
              <w:t>MANAGEMENT</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Directors, Director Nominee and Officers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41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6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6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Title</w:t>
            </w: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Chamath Palihapitiya</w:t>
            </w:r>
          </w:p>
        </w:tc>
        <w:tc>
          <w:tcPr>
            <w:tcW w:w="24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9"/>
              </w:rPr>
              <w:t>44</w:t>
            </w:r>
          </w:p>
        </w:tc>
        <w:tc>
          <w:tcPr>
            <w:tcW w:w="100" w:type="dxa"/>
            <w:vAlign w:val="bottom"/>
            <w:tcBorders>
              <w:top w:val="single" w:sz="8" w:color="CCEEFF"/>
            </w:tcBorders>
            <w:shd w:val="clear" w:color="auto" w:fill="CCEEFF"/>
          </w:tcPr>
          <w:p>
            <w:pPr>
              <w:spacing w:after="0"/>
              <w:rPr>
                <w:sz w:val="17"/>
                <w:szCs w:val="17"/>
                <w:color w:val="auto"/>
              </w:rPr>
            </w:pPr>
          </w:p>
        </w:tc>
        <w:tc>
          <w:tcPr>
            <w:tcW w:w="6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and Chairman of the Board of Directors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Kishan (a/k/a Kishen) Mehta</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35</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President and Director</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Ryans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45</w:t>
            </w: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Shoney Katz</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46</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Director of Research</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Semigran</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64</w:t>
            </w: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directors, director nominee and officers are as follows:</w:t>
      </w:r>
    </w:p>
    <w:p>
      <w:pPr>
        <w:spacing w:after="0" w:line="221"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b w:val="1"/>
          <w:bCs w:val="1"/>
          <w:color w:val="auto"/>
        </w:rPr>
        <w:t xml:space="preserve">Chamath Palihapitiya </w:t>
      </w:r>
      <w:r>
        <w:rPr>
          <w:rFonts w:ascii="Arial" w:cs="Arial" w:eastAsia="Arial" w:hAnsi="Arial"/>
          <w:sz w:val="16"/>
          <w:szCs w:val="16"/>
          <w:color w:val="auto"/>
        </w:rPr>
        <w:t>has been our Chief Executive Officer and the Chairman of our board of directors since February 2021. Mr. Palihapitiya</w:t>
      </w:r>
      <w:r>
        <w:rPr>
          <w:rFonts w:ascii="Arial" w:cs="Arial" w:eastAsia="Arial" w:hAnsi="Arial"/>
          <w:sz w:val="16"/>
          <w:szCs w:val="16"/>
          <w:b w:val="1"/>
          <w:bCs w:val="1"/>
          <w:color w:val="auto"/>
        </w:rPr>
        <w:t xml:space="preserve"> </w:t>
      </w:r>
      <w:r>
        <w:rPr>
          <w:rFonts w:ascii="Arial" w:cs="Arial" w:eastAsia="Arial" w:hAnsi="Arial"/>
          <w:sz w:val="16"/>
          <w:szCs w:val="16"/>
          <w:color w:val="auto"/>
        </w:rPr>
        <w:t>founded Social Capital in 2011 and has been its Managing Partner since its inception. Mr. Palihapitiya also serves as the Chief Executive Officer and the Chairman of the board of directors of DNAA, DNAB and DNAD. In addition, Mr. Palihapitiya currently serves as the Chief Executive Officer and the Chairman of the board of directors of each of the Hedosophia SPACs . Mr. Palihapitiya previously served as the Chief Executive Officer and the Chairman of the board of directors of Social Capital Hedosophia Holdings Corp. from May 2017 until the consummation of its business combination with Virgin Galactic in October 2019, and continues to serve as the Chairman of the board of directors of Virgin Galactic. Mr. Palihapitiya also previously served as the Chief Executive Officer and the Chairman of the board of directors of Social Capital Hedosophia Holdings Corp. II until the consummation of its business combination with Opendoor Labs Inc. in December 2020 and as the Chief Executive Officer and the Chairman of the board of directors of Social Capital Hedosophia Holdings Corp. III until the consummation of its business combination with Clover Health Investments, Corp. in January 2021. Mr. Palihapitiya also served as a director of Slack Technologies Inc. from April 2014 until October 2019. Prior to founding Social Capital in 2011, Mr. Palihapitiya served as Vice President of User Growth at Facebook, and is recognized as having been a major force in its launch and growth. Mr. Palihapitiya was responsible for overseeing Monetization Products and Facebook Platform, both of which were key factors driving the increase in Facebook’s user base to more than 750 million individuals worldwide. Prior to working for Facebook, Mr. Palihapitiya was a principal at the Mayfield Fund, one of the United States’ oldest venture firms, before which he headed the instant messaging division at AOL.</w:t>
      </w:r>
    </w:p>
    <w:p>
      <w:pPr>
        <w:spacing w:after="0" w:line="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Mr. Palihapitiya graduated from the University of Waterloo, Canada with a degree in electrical engineering. Mr. Palihapitiya is well qualified to serve as the Chairman of our board of directors because of his extensive management history and experience in identifying, investing in and building next-generation technologies and companies.</w:t>
      </w:r>
    </w:p>
    <w:p>
      <w:pPr>
        <w:spacing w:after="0" w:line="186"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b w:val="1"/>
          <w:bCs w:val="1"/>
          <w:color w:val="auto"/>
        </w:rPr>
        <w:t xml:space="preserve">Kishen Mehta </w:t>
      </w:r>
      <w:r>
        <w:rPr>
          <w:rFonts w:ascii="Arial" w:cs="Arial" w:eastAsia="Arial" w:hAnsi="Arial"/>
          <w:sz w:val="16"/>
          <w:szCs w:val="16"/>
          <w:color w:val="auto"/>
        </w:rPr>
        <w:t>has been our President and a member of our board of directors since February 2021. Mr. Mehta also serves as the President and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board of directors of DNAA, DNAB and DNAD. Prior to joining Suvretta as Portfolio Manager for the Averill strategy, Mr. Mehta served as a strategic advisor to Biohaven , where he advised the company on various business development, capital structure and communication strategies, including a $300 million secondary public offering and the $105 million purchase of a Priority Review Voucher from GW Pharmaceuticals plc, which included $200 million in financing from Royalty Pharma plc to fund the transaction. Prior to his advisory role at Biohaven, Mr. Mehta was a portfolio manager at Surveyor Capital, a Citadel LLC strategy, where he managed a portfolio focused on global small-, mid- and large-capitalization biotechnology, pharmaceutical, specialty pharmaceutical, medical device and healthcare services. Prior to Surveyor, Mr. Mehta was an analyst at Adage Capital where he evaluated and participated in numerous mezzanine and pre-IPO private healthcare investments. Mr. Mehta held a similar role at Apothecary Capital and started his career as a mergers and acquisitions analyst at Evercore Partners, where he focused on life sciences. Mr. Mehta graduated from New York University with a degree in finance and accounting. Mr. Mehta is well qualified to serve as a member of our board of directors because of his extensive investment, financial and oversight experience as an investor and strategic advisor.</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Marc Semigran </w:t>
      </w:r>
      <w:r>
        <w:rPr>
          <w:rFonts w:ascii="Arial" w:cs="Arial" w:eastAsia="Arial" w:hAnsi="Arial"/>
          <w:sz w:val="16"/>
          <w:szCs w:val="16"/>
          <w:color w:val="auto"/>
        </w:rPr>
        <w:t>will serve as a director following the completion of this offering. In June 2021, Dr. Semigran was appointed as chief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Renovacor, Inc., an early-stage biotechnology company focused on the development of therapies for cardiovascular and central nervous system diseases. Prior to joining Renovacor, Dr. Semigran was an Associate Professor of Medicine at Harvard Medical School, a position he held from January 2010-February 2017. He previously served as Chief Medical Officer of MyoKardia from December 2016 until the acquisition of MyoKardia by Bristol-Myers Squibb in 2020 for approximately $13.1 billion. Prior to MyoKardia, from April 2004 through February 2017, Dr. Semigran served as Medical Director of the Massachusetts General Hospital Heart Failure and Cardiac Transplant Program, where he was responsible for leading the overall direction of the care of heart failure patients, including with respect to cardiac transplantation. He is an active investigator in translational and clinical medicine as applied to heart failure and cardiomyopathy. His research was funded by NIH and other peer-reviewed grants, and continues with industry funding. Dr Semigran is a graduate of the Harvard/MIT Health Sciences and Technology Program and completed his internal medicine residency and cardiology fellowship training at Massachusetts General Hospital. Dr. Semigran holds an M.D. from Harvard Medical School and an AB/AM in chemistry from Harvard University. Dr. Semigran is well qualified to serve as a member of our board of directors due to his experience in the industry.</w:t>
      </w:r>
    </w:p>
    <w:p>
      <w:pPr>
        <w:spacing w:after="0" w:line="163"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 xml:space="preserve">James Ryans </w:t>
      </w:r>
      <w:r>
        <w:rPr>
          <w:rFonts w:ascii="Arial" w:cs="Arial" w:eastAsia="Arial" w:hAnsi="Arial"/>
          <w:sz w:val="17"/>
          <w:szCs w:val="17"/>
          <w:color w:val="auto"/>
        </w:rPr>
        <w:t>has been our Chief Financial Officer since February 2021. Mr. Ryans also serves as the Chief Financial Officer of DNAA, DNAB,</w:t>
      </w:r>
      <w:r>
        <w:rPr>
          <w:rFonts w:ascii="Arial" w:cs="Arial" w:eastAsia="Arial" w:hAnsi="Arial"/>
          <w:sz w:val="17"/>
          <w:szCs w:val="17"/>
          <w:b w:val="1"/>
          <w:bCs w:val="1"/>
          <w:color w:val="auto"/>
        </w:rPr>
        <w:t xml:space="preserve"> </w:t>
      </w:r>
      <w:r>
        <w:rPr>
          <w:rFonts w:ascii="Arial" w:cs="Arial" w:eastAsia="Arial" w:hAnsi="Arial"/>
          <w:sz w:val="17"/>
          <w:szCs w:val="17"/>
          <w:color w:val="auto"/>
        </w:rPr>
        <w:t>DNAD, Social Capital Hedosophia Holdings Corp. IV and Social Capital Hedosophia Holdings Corp. VI. Mr. Ryans is a Partner at Social Capital since March 2021, and has been a professor of accounting at London Business School since 2016, teaching financial accounting at the graduate and postgraduate levels, and directs an executive education program on mergers and acquisitions. Mr. Ryans previously served as a member of the board of directors of Social Capital Hedosophia Holdings Corp. III from April 2020 until the consummation of its business combination with Clover Health Investments, Corp. in January 2021, as a director and the chairman of the audit committee of Social Capital Hedosophia Holdings Corp. from September 2017 until the consummation of its business combination with Virgin Galactic in October 2019, and as a member of Virgin Galactic’s board of directors through February 2021. From 2003 to 2011, Mr. Ryans oversaw investments and business development at Chelsea Rhone LLC and its affiliate HealthCap RRG, a mutual insurance company. From 1999 until 2001, Mr. Ryans was a consultant with Deloitte &amp; Touche. Mr. Ryans is a CFA charterholder and holds a Ph.D. in business administration from the University of California Berkeley, an MBA from the University of Michigan and a BASc in electrical engineering from the University of Waterloo.</w:t>
      </w:r>
    </w:p>
    <w:p>
      <w:pPr>
        <w:spacing w:after="0" w:line="18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b w:val="1"/>
          <w:bCs w:val="1"/>
          <w:color w:val="auto"/>
        </w:rPr>
        <w:t xml:space="preserve">Shoney Katz </w:t>
      </w:r>
      <w:r>
        <w:rPr>
          <w:rFonts w:ascii="Arial" w:cs="Arial" w:eastAsia="Arial" w:hAnsi="Arial"/>
          <w:sz w:val="17"/>
          <w:szCs w:val="17"/>
          <w:color w:val="auto"/>
        </w:rPr>
        <w:t>has been our Director of Research since February 2021. Mr. Katz also serves as the Director of Research of DNAA, DNAB and</w:t>
      </w:r>
      <w:r>
        <w:rPr>
          <w:rFonts w:ascii="Arial" w:cs="Arial" w:eastAsia="Arial" w:hAnsi="Arial"/>
          <w:sz w:val="17"/>
          <w:szCs w:val="17"/>
          <w:b w:val="1"/>
          <w:bCs w:val="1"/>
          <w:color w:val="auto"/>
        </w:rPr>
        <w:t xml:space="preserve"> </w:t>
      </w:r>
      <w:r>
        <w:rPr>
          <w:rFonts w:ascii="Arial" w:cs="Arial" w:eastAsia="Arial" w:hAnsi="Arial"/>
          <w:sz w:val="17"/>
          <w:szCs w:val="17"/>
          <w:color w:val="auto"/>
        </w:rPr>
        <w:t>DNAD. Mr. Katz is a Managing Director and Senior Analyst at Suvretta, with extensive experience investing in public and private markets. Prior to joining Suvretta, Mr. Katz worked as a Portfolio Manager at Citadel LLC’s Surveyor Capital, where he managed a portfolio of industrial, consumer and financial-related ideas. From 2008 to 2014, Mr. Katz worked as a Senior Analyst at Point72 Asset Management, focused on fundamental and opportunistic ideas across various sectors. Mr. Katz also previously held positions at private equity firms, including The Carlyle Group and AEA Investors, and in management consulting as an analyst at Bain &amp; Company. Mr. Katz holds an MBA from Harvard Business School and a Bachelor of Science in Mechanical Engineering and a Bachelor of Arts in Economics from Rice University.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Terms of Office and Appointment of Directors and Officers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Upon the effectiveness of the registration statement of which this prospectus forms a part, we expect that our board of directors will consist of three members. Prior to our initial business combination, holders of our founder shares will have the right to appoint all of our directors and remove members of our board of directors for any reason, and holders of our public shares and private placement shares will not have the right to vote on the appointment of directors during such time. These provisions of our amended and restated memorandum and articles of association may only be amended by a special resolution passed by the holders of at least 90% of our ordinary shares attending and voting in a general meeting. Subject to any other special rights applicable to the shareholders, any vacancies on our board of directors may be filled by the affirmative vote of a majority of the directors present and voting at the meeting of our board of directors or by a majority of the holders of our ordinary shares (or, prior to our initial business combination, holders of our founder shares).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officers are appointed by our board of directors and serve at the discretion of our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provide that our officers may consist of a Chairman, a Chief Executive Officer, a President, a Chief Operating Officer, a Chief Financial Officer, a Director of Research, Vice Presidents, a Secretary, Assistant Secretaries, a Treasurer and such other offices as may be determined by our board of directors.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Nasdaq listing rules require that a majority of our board of directors be independent within one year of our initial public offering. As a “controlled company” we are not obligated to comply with this listing requirement, but we do intend to comply with this requirement. An “independent director” is defined generally as a person other than an officer or employee of the company or its subsidiaries or any other individual having a relationship with the company, which, in the opinion of the company’s board of directors, would interfere with the director’s exercise of independent judgment in carrying out the responsibilities of a director. Upon the effectiveness of the registration statement of which this prospectus forms a part, we expect to have one “independent director” as defined in the Nasdaq listing rules and applicable SEC rules. We expect a majority of our board of directors to be comprised of independent directors within 12 months from the date of listing to comply with the majority independent board requirement in Rule 5605(b) of the Nasdaq listing rules. Our board has determined that Marc Semigran is an independent director under applicable SEC and Nasdaq rules. Our independent directors will have regularly scheduled meetings at which only independent directors are present.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Officer and Director Compensation</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None of our directors or officers have received any cash compensation for services rendered to us. Commencing on the date that our securities are first listed on Nasdaq through the earlier of consummation of our initial business combination and our liquidation, we will pay an affiliate of our sponsor a total of $10,000 per month for office space, administrative and support services. Our sponsor, directors and officers,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w:t>
      </w:r>
    </w:p>
    <w:p>
      <w:pPr>
        <w:spacing w:after="0" w:line="2"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made by us to our sponsor, directors, officers or our or any of their respective affiliates. In 2021, our sponsor transferred founder shares to Marc Semigran, our independent director nominee, at their original per-share purchase price.</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committee comprised solely of independent directors, subject to applicable phase-in rules, or by a majority of the independent directors on our board of directors.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not party to any agreements with our directors and officers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consummation of our initial business combination should be a determining factor in our decision to proceed with any potential business combination.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the effectiveness of the registration statement of which this prospectus forms a part, our board of directors will have three standing committees: an audit committee; a compensation committee; and a nominating and corporate governance committee. Subject to applicable phase-in rules, the Nasdaq listing rules and Rule 10A-3 of the Exchange Act require that the audit committee of a listed company be comprised solely of independent directors, and the Nasdaq listing rules require that the compensation committee and the nominating and corporate governance committee of a listed company be comprised solely of independent directors. Each committee will operate under a charter that will be approved by our board of directors and will have the composition and responsibilities described below. The charter of each committee will be available on our website following the closing of this offering.</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an audit committee of our board of directors. The initial members of our audit committee will be Chamath Palihapitiya, Kishen Mehta and Marc Semigran. Marc Semigran will serve as chairman of the audit committee. The Nasdaq listing standards and applicable SEC rules require us to have at least three members of the audit committee, all of whom must be independent, subject to certain phase-in provisions. We will have one independent audit committee member upon the effectiveness of the registration statement of which this prospectus forms a part, a majority of independent directors on our audit committee within 90 days of the effective date of the registration statement of which this prospectus forms a part and an audit committee composed entirely of independent directors within one year of the effective date of the registration statement of which this prospectus forms a part, to comply with the audit committee requirement.</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Kishen Mehta qualifies as an “audit committee financial expert” as defined in applicable SEC rules.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adopt an audit committee charter, which will detail the purpose and principal functions of the audit committee, including:</w:t>
      </w:r>
    </w:p>
    <w:p>
      <w:pPr>
        <w:spacing w:after="0" w:line="131" w:lineRule="exact"/>
        <w:rPr>
          <w:sz w:val="20"/>
          <w:szCs w:val="20"/>
          <w:color w:val="auto"/>
        </w:rPr>
      </w:pPr>
    </w:p>
    <w:p>
      <w:pPr>
        <w:ind w:left="1080" w:right="20" w:hanging="424"/>
        <w:spacing w:after="0" w:line="34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29"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130"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75"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our board of directors. The initial members of our compensation committee will be Kishen Mehta and Marc Semigran. Marc Semigran will serve as chairman of the compensation committee. The Nasdaq listing standards and applicable SEC rules require us to have at least two members of the compensation committee, all of whom must be independent, subject to certain phase-in provisions. We will have one independent compensation committee member upon the effectiveness of the registration statement of which this prospectus forms a part, a majority of independent directors on our compensation committee within 90 days of the effective date of the registration statement of which this prospectus forms a part and a compensation committee composed entirely of independent directors within one year of the effective date of the registration statement of which this prospectus forms a part, to comply with the compensation committee requirement.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adopt a compensation committee charter, which will detail the purpose and responsibility of the compensation committee, including:</w:t>
      </w:r>
    </w:p>
    <w:p>
      <w:pPr>
        <w:spacing w:after="0" w:line="142" w:lineRule="exact"/>
        <w:rPr>
          <w:sz w:val="20"/>
          <w:szCs w:val="20"/>
          <w:color w:val="auto"/>
        </w:rPr>
      </w:pPr>
    </w:p>
    <w:p>
      <w:pPr>
        <w:ind w:left="1080" w:right="30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of our directors.</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establish a nominating and corporate governance committee of our board of directors. The initial members of our nominating and corporate governance committee will be Kishen Mehta and Marc Semigran. Marc Semigran will serve as chairman of the nominating and corporate governance committee. The Nasdaq listing standards require each member of the nominating and corporate governance committee to be independent, subject to certain phase-in provisions. We will have one independent nominating and corporate governance committee member upon the effectiveness of the registration statement of which this prospectus forms a part, a majority of independent directors on our nominating and corporate governance committee within 90 days of the effective date of the registration statement of which this prospectus forms a part and a nominating and corporate governance committee composed entirely of independent directors within one year of the effective date of the registration statement of which this prospectus forms a part, to comply with the nominating and corporate governance committee requirement. We will adopt a nominating and corporate governance committee charter, which will detail the purpose and responsibilities of the nominating and corporate governance committee, including:</w:t>
      </w:r>
    </w:p>
    <w:p>
      <w:pPr>
        <w:spacing w:after="0" w:line="74" w:lineRule="exact"/>
        <w:rPr>
          <w:sz w:val="20"/>
          <w:szCs w:val="20"/>
          <w:color w:val="auto"/>
        </w:rPr>
      </w:pPr>
    </w:p>
    <w:p>
      <w:pPr>
        <w:ind w:left="1080" w:right="4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our board of directors, and recommending to our board of directors candidates for nomination for appointment at the annual general meeting or to fill vacancies on our board of directors;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developing and recommending to our board of directors and overseeing implementation of our corporate governance guidelines;</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our board of directors, its committees, individual directors and management in the governance of the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our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and private placement shares will not have the right to recommend director candidates for nomination to our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Prior to the closing of this offering, we will adopt a code of ethics and business conduct (our “Code of Ethics”) applicable to our directors, officers and employees. We will file a copy of our form of Code of Ethics as an exhibit to the registration statement of which this prospectus forms a part. You will be able to review this document by accessing our public filings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In addition, a copy of our Code of Ethics will be provided without charge upon request from us. We intend to disclose any amendments to or waivers of certain provisions of our Code of Ethics in a Current Report on Form 8-K. See “Where You Can Find Additional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31" w:lineRule="exact"/>
        <w:rPr>
          <w:sz w:val="20"/>
          <w:szCs w:val="20"/>
          <w:color w:val="auto"/>
        </w:rPr>
      </w:pPr>
    </w:p>
    <w:p>
      <w:pPr>
        <w:ind w:left="5480" w:right="1640" w:hanging="4824"/>
        <w:spacing w:after="0" w:line="449" w:lineRule="auto"/>
        <w:tabs>
          <w:tab w:leader="none" w:pos="107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 121</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not improperly fetter the exercise of future discretion;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duty not to put themselves in a position in which there is a conflict between their duty to the company and their personal interests;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4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7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All of our officers and certain of our directors have fiduciary and contractual duties to either Social Capital or Suvretta and, as applicable, their underlying clients, and to certain companies in which either of them has invested or which either of them has sponsored. These entities, including DNAA, DNAB and DNAD (each of which is focused on pursuing an initial business combination with a target operating in the biotechnology industry) and certain other blank check companies sponsored by Social Capital (including the Hedosophia SPACs), may compete with us for acquisition opportunities. If these entities decide to pursue any such opportunity, we may be precluded from pursuing such opportunities. None of the members of our management team who are also employed by our sponsor or its affiliates have any obligation to present us with any opportunity for a potential business combination of which they become aware, subject to his or her fiduciary duties under Cayman Islands law. Our sponsor and directors and officers are also not prohibited from sponsoring, investing or otherwise becoming involved with any other blank check companies, including in connection with their initial business combinations, prior to us completing our initial business combination. Members of our management team, in their capacities as directors, officers or employees of our sponsor or its affiliates or in their other endeavors, may choose to present potential business combinations to the related entities described above, current or future entities affiliated with or managed by our sponsor, or third parties, before they present such opportunities to us, subject to their fiduciary duties under Cayman Islands law and any other applicable fiduciary duties.</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directors and officers presently have, and any or all of them in the future may have, additional fiduciary or contractual obligations to other entities pursuant to which such officer or director is or will be required to present a business combination opportunity to such entity. Accordingly, if any of our directors or officers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his or her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Our directors and officers are also</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not required to commit any specified amount of time or resources to our affairs, including our management team who will be spending material business time on their other duties, and, accordingly, will have conflicts of interest in allocating management time and resources among various business activities, including identifying potential business combinations and monitoring the related due diligence. See “Risk Factors — Certain of our directors and officers are now, and any or all of them expect in the future to become, affiliated with certain entities engaged in business activities similar to those intended to be conducted by us and, accordingly, may have conflicts of interest in determining to which entity a particular business opportunity should be presented.”</w:t>
      </w:r>
    </w:p>
    <w:p>
      <w:pPr>
        <w:spacing w:after="0" w:line="19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do not believe, however, that the fiduciary duties or contractual obligations of our directors or officers will materially affect our ability to identify and pursue business combination opportunities or complete our initial business combination.</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You should not rely on the historical record of our founders’ and management’s performance as indicative of our future performance. See “Risk Factors — Past performance by our management team and their respective affiliates may not be indicative of future performance of an investment in our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Potential investors should also be aware of the following potential conflicts of interest:</w:t>
      </w:r>
    </w:p>
    <w:p>
      <w:pPr>
        <w:spacing w:after="0" w:line="131" w:lineRule="exact"/>
        <w:rPr>
          <w:sz w:val="20"/>
          <w:szCs w:val="20"/>
          <w:color w:val="auto"/>
        </w:rPr>
      </w:pPr>
    </w:p>
    <w:p>
      <w:pPr>
        <w:ind w:left="1080" w:right="1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None of our directors or officers is required to commit his or her full time to our affairs and, accordingly, may have conflicts of interest in allocating his or her time among various business activities.</w:t>
      </w:r>
    </w:p>
    <w:p>
      <w:pPr>
        <w:spacing w:after="0" w:line="75" w:lineRule="exact"/>
        <w:rPr>
          <w:rFonts w:ascii="Arial" w:cs="Arial" w:eastAsia="Arial" w:hAnsi="Arial"/>
          <w:sz w:val="18"/>
          <w:szCs w:val="18"/>
          <w:color w:val="auto"/>
        </w:rPr>
      </w:pPr>
    </w:p>
    <w:p>
      <w:pPr>
        <w:ind w:left="1080" w:right="20" w:hanging="424"/>
        <w:spacing w:after="0" w:line="273"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the course of their other business activities, our directors and officers may become aware of investment and business opportunities that may be appropriate for presentation to us as well as the other entities with which they are affiliated, including DNAA, DNAB and DNAD (each of which is focused on pursuing an initial business combination with a target operating in the biotechnology industry) and certain other blank check companies sponsored by Social Capital. Our management may have conflicts of interest in determining to which entity a particular business opportunity should be presented. For a complete description of our management’s other affiliations, see “— Directors, Director Nominee and Officers.”</w:t>
      </w:r>
    </w:p>
    <w:p>
      <w:pPr>
        <w:spacing w:after="0" w:line="83" w:lineRule="exact"/>
        <w:rPr>
          <w:rFonts w:ascii="Arial" w:cs="Arial" w:eastAsia="Arial" w:hAnsi="Arial"/>
          <w:sz w:val="17"/>
          <w:szCs w:val="17"/>
          <w:color w:val="auto"/>
        </w:rPr>
      </w:pPr>
    </w:p>
    <w:p>
      <w:pPr>
        <w:ind w:left="1080" w:hanging="424"/>
        <w:spacing w:after="0" w:line="283"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initial shareholders, directors and officers have agreed to waive their redemption rights with respect to any founder shares, private placement shares and public shares held by them in connection with the consummation of our initial business combination. Additionally, our initial shareholders have agreed to waive their redemption rights with respect to their founder shares and private placement shares if we fail to consummate our initial business combination within 24 months after the closing of this offering or during any Extension Period. However, if our initial shareholders (or any of our directors, officers or affiliates) acquire public shares,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shares held in the trust account will be used to fund the redemption of our public shares, and the private placement shares will be worthless. Pursuant to a letter agreement that our initial shareholders, directors and officers have entered into with us, with certain limited exceptions, the founder shares will not be transferable, assignable or salable by our initial shareholders until the earlier of:</w:t>
      </w:r>
    </w:p>
    <w:p>
      <w:pPr>
        <w:spacing w:after="0" w:line="4" w:lineRule="exact"/>
        <w:rPr>
          <w:rFonts w:ascii="Arial" w:cs="Arial" w:eastAsia="Arial" w:hAnsi="Arial"/>
          <w:sz w:val="16"/>
          <w:szCs w:val="16"/>
          <w:color w:val="auto"/>
        </w:rPr>
      </w:pPr>
    </w:p>
    <w:p>
      <w:pPr>
        <w:ind w:left="1080"/>
        <w:spacing w:after="0" w:line="252" w:lineRule="auto"/>
        <w:rPr>
          <w:rFonts w:ascii="Arial" w:cs="Arial" w:eastAsia="Arial" w:hAnsi="Arial"/>
          <w:sz w:val="16"/>
          <w:szCs w:val="16"/>
          <w:color w:val="auto"/>
        </w:rPr>
      </w:pPr>
      <w:r>
        <w:rPr>
          <w:rFonts w:ascii="Arial" w:cs="Arial" w:eastAsia="Arial" w:hAnsi="Arial"/>
          <w:sz w:val="18"/>
          <w:szCs w:val="18"/>
          <w:color w:val="auto"/>
        </w:rPr>
        <w:t>(1) one year after the completion of our initial business combination; and (2) subsequent to our initial business combination (x) if the last reported sale price of our Class A ordinary shares equals or exceeds $12.00 per share (as adjusted for share sub-divisions, share dividends, rights issuances, consolidations, reorganizations, recapitalizations and other similar transactions)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shares will not be transferable, assignable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311" w:lineRule="auto"/>
        <w:rPr>
          <w:sz w:val="20"/>
          <w:szCs w:val="20"/>
          <w:color w:val="auto"/>
        </w:rPr>
      </w:pPr>
      <w:r>
        <w:rPr>
          <w:rFonts w:ascii="Arial" w:cs="Arial" w:eastAsia="Arial" w:hAnsi="Arial"/>
          <w:sz w:val="16"/>
          <w:szCs w:val="16"/>
          <w:color w:val="auto"/>
        </w:rPr>
        <w:t>salable by our sponsor until 30 days after the completion of our initial business combination. Since our sponsor and directors and officers may directly or indirectly own ordinary shares following this offering, our directors and officers may have a conflict of interest in determining whether a particular target business is an appropriate business with which to effectuate our initial business combination.</w:t>
      </w:r>
    </w:p>
    <w:p>
      <w:pPr>
        <w:spacing w:after="0" w:line="54" w:lineRule="exact"/>
        <w:rPr>
          <w:sz w:val="20"/>
          <w:szCs w:val="20"/>
          <w:color w:val="auto"/>
        </w:rPr>
      </w:pPr>
    </w:p>
    <w:p>
      <w:pPr>
        <w:ind w:left="1080" w:right="120" w:hanging="424"/>
        <w:spacing w:after="0" w:line="311"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directors and officers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54"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directors and officers may have a conflict of interest with respect to evaluating a particular business combination if the retention or resignation of any such directors and officers was included by a target business as a condition to any agreement with respect to our initial business combination.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Accordingly, as a result of multiple business affiliations, our directors and officers have similar legal obligations relating to presenting business opportunities meeting the above-listed criteria to multiple entities.</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Below is a table summarizing the entities to which our directors, officers and director nominee currently have fiduciary duties or contractual obligations: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2540" w:type="dxa"/>
            <w:vAlign w:val="bottom"/>
          </w:tcPr>
          <w:p>
            <w:pPr>
              <w:ind w:left="10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6"/>
                <w:szCs w:val="16"/>
                <w:color w:val="auto"/>
              </w:rPr>
            </w:pPr>
          </w:p>
        </w:tc>
        <w:tc>
          <w:tcPr>
            <w:tcW w:w="2520" w:type="dxa"/>
            <w:vAlign w:val="bottom"/>
          </w:tcPr>
          <w:p>
            <w:pPr>
              <w:ind w:left="720"/>
              <w:spacing w:after="0"/>
              <w:rPr>
                <w:sz w:val="20"/>
                <w:szCs w:val="20"/>
                <w:color w:val="auto"/>
              </w:rPr>
            </w:pPr>
            <w:r>
              <w:rPr>
                <w:rFonts w:ascii="Arial" w:cs="Arial" w:eastAsia="Arial" w:hAnsi="Arial"/>
                <w:sz w:val="14"/>
                <w:szCs w:val="14"/>
                <w:b w:val="1"/>
                <w:bCs w:val="1"/>
                <w:color w:val="auto"/>
              </w:rPr>
              <w:t>Entity’s Business</w:t>
            </w:r>
          </w:p>
        </w:tc>
        <w:tc>
          <w:tcPr>
            <w:tcW w:w="140" w:type="dxa"/>
            <w:vAlign w:val="bottom"/>
          </w:tcPr>
          <w:p>
            <w:pPr>
              <w:spacing w:after="0"/>
              <w:rPr>
                <w:sz w:val="16"/>
                <w:szCs w:val="16"/>
                <w:color w:val="auto"/>
              </w:rPr>
            </w:pPr>
          </w:p>
        </w:tc>
        <w:tc>
          <w:tcPr>
            <w:tcW w:w="2320" w:type="dxa"/>
            <w:vAlign w:val="bottom"/>
          </w:tcPr>
          <w:p>
            <w:pPr>
              <w:ind w:left="840"/>
              <w:spacing w:after="0"/>
              <w:rPr>
                <w:sz w:val="20"/>
                <w:szCs w:val="20"/>
                <w:color w:val="auto"/>
              </w:rPr>
            </w:pPr>
            <w:r>
              <w:rPr>
                <w:rFonts w:ascii="Arial" w:cs="Arial" w:eastAsia="Arial" w:hAnsi="Arial"/>
                <w:sz w:val="14"/>
                <w:szCs w:val="14"/>
                <w:b w:val="1"/>
                <w:bCs w:val="1"/>
                <w:color w:val="auto"/>
              </w:rPr>
              <w:t>Affiliation</w:t>
            </w: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80"/>
              </w:rPr>
              <w:t>Chamath</w:t>
            </w:r>
          </w:p>
        </w:tc>
        <w:tc>
          <w:tcPr>
            <w:tcW w:w="264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Palihapitiya</w:t>
            </w:r>
          </w:p>
        </w:tc>
        <w:tc>
          <w:tcPr>
            <w:tcW w:w="25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Social Capital</w:t>
            </w: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Investment Firm</w:t>
            </w:r>
          </w:p>
        </w:tc>
        <w:tc>
          <w:tcPr>
            <w:tcW w:w="140" w:type="dxa"/>
            <w:vAlign w:val="bottom"/>
          </w:tcPr>
          <w:p>
            <w:pPr>
              <w:spacing w:after="0"/>
              <w:rPr>
                <w:sz w:val="16"/>
                <w:szCs w:val="16"/>
                <w:color w:val="auto"/>
              </w:rPr>
            </w:pPr>
          </w:p>
        </w:tc>
        <w:tc>
          <w:tcPr>
            <w:tcW w:w="2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9"/>
              </w:rPr>
              <w:t>Founder and Chief Executive</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Officer</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Virgin Galactic Holdings, Inc.</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Aerospace 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Directors</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Social Capital Hedosophia</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Holdings Corp. IV</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Directors</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Social Capital Hedosophia</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Holdings Corp. V</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Directors</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Social Capital Hedosophia</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Holdings Corp. VI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Directors</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Directors</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Directors</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IV</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Directors</w:t>
            </w:r>
          </w:p>
        </w:tc>
      </w:tr>
      <w:tr>
        <w:trPr>
          <w:trHeight w:val="365"/>
        </w:trPr>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Individual</w:t>
            </w:r>
          </w:p>
        </w:tc>
        <w:tc>
          <w:tcPr>
            <w:tcW w:w="2640" w:type="dxa"/>
            <w:vAlign w:val="bottom"/>
          </w:tcPr>
          <w:p>
            <w:pPr>
              <w:spacing w:after="0"/>
              <w:rPr>
                <w:sz w:val="16"/>
                <w:szCs w:val="16"/>
                <w:color w:val="auto"/>
              </w:rPr>
            </w:pPr>
          </w:p>
        </w:tc>
        <w:tc>
          <w:tcPr>
            <w:tcW w:w="25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6"/>
                <w:szCs w:val="16"/>
                <w:color w:val="auto"/>
              </w:rPr>
            </w:pPr>
          </w:p>
        </w:tc>
        <w:tc>
          <w:tcPr>
            <w:tcW w:w="25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Entity’s Business</w:t>
            </w:r>
          </w:p>
        </w:tc>
        <w:tc>
          <w:tcPr>
            <w:tcW w:w="140" w:type="dxa"/>
            <w:vAlign w:val="bottom"/>
          </w:tcPr>
          <w:p>
            <w:pPr>
              <w:spacing w:after="0"/>
              <w:rPr>
                <w:sz w:val="16"/>
                <w:szCs w:val="16"/>
                <w:color w:val="auto"/>
              </w:rPr>
            </w:pPr>
          </w:p>
        </w:tc>
        <w:tc>
          <w:tcPr>
            <w:tcW w:w="23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Affiliation</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Kishen Mehta</w:t>
            </w:r>
          </w:p>
        </w:tc>
        <w:tc>
          <w:tcPr>
            <w:tcW w:w="2540" w:type="dxa"/>
            <w:vAlign w:val="bottom"/>
          </w:tcPr>
          <w:p>
            <w:pPr>
              <w:ind w:left="20"/>
              <w:spacing w:after="0"/>
              <w:rPr>
                <w:sz w:val="20"/>
                <w:szCs w:val="20"/>
                <w:color w:val="auto"/>
              </w:rPr>
            </w:pPr>
            <w:r>
              <w:rPr>
                <w:rFonts w:ascii="Arial" w:cs="Arial" w:eastAsia="Arial" w:hAnsi="Arial"/>
                <w:sz w:val="18"/>
                <w:szCs w:val="18"/>
                <w:color w:val="auto"/>
              </w:rPr>
              <w:t>Suvretta</w:t>
            </w:r>
            <w:r>
              <w:rPr>
                <w:rFonts w:ascii="Arial" w:cs="Arial" w:eastAsia="Arial" w:hAnsi="Arial"/>
                <w:sz w:val="15"/>
                <w:szCs w:val="15"/>
                <w:color w:val="auto"/>
              </w:rPr>
              <w:t>(2)</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Investment Firm</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Portfolio Manager</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w w:val="99"/>
              </w:rPr>
              <w:t>President and Member of the</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Board of Directors</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w w:val="99"/>
              </w:rPr>
              <w:t>President and Member of the</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Board of Directors</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w w:val="99"/>
              </w:rPr>
              <w:t>President and Member of the</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IV</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Board of Directors</w:t>
            </w:r>
          </w:p>
        </w:tc>
      </w:tr>
      <w:tr>
        <w:trPr>
          <w:trHeight w:val="25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Marc Semigran</w:t>
            </w:r>
          </w:p>
        </w:tc>
        <w:tc>
          <w:tcPr>
            <w:tcW w:w="2540" w:type="dxa"/>
            <w:vAlign w:val="bottom"/>
          </w:tcPr>
          <w:p>
            <w:pPr>
              <w:ind w:left="20"/>
              <w:spacing w:after="0"/>
              <w:rPr>
                <w:sz w:val="20"/>
                <w:szCs w:val="20"/>
                <w:color w:val="auto"/>
              </w:rPr>
            </w:pPr>
            <w:r>
              <w:rPr>
                <w:rFonts w:ascii="Arial" w:cs="Arial" w:eastAsia="Arial" w:hAnsi="Arial"/>
                <w:sz w:val="18"/>
                <w:szCs w:val="18"/>
                <w:color w:val="auto"/>
              </w:rPr>
              <w:t>Broadview Ventures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Investment Firm</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Member, Scientific Advisory</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Board</w:t>
            </w:r>
          </w:p>
        </w:tc>
      </w:tr>
      <w:tr>
        <w:trPr>
          <w:trHeight w:val="270"/>
        </w:trPr>
        <w:tc>
          <w:tcPr>
            <w:tcW w:w="6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Renovacor, Inc.</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Biotechnology 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Medical Officer</w:t>
            </w: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James Ryans</w:t>
            </w:r>
          </w:p>
        </w:tc>
        <w:tc>
          <w:tcPr>
            <w:tcW w:w="2540" w:type="dxa"/>
            <w:vAlign w:val="bottom"/>
          </w:tcPr>
          <w:p>
            <w:pPr>
              <w:ind w:left="20"/>
              <w:spacing w:after="0"/>
              <w:rPr>
                <w:sz w:val="20"/>
                <w:szCs w:val="20"/>
                <w:color w:val="auto"/>
              </w:rPr>
            </w:pPr>
            <w:r>
              <w:rPr>
                <w:rFonts w:ascii="Arial" w:cs="Arial" w:eastAsia="Arial" w:hAnsi="Arial"/>
                <w:sz w:val="18"/>
                <w:szCs w:val="18"/>
                <w:color w:val="auto"/>
              </w:rPr>
              <w:t>Social Capital</w:t>
            </w:r>
            <w:r>
              <w:rPr>
                <w:rFonts w:ascii="Arial" w:cs="Arial" w:eastAsia="Arial" w:hAnsi="Arial"/>
                <w:sz w:val="15"/>
                <w:szCs w:val="15"/>
                <w:color w:val="auto"/>
              </w:rPr>
              <w:t>(1)</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Investment Firm</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Social Capital Hedosophia</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Holdings Corp. IV</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Social Capital Hedosophia</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Holdings Corp. VI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IV</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5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Shoney Katz</w:t>
            </w:r>
          </w:p>
        </w:tc>
        <w:tc>
          <w:tcPr>
            <w:tcW w:w="2540" w:type="dxa"/>
            <w:vAlign w:val="bottom"/>
          </w:tcPr>
          <w:p>
            <w:pPr>
              <w:ind w:left="20"/>
              <w:spacing w:after="0"/>
              <w:rPr>
                <w:sz w:val="20"/>
                <w:szCs w:val="20"/>
                <w:color w:val="auto"/>
              </w:rPr>
            </w:pPr>
            <w:r>
              <w:rPr>
                <w:rFonts w:ascii="Arial" w:cs="Arial" w:eastAsia="Arial" w:hAnsi="Arial"/>
                <w:sz w:val="18"/>
                <w:szCs w:val="18"/>
                <w:color w:val="auto"/>
              </w:rPr>
              <w:t>Suvretta</w:t>
            </w:r>
            <w:r>
              <w:rPr>
                <w:rFonts w:ascii="Arial" w:cs="Arial" w:eastAsia="Arial" w:hAnsi="Arial"/>
                <w:sz w:val="15"/>
                <w:szCs w:val="15"/>
                <w:color w:val="auto"/>
              </w:rPr>
              <w:t>(2)</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Investment Firm</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w w:val="96"/>
              </w:rPr>
              <w:t>Managing Director and Senior</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Analyst</w:t>
            </w: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 of Research</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 of Research</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56"/>
        </w:trPr>
        <w:tc>
          <w:tcPr>
            <w:tcW w:w="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7"/>
              </w:rPr>
              <w:t>Social Capital Suvretta Holdings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Special Purpose Acquisition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 of Research</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Corp. IV</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Social Capital Holdings Inc. and certain of its funds and other affiliates including affiliated portfolio companies.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Suvretta Capital Management, LLC and certain of its funds and other affiliates including affiliated portfolio companies.</w:t>
      </w:r>
    </w:p>
    <w:p>
      <w:pPr>
        <w:spacing w:after="0" w:line="21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Accordingly, if any of the above directors or officers become aware of a business combination opportunity which is suitable for any of the above entities to which he or she has then-current fiduciary or contractual obligations, he or she will honor his or her fiduciary or contractual obligations to present such business combination opportunity to such entity, and only present it to us if such entity rejects the opportunity, subject to his or her fiduciary duties under Cayman Islands law. Our amended and restated memorandum and articles of association provide that, to the fullest extent permitted by applicable law: (i) no individual serving as a director</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We do not believe, however, that any of the foregoing fiduciary duties or contractual obligations will materially affect our ability to identify and pursue business combination opportunities or complete our initial business combination.</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Social Capital, Suvretta, or our sponsor, directors or officers. In the event we seek to complete our initial business combination with such a company, we, or a committee of independent and disinterested directors, would obtain an opinion from an independent investment banking firm or another valuation or appraisal firm that regularly renders fairness opinions on the type of target business we are seeking to acquire that such an initial business combination is fair to our company from a financial point of view. We are not required to obtain such an opinion in any other context.</w:t>
      </w:r>
    </w:p>
    <w:p>
      <w:pPr>
        <w:spacing w:after="0" w:line="176"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addition, our sponsor or any of its affiliates may make additional investments in our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initial shareholders, directors and officers have agreed, pursuant to the terms of a letter agreement entered into with us, to vote any founder shares (and their permitted transferees will agree) and public shares held by them in favor of our initial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 for indemnification of our directors and officers to the maximum extent permitted by law, including for any liability incurred in their capacities as such, except through their own actual fraud, willful default or willful neglect.</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will enter into agreements with our directors and officers to provide contractual indemnification in addition to the indemnification provided for in our amended and restated memorandum and articles of association. We may purchase a policy of directors’ and officers’ liability insurance that insures our directors and officers against the cost of defense, settlement or payment of a judgment in some circumstances and insures us against our obligations to indemnify our directors and officers.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directors and officers.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ordinary shares as of the date of this prospectus, and as adjusted to reflect the sale of our Class A ordinary shares offered by this prospectus and the sale of 600,000 private placement shares concurrently with the closing of this offering, and assuming no purchase of public shares in this offering, by:</w:t>
      </w:r>
    </w:p>
    <w:p>
      <w:pPr>
        <w:spacing w:after="0" w:line="89"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directors, officers and director nominee;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our directors, officers and director nominee as a group.</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post-offering ownership percentage column below assumes that the underwriter does not exercise its over-allotment option, that our sponsor forfeits 750,000 founder shares, that 600,000 private placement shares are issued concurrently with the closing of this offering and that there are 25,600,000 ordinary shares issued and outstanding after this offering.</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Approximate Percentage of</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Issued and Outstanding</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3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Number of Shares</w:t>
            </w:r>
          </w:p>
        </w:tc>
        <w:tc>
          <w:tcPr>
            <w:tcW w:w="26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Ordinary Shares</w:t>
            </w:r>
          </w:p>
        </w:tc>
        <w:tc>
          <w:tcPr>
            <w:tcW w:w="0" w:type="dxa"/>
            <w:vAlign w:val="bottom"/>
          </w:tcPr>
          <w:p>
            <w:pPr>
              <w:spacing w:after="0"/>
              <w:rPr>
                <w:sz w:val="1"/>
                <w:szCs w:val="1"/>
                <w:color w:val="auto"/>
              </w:rPr>
            </w:pPr>
          </w:p>
        </w:tc>
      </w:tr>
      <w:tr>
        <w:trPr>
          <w:trHeight w:val="11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r>
              <w:rPr>
                <w:rFonts w:ascii="Arial" w:cs="Arial" w:eastAsia="Arial" w:hAnsi="Arial"/>
                <w:sz w:val="12"/>
                <w:szCs w:val="12"/>
                <w:b w:val="1"/>
                <w:bCs w:val="1"/>
                <w:color w:val="auto"/>
                <w:w w:val="92"/>
              </w:rPr>
              <w:t>(1)</w:t>
            </w:r>
          </w:p>
        </w:tc>
        <w:tc>
          <w:tcPr>
            <w:tcW w:w="178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182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1420" w:type="dxa"/>
            <w:vAlign w:val="bottom"/>
            <w:tcBorders>
              <w:top w:val="single" w:sz="8" w:color="auto"/>
            </w:tcBorders>
            <w:gridSpan w:val="2"/>
          </w:tcPr>
          <w:p>
            <w:pPr>
              <w:jc w:val="right"/>
              <w:ind w:right="920"/>
              <w:spacing w:after="0" w:line="119" w:lineRule="exact"/>
              <w:rPr>
                <w:sz w:val="20"/>
                <w:szCs w:val="20"/>
                <w:color w:val="auto"/>
              </w:rPr>
            </w:pPr>
            <w:r>
              <w:rPr>
                <w:rFonts w:ascii="Arial" w:cs="Arial" w:eastAsia="Arial" w:hAnsi="Arial"/>
                <w:sz w:val="13"/>
                <w:szCs w:val="13"/>
                <w:b w:val="1"/>
                <w:bCs w:val="1"/>
                <w:color w:val="auto"/>
              </w:rPr>
              <w:t>Before</w:t>
            </w:r>
          </w:p>
        </w:tc>
        <w:tc>
          <w:tcPr>
            <w:tcW w:w="800" w:type="dxa"/>
            <w:vAlign w:val="bottom"/>
            <w:tcBorders>
              <w:top w:val="single" w:sz="8" w:color="auto"/>
            </w:tcBorders>
          </w:tcPr>
          <w:p>
            <w:pPr>
              <w:ind w:left="220"/>
              <w:spacing w:after="0" w:line="119" w:lineRule="exact"/>
              <w:rPr>
                <w:sz w:val="20"/>
                <w:szCs w:val="20"/>
                <w:color w:val="auto"/>
              </w:rPr>
            </w:pPr>
            <w:r>
              <w:rPr>
                <w:rFonts w:ascii="Arial" w:cs="Arial" w:eastAsia="Arial" w:hAnsi="Arial"/>
                <w:sz w:val="13"/>
                <w:szCs w:val="13"/>
                <w:b w:val="1"/>
                <w:bCs w:val="1"/>
                <w:color w:val="auto"/>
              </w:rPr>
              <w:t>After</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580" w:type="dxa"/>
            <w:vAlign w:val="bottom"/>
            <w:tcBorders>
              <w:bottom w:val="single" w:sz="8" w:color="auto"/>
            </w:tcBorders>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82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w:t>
            </w:r>
          </w:p>
        </w:tc>
        <w:tc>
          <w:tcPr>
            <w:tcW w:w="142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w w:val="99"/>
              </w:rPr>
              <w:t>Offering</w:t>
            </w:r>
          </w:p>
        </w:tc>
        <w:tc>
          <w:tcPr>
            <w:tcW w:w="11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Offering</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4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SCS Sponsor III LLC (our sponsor)</w:t>
            </w:r>
            <w:r>
              <w:rPr>
                <w:rFonts w:ascii="Arial" w:cs="Arial" w:eastAsia="Arial" w:hAnsi="Arial"/>
                <w:sz w:val="15"/>
                <w:szCs w:val="15"/>
                <w:color w:val="auto"/>
              </w:rPr>
              <w:t>(3)</w:t>
            </w:r>
          </w:p>
        </w:tc>
        <w:tc>
          <w:tcPr>
            <w:tcW w:w="4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5,750,000</w:t>
            </w:r>
          </w:p>
        </w:tc>
        <w:tc>
          <w:tcPr>
            <w:tcW w:w="70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ind w:left="480"/>
              <w:spacing w:after="0" w:line="203" w:lineRule="exact"/>
              <w:rPr>
                <w:sz w:val="20"/>
                <w:szCs w:val="20"/>
                <w:color w:val="auto"/>
              </w:rPr>
            </w:pPr>
            <w:r>
              <w:rPr>
                <w:rFonts w:ascii="Arial" w:cs="Arial" w:eastAsia="Arial" w:hAnsi="Arial"/>
                <w:sz w:val="18"/>
                <w:szCs w:val="18"/>
                <w:color w:val="auto"/>
                <w:w w:val="97"/>
              </w:rPr>
              <w:t>21.9%</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Chamath Palihapitiya</w:t>
            </w:r>
            <w:r>
              <w:rPr>
                <w:rFonts w:ascii="Arial" w:cs="Arial" w:eastAsia="Arial" w:hAnsi="Arial"/>
                <w:sz w:val="15"/>
                <w:szCs w:val="15"/>
                <w:color w:val="auto"/>
              </w:rPr>
              <w:t>(3)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5,750,000</w:t>
            </w:r>
          </w:p>
        </w:tc>
        <w:tc>
          <w:tcPr>
            <w:tcW w:w="7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100.0%</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w w:val="97"/>
              </w:rPr>
              <w:t>21.9%</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Kishan (a/k/a Kishen) Mehta</w:t>
            </w:r>
            <w:r>
              <w:rPr>
                <w:rFonts w:ascii="Arial" w:cs="Arial" w:eastAsia="Arial" w:hAnsi="Arial"/>
                <w:sz w:val="15"/>
                <w:szCs w:val="15"/>
                <w:color w:val="auto"/>
              </w:rPr>
              <w:t>(3)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5,750,000</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7"/>
              </w:rPr>
              <w:t>21.9%</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Shoney Katz</w:t>
            </w:r>
          </w:p>
        </w:tc>
        <w:tc>
          <w:tcPr>
            <w:tcW w:w="480" w:type="dxa"/>
            <w:vAlign w:val="bottom"/>
          </w:tcPr>
          <w:p>
            <w:pPr>
              <w:spacing w:after="0"/>
              <w:rPr>
                <w:sz w:val="18"/>
                <w:szCs w:val="18"/>
                <w:color w:val="auto"/>
              </w:rPr>
            </w:pPr>
          </w:p>
        </w:tc>
        <w:tc>
          <w:tcPr>
            <w:tcW w:w="18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Ryans</w:t>
            </w:r>
          </w:p>
        </w:tc>
        <w:tc>
          <w:tcPr>
            <w:tcW w:w="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Marc Semigran</w:t>
            </w:r>
          </w:p>
        </w:tc>
        <w:tc>
          <w:tcPr>
            <w:tcW w:w="480" w:type="dxa"/>
            <w:vAlign w:val="bottom"/>
          </w:tcPr>
          <w:p>
            <w:pPr>
              <w:spacing w:after="0"/>
              <w:rPr>
                <w:sz w:val="18"/>
                <w:szCs w:val="18"/>
                <w:color w:val="auto"/>
              </w:rPr>
            </w:pPr>
          </w:p>
        </w:tc>
        <w:tc>
          <w:tcPr>
            <w:tcW w:w="18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officers, directors and director nominee as a group</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(five individuals)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5,750,000</w:t>
            </w:r>
          </w:p>
        </w:tc>
        <w:tc>
          <w:tcPr>
            <w:tcW w:w="7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line="258"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Social Capital Suvretta Holdings Corp. III, 2850 W. Horizon Ridge Parkway, Suite 200, Henderson, NV 89052.</w:t>
      </w:r>
    </w:p>
    <w:p>
      <w:pPr>
        <w:spacing w:after="0" w:line="1" w:lineRule="exact"/>
        <w:rPr>
          <w:rFonts w:ascii="Arial" w:cs="Arial" w:eastAsia="Arial" w:hAnsi="Arial"/>
          <w:sz w:val="18"/>
          <w:szCs w:val="18"/>
          <w:color w:val="auto"/>
        </w:rPr>
      </w:pPr>
    </w:p>
    <w:p>
      <w:pPr>
        <w:ind w:left="540" w:right="120" w:hanging="424"/>
        <w:spacing w:after="0" w:line="265"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Interests shown consist solely of founder shares, classified as Class B ordinary shares, and private placement shares. The Class B ordinary shares will automatically convert into Class A ordinary shares at the time of our initial business combination, or earlier at the option of the holder, on a one-for-one basis, subject to adjustment, as described in the section entitled “Description of Securities.”</w:t>
      </w:r>
    </w:p>
    <w:p>
      <w:pPr>
        <w:ind w:left="540" w:right="80" w:hanging="424"/>
        <w:spacing w:after="0" w:line="25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SCS Sponsor III LLC, our sponsor, is the record holder of the Class B ordinary shares reported herein. Messrs. Palihapitiya and Mehta may be deemed to beneficially own shares held by our sponsor by virtue of their shared control over our sponsor. Each of Messrs. Palihapitiya and Mehta disclaims beneficial ownership of our ordinary shares held by our sponsor.</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600,000 private placement shares.</w:t>
      </w:r>
    </w:p>
    <w:p>
      <w:pPr>
        <w:spacing w:after="0" w:line="21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Immediately after this offering, our initial shareholders will beneficially own approximately 21.9% of the then issued and outstanding ordinary shares (including the private placement shares and assuming our initial shareholders do not purchase any public shares in this offering) and will have the right to elect all of our directors prior to our initial business combination as a result of holding all of the founder shares. Holders of our public shares and private placement shares will not have the right to appoint any directors to our board of directors prior to our initial business combination. In addition, because of their ownership block, our initial shareholders may be able to effectively influence the outcome of all other matters requiring approval by our shareholders, including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amendments to our amended and restated memorandum and articles of association and approval of significant corporate transactions.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ordinary shares (excluding the private placement shares) upon the consummation of this offering.</w:t>
      </w:r>
    </w:p>
    <w:p>
      <w:pPr>
        <w:spacing w:after="0" w:line="17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sponsor has committed, pursuant to a written agreement, to purchase an aggregate of 600,000 Class A ordinary shares, at a price of $10.00 per share ($6,000,000 in the aggregate) in a private placement to occur concurrently with the closing of this offering. If we do not complete our initial business combination within 24 months from the closing of this offering or during any Extension Period, the proceeds of the sale of the private placement shares held in the trust account will be used to fund the redemption of our public shares, and the private placement shares will be worthless.</w:t>
      </w:r>
    </w:p>
    <w:p>
      <w:pPr>
        <w:spacing w:after="0" w:line="157"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Our sponsor and our directors and officers are deemed to be our “promoters” as such term is defined under the federal securities laws. See “Certain Relationships and Related Party Transactions” for additional information regarding our relationships with our promoters.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Transfers of Founder Shares and Private Placement Shares</w:t>
      </w:r>
    </w:p>
    <w:p>
      <w:pPr>
        <w:spacing w:after="0" w:line="121"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The founder shares and private placement shares are each subject to transfer restrictions pursuant to lock-up provisions in the letter agreement with us to be entered into by our initial shareholders, directors and officers. Those lock-up provisions provide that such securities are not transferable or salable (1) in the case of the founder shares, until the earlier of: (A) one year after the completion of our initial business combination; and</w:t>
      </w:r>
    </w:p>
    <w:p>
      <w:pPr>
        <w:spacing w:after="0" w:line="2" w:lineRule="exact"/>
        <w:rPr>
          <w:sz w:val="20"/>
          <w:szCs w:val="20"/>
          <w:color w:val="auto"/>
        </w:rPr>
      </w:pPr>
    </w:p>
    <w:p>
      <w:pPr>
        <w:ind w:left="120" w:hanging="4"/>
        <w:spacing w:after="0" w:line="266" w:lineRule="auto"/>
        <w:tabs>
          <w:tab w:leader="none" w:pos="405" w:val="left"/>
        </w:tabs>
        <w:numPr>
          <w:ilvl w:val="0"/>
          <w:numId w:val="61"/>
        </w:numPr>
        <w:rPr>
          <w:rFonts w:ascii="Arial" w:cs="Arial" w:eastAsia="Arial" w:hAnsi="Arial"/>
          <w:sz w:val="17"/>
          <w:szCs w:val="17"/>
          <w:color w:val="auto"/>
        </w:rPr>
      </w:pPr>
      <w:r>
        <w:rPr>
          <w:rFonts w:ascii="Arial" w:cs="Arial" w:eastAsia="Arial" w:hAnsi="Arial"/>
          <w:sz w:val="17"/>
          <w:szCs w:val="17"/>
          <w:color w:val="auto"/>
        </w:rPr>
        <w:t>subsequent to our initial business combination (x) if the last reported sale price of our Class A ordinary shares equals or exceeds $12.00 per share (as adjusted for share sub-divisions, share dividends, rights issuances, consolidations, reorganizations, recapitalizations and other similar transactions)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(2) in the case of the private placement shares, until 30 days after the completion of our initial business combination, except in each case (A) to our directors or officers, any affiliates or family members of any of our directors or officers,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our liquidation prior to our completion of our initial business combination; (G) in the case of an entity, by virtue of the laws of its jurisdiction or its organizational documents or operating agreement; or (H) in the event of our completion of a liquidation, merger,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these permitted transferees must enter into a written agreement agreeing to be bound by these transfer restrictions.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holders of the founder shares and private placement shares and any private placement shares that may be issued on conversion of working capital loans (and any Class A ordinary shares issuable upon conversion of the founder shares) will be entitled to registration rights pursuant to a registration rights agreement to be signed prior to or on the effective date of this offering requiring us to register such securities for resale (in the case of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founder shares, only after conversion to our Class A ordinary shares).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be required to effect or permit any registration or cause any registration statement to become effective until termination of the applicable lock-up period as described under “Principal Shareholders — Transfers of Founder Shares and Private Placement Shares.” We will bear the expenses incurred in connection with the filing of any such registration statements.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2, 2021, our sponsor purchased 5,750,000 founder shares for an aggregate purchase price of $25,000, or approximately $0.004 per</w:t>
      </w:r>
    </w:p>
    <w:p>
      <w:pPr>
        <w:spacing w:after="0" w:line="4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share. In 2021, our sponsor transferred founder shares to Marc Semigran, our independent director nominee. Our initial shareholders will collectively own approximately 21.9% of our issued and outstanding shares after this offering (including the private placement shares and assuming they do not purchase any public shares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ordinary shares (excluding the private placement shares) upon the consummation of this offering. Up to 750,000 founder shares are subject to forfeiture by our sponsor depending on the extent to which the underwriter’s over-allotment option is exercised.</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sponsor has committed, pursuant to a written agreement, to purchase an aggregate of 600,000 private placement shares for a purchase price of $10.00 per share ($6,000,000 in the aggregate) in a private placement to occur concurrently with the closing of this offering. The private placement shares may not, subject to certain limited exceptions, be transferred, assigned or sold by the holder thereof until 30 days after the completion of our initial business combination.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As more fully discussed in “Management — Conflicts of Interest,” if any of our directors or officers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Our directors and officers currently have certain relevant fiduciary duties or contractual obligations that may take priority, subject to their fiduciary duties under Cayman Islands law.</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enter into an administrative services agreement with an affiliate of our sponsor, pursuant to which we will pay a total of $10,000 per month for office space, administrative and support services to such affiliate. Upon completion of our initial business combination or our liquidation, we will cease paying these monthly fees. Accordingly, in the event the consummation of our initial business combination takes the maximum 24 months, an affiliate of our sponsor will be paid a total of $240,000 ($10,000 per month) for office space, administrative and support services and will be entitled to be reimbursed for any out-of-pocket expenses.</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Our sponsor, directors and officers,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directors, officers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17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sponsor has agreed to loan us up to $300,000 under an unsecured promissory note to be used for a portion of the expenses of this offering. As of March 31, 2021, we had borrowed $255 under the promissory note with our sponsor. These loans are non-interest bearing, unsecured and are due at the earlier of December 31, 2021 and the closing of this offering. These loans will be repaid upon completion of this offering out of the $1,000,000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w:t>
      </w:r>
    </w:p>
    <w:p>
      <w:pPr>
        <w:spacing w:after="0" w:line="16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in order to fund working capital deficiencies or finance transaction costs in connection with an intended initial business combination, our sponsor or an affiliate of our sponsor or certain of our directors and officers may, but are not obligated to, loan us funds as may be required. If we complete our initial business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we may repay such loaned amounts out of the proceeds of the trust account released to us. Otherwise, such loans may be repaid only out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funds held outside the trust account. In the event that our initial business combination does not close, we may use a portion of the working capital held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outside the trust account to repay such loaned amounts but no proceeds from our trust account would be used to repay such loaned amounts. Up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$1,500,000 of such loans may be convertible into shares of the post-business combination entity at a price of $10.00 per share at the option of the lender.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shares would be identical to the private placement shares issued to our sponsor. The terms of such loans, if any, have not been determined and no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written agreements exist with respect to such loans. We do not expect to seek loans from parties other than our sponsor or an affiliate of our sponsor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do not believe third parties will be willing to loan such funds and provide a waiver of any and all rights to seek access to funds in our trust account.</w:t>
      </w:r>
    </w:p>
    <w:p>
      <w:pPr>
        <w:spacing w:after="0" w:line="23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officer and director compensation.</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a registration rights agreement that we will enter into with our initial shareholders on or prior to the closing of this offering, we may be required to register certain securities for sale under the Securities Act. These holders, and holders of private placement shares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However, the registration rights agreement provides that we will not be required to effect or permit any registration or cause any registration statement to become effective until the securities covered thereby are released from their lock-up restrictions, as described herein. We will bear the costs and expenses of filing any such registration statements. See “Principal Shareholders — Registration Rights.”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Policy</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Prior to the closing of this offering, we will adopt our Code of Ethics requiring us to avoid, wherever possible, all conflicts of interests, except under guidelines or resolutions approved by our board of directors (or the appropriate committee of our board of directors)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by us to our sponsor, directors or officers, or our or any of their respective affiliates.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directors or officers unless we, or a committee of independent and disinterested directors, have obtained an opinion from an independent investment banking firm or another valuation or appraisal firm that regularly renders fairness opinions on the type of target business we are seeking to acquire that our initial business combination is fair to our company from a financial point of view. Furthermore, there will be no finder’s fees, reimbursements or cash payments made by us to our sponsor, directors or officers, or our or any of their respective affiliates, for services rendered to us prior to or in connection with the completion of our initial business combination, other than the following payments, none of which will be made from the proceeds of this offering and the sale of the private placement shares held in the trust account prior to the completion of our initial business combination:</w:t>
      </w:r>
    </w:p>
    <w:p>
      <w:pPr>
        <w:spacing w:after="0" w:line="97"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repayment of an aggregate of up to $300,000 in loans made to us by our sponsor to cover offering-related and organizational expenses;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to an affiliate of our sponsor of a total of $10,000 per month for office space, administrative and support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reimbursement for any out-of-pocket expenses related to identifying, investigating and completing an initial business combination; and</w:t>
      </w:r>
    </w:p>
    <w:p>
      <w:pPr>
        <w:spacing w:after="0" w:line="153" w:lineRule="exact"/>
        <w:rPr>
          <w:rFonts w:ascii="Arial" w:cs="Arial" w:eastAsia="Arial" w:hAnsi="Arial"/>
          <w:sz w:val="16"/>
          <w:szCs w:val="16"/>
          <w:color w:val="auto"/>
        </w:rPr>
      </w:pPr>
    </w:p>
    <w:p>
      <w:pPr>
        <w:ind w:left="1080" w:right="220" w:hanging="424"/>
        <w:spacing w:after="0" w:line="301"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repayment of loans which may be made by our sponsor or an affiliate of our sponsor or certain of our directors and officers to fund working capital deficiencies or finance transaction costs in connection with an intended initial business combination, the terms of which have not been determined nor have any written agreements been executed with respect thereto. Up to $1,500,000 of such loans may be convertible into shares of the post-business combination entity, at a price of $10.00 per share at the option of the lender.</w:t>
      </w:r>
    </w:p>
    <w:p>
      <w:pPr>
        <w:spacing w:after="0" w:line="15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above payments may be funded using the net proceeds of this offering and the sale of the private placement shares not held in the trust account or, upon completion of our initial business combination, from any amounts remaining from the proceeds of the trust account released to us in connection therewith.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a Cayman Islands exempted company and our affairs will be governed by our amended and restated memorandum and articles of association, the Companies Act and common law of the Cayman Islands. Pursuant to our amended and restated memorandum and articles of association which will be adopted upon the consummation of this offering, we will be authorized to issue 500,000,000 Class A ordinary shares, $0.0001 par value each, 50,000,000 Class B ordinary shares, $0.0001 par value each, and 5,000,000 undesignated preference shares, $0.0001 par value each. The following description summarizes certain material terms of our shares as set out more particularly in our amended and restated memorandum and articles of association. Because it is only a summary, it may not contain all the information that is important to you.</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Upon the closing of this offering 25,600,000 ordinary shares will be issued and outstanding (assuming no exercise of the underwriter’s over-allotment option and the corresponding forfeiture of 750,000 founder shares by our sponsor), including:</w:t>
      </w:r>
    </w:p>
    <w:p>
      <w:pPr>
        <w:spacing w:after="0" w:line="76"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20,000,000 Class A ordinary shares issued in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600,000 private placement shares issued concurrently with the closing of this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5,000,000 Class B ordinary shares held by our initial shareholders.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(excluding the private placement shares) upon the consummation of this offering.</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Class A ordinary shareholders and Class B ordinary shareholders of record are entitled to one vote for each share held on all matters to be voted on by shareholders and vote together as a single class, except as required by law; provided that prior to our initial business combination, holders of our Class B ordinary shares will have the right to appoint all of our directors and remove members of our board of directors for any reason, and holders of our Class A ordinary shares will not be entitled to vote on the appointment of directors during such time. These provisions of our amended and restated memorandum and articles of association may only be amended by a special resolution passed by the holders of at least 90% of our ordinary shares attending and voting in a general meeting. Unless specified in the Companies Act, our amended and restated memorandum and articles of association or applicable stock exchange rules, the affirmative vote of a majority of our ordinary shares that are voted is required to approve any such matter voted on by our shareholders (other than the appointment or removal of directors prior to our initial business combination), and, prior to our initial business combination, the affirmative vote of a majority of our founder shares is required to approve the appointment or removal of directors. Approval of certain actions will require a special resolution under Cayman Islands law and pursuant to our amended and restated memorandum and articles of association; such actions include amending our amended and restated memorandum and articles of association and approving a statutory merger or consolidation with another company. Directors are appointed for a term of two years. There is no cumulative voting with respect to the appointment of directors, with the result that the holders of more than 50% of the founder shares voted for the appointment of directors can appoint all of the directors prior to our initial business combination. Our shareholders are entitled to receive ratable dividends when, as and if declared by our board of directors out of funds legally available therefor.</w:t>
      </w:r>
    </w:p>
    <w:p>
      <w:pPr>
        <w:spacing w:after="0" w:line="18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Because our amended and restated memorandum and articles of association authorize the issuance of up to 500,000,000 Class A ordinary shares, if we were to enter into a business combination, we may (depending on the terms of such a business combination) be required to increase the number of Class A ordinary shares which we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are authorized to issue at the same time as our shareholders vote on the business combination to the extent we seek shareholder approval in connection with our initial business combination.</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one year after our first fiscal year end following our listing on Nasdaq. There is no requirement under the Companies Act for us to hold annual or general meetings to appoint directors. We may not hold an annual general meeting prior to the consummation of our initial business combination.</w:t>
      </w:r>
    </w:p>
    <w:p>
      <w:pPr>
        <w:spacing w:after="0" w:line="16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(which interest shall be net of taxes payable), divided by the number of then issued and outstanding public shares, subject to the limitations described herein. The amount in the trust account is initially anticipated to be $10.00 per public share. The per-share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Our initial shareholders, directors and officers have entered into a letter agreement with us, pursuant to which they have agreed to waive their redemption rights with respect to any founder shares, private placement shares and public shares held by them in connection with the completion of our initial business combination or certain amendments to our amended and restated memorandum and articles of association as described elsewhere in this prospectus. Permitted transferees of our initial shareholders, directors or officers will be subject to the same obligations.</w:t>
      </w:r>
    </w:p>
    <w:p>
      <w:pPr>
        <w:spacing w:after="0" w:line="18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Unlike some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requirements,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holders of a majority of ordinary shares who attend and vote at a general meeting of the company. However, the participation of our sponsor, directors, officers, advisors or any of their respective affiliates in privately negotiated transactions (as described in this prospectus), if any, could result in the approval of our initial business combination even if a majority of our public shareholders vote, or indicate their intention to vote, against such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require that at least five days’ prior notice will be given of any general meeting and we intend to give not less than 10 days nor more than 60 days’ prior written notice of any meeting, if required, at which a vote shall be taken to approve our initial business combination. These quorum and voting thresholds, and the voting agreements of our initial shareholders, may make it more likely that we will consummate our initial business combination.</w:t>
      </w:r>
    </w:p>
    <w:p>
      <w:pPr>
        <w:spacing w:after="0" w:line="16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amended and restated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ordinary shares sold in this offering, which we refer to as the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the business combination. As a result, such shareholders will continue to hold that number of shares exceeding 15% and, in order to dispose such shares would be required to sell their shares in open market transactions, potentially at a loss.</w:t>
      </w:r>
    </w:p>
    <w:p>
      <w:pPr>
        <w:spacing w:after="0" w:line="181" w:lineRule="exact"/>
        <w:rPr>
          <w:sz w:val="20"/>
          <w:szCs w:val="20"/>
          <w:color w:val="auto"/>
        </w:rPr>
      </w:pPr>
    </w:p>
    <w:p>
      <w:pPr>
        <w:ind w:left="120" w:right="220" w:firstLine="440"/>
        <w:spacing w:after="0" w:line="289" w:lineRule="auto"/>
        <w:rPr>
          <w:sz w:val="20"/>
          <w:szCs w:val="20"/>
          <w:color w:val="auto"/>
        </w:rPr>
      </w:pPr>
      <w:r>
        <w:rPr>
          <w:rFonts w:ascii="Arial" w:cs="Arial" w:eastAsia="Arial" w:hAnsi="Arial"/>
          <w:sz w:val="16"/>
          <w:szCs w:val="16"/>
          <w:color w:val="auto"/>
        </w:rPr>
        <w:t>If we seek shareholder approval in connection with our initial business combination, our initial shareholders have agreed (and their permitted transferees will agree), pursuant to the terms of a letter agreement entered into with us, to vote their founder shares, private placement shares and any public shares held by them in favor of our initial business combination. As a result, in addition to our initial shareholders’ founder shares, we would need 7,200,001, or 36.0% (assuming all issued and outstanding shares are voted and the over-allotment option is not exercised), or 800,001, or 4.0% (assuming only the minimum number of shares representing a quorum are voted and the over-allotment option is not exercised), of the 20,000,000 public shares sold in this offering to be voted in favor of an initial business combination in order to have such initial business combination approved. Our directors and officers have also entered into the letter agreement, imposing similar obligations on them with respect to public shares acquired by them, if any. Additionally, our public shareholders may elect to redeem their public shares without voting and, if they do vote, irrespective of whether they vote for or against the proposed transaction.</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Pursuant to our amended and restated memorandum and articles of association, if we have not completed our initial business combination within 24 months from the closing of this offering,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Our initial shareholders have entered into a letter agreement with us, pursuant to which they have agreed to waive their rights to liquidating distributions from the trust account with respect to their founder shares and private placement shares if we fail to complete our initial business combination within 24 months from the closing of this offering or during any Extension Period. However, if our initial shareholders, directors acquire public shares, they will be entitled to liquidating distributions from the trust account with respect to such public shares if we fail to complete our initial business combination within the prescribed time period.</w:t>
      </w:r>
    </w:p>
    <w:p>
      <w:pPr>
        <w:spacing w:after="0" w:line="18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at such time will be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shareholders with the opportunity to redeem their public shares for cash equal to their pro rata share of the aggregate amount then on deposit in the trust account, including interest (which interest shall be net of taxes payable), upon the completion of our initial business combination, subject to the limitations described herein.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 Shares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private placement shares will not be transferable, assignable or salable until 30 days after the completion of our initial business combination (except, among other limited exceptions as described under “Principal Shareholders — Transfers of Founder Shares and Private Placement Shares,” to our directors and officers and other persons or entities affiliated with our sponsor). Holders of our private placement shares are entitled to certain registration rights. If we do not complete our initial business combination within 24 months from the closing of this offering or during any Extension Period, the proceeds from the sale of the private placement shares held in the trust account will be used to fund the redemption of our public shares (subject to the requirements of applicable law) and the private placement shares will be worthless. Further, if we seek shareholder approval, we will complete our initial business combination only if we receive approval of an ordinary resolution under Cayman Islands law, which requires the affirmative vote of holders of a majority of ordinary shares who attend and vote at a general meeting of the company. In such case, pursuant to the terms of a letter agreement entered into with us, our initial shareholders have agreed (and their permitted transferees will agree) to vote their founder shares, private placement shares and public shares held by them in favor of our initial business combination. Otherwise, the private placement shares have terms and provisions that are identical to those of the public shares being sold as part of this offering.</w:t>
      </w:r>
    </w:p>
    <w:p>
      <w:pPr>
        <w:spacing w:after="0" w:line="17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shares of the post-business combination entity at a price of $10.00 per share at the option of the lender. Such shares would be identical to the private placement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The founder shares are designated as Class B ordinary shares and are identical to the Class A ordinary shares being sold in this offering, and holders of founder shares have the same shareholder rights as public shareholders, except that: (1) prior to our initial business combination, only holders of the founder shares have the right to vote on the appointment of directors and holders of a majority of our founder shares may remove a member of our board of directors for any reason; (2) the founder shares are subject to certain transfer restrictions contained in a letter agreement that our initial shareholders, directors and officers have entered into with us, as described in more detail below; (3) pursuant to such letter agreement, our initial shareholders, directors and officers have agreed to waive: (i) their redemption rights with respect to any founder shares, private placement shares and public shares held by them, as applicable, in connection with the completion of our initial business combination; (ii) their redemption rights with respect to any founder shares, private placement shares and public shares held by them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during any Extension Period, or (B) with respect to any other material provisions relating to shareholders’ rights or pre-initial business combination activity; and (iii) their rights to liquidating distributions from the trust account with respect to any founder shares and private placement shares they hold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at the time of our initial business combination, or earlier at the option of the holder, on a one-for-one basis, subject to adjustment pursuant to certain anti-dilution rights, as described in more detail below and in our amended and restated memorandum and articles of association; and</w:t>
      </w:r>
    </w:p>
    <w:p>
      <w:pPr>
        <w:spacing w:after="0" w:line="11" w:lineRule="exact"/>
        <w:rPr>
          <w:sz w:val="20"/>
          <w:szCs w:val="20"/>
          <w:color w:val="auto"/>
        </w:rPr>
      </w:pPr>
    </w:p>
    <w:p>
      <w:pPr>
        <w:ind w:left="120" w:right="280" w:hanging="4"/>
        <w:spacing w:after="0" w:line="253" w:lineRule="auto"/>
        <w:tabs>
          <w:tab w:leader="none" w:pos="3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 If we submit our initial business combination to our public shareholders for a vote, our initial shareholders have agreed (and their permitted transferees will agree), pursuant to the terms of a letter agreement entered into with us, to vote their founder shares, private placement shares and any public shares held by them purchased during or after this offering in favor of our initial business combination.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our initial business combination, or earlier at the option of the holder, on a one-for-one basis, subject to adjustment for share sub-divisions, share dividends, rights issuances, consolidations, reorganizations, recapitalizations and the like, and subject to further adjustment as provided herein. In the event that additional (in excess of the amounts issued in this offering) Class A ordinary shares, or equity-linked securities, are issued or deemed issued in connection with our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20% of the total number of Class A ordinary shares outstanding after such conversion (after giving effect to any redemptions of Class A ordinary shares by public shareholders, and excluding the private placement shares), including any Class A ordinary shares issued or deemed issued, or issuable upon the conversion or exercise of any equity-linked securities or rights issued or deemed issued, by the company in connection with our initial business combination, excluding any Class A ordinary shares or equity-linked securities exercisable for or convertible into Class A ordinary shares issued, or to be issued, to any seller in the initial business combination and any private placement shares issued to our sponsor or its affiliates upon conversion of working capital loans; provided that such conversion of Class B ordinary shares will never occur on a less than one-for-one basis. 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16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Pursuant to a letter agreement that our initial shareholders, directors and officers have entered into with us, with certain limited exceptions, the founder shares are not transferable, assignable or salable (except to our directors and officers and other persons or entities affiliated with our sponsor, each of whom will be subject to the same transfer restrictions) until the earlier of: (A) one year after the completion of our initial business combination; and (B) subsequent to our initial business combination (x) if the last reported sale price of our Class A ordinary shares equals or exceeds $12.00 per share (as adjusted for share sub-divisions, share dividends, rights issuances, consolidations, reorganizations, recapitalizations and other similar transactions)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we must keep a register of members and there shall be entered therein:</w:t>
      </w:r>
    </w:p>
    <w:p>
      <w:pPr>
        <w:spacing w:after="0" w:line="131" w:lineRule="exact"/>
        <w:rPr>
          <w:sz w:val="20"/>
          <w:szCs w:val="20"/>
          <w:color w:val="auto"/>
        </w:rPr>
      </w:pPr>
    </w:p>
    <w:p>
      <w:pPr>
        <w:ind w:left="1080" w:right="800" w:hanging="424"/>
        <w:spacing w:after="0" w:line="308"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names and addresses of the members, a statement of the shares held by each member, and of the amount paid or agreed to be considered as paid, on the shares of each member and the voting rights of the shares of each member;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Upon the closing of this offering, the register of members shall be immediately updated to reflect the issue of shares by us. Once our register of members has been updated,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Shares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Our amended and restated memorandum and articles of association authorize 5,000,000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except if we increase the size of this offering, in which case we will effect a capitalization or other appropriate mechanism immediately prior to the consummation of this offering in such amount as to maintain the number of founder shares at 20% of our issued and outstanding ordinary shares (excluding the private placement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Transfer Agent</w:t>
      </w:r>
    </w:p>
    <w:p>
      <w:pPr>
        <w:spacing w:after="0" w:line="12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transfer agent for our ordinary shares is Continental Stock Transfer &amp; Trust Company. We have agreed to indemnify Continental Stock Transfer &amp; Trust Company in its role as transfer agent, its agents and each of its shareholders, directors, officers and employees against all actions, claims, losses, liability or reasonable expenses that may arise out of acts performed or omitted for its activities in that capacity, except for any liability due to any gross negligence, willful misconduct or bad faith of the indemnified person or entity.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Differences in Corporate Law</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 xml:space="preserve">Mergers and Similar Arrangements. </w:t>
      </w:r>
      <w:r>
        <w:rPr>
          <w:rFonts w:ascii="Arial" w:cs="Arial" w:eastAsia="Arial" w:hAnsi="Arial"/>
          <w:sz w:val="18"/>
          <w:szCs w:val="18"/>
          <w:color w:val="auto"/>
        </w:rPr>
        <w:t>In certain circumstances, the Companies Act allows for mergers or consolidations between two Cayman</w:t>
      </w:r>
      <w:r>
        <w:rPr>
          <w:rFonts w:ascii="Arial" w:cs="Arial" w:eastAsia="Arial" w:hAnsi="Arial"/>
          <w:sz w:val="18"/>
          <w:szCs w:val="18"/>
          <w:i w:val="1"/>
          <w:iCs w:val="1"/>
          <w:color w:val="auto"/>
        </w:rPr>
        <w:t xml:space="preserve"> </w:t>
      </w:r>
      <w:r>
        <w:rPr>
          <w:rFonts w:ascii="Arial" w:cs="Arial" w:eastAsia="Arial" w:hAnsi="Arial"/>
          <w:sz w:val="18"/>
          <w:szCs w:val="18"/>
          <w:color w:val="auto"/>
        </w:rPr>
        <w:t>Islands companies, or between a Cayman Islands exempted company and a company incorporated in another jurisdiction (provided that it is facilitated by the laws of that other jurisdiction).</w:t>
      </w:r>
    </w:p>
    <w:p>
      <w:pPr>
        <w:spacing w:after="0" w:line="184"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either (a) a special resolution (usually a majority of 66 2/3% in value who attend and vote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65"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and (4) that no scheme, order, compromise or other similar arrangement has been entered into or made in any jurisdiction whereby the rights of creditors of the foreign company are and continue to be suspended or restricted.</w:t>
      </w:r>
    </w:p>
    <w:p>
      <w:pPr>
        <w:spacing w:after="0" w:line="181"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ind w:left="120" w:hanging="4"/>
        <w:spacing w:after="0" w:line="252" w:lineRule="auto"/>
        <w:tabs>
          <w:tab w:leader="none" w:pos="3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(3) that the foreign company will, upon the merger or consolidation becoming effective, cease to be incorporated, registered or exist under the laws of the relevant foreign jurisdiction; and (4) that there is no other reason why it would be against the public interest to permit the merger or consolidation.</w:t>
      </w:r>
    </w:p>
    <w:p>
      <w:pPr>
        <w:spacing w:after="0" w:line="19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Where the above procedures are adopted, the Companies Act provides for a right of dissenting shareholders to be paid a payment of the fair value of his or her shares upon their dissenting to the merger or consolidation if they follow a prescribed procedure. In essence, that procedure is as follows:</w:t>
      </w:r>
    </w:p>
    <w:p>
      <w:pPr>
        <w:ind w:left="120" w:right="140" w:hanging="4"/>
        <w:spacing w:after="0" w:line="270" w:lineRule="auto"/>
        <w:tabs>
          <w:tab w:leader="none" w:pos="36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7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spacing w:after="0" w:line="91" w:lineRule="exact"/>
        <w:rPr>
          <w:sz w:val="20"/>
          <w:szCs w:val="20"/>
          <w:color w:val="auto"/>
        </w:rPr>
      </w:pPr>
    </w:p>
    <w:p>
      <w:pPr>
        <w:ind w:left="1080" w:right="12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we have complied with the statutory provisions as to majority vote;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arrangement is such as a business-person would reasonably approve;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 or that would amount to a “fraud on the minority.”</w:t>
      </w:r>
    </w:p>
    <w:p>
      <w:pPr>
        <w:spacing w:after="0" w:line="170"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Squeeze-out Provisions. </w:t>
      </w:r>
      <w:r>
        <w:rPr>
          <w:rFonts w:ascii="Arial" w:cs="Arial" w:eastAsia="Arial" w:hAnsi="Arial"/>
          <w:sz w:val="17"/>
          <w:szCs w:val="17"/>
          <w:color w:val="auto"/>
        </w:rPr>
        <w:t>When a takeover offer is made and accepted by holders of 90% of the shares to whom the offer relates within</w:t>
      </w:r>
    </w:p>
    <w:p>
      <w:pPr>
        <w:spacing w:after="0" w:line="35"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12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Shareholders</w:t>
      </w:r>
      <w:r>
        <w:rPr>
          <w:rFonts w:ascii="Arial" w:cs="Arial" w:eastAsia="Arial" w:hAnsi="Arial"/>
          <w:sz w:val="18"/>
          <w:szCs w:val="18"/>
          <w:color w:val="auto"/>
        </w:rPr>
        <w:t>’</w:t>
      </w:r>
      <w:r>
        <w:rPr>
          <w:rFonts w:ascii="Arial" w:cs="Arial" w:eastAsia="Arial" w:hAnsi="Arial"/>
          <w:sz w:val="18"/>
          <w:szCs w:val="18"/>
          <w:i w:val="1"/>
          <w:iCs w:val="1"/>
          <w:color w:val="auto"/>
        </w:rPr>
        <w:t xml:space="preserve"> Suits. </w:t>
      </w:r>
      <w:r>
        <w:rPr>
          <w:rFonts w:ascii="Arial" w:cs="Arial" w:eastAsia="Arial" w:hAnsi="Arial"/>
          <w:sz w:val="18"/>
          <w:szCs w:val="18"/>
          <w:color w:val="auto"/>
        </w:rPr>
        <w:t>Our Cayman Islands counsel is not aware of any reported class action having been brought in a Cayman Islands court.</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actions have been brought in the Cayman Islands courts, and the Cayman Islands courts have confirmed the availability of such actions. In most cases, we will be the proper plaintiff in any claim based on a breach of duty owed to us, and a claim against (for example) our directors or officers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spacing w:after="0" w:line="98"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that have actually been obtained;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170"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i w:val="1"/>
          <w:iCs w:val="1"/>
          <w:color w:val="auto"/>
        </w:rPr>
        <w:t xml:space="preserve">Enforcement of Civil Liabilities. </w:t>
      </w:r>
      <w:r>
        <w:rPr>
          <w:rFonts w:ascii="Arial" w:cs="Arial" w:eastAsia="Arial" w:hAnsi="Arial"/>
          <w:sz w:val="16"/>
          <w:szCs w:val="16"/>
          <w:color w:val="auto"/>
        </w:rPr>
        <w:t>The Cayman Islands has a different body of securities laws as compared to the United States and provides less</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to investors. Additionally, Cayman Islands companies may not have standing to sue before the federal courts of the United States.</w:t>
      </w:r>
    </w:p>
    <w:p>
      <w:pPr>
        <w:spacing w:after="0" w:line="12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have been advised by Maples and Calder (Hong Kong)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6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 xml:space="preserve">Special Considerations for Exempted Companies. </w:t>
      </w:r>
      <w:r>
        <w:rPr>
          <w:rFonts w:ascii="Arial" w:cs="Arial" w:eastAsia="Arial" w:hAnsi="Arial"/>
          <w:sz w:val="16"/>
          <w:szCs w:val="16"/>
          <w:color w:val="auto"/>
        </w:rPr>
        <w:t>We are an exempted company with limited liability (meaning our public shareholders have no</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67"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5480" w:right="4840" w:hanging="4824"/>
        <w:spacing w:after="0" w:line="535" w:lineRule="auto"/>
        <w:tabs>
          <w:tab w:leader="none" w:pos="1079"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exempted company does not have to hold an annual general meeting; 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12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Our amended and restated memorandum and articles of association contain certain requirements and restrictions relating to this offering that will apply to us until the completion of our initial business combination. These provisions (other than amendments relating to provisions governing the appointment or removal of directors prior to our initial business combination, which require the approval of the holders of at least 90% of our ordinary shares attending and voting in a general meeting) cannot be amended without a special resolution. As a matter of Cayman Islands law, a resolution is deemed to be a special resolution where it has been approved by either (1) holders of at least two-thirds (or any higher threshold specified in a company’s articles of association) of a company’s ordinary shares at a general meeting for which notice specifying the intention to propose the resolution as a special resolution has been given or (2) if so authorized by a company’s articles of association, by a unanimous written resolution of all of the company’s shareholders. Other than as described above, our amended and restated memorandum and articles of association provide that special resolutions must be approved either by holders of at least two-thirds of our ordinary shares who attend and vote at a general meeting (i.e., the lowest threshold permissible under Cayman Islands law), or by a unanimous written resolution of all of our shareholders.</w:t>
      </w:r>
    </w:p>
    <w:p>
      <w:pPr>
        <w:spacing w:after="0" w:line="16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initial shareholders, who collectively will beneficially own approximately 21.9% of our ordinary shares upon the closing of this offering (including the private placement shares and assuming they do not purchase any public shares in this offering), may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92" w:lineRule="exact"/>
        <w:rPr>
          <w:sz w:val="20"/>
          <w:szCs w:val="20"/>
          <w:color w:val="auto"/>
        </w:rPr>
      </w:pPr>
    </w:p>
    <w:p>
      <w:pPr>
        <w:ind w:left="1080" w:hanging="424"/>
        <w:spacing w:after="0" w:line="290"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we have not completed our initial business combination within 24 months from the closing of this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w:t>
      </w:r>
    </w:p>
    <w:p>
      <w:pPr>
        <w:spacing w:after="0" w:line="70"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ordinary shares that would entitle the holders thereof to (1) receive funds from the trust account or (2) vote as a class with our public shares on any initial business combination;</w:t>
      </w:r>
    </w:p>
    <w:p>
      <w:pPr>
        <w:spacing w:after="0" w:line="75" w:lineRule="exact"/>
        <w:rPr>
          <w:rFonts w:ascii="Arial" w:cs="Arial" w:eastAsia="Arial" w:hAnsi="Arial"/>
          <w:sz w:val="18"/>
          <w:szCs w:val="18"/>
          <w:color w:val="auto"/>
        </w:rPr>
      </w:pPr>
    </w:p>
    <w:p>
      <w:pPr>
        <w:ind w:left="1080" w:right="320" w:hanging="424"/>
        <w:spacing w:after="0" w:line="311"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although we do not intend to enter into a business combination with a target business that is affiliated with our sponsor, directors or officers, we are not prohibited from doing so. In the event we enter into such a transaction, we, or a committee of independent and disinterested directors, will obtain an opinion from an independent investment banking firm or another valuation or appraisal firm that</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regularly renders fairness opinions on the type of target business we are seeking to acquire that such a business combination is fair to our company from a financial point of view;</w:t>
      </w:r>
    </w:p>
    <w:p>
      <w:pPr>
        <w:spacing w:after="0" w:line="76" w:lineRule="exact"/>
        <w:rPr>
          <w:sz w:val="20"/>
          <w:szCs w:val="20"/>
          <w:color w:val="auto"/>
        </w:rPr>
      </w:pPr>
    </w:p>
    <w:p>
      <w:pPr>
        <w:ind w:left="1080" w:right="20" w:hanging="424"/>
        <w:spacing w:after="0" w:line="25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 shareholder vote on our initial business combination is not required by law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3"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Nasdaq listing rules require that we complete one or more business combinations that together have an aggregate fair market value of at least 80% of the value of the trust account (excluding any deferred underwriter fees and taxes payable on the income earned on the trust account) at the time of the agreement to enter into the initial business combination;</w:t>
      </w:r>
    </w:p>
    <w:p>
      <w:pPr>
        <w:spacing w:after="0" w:line="89" w:lineRule="exact"/>
        <w:rPr>
          <w:rFonts w:ascii="Arial" w:cs="Arial" w:eastAsia="Arial" w:hAnsi="Arial"/>
          <w:sz w:val="18"/>
          <w:szCs w:val="18"/>
          <w:color w:val="auto"/>
        </w:rPr>
      </w:pPr>
    </w:p>
    <w:p>
      <w:pPr>
        <w:ind w:left="1080" w:right="100" w:hanging="424"/>
        <w:spacing w:after="0" w:line="272"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our shareholders approve an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and</w:t>
      </w:r>
    </w:p>
    <w:p>
      <w:pPr>
        <w:spacing w:after="0" w:line="82"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solely with another blank check company or a similar company with nominal operations.</w:t>
      </w:r>
    </w:p>
    <w:p>
      <w:pPr>
        <w:spacing w:after="0" w:line="170"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In addition, our amended and restated memorandum and articles of association provide that under no circumstances will we redeem our public shares in an amount that would cause our net tangible assets to be less than $5,000,001 following such redemptions.</w:t>
      </w:r>
    </w:p>
    <w:p>
      <w:pPr>
        <w:spacing w:after="0" w:line="146"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The Companies Act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of the company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directors or officers, will take any action to amend or waive any of these provisions unless we provide dissenting public shareholders with the opportunity to redeem their public shares.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Anti-Money Laundering — Cayman Islands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(As Revised) of the Cayman Islands, as amended and revised from time to time (the “Regulations”). Depending on the circumstances of each application, a detailed verification of identity might not be required where:</w:t>
      </w:r>
    </w:p>
    <w:p>
      <w:pPr>
        <w:spacing w:after="0" w:line="92" w:lineRule="exact"/>
        <w:rPr>
          <w:sz w:val="20"/>
          <w:szCs w:val="20"/>
          <w:color w:val="auto"/>
        </w:rPr>
      </w:pPr>
    </w:p>
    <w:p>
      <w:pPr>
        <w:ind w:left="1080" w:right="14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subscriber makes the payment for their investment from an account held in the subscriber’s name at a recognized financial institution; or</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subscriber is regulated by a recognized regulatory authority and is based or incorporated in, or formed under the law of, a recognized jurisdiction; or</w:t>
      </w:r>
    </w:p>
    <w:p>
      <w:pPr>
        <w:spacing w:after="0" w:line="75"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84"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2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also reserve the right to refuse to make any payment to a shareholder if our directors or officers suspect or are advised that the payment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4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(1) the Financial Reporting Authority of the Cayman Islands, pursuant to the Proceeds of Crime Act (As Revised) of the Cayman Islands if the disclosure relates to criminal conduct or money laundering or (2) a police officer of the rank of constable or higher, or the Financial Reporting Authority, pursuant to the Terrorism Act (As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Protection — Cayman Islands</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have certain duties under the Data Protection Act (As Revised) of the Cayman Islands (the “DPA”) based on internationally accepted principles of data privacy.</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this subsection, “we,” “us,” “our” and our “company” refers to Social Capital Suvretta Holdings Corp. III or our affiliates and/or delegates, except where the context requires otherwise.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Notice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This privacy notice puts our shareholders on notice that through your investment in our company you will provide us with certain personal information which constitutes personal data within the meaning of the DPA (“personal data”).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 Data</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Who this Affects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our company, this will be relevant for those individuals and you should transmit the content of this Privacy Notice to such individuals or otherwise advise them of its content.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our Company May Use a Shareholder’s Personal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company, as the data controller, may collect, store and use personal data for lawful purposes, including, in particular:</w:t>
      </w:r>
    </w:p>
    <w:p>
      <w:pPr>
        <w:spacing w:after="0" w:line="131"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this is necessary for the performance of our rights and obligations under any purchase agreements;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this is necessary for compliance with a legal and regulatory obligation to which we are subject (such as compliance with anti-money laundering and FATCA/CRS requirements); and/or</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Should we wish to use personal data for other specific purposes (including, if applicable, any purpose that requires your consent), we will contact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Why We May Transfer Your Personal Data</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We anticipate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Data Protection Measures We Take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DPA.</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2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authorized but unissued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us by means of a proxy contest, tender offer, merger or otherwise.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Immediately after this offering we will have 25,600,000 (or 29,350,000 if the underwriter’s over-allotment option is exercised in full) ordinary shares issued and outstanding. Of these shares, the 20,000,000 Class A ordinary shares (or 23,000,000 shares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5,000,000 (or 5,750,000 if the underwriter’s over-allotment option is exercised in full) founder shares and all 600,000 private placement shares are restricted securities under Rule 144, in that they were issued in private transactions not involving a public offering, and are subject to transfer restrictions as set forth elsewhere in this prospectus.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Pursuant to Rule 144, a person who has beneficially owned restricted ordinary shares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Persons who have beneficially owned restricted ordinary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1080" w:right="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 of the total number of ordinary shares then issued and outstanding, which will equal 256,000 shares immediately after this offering (or 293,500 if the underwriter exercises its over-allotment option in full);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ordinary shares during the four calendar weeks preceding the filing of a notice on Form 144 with respect to the sale.</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w:t>
      </w:r>
    </w:p>
    <w:p>
      <w:pPr>
        <w:spacing w:after="0" w:line="34" w:lineRule="exact"/>
        <w:rPr>
          <w:rFonts w:ascii="Arial" w:cs="Arial" w:eastAsia="Arial" w:hAnsi="Arial"/>
          <w:sz w:val="17"/>
          <w:szCs w:val="17"/>
          <w:color w:val="auto"/>
        </w:rPr>
      </w:pPr>
    </w:p>
    <w:p>
      <w:pPr>
        <w:ind w:left="1080" w:right="100"/>
        <w:spacing w:after="0" w:line="260" w:lineRule="auto"/>
        <w:rPr>
          <w:rFonts w:ascii="Arial" w:cs="Arial" w:eastAsia="Arial" w:hAnsi="Arial"/>
          <w:sz w:val="17"/>
          <w:szCs w:val="17"/>
          <w:color w:val="auto"/>
        </w:rPr>
      </w:pPr>
      <w:r>
        <w:rPr>
          <w:rFonts w:ascii="Arial" w:cs="Arial" w:eastAsia="Arial" w:hAnsi="Arial"/>
          <w:sz w:val="18"/>
          <w:szCs w:val="18"/>
          <w:color w:val="auto"/>
        </w:rPr>
        <w:t>12 months (or such shorter period that the issuer was required to file such reports and materials), other than Current Reports on Form 8-K; and</w:t>
      </w:r>
    </w:p>
    <w:p>
      <w:pPr>
        <w:spacing w:after="0" w:line="9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As a result, our initial shareholders will be able to sell their founder shares and our sponsor will be able to sell its private placement shares, pursuant to Rule 144 without registration, one year after we have completed our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The holders of the founder shares and private placement shares, including any private placement shares that may be issued upon conversion of working capital loans and any Class A ordinary shares issuable upon conversion of founder shares, will be entitled to registration rights pursuant to a registration rights agreement to be signed prior to or on the effective date of this offering requiring us to register such securities for resale (in the case of the founder shares, only after conversion to our Class A ordinary shares).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be required to effect or permit any registration or cause any registration statement filed under the Securities Act to become effective until termination of the applicable lock-up period as described under “Principal Shareholders — Transfers of Founder Shares and Private Placement Shares.” We will bear the expenses incurred in connection with the filing of any such registration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intend to apply to list our public shares on Nasdaq under the symbol “DNAC”. We expect that our public shares will be listed on Nasdaq promptly on or after the effective date of the registration statement of which this prospectus forms a part. We cannot guarantee that our public shares will be approved for listing on Nasdaq.</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INCOME TAX CONSIDERATIONS</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following summary of certain Cayman Islands and U.S. federal income tax considerations relevant to an investment in our Class A ordinary shares, which we also refer to as our securities, is based upon laws and relevant interpretations thereof in effect as of the date of this prospectus, all of which are subject to change. This summary does not deal with all possible tax consequences relating to an investment in our Class A ordinary shares, such as the tax consequences under state, local and other tax laws.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Prospective investors should consult their professional advisors on the possible tax consequences of buying, holding or selling any securities under the laws of their country of citizenship, residence or domicile.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our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 Existing Cayman Islands Laws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stamp duty is payable in respect of the issue of our securities or on an instrument of transfer in respect of our securities.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Tax Concessions Act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Revised)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Undertaking as to Tax Concessions</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accordance with the provision of section 6 of The Tax Concessions Act (As Revised), the Financial Secretary undertakes with Social Capital Suvretta Holdings Corp. III (“the company”).</w:t>
      </w:r>
    </w:p>
    <w:p>
      <w:pPr>
        <w:spacing w:after="0" w:line="170" w:lineRule="exact"/>
        <w:rPr>
          <w:sz w:val="20"/>
          <w:szCs w:val="20"/>
          <w:color w:val="auto"/>
        </w:rPr>
      </w:pPr>
    </w:p>
    <w:p>
      <w:pPr>
        <w:ind w:left="120" w:right="380" w:firstLine="436"/>
        <w:spacing w:after="0" w:line="277" w:lineRule="auto"/>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no law which is hereafter enacted in the Cayman Islands imposing any tax to be levied on profits, income, gains or appreciations shall apply to the company or its operations; and</w:t>
      </w:r>
    </w:p>
    <w:p>
      <w:pPr>
        <w:spacing w:after="0" w:line="170" w:lineRule="exact"/>
        <w:rPr>
          <w:rFonts w:ascii="Arial" w:cs="Arial" w:eastAsia="Arial" w:hAnsi="Arial"/>
          <w:sz w:val="18"/>
          <w:szCs w:val="18"/>
          <w:color w:val="auto"/>
        </w:rPr>
      </w:pPr>
    </w:p>
    <w:p>
      <w:pPr>
        <w:ind w:left="740" w:hanging="184"/>
        <w:spacing w:after="0"/>
        <w:tabs>
          <w:tab w:leader="none" w:pos="7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addition, that no tax to be levied on profits, income, gains or appreciations or which is in the nature of estate duty or inheritance tax shall be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payable:</w:t>
      </w:r>
    </w:p>
    <w:p>
      <w:pPr>
        <w:spacing w:after="0" w:line="11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on or in respect of the shares, debentures or other obligations of the company; OR</w:t>
      </w:r>
    </w:p>
    <w:p>
      <w:pPr>
        <w:spacing w:after="0" w:line="13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by way of the withholding in whole or part, of any relevant payment as defined in Section 6(3) of the Tax Concessions Act (As Revised).</w:t>
      </w:r>
    </w:p>
    <w:p>
      <w:pPr>
        <w:spacing w:after="0" w:line="225" w:lineRule="exact"/>
        <w:rPr>
          <w:sz w:val="20"/>
          <w:szCs w:val="20"/>
          <w:color w:val="auto"/>
        </w:rPr>
      </w:pPr>
    </w:p>
    <w:p>
      <w:pPr>
        <w:ind w:left="5480" w:right="5200" w:hanging="4924"/>
        <w:spacing w:after="0" w:line="535" w:lineRule="auto"/>
        <w:tabs>
          <w:tab w:leader="none" w:pos="72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These concessions shall be for a period of 20 years from March 1, 2021. 148</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discussion summarizes certain U.S. federal income tax considerations generally applicable to the ownership and disposition of our Class A ordinary shares, other than private placement shares, that are purchased in this offering by U.S. Holders (as defined below) and Non-U.S. Holders (as defined below).</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discussion is limited to certain U.S. federal income tax considerations to beneficial owners of our securities who are initial purchasers of a Class A ordinary share pursuant to this offering and hold the Class A ordinary share as a capital asset within the meaning of Section 1221 of the U.S. Internal Revenue Code of 1986, as amended (the “Code”). This discussion assumes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our Class A ordinary shares by a prospective investor in light of its particular circumstances, including:</w:t>
      </w:r>
    </w:p>
    <w:p>
      <w:pPr>
        <w:spacing w:after="0" w:line="70"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(by vote or value) of our voting shares;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persons that hold our securities as part of a straddle, constructive sale, hedging, conversion or other integrated or similar transaction;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20"/>
          </w:cols>
          <w:pgMar w:left="320" w:top="459" w:right="5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311" w:lineRule="auto"/>
        <w:rPr>
          <w:sz w:val="20"/>
          <w:szCs w:val="20"/>
          <w:color w:val="auto"/>
        </w:rPr>
      </w:pPr>
      <w:r>
        <w:rPr>
          <w:rFonts w:ascii="Arial" w:cs="Arial" w:eastAsia="Arial" w:hAnsi="Arial"/>
          <w:sz w:val="16"/>
          <w:szCs w:val="16"/>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herein, the term “U.S. Holder” means a beneficial owner of Class A ordinary shares who or that is for U.S. federal income tax purposes:</w:t>
      </w:r>
    </w:p>
    <w:p>
      <w:pPr>
        <w:spacing w:after="0" w:line="46" w:lineRule="exact"/>
        <w:rPr>
          <w:sz w:val="20"/>
          <w:szCs w:val="20"/>
          <w:color w:val="auto"/>
        </w:rPr>
      </w:pPr>
    </w:p>
    <w:p>
      <w:pPr>
        <w:ind w:left="120" w:right="100" w:hanging="4"/>
        <w:spacing w:after="0" w:line="281" w:lineRule="auto"/>
        <w:tabs>
          <w:tab w:leader="none" w:pos="37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individual citizen or resident of the United States; (2) 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1" w:lineRule="exact"/>
        <w:rPr>
          <w:rFonts w:ascii="Arial" w:cs="Arial" w:eastAsia="Arial" w:hAnsi="Arial"/>
          <w:sz w:val="16"/>
          <w:szCs w:val="16"/>
          <w:color w:val="auto"/>
        </w:rPr>
      </w:pPr>
    </w:p>
    <w:p>
      <w:pPr>
        <w:ind w:left="120" w:right="140" w:hanging="4"/>
        <w:spacing w:after="0" w:line="255" w:lineRule="auto"/>
        <w:tabs>
          <w:tab w:leader="none" w:pos="3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 (4)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190"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If a beneficial owner of our Class A ordinary shares is not described as a U.S. Holder and is not an entity treated as a partnership or other pass-through entity for U.S. federal income tax purposes, such owner will be considered a “Non-U.S. Holder.” The U.S. federal income tax consequences applicable specifically to Non-U.S. Holders are described below under the heading “Non-U.S. Holders.”</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This discussion does not consider the tax treatment of partnerships or other pass-through entities or persons who hold our Class A ordinary shares through such entities. If a partnership (or other entity or arrangement classified as a partnership for U.S. federal income tax purposes) is the beneficial owner of our Class A ordinary shares, the U.S. federal income tax treatment of a partner in the partnership generally will depend on the status of the partner and the activities of the partnership. Partnerships holding our securities and partners in such partnerships are urged to consult their own tax advisors.</w:t>
      </w:r>
    </w:p>
    <w:p>
      <w:pPr>
        <w:spacing w:after="0" w:line="184"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THIS DISCUSSION IS ONLY A SUMMARY OF CERTAIN U.S. FEDERAL INCOME TAX CONSEQUENCES OF THE ACQUISITION, OWNERSHIP AND DISPOSITION OF OUR CLASS A ORDINARY SHARES. EACH PROSPECTIVE INVESTOR IN OUR CLASS A ORDINARY SHARES IS URGED TO CONSULT ITS OWN TAX ADVISOR WITH RESPECT TO THE PARTICULAR TAX CONSEQUENCES TO SUCH INVESTOR OF THE ACQUISITION, OWNERSHIP AND DISPOSITION OF OUR CLASS A ORDINARY SHARES, INCLUDING THE APPLICABILITY AND EFFECT OF ANY STATE, LOCAL, AND NON-U.S. TAX LAWS, AS WELL AS U.S. FEDERAL TAX LAWS AND ANY APPLICABLE TAX TREATIES.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left="120" w:right="340" w:firstLine="440"/>
        <w:spacing w:after="0" w:line="296" w:lineRule="auto"/>
        <w:rPr>
          <w:sz w:val="20"/>
          <w:szCs w:val="20"/>
          <w:color w:val="auto"/>
        </w:rPr>
      </w:pPr>
      <w:r>
        <w:rPr>
          <w:rFonts w:ascii="Arial" w:cs="Arial" w:eastAsia="Arial" w:hAnsi="Arial"/>
          <w:sz w:val="16"/>
          <w:szCs w:val="16"/>
          <w:color w:val="auto"/>
        </w:rPr>
        <w:t>Subject to the PFIC rules discussed below, a U.S. Holder generally will be required to include in gross income as dividends the amount of any distribution paid on our Class A ordinary shares. A distribution on such shares generally will be treated as a dividend for U.S. federal income tax purposes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Subject to the PFIC rules described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With respect to non-corporate U.S. Holders, under tax laws currently in effect and subject to certain exceptions (including, but not limited to, dividends treated as investment income for purposes of investment interest deduction limitations), dividends will be taxed at the lower applicable long-term capital gains rate (see “— Taxation on the Disposition of Class A Ordinary Shares” below) only if our Class A ordinary shares are readily tradable on an established securities market in the United States (which they will be if our shares are traded on Nasdaq) and certain other requirements are met, including that we are not classified as a PFIC during the taxable year in which the dividend is paid or the preceding taxable year and provided certain holding period requirements are met. It is unclear, however, whether certain redemption rights described in this prospectus may suspend the running of the applicable holding period for this purpose. U.S. Holders should consult their own tax advisors regarding the availability of the lower rate for any dividends paid with respect to our Class A ordinary shares.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Taxation on the Disposition of Class A Ordinary Shares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Subject to the PFIC rules discussed below, upon a sale or other taxable disposition of our Class A ordinary shares which, in general, would include a redemption of our Class A ordinary shares as described below, and including as a result of a dissolution and liquidation in the event we do not consummate an initial business combination within the required time period, a U.S. Holder generally will recognize capital gain or loss. The amount of gain or loss recognized generally will be equal to the difference between (1) the sum of the amount of cash and the fair market value of any property received in such disposition and (2) the U.S. Holder’s adjusted tax basis in its Class A ordinary shares so disposed of. A U.S. Holder’s adjusted tax basis in its Class A ordinary shares generally will equal the U.S. Holder’s acquisition cost reduced by any prior distributions treated as a return of capital.</w:t>
      </w:r>
    </w:p>
    <w:p>
      <w:pPr>
        <w:spacing w:after="0" w:line="164"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Long-term capital gains recognized by non-corporate U.S. Holders are generally subject to U.S. federal income tax at a reduced rate of tax. Capital gain or loss will constitute long-term capital gain or loss if the U.S. Holder’s holding period for the Class A ordinary shares exceeds one year. It is unclear whether the redemption rights with respect to the Class A ordinary shares described in this prospectus may prevent a U.S. Holder from satisfying the applicable holding period requirements for this purpose. The deductibility of capital losses is subject to various limitations that are not described herein because a discussion of such limitations depends on each U.S. Holder’s particular facts and circumstances.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Subject to the PFIC rules discussed below, if a U.S. Holder’s Class A ordinary shares are redeemed pursuant to the exercise of a shareholder redemption right or if we purchase a U.S. Holder’s ordinary shares in an open market transaction (in either case referred to herein as a “redemption”), for U.S. federal income tax purposes, such redemption will be subject to the following rules. If the redemption qualifies as a sale of the Class A ordinary shares under Section 302 of the Code, the tax treatment of such redemption will be as described under “— Taxation on the Disposition of Class A Ordinary Shares” above. If the redemption does not qualify as a sale, the U.S. Holder will be treated as receiving a corporate distribution with the tax consequences described above under “Taxation of Distributions.” Whether a redemption of our Class A ordinary shares qualifies for sale treatment will depend largely on the total number of our Class A ordinary shares treated as held by such U.S. Holder. The redemption of ordinary shares generally will be treated as a sale or exchange of the Class A ordinary shares (rather than as a distribution) if the receipt of cash upon the redemption (1) is “substantially disproportionate” with respect to a U.S. Holder, (2) results in a “complete termination” of such holder’s interest in us or (3) is “not essentially equivalent to a dividend” with respect to such holder. These tests are explained more fully below.</w:t>
      </w:r>
    </w:p>
    <w:p>
      <w:pPr>
        <w:spacing w:after="0" w:line="16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determining whether any of the foregoing tests are satisfied, a U.S. Holder must take into account not only our Class A ordinary shares actually owned by such holder, but also our Class A ordinary shares that are constructively owned by such holder. A U.S. Holder may constructively own, in addition to our Class A ordinary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shares owned directly, Class A ordinary shares owned by certain related individuals and entities in which such holder has an interest or that have an interest in such holder, as well as any Class A ordinary shares such holder has a right to acquire by exercise of an option. In order to meet the substantially disproportionate test, the percentage of our outstanding voting shares actually and constructively owned by a U.S. Holder immediately following the redemption of our Class A ordinary shares must, among other requirements, be less than 80% of the percentage of our outstanding voting and Class A ordinary shares actually and constructively owned by such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(1) all of our Class A ordinary shares actually and constructively owned by such U.S. Holder are redeemed or (2) all of our Class A ordinary shares actually owned by such U.S. Holder are redeemed and such holder is eligible to waive, and effectively waives, in accordance with specific rules, the attribution of shares owned by family members and such holder does not constructively own any other shares. The redemption of the Class A ordinary shares will not be essentially equivalent to a dividend if such redemption results in a “meaningful reduction” of a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U.S. Holders should consult with their own tax advisors as to the tax consequences of an exercise of the redemption right.</w:t>
      </w:r>
    </w:p>
    <w:p>
      <w:pPr>
        <w:spacing w:after="0" w:line="18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If none of the foregoing tests are satisfied, then the redemption will be treated as a distribution and the tax effects will be as described under “— Taxation of Distributions,” above. After the application of those rules, any remaining tax basis a U.S. Holder has in the redeemed Class A ordinary shares will be added to the adjusted tax basis in such holder’s remaining Class A ordinary shares. If there are no remaining Class A ordinary shares, a U.S. Holder should consult its own tax advisors as to the allocation of any remaining basis.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foreign (i.e., non-U.S.) corporation will be a PFIC for U.S. federal income tax purposes if at least 75% of its gross income in a taxable year,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passive assets.</w:t>
      </w:r>
    </w:p>
    <w:p>
      <w:pPr>
        <w:spacing w:after="0" w:line="19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in which the corporation has gross income (the “start-up year”), if (1) no predecessor of the corporation was a PFIC; (2) the corporation satisfies to the IRS that it will not be a PFIC for either of the two taxable years following the start-up year; and (3) the corporation is not in fact a PFIC for either of those years. The applicability of the start-up exception to us will not be known until after the close of our current taxable year and, possibly, after the close of two subsequent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any future taxable year, however, will not be determinable until after the end of such taxable year. Accordingly, there can be no assurance with respect to our status as a PFIC for our current taxable year or any future taxable year.</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are determined to be a PFIC for any taxable year (or portion thereof) that is included in the holding period of a U.S. Holder of our Class A ordinary shares and the U.S. Holder did not make either a timely and valid qualified electing fund (“QEF”) election, purging election or a mark-to-market election for our first taxable year as a PFIC in which the U.S. Holder held (or was deemed to hold) Class A ordinary shares, as described below, such holder generally will be subject to special rules with respect to:</w:t>
      </w:r>
    </w:p>
    <w:p>
      <w:pPr>
        <w:spacing w:after="0" w:line="92"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Class A ordinary shares; and</w:t>
      </w:r>
    </w:p>
    <w:p>
      <w:pPr>
        <w:spacing w:after="0" w:line="130" w:lineRule="exact"/>
        <w:rPr>
          <w:rFonts w:ascii="Arial" w:cs="Arial" w:eastAsia="Arial" w:hAnsi="Arial"/>
          <w:sz w:val="18"/>
          <w:szCs w:val="18"/>
          <w:color w:val="auto"/>
        </w:rPr>
      </w:pPr>
    </w:p>
    <w:p>
      <w:pPr>
        <w:ind w:left="1080" w:right="440" w:hanging="424"/>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these rules,</w:t>
      </w:r>
    </w:p>
    <w:p>
      <w:pPr>
        <w:spacing w:after="0" w:line="131" w:lineRule="exact"/>
        <w:rPr>
          <w:sz w:val="20"/>
          <w:szCs w:val="20"/>
          <w:color w:val="auto"/>
        </w:rPr>
      </w:pPr>
    </w:p>
    <w:p>
      <w:pPr>
        <w:ind w:left="1080" w:right="5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on the U.S. Holder in respect of the tax attributable to each such other taxable year of the U.S. Holder.</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general, if we are determined to be a PFIC, a U.S. Holder may avoid the PFIC tax consequences described above in respect to our Class A ordinary shares by making a timely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U.S. Holders are urged to consult their tax advisors as to the application of the rules governing purging elections to their particular circumstances (including a potential separate “deemed dividend” purging election that may be available if we are a controlled foreign corporation). 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own tax advisors regarding the availability and tax consequences of a retroactive QEF election under their particular circumstances.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interest charge will be imposed under the PFIC rules. As discussed above, U.S. Holders of a QEF are currently taxed on their pro rata shares of its earnings and profits, whether or not distributed. In such case, a subsequent distribution of such earnings and profits that were previously included in income generally should not be taxable as a dividend to such U.S. Holders. The tax basis of a U.S. Holder’s shares in a QEF will be increased by amounts that are included in income, and decreased by amounts distributed but not taxed as dividends, under the above rules.</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Although a determination as to our PFIC status will be made annually, an initial determination that our company is a PFIC will generally apply for subsequent years to a U.S. Holder who held Class A ordinary shares while we were a PFIC, whether or not we meet the test for PFIC status in those subsequent years. A U.S. Holder who makes the QEF election discussed above for our first taxable year as a PFIC in which the U.S. Holder holds (or is deemed to hold) our Class A ordinary shares, however, will not be subject to the PFIC tax and interest charge rules discussed above in respect to such shares. In addition, such U.S. Holder will not be subject to the QEF inclusion regime with respect to such shares for any taxable year of us that ends within or with a taxable year of the U.S. Holder and in which we are not a PFIC. On the other hand, if the QEF election is not effective for each of our taxable years in which we are a PFIC and the U.S. Holder holds (or is deemed to hold) our Class A ordinary shares, the PFIC rules discussed above will continue to apply to such shares unless the holder makes a purging election, as described above, and pays the tax and interest charge with respect to the gain inherent in such shares attributable to the pre-QEF election period.</w:t>
      </w:r>
    </w:p>
    <w:p>
      <w:pPr>
        <w:spacing w:after="0" w:line="18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holder generally will not be subject to the PFIC rules described above in respect to its Class A ordinary shares. Instead, in general, the U.S. Holder will include as ordinary income each year the excess, if any, of the fair market value of its Class A ordinary shares at the end of its taxable year over the adjusted basis in its Class A ordinary shares. Such a U.S. Holder also will be allowed to take an ordinary loss in respect of the excess, if any, of the adjusted basis of its Class A ordinary shares over the fair market value of its Class A ordinary shares at the end of its taxable year (but only to the extent of the net amount of previously included income as a result of the mark-to-market election). Such U.S. Holder’s basis in its Class A ordinary shares will be adjusted to reflect any such income or loss amounts, and any further gain recognized on a sale or other taxable disposition of the Class A ordinary shares will be treated as ordinary income.</w:t>
      </w:r>
    </w:p>
    <w:p>
      <w:pPr>
        <w:spacing w:after="0" w:line="18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mark-to-market election is available only for stock that is regularly traded on a national securities exchange that is registered with the SEC, including Nasdaq,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ordinary shares ceased to qualify as “marketable stock” for purposes of the PFIC rules or the IRS consented to the revocation of the election. U.S. Holders should consult their own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tax advisors regarding the availability and tax consequences of a mark-to-market election in respect to our Class A ordinary shares under their particular circumstances.</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Upon written request, we will endeavor to cause any lower-tier PFIC to provide to a U.S. Holder the information that may be required to make or maintain a QEF election with respect to the lower-tier PFIC. However, there is no assurance that we will have timely knowledge of the status of any such lower-tier PFIC. In addition, we may not hold a controlling interest in any such lower-tier PFIC and thus there can be no assurance we will be able to cause the lower-tier PFIC to provide the required information. U.S. Holders are urged to consult their own tax advisors regarding the tax issues raised by lower-tier PFICs.</w:t>
      </w:r>
    </w:p>
    <w:p>
      <w:pPr>
        <w:spacing w:after="0" w:line="178"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6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rules dealing with PFICs and with the QEF, purging and mark-to-market elections are very complex and are affected by various factors in addition to those described above. Accordingly, U.S. Holders of our Class A ordinary shares should consult their own tax advisors concerning the application of the PFIC rules to our Class A ordinary shares under their particular circumstances.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 Reporting</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which may include an interest in us,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advisers regarding the foreign financial asset and other reporting obligations and their application to an investment in our securities.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Dividends (including constructive distributions treated as dividends) paid or deemed paid to a Non-U.S. Holder in respect to its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a Non-U.S. Holder generally will not be subject to U.S. federal income tax on any gain attributable to a sale or other disposition of our Class A ordinary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sale or other disposition and certain other conditions are met (in which case, such gain from United States sources generally is subject to tax at a 30% rate or a lower applicable tax treaty rate).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Dividends (including constructive distributions)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including the tax consequences under state, local, estate, foreign and other tax laws and tax treaties and the possible effects of changes in the United States or other tax laws.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0" w:type="dxa"/>
            <w:vAlign w:val="bottom"/>
          </w:tcPr>
          <w:p>
            <w:pPr>
              <w:ind w:left="2220"/>
              <w:spacing w:after="0"/>
              <w:rPr>
                <w:sz w:val="20"/>
                <w:szCs w:val="20"/>
                <w:color w:val="auto"/>
              </w:rPr>
            </w:pPr>
            <w:r>
              <w:rPr>
                <w:rFonts w:ascii="Arial" w:cs="Arial" w:eastAsia="Arial" w:hAnsi="Arial"/>
                <w:sz w:val="18"/>
                <w:szCs w:val="18"/>
                <w:b w:val="1"/>
                <w:bCs w:val="1"/>
                <w:color w:val="auto"/>
              </w:rPr>
              <w:t>UNDERWRITING</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340" w:type="dxa"/>
            <w:vAlign w:val="bottom"/>
            <w:gridSpan w:val="3"/>
          </w:tcPr>
          <w:p>
            <w:pPr>
              <w:ind w:left="440"/>
              <w:spacing w:after="0"/>
              <w:rPr>
                <w:sz w:val="20"/>
                <w:szCs w:val="20"/>
                <w:color w:val="auto"/>
              </w:rPr>
            </w:pPr>
            <w:r>
              <w:rPr>
                <w:rFonts w:ascii="Arial" w:cs="Arial" w:eastAsia="Arial" w:hAnsi="Arial"/>
                <w:sz w:val="18"/>
                <w:szCs w:val="18"/>
                <w:color w:val="auto"/>
                <w:w w:val="93"/>
              </w:rPr>
              <w:t>Under the terms and subject to the conditions contained in an underwriting agreement dated</w:t>
            </w:r>
          </w:p>
        </w:tc>
        <w:tc>
          <w:tcPr>
            <w:tcW w:w="3220" w:type="dxa"/>
            <w:vAlign w:val="bottom"/>
            <w:gridSpan w:val="4"/>
          </w:tcPr>
          <w:p>
            <w:pPr>
              <w:ind w:left="300"/>
              <w:spacing w:after="0"/>
              <w:rPr>
                <w:sz w:val="20"/>
                <w:szCs w:val="20"/>
                <w:color w:val="auto"/>
              </w:rPr>
            </w:pPr>
            <w:r>
              <w:rPr>
                <w:rFonts w:ascii="Arial" w:cs="Arial" w:eastAsia="Arial" w:hAnsi="Arial"/>
                <w:sz w:val="18"/>
                <w:szCs w:val="18"/>
                <w:color w:val="auto"/>
                <w:w w:val="88"/>
              </w:rPr>
              <w:t>, 2021, we have agreed to sell to Morgan</w:t>
            </w:r>
          </w:p>
        </w:tc>
        <w:tc>
          <w:tcPr>
            <w:tcW w:w="0" w:type="dxa"/>
            <w:vAlign w:val="bottom"/>
          </w:tcPr>
          <w:p>
            <w:pPr>
              <w:spacing w:after="0"/>
              <w:rPr>
                <w:sz w:val="1"/>
                <w:szCs w:val="1"/>
                <w:color w:val="auto"/>
              </w:rPr>
            </w:pPr>
          </w:p>
        </w:tc>
      </w:tr>
      <w:tr>
        <w:trPr>
          <w:trHeight w:val="230"/>
        </w:trPr>
        <w:tc>
          <w:tcPr>
            <w:tcW w:w="7340" w:type="dxa"/>
            <w:vAlign w:val="bottom"/>
            <w:gridSpan w:val="3"/>
          </w:tcPr>
          <w:p>
            <w:pPr>
              <w:spacing w:after="0"/>
              <w:rPr>
                <w:sz w:val="20"/>
                <w:szCs w:val="20"/>
                <w:color w:val="auto"/>
              </w:rPr>
            </w:pPr>
            <w:r>
              <w:rPr>
                <w:rFonts w:ascii="Arial" w:cs="Arial" w:eastAsia="Arial" w:hAnsi="Arial"/>
                <w:sz w:val="18"/>
                <w:szCs w:val="18"/>
                <w:color w:val="auto"/>
              </w:rPr>
              <w:t>Stanley &amp; Co. LLC, as the underwriter, the following number of Class A ordinary shares:</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760" w:type="dxa"/>
            <w:vAlign w:val="bottom"/>
            <w:vMerge w:val="restart"/>
          </w:tcPr>
          <w:p>
            <w:pPr>
              <w:spacing w:after="0"/>
              <w:rPr>
                <w:sz w:val="24"/>
                <w:szCs w:val="24"/>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4800" w:type="dxa"/>
            <w:vAlign w:val="bottom"/>
            <w:vMerge w:val="restart"/>
          </w:tcPr>
          <w:p>
            <w:pPr>
              <w:spacing w:after="0"/>
              <w:rPr>
                <w:sz w:val="24"/>
                <w:szCs w:val="24"/>
                <w:color w:val="auto"/>
              </w:rPr>
            </w:pPr>
          </w:p>
        </w:tc>
        <w:tc>
          <w:tcPr>
            <w:tcW w:w="760" w:type="dxa"/>
            <w:vAlign w:val="bottom"/>
          </w:tcPr>
          <w:p>
            <w:pPr>
              <w:spacing w:after="0"/>
              <w:rPr>
                <w:sz w:val="24"/>
                <w:szCs w:val="24"/>
                <w:color w:val="auto"/>
              </w:rPr>
            </w:pPr>
          </w:p>
        </w:tc>
        <w:tc>
          <w:tcPr>
            <w:tcW w:w="24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8"/>
        </w:trPr>
        <w:tc>
          <w:tcPr>
            <w:tcW w:w="176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460" w:type="dxa"/>
            <w:vAlign w:val="bottom"/>
            <w:gridSpan w:val="3"/>
          </w:tcPr>
          <w:p>
            <w:pPr>
              <w:jc w:val="center"/>
              <w:ind w:right="1380"/>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5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Morgan Stanley &amp; Co. LLC</w:t>
            </w:r>
          </w:p>
        </w:tc>
        <w:tc>
          <w:tcPr>
            <w:tcW w:w="7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40" w:type="dxa"/>
            <w:vAlign w:val="bottom"/>
            <w:gridSpan w:val="3"/>
          </w:tcPr>
          <w:p>
            <w:pPr>
              <w:ind w:left="176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c>
          <w:tcPr>
            <w:tcW w:w="6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underwriting agreement provides that the underwriter is obligated to purchase all the public shares in this offering if any are purchased, other than those shares covered by the over-allotment option described below.</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have granted to the underwriter a 45-day option to purchase on a pro rata basis up to 3,000,000 additional Class A ordinary shares at the initial public offering price, less the underwriting discounts and commissions. The option may only be exercised to cover any over-allotments of shares.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underwriter proposes to offer the Class A ordinary shares initially at the public offering price on the cover page of this prospectus and to</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w w:val="94"/>
              </w:rPr>
              <w:t>selling group members at that price less a selling concession of $</w:t>
            </w:r>
          </w:p>
        </w:tc>
        <w:tc>
          <w:tcPr>
            <w:tcW w:w="1840" w:type="dxa"/>
            <w:vAlign w:val="bottom"/>
            <w:gridSpan w:val="4"/>
          </w:tcPr>
          <w:p>
            <w:pPr>
              <w:ind w:left="26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780" w:type="dxa"/>
            <w:vAlign w:val="bottom"/>
            <w:gridSpan w:val="6"/>
          </w:tcPr>
          <w:p>
            <w:pPr>
              <w:ind w:left="440"/>
              <w:spacing w:after="0"/>
              <w:rPr>
                <w:sz w:val="20"/>
                <w:szCs w:val="20"/>
                <w:color w:val="auto"/>
              </w:rPr>
            </w:pPr>
            <w:r>
              <w:rPr>
                <w:rFonts w:ascii="Arial" w:cs="Arial" w:eastAsia="Arial" w:hAnsi="Arial"/>
                <w:sz w:val="18"/>
                <w:szCs w:val="18"/>
                <w:color w:val="auto"/>
                <w:w w:val="90"/>
              </w:rPr>
              <w:t>The following table summarizes the compensation and estimated expenses we will pay:</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Per Class A Ordinary Share</w:t>
            </w:r>
            <w:r>
              <w:rPr>
                <w:rFonts w:ascii="Arial" w:cs="Arial" w:eastAsia="Arial" w:hAnsi="Arial"/>
                <w:sz w:val="12"/>
                <w:szCs w:val="12"/>
                <w:b w:val="1"/>
                <w:bCs w:val="1"/>
                <w:color w:val="auto"/>
              </w:rPr>
              <w:t>(1)</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r>
      <w:tr>
        <w:trPr>
          <w:trHeight w:val="119"/>
        </w:trPr>
        <w:tc>
          <w:tcPr>
            <w:tcW w:w="4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Without Over-</w:t>
            </w:r>
          </w:p>
        </w:tc>
        <w:tc>
          <w:tcPr>
            <w:tcW w:w="7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With Over-</w:t>
            </w:r>
          </w:p>
        </w:tc>
        <w:tc>
          <w:tcPr>
            <w:tcW w:w="62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Without Over-</w:t>
            </w:r>
          </w:p>
        </w:tc>
        <w:tc>
          <w:tcPr>
            <w:tcW w:w="5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 Over-</w:t>
            </w:r>
          </w:p>
        </w:tc>
        <w:tc>
          <w:tcPr>
            <w:tcW w:w="40" w:type="dxa"/>
            <w:vAlign w:val="bottom"/>
          </w:tcPr>
          <w:p>
            <w:pPr>
              <w:spacing w:after="0"/>
              <w:rPr>
                <w:sz w:val="10"/>
                <w:szCs w:val="10"/>
                <w:color w:val="auto"/>
              </w:rPr>
            </w:pPr>
          </w:p>
        </w:tc>
      </w:tr>
      <w:tr>
        <w:trPr>
          <w:trHeight w:val="171"/>
        </w:trPr>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allotment</w:t>
            </w: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allotment</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allotment</w:t>
            </w:r>
          </w:p>
        </w:tc>
        <w:tc>
          <w:tcPr>
            <w:tcW w:w="56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allotment</w:t>
            </w:r>
          </w:p>
        </w:tc>
      </w:tr>
      <w:tr>
        <w:trPr>
          <w:trHeight w:val="210"/>
        </w:trPr>
        <w:tc>
          <w:tcPr>
            <w:tcW w:w="44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$11,000,000</w:t>
            </w: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$11,000,000</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360" w:hanging="424"/>
        <w:spacing w:after="0" w:line="259"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$0.35 per Class A ordinary share sold in the base offering, or $7,000,000 in the aggregate, payable to the underwriter for deferred underwriting commissions to be placed in a trust account located in the United States as described herein. The deferred commissions will be released to the underwriter only upon completion of an initial business combination, in an amount equal to $0.35 multiplied by the number of Class A ordinary shares sold in the base offering, as described in this prospectus.</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estimate that our non-reimbursed out-of-pocket expenses for this offering will be approximately $1,000,000. We have agreed to pay for the FINRA-related fees and expenses of the underwriter’s legal counsel, not to exceed $25,000.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 has informed us that the underwriter does not intend to make sales to discretionary accounts.</w:t>
      </w:r>
    </w:p>
    <w:p>
      <w:pPr>
        <w:spacing w:after="0" w:line="225"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We, our sponsor and our directors and officers have agreed that we will not offer, sell, contract to sell, pledge or otherwise dispose of, directly or indirectly, without the prior written consent of Morgan Stanley &amp; Co. LLC for a period of 180 days after the date of this prospectus, any Class A ordinary shares or any other securities convertible into, or exercisable, or exchangeable for, Class A ordinary shares; provided, however, that we may</w:t>
      </w:r>
    </w:p>
    <w:p>
      <w:pPr>
        <w:spacing w:after="0" w:line="2" w:lineRule="exact"/>
        <w:rPr>
          <w:sz w:val="20"/>
          <w:szCs w:val="20"/>
          <w:color w:val="auto"/>
        </w:rPr>
      </w:pPr>
    </w:p>
    <w:p>
      <w:pPr>
        <w:ind w:left="120" w:right="40" w:hanging="4"/>
        <w:spacing w:after="0" w:line="281" w:lineRule="auto"/>
        <w:tabs>
          <w:tab w:leader="none" w:pos="375" w:val="left"/>
        </w:tabs>
        <w:numPr>
          <w:ilvl w:val="0"/>
          <w:numId w:val="87"/>
        </w:numPr>
        <w:rPr>
          <w:rFonts w:ascii="Arial" w:cs="Arial" w:eastAsia="Arial" w:hAnsi="Arial"/>
          <w:sz w:val="16"/>
          <w:szCs w:val="16"/>
          <w:color w:val="auto"/>
        </w:rPr>
      </w:pPr>
      <w:r>
        <w:rPr>
          <w:rFonts w:ascii="Arial" w:cs="Arial" w:eastAsia="Arial" w:hAnsi="Arial"/>
          <w:sz w:val="16"/>
          <w:szCs w:val="16"/>
          <w:color w:val="auto"/>
        </w:rPr>
        <w:t>issue and sell the private placement shares; (2) issue and sell the additional Class A ordinary shares to cover our underwriter’s over-allotment option (if any); (3) register with the SEC pursuant to an agreement to be entered into concurrently with the issuance and sale of the securities in this offering, the resale of the private placement shares and the Class A ordinary shares issuable upon conversion of working capital loans and the founder shares; and</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issue securities in connection with our initial business combination. However, the foregoing shall not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apply to the forfeiture of any founder shares pursuant to their terms or any transfer of founder shares to any current or future independent director of the company (as long as such current or future independent director transferee is subject to the letter agreement, filed herewith, or executes an agreement substantially identical to the letter agreement, as applicable to directors and officers at the time of such transfer; and as long as, to the extent any Section 16 reporting obligation is triggered as a result of such transfer, any related Section 16 filing includes a practical explanation as to the nature of the transfer). Morgan Stanley &amp; Co. LLC in its sole discretion may release any of the securities subject to these lock-up agreements at any time without notice.</w:t>
      </w:r>
    </w:p>
    <w:p>
      <w:pPr>
        <w:spacing w:after="0" w:line="19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Pursuant to a letter agreement with us, our initial shareholders, directors and officers have agreed not to transfer, assign or sell any of their founder shares until the earlier to occur of: (A) one year after the completion of our initial business combination; and (B) subsequent to our initial business combination (x) if the last reported sale price of our Class A ordinary shares equals or exceeds $12.00 per share (as adjusted for share sub-divisions, share dividends, rights issuances, consolidations, reorganizations, recapitalizations and other similar transactions) for any 20 trading days within any</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with respect to permitted transferees as described herein under “Principal Shareholders — Transfers of Founder Shares and Private Placement Shares”). Any permitted transferees would be subject to the same restrictions and other agreements of our initial shareholders with respect to any founder shares.</w:t>
      </w:r>
    </w:p>
    <w:p>
      <w:pPr>
        <w:spacing w:after="0" w:line="19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private placement shares will not be transferable, assignable or salable until 30 days after the completion of our initial business combination (except with respect to permitted transferees as described herein under “Principal Shareholders — Transfers of Founder Shares and Private Placement Shares”).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have agreed to indemnify the underwriter against certain liabilities under the Securities Act, or contribute to payments that the underwriter may be required to make in that respect.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our public shares to be listed on Nasdaq, under the symbol “DNAC”.</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public shares was determined by negotiations between us and the underwriter.</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determination of our per share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Class A ordinary shares will sell in the public market after this offering will not be lower than the initial public offering price or that an active trading market in our Class A ordinary shares will develop and continue after this offering.</w:t>
      </w:r>
    </w:p>
    <w:p>
      <w:pPr>
        <w:spacing w:after="0" w:line="16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If you purchase Class A ordinary shares offered in this prospectus, you may be required to pay stamp taxes and other charges under the laws and practices of the company of purchase, in addition to the offering price listed on the cover page of this prospectus. If we do not complete our initial business combination within the allotted time frame, including during any Extension Period, the trustee and the underwriter have agreed that: (1) they will forfeit any rights or claims to their deferred underwriting discounts and commissions, including any accrued interest thereon, then in the trust account; and (2) the deferred underwriter’s discounts and commissions will be distributed on a pro rata basis, together with any accrued interest thereon (which interest shall be net of taxes payable) to the public shareholders.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In connection with this offering, the underwriter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1080" w:right="100" w:hanging="424"/>
        <w:spacing w:after="0" w:line="254"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Over-allotment involves sales by the underwriter of Class A ordinary shares in excess of the number of Class A ordinary shares the underwriter is obligated to purchase, which creates a syndicate short position. The short position may be either a covered short position or a naked short position. In a covered short position, the number of Class A ordinary shares over-allotted by the underwriter is not greater than the number of Class A ordinary shares that they may purchase in the over-allotment option. In a naked short position, the number of Class A ordinary shares involved is greater than the number of Class A ordinary shares in the over-allotment option. The underwriter may close out any covered short position by either exercising its over-allotment option and/or purchasing Class A ordinary shares in the open market.</w:t>
      </w:r>
    </w:p>
    <w:p>
      <w:pPr>
        <w:spacing w:after="0" w:line="100" w:lineRule="exact"/>
        <w:rPr>
          <w:rFonts w:ascii="Arial" w:cs="Arial" w:eastAsia="Arial" w:hAnsi="Arial"/>
          <w:sz w:val="18"/>
          <w:szCs w:val="18"/>
          <w:color w:val="auto"/>
        </w:rPr>
      </w:pPr>
    </w:p>
    <w:p>
      <w:pPr>
        <w:ind w:left="1080" w:right="120" w:hanging="424"/>
        <w:spacing w:after="0" w:line="271"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Class A ordinary shares in the open market after the distribution has been completed in order to cover syndicate short positions. In determining the source of Class A ordinary shares to close out the short position, the underwriter will consider, among other things, the price of Class A ordinary shares available for purchase in the open market as compared to the price at which they may purchase Class A ordinary shares through the over-allotment option. If the underwriter sells more Class A ordinary shares than could be covered by the over-allotment option, a naked short position, the position can only be closed out by buying Class A ordinary shares in the open market. A naked short position is more likely to be created if the underwriter is concerned that there could be downward pressure on the price of the Class A ordinary shares in the open market after pricing that could adversely affect investors who purchase in this offering.</w:t>
      </w:r>
    </w:p>
    <w:p>
      <w:pPr>
        <w:spacing w:after="0" w:line="83" w:lineRule="exact"/>
        <w:rPr>
          <w:rFonts w:ascii="Arial" w:cs="Arial" w:eastAsia="Arial" w:hAnsi="Arial"/>
          <w:sz w:val="17"/>
          <w:szCs w:val="17"/>
          <w:color w:val="auto"/>
        </w:rPr>
      </w:pPr>
    </w:p>
    <w:p>
      <w:pPr>
        <w:ind w:left="1080" w:right="160" w:hanging="424"/>
        <w:spacing w:after="0" w:line="34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Penalty bids permit the underwriter to reclaim a selling concession from a syndicate member when the Class A ordinary shares originally sold by the syndicate member are purchased in a stabilizing or syndicate covering transaction to cover syndicate short positions.</w:t>
      </w:r>
    </w:p>
    <w:p>
      <w:pPr>
        <w:spacing w:after="0" w:line="124"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Class A ordinary shares or preventing or retarding a decline in the market price of the Class A ordinary shares. As a result, the price of our Class A ordinary shares may be higher than the price that might otherwise exist in the open market. These transactions may be effected on Nasdaq or otherwise and, if commenced, may be discontinued at any time.</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not under any contractual obligation to engage the underwriter to provide any services for us after this offering, but we may do so at our discretion, and have no present intent to do so. However, the underwriter may introduce us to potential target businesses or assist us in raising additional capital in the future, including by acting as a placement agent in a private offering or underwriting or arranging debt financing. If the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that is 90 days from the date of this prospectus, unless FINRA determines that such payment would not be deemed underwriter’s compensation in connection with this offering, and we may pay the underwriter of this offering or any entity with which they are affiliated, a finder’s fee or other compensation for services rendered to us in connection with the completion of a business combination. Any fees we may pay the underwriter or its affiliates for services rendered to us after this offering may be contingent on the completion of a business combination and may be paid in other than cash. The underwriter or its affiliates that provide these services to us may have a potential conflict of interest given that the underwriter is entitled to the deferred portion of their underwriting compensation for this offering only if an initial business combination is completed within the specified timeframe.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underwriter and certain of its affiliates is a full service financial institution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certain of its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 and its affiliates, officers, directors or employees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2"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 prospectus in electronic format may be made available on the websites maintained by the underwriter, or selling group members, if any, participating in this offering and the underwriter participating in this offering may distribute prospectuses electronically. The underwriter may agree to allocate a number of Class A ordinary shares to selling group members for sale to their online brokerage account holders. Internet distributions will be allocated by the underwriter and selling group members that will make Internet distributions on the same basis as other allocations.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Class A ordinary shares are offered for sale in the United States, Europe, Asia and other jurisdictions where it is lawful to make such offers.</w:t>
      </w:r>
    </w:p>
    <w:p>
      <w:pPr>
        <w:spacing w:after="0" w:line="24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underwriter has represented and agreed that it has not offered, sold or delivered and will not offer, sell or deliver any of the Class A ordinary shares directly or indirectly, or distribute this prospectus or any other offering material relating to the Class A ordinary shares, in or from any jurisdiction except under circumstances that will result in compliance with the applicable laws and regulations thereof and that will not impose any obligations on us except as set forth in the underwriting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pursuant to this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securities shall require the Issuer or any Manager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 represents, warrants and agrees as follows:</w:t>
      </w:r>
    </w:p>
    <w:p>
      <w:pPr>
        <w:spacing w:after="0" w:line="131" w:lineRule="exact"/>
        <w:rPr>
          <w:sz w:val="20"/>
          <w:szCs w:val="20"/>
          <w:color w:val="auto"/>
        </w:rPr>
      </w:pPr>
    </w:p>
    <w:p>
      <w:pPr>
        <w:ind w:left="1080" w:right="120" w:hanging="532"/>
        <w:spacing w:after="0" w:line="279"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the company; and</w:t>
      </w:r>
    </w:p>
    <w:p>
      <w:pPr>
        <w:spacing w:after="0" w:line="76" w:lineRule="exact"/>
        <w:rPr>
          <w:rFonts w:ascii="Arial" w:cs="Arial" w:eastAsia="Arial" w:hAnsi="Arial"/>
          <w:sz w:val="17"/>
          <w:szCs w:val="17"/>
          <w:color w:val="auto"/>
        </w:rPr>
      </w:pPr>
    </w:p>
    <w:p>
      <w:pPr>
        <w:ind w:left="1080" w:right="62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securities in, from or otherwise involving the United Kingdom.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Japan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underwriter will not offer or sell any of our securities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Hong Kong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underwriter and each of its affiliates have not (1) offered or sold, and will not offer or sell, in Hong Kong, by means of any document,</w:t>
      </w:r>
    </w:p>
    <w:p>
      <w:pPr>
        <w:spacing w:after="0" w:line="35"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our securities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securities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Singapore</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This prospectus or any other offering material relating to our securities has not been and will not be registered as a prospectus with the Monetary Authority of Singapore, and the securities will be offered in Singapore pursuant to exemptions under Section 274 and Section 275 of the Securities and Futures Act, Chapter 289 of Singapore (the “Securities and Futures Act”). Accordingly our securities may not be offered or sold, or be the subject of an invitation for subscription or purchase, nor may this prospectus or any other offering material relating to our securities be circulated or distributed, whether directly or indirectly, to the public or any member of the public in Singapore other than (1) to an institutional investor or other person specified in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Section 274 of the Securities and Futures Act, (2) to a sophisticated investor, and in accordance with the conditions specified in Section 275 of the Securities and Futures Act or (3) otherwise pursuant to, and in accordance with the conditions of, any other applicable provision of the Securities and Futures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Germany</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securities. In particular, the underwriter has represented that it has not engaged and has agreed that it will not engage in a public offering (offentliches Angebot) within the meaning of the Act with respect to any of our securities other than in accordance with the Act and all other applicable legal and regulatory requirements.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France</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securities are being issued and sold outside the Republic of France and, in connection with their initial distribution, the underwriter has not offered or sold and will not offer or sell, directly or indirectly, any securities to the public in the Republic of France, and has not distributed and will not distribute or cause to be distributed to the public in the Republic of France this prospectus or any other offering material relating to the securities, and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securities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securities is publicly announced (whether electronically or otherwise) in the Netherlands it is stated that such offer is and will be exclusively made to such Professional Investors. Individual or legal entities who are not Professional Investors may not participate in the offering of our securities, and this prospectus or any other offering material relating to our securities may not be considered an offer or the prospect of an offer to sell or exchange our securities.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securities.</w:t>
      </w:r>
    </w:p>
    <w:p>
      <w:pPr>
        <w:spacing w:after="0" w:line="329" w:lineRule="exact"/>
        <w:rPr>
          <w:sz w:val="20"/>
          <w:szCs w:val="20"/>
          <w:color w:val="auto"/>
        </w:rPr>
      </w:pPr>
    </w:p>
    <w:p>
      <w:pPr>
        <w:jc w:val="center"/>
        <w:ind w:right="8560"/>
        <w:spacing w:after="0"/>
        <w:rPr>
          <w:sz w:val="20"/>
          <w:szCs w:val="20"/>
          <w:color w:val="auto"/>
        </w:rPr>
      </w:pPr>
      <w:r>
        <w:rPr>
          <w:rFonts w:ascii="Arial" w:cs="Arial" w:eastAsia="Arial" w:hAnsi="Arial"/>
          <w:sz w:val="17"/>
          <w:szCs w:val="17"/>
          <w:b w:val="1"/>
          <w:bCs w:val="1"/>
          <w:color w:val="auto"/>
        </w:rPr>
        <w:t>Notice to Canadian Residents</w:t>
      </w:r>
    </w:p>
    <w:p>
      <w:pPr>
        <w:spacing w:after="0" w:line="133" w:lineRule="exact"/>
        <w:rPr>
          <w:sz w:val="20"/>
          <w:szCs w:val="20"/>
          <w:color w:val="auto"/>
        </w:rPr>
      </w:pPr>
    </w:p>
    <w:p>
      <w:pPr>
        <w:jc w:val="center"/>
        <w:ind w:right="85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The distribution of our securities in Canada is being made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40"/>
          </w:cols>
          <w:pgMar w:left="320" w:top="459"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under available statutory exemptions or under a discretionary exemption granted by the applicable Canadian securities regulatory authority. Purchasers are advised to seek legal advice prior to any resale of the securities.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Representations of Canadian Purchasers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By purchasing securities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1080" w:right="140" w:hanging="424"/>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Section 73.3 of the Securities Act (Ontario), as applicable;</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purchaser has reviewed the text above under “— Resale Restrictions.”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Conflicts of Interest</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 xml:space="preserve">Canadian purchasers are hereby notified that Morgan Stanley &amp; Co. LLC is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Statutory Rights of Action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Enforcement of Legal Rights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Canadian purchasers of our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Wachtell, Lipton, Rosen &amp; Katz, New York, New York, is acting as counsel in connection with the registration of our ordinary shares under the Securities Act. Maples and Calder (Hong Kong) LLP will pass upon the validity of the securities offered in this prospectus with respect to the ordinary shares and matters of Cayman Islands law. In connection with this offering, Ropes &amp; Gray LLP is acting as counsel to the underwriter.</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financial statements of Social Capital Suvretta Holdings Corp. III as of March 2, 2021 and for the period from February 25, 2021 (inception) through March 2, 2021 appearing in this prospectus have been audited by Marcum LLP, independent registered public accounting firm, as set forth in their report thereon (which contains an explanatory paragraph relating to substantial doubt about the ability of Social Capital Suvretta Holdings Corp. III to continue as a going concern as described in Note 1 to the financial statements), appearing elsewhere in this prospectus, and are included in reliance on such report given on the authority of such firm as experts in auditing and accounting.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7"/>
        </w:trPr>
        <w:tc>
          <w:tcPr>
            <w:tcW w:w="9320" w:type="dxa"/>
            <w:vAlign w:val="bottom"/>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7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rPr>
              <w:t>SOCIAL CAPITAL SUVRETTA HOLDINGS CORP. III</w:t>
            </w:r>
          </w:p>
        </w:tc>
        <w:tc>
          <w:tcPr>
            <w:tcW w:w="17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0" w:type="dxa"/>
            <w:vAlign w:val="bottom"/>
            <w:gridSpan w:val="2"/>
          </w:tcPr>
          <w:p>
            <w:pPr>
              <w:jc w:val="center"/>
              <w:ind w:right="1510"/>
              <w:spacing w:after="0"/>
              <w:rPr>
                <w:sz w:val="20"/>
                <w:szCs w:val="20"/>
                <w:color w:val="auto"/>
              </w:rPr>
            </w:pPr>
            <w:r>
              <w:rPr>
                <w:rFonts w:ascii="Arial" w:cs="Arial" w:eastAsia="Arial" w:hAnsi="Arial"/>
                <w:sz w:val="18"/>
                <w:szCs w:val="18"/>
                <w:b w:val="1"/>
                <w:bCs w:val="1"/>
                <w:color w:val="auto"/>
              </w:rPr>
              <w:t>INDEX TO FINANCIAL STATEMENTS</w:t>
            </w:r>
          </w:p>
        </w:tc>
        <w:tc>
          <w:tcPr>
            <w:tcW w:w="17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70">
              <w:r>
                <w:rPr>
                  <w:rFonts w:ascii="Arial" w:cs="Arial" w:eastAsia="Arial" w:hAnsi="Arial"/>
                  <w:sz w:val="18"/>
                  <w:szCs w:val="18"/>
                  <w:color w:val="0000EE"/>
                  <w:w w:val="91"/>
                </w:rPr>
                <w:t>Report of Independent Registered Public Accounting Firm</w:t>
              </w:r>
            </w:hyperlink>
          </w:p>
        </w:tc>
        <w:tc>
          <w:tcPr>
            <w:tcW w:w="4980" w:type="dxa"/>
            <w:vAlign w:val="bottom"/>
          </w:tcPr>
          <w:p>
            <w:pPr>
              <w:spacing w:after="0"/>
              <w:rPr>
                <w:sz w:val="24"/>
                <w:szCs w:val="24"/>
                <w:color w:val="auto"/>
              </w:rPr>
            </w:pPr>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F-2</w:t>
            </w:r>
          </w:p>
        </w:tc>
      </w:tr>
      <w:tr>
        <w:trPr>
          <w:trHeight w:val="196"/>
        </w:trPr>
        <w:tc>
          <w:tcPr>
            <w:tcW w:w="120" w:type="dxa"/>
            <w:vAlign w:val="bottom"/>
          </w:tcPr>
          <w:p>
            <w:pPr>
              <w:spacing w:after="0"/>
              <w:rPr>
                <w:sz w:val="17"/>
                <w:szCs w:val="17"/>
                <w:color w:val="auto"/>
              </w:rPr>
            </w:pPr>
          </w:p>
        </w:tc>
        <w:tc>
          <w:tcPr>
            <w:tcW w:w="9200" w:type="dxa"/>
            <w:vAlign w:val="bottom"/>
            <w:gridSpan w:val="9"/>
          </w:tcPr>
          <w:p>
            <w:pPr>
              <w:spacing w:after="0" w:line="196" w:lineRule="exact"/>
              <w:rPr>
                <w:sz w:val="20"/>
                <w:szCs w:val="20"/>
                <w:color w:val="auto"/>
              </w:rPr>
            </w:pPr>
            <w:r>
              <w:rPr>
                <w:rFonts w:ascii="Arial" w:cs="Arial" w:eastAsia="Arial" w:hAnsi="Arial"/>
                <w:sz w:val="18"/>
                <w:szCs w:val="18"/>
                <w:color w:val="0000EE"/>
              </w:rPr>
              <w:t>Financial Statements:</w:t>
            </w:r>
          </w:p>
        </w:tc>
        <w:tc>
          <w:tcPr>
            <w:tcW w:w="17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71">
              <w:r>
                <w:rPr>
                  <w:rFonts w:ascii="Arial" w:cs="Arial" w:eastAsia="Arial" w:hAnsi="Arial"/>
                  <w:sz w:val="18"/>
                  <w:szCs w:val="18"/>
                  <w:color w:val="0000EE"/>
                  <w:w w:val="85"/>
                </w:rPr>
                <w:t>Balance Sheets</w:t>
              </w:r>
            </w:hyperlink>
          </w:p>
        </w:tc>
        <w:tc>
          <w:tcPr>
            <w:tcW w:w="440" w:type="dxa"/>
            <w:vAlign w:val="bottom"/>
            <w:tcBorders>
              <w:top w:val="single" w:sz="8" w:color="0000EE"/>
            </w:tcBorders>
            <w:gridSpan w:val="2"/>
          </w:tcPr>
          <w:p>
            <w:pPr>
              <w:spacing w:after="0"/>
              <w:rPr>
                <w:sz w:val="17"/>
                <w:szCs w:val="17"/>
                <w:color w:val="auto"/>
              </w:rPr>
            </w:pPr>
          </w:p>
        </w:tc>
        <w:tc>
          <w:tcPr>
            <w:tcW w:w="7660" w:type="dxa"/>
            <w:vAlign w:val="bottom"/>
            <w:gridSpan w:val="6"/>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Arial" w:cs="Arial" w:eastAsia="Arial" w:hAnsi="Arial"/>
                <w:sz w:val="18"/>
                <w:szCs w:val="18"/>
                <w:color w:val="auto"/>
                <w:w w:val="88"/>
              </w:rPr>
              <w:t>F-3</w:t>
            </w:r>
          </w:p>
        </w:tc>
      </w:tr>
      <w:tr>
        <w:trPr>
          <w:trHeight w:val="196"/>
        </w:trPr>
        <w:tc>
          <w:tcPr>
            <w:tcW w:w="120" w:type="dxa"/>
            <w:vAlign w:val="bottom"/>
          </w:tcPr>
          <w:p>
            <w:pPr>
              <w:spacing w:after="0"/>
              <w:rPr>
                <w:sz w:val="17"/>
                <w:szCs w:val="17"/>
                <w:color w:val="auto"/>
              </w:rPr>
            </w:pPr>
          </w:p>
        </w:tc>
        <w:tc>
          <w:tcPr>
            <w:tcW w:w="18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Statements of Operations</w:t>
              </w:r>
            </w:hyperlink>
          </w:p>
        </w:tc>
        <w:tc>
          <w:tcPr>
            <w:tcW w:w="7380" w:type="dxa"/>
            <w:vAlign w:val="bottom"/>
            <w:gridSpan w:val="5"/>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12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Statements of Changes in Shareholder’s Equity</w:t>
              </w:r>
            </w:hyperlink>
          </w:p>
        </w:tc>
        <w:tc>
          <w:tcPr>
            <w:tcW w:w="5800" w:type="dxa"/>
            <w:vAlign w:val="bottom"/>
            <w:gridSpan w:val="2"/>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12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74">
              <w:r>
                <w:rPr>
                  <w:rFonts w:ascii="Arial" w:cs="Arial" w:eastAsia="Arial" w:hAnsi="Arial"/>
                  <w:sz w:val="18"/>
                  <w:szCs w:val="18"/>
                  <w:color w:val="0000EE"/>
                  <w:w w:val="88"/>
                </w:rPr>
                <w:t>Statements of Cash Flows</w:t>
              </w:r>
            </w:hyperlink>
          </w:p>
        </w:tc>
        <w:tc>
          <w:tcPr>
            <w:tcW w:w="7320" w:type="dxa"/>
            <w:vAlign w:val="bottom"/>
            <w:gridSpan w:val="4"/>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120" w:type="dxa"/>
            <w:vAlign w:val="bottom"/>
          </w:tcPr>
          <w:p>
            <w:pPr>
              <w:spacing w:after="0"/>
              <w:rPr>
                <w:sz w:val="17"/>
                <w:szCs w:val="17"/>
                <w:color w:val="auto"/>
              </w:rPr>
            </w:pPr>
          </w:p>
        </w:tc>
        <w:tc>
          <w:tcPr>
            <w:tcW w:w="9200" w:type="dxa"/>
            <w:vAlign w:val="bottom"/>
            <w:gridSpan w:val="9"/>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Notes to Financial Statements</w:t>
              </w:r>
            </w:hyperlink>
          </w:p>
        </w:tc>
        <w:tc>
          <w:tcPr>
            <w:tcW w:w="1760" w:type="dxa"/>
            <w:vAlign w:val="bottom"/>
          </w:tcPr>
          <w:p>
            <w:pPr>
              <w:ind w:left="1500"/>
              <w:spacing w:after="0" w:line="196" w:lineRule="exact"/>
              <w:rPr>
                <w:sz w:val="20"/>
                <w:szCs w:val="20"/>
                <w:color w:val="auto"/>
              </w:rPr>
            </w:pPr>
            <w:r>
              <w:rPr>
                <w:rFonts w:ascii="Arial" w:cs="Arial" w:eastAsia="Arial" w:hAnsi="Arial"/>
                <w:sz w:val="18"/>
                <w:szCs w:val="18"/>
                <w:color w:val="auto"/>
                <w:w w:val="88"/>
              </w:rPr>
              <w:t>F-7</w:t>
            </w:r>
          </w:p>
        </w:tc>
      </w:tr>
      <w:tr>
        <w:trPr>
          <w:trHeight w:val="385"/>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80" w:type="dxa"/>
            <w:vAlign w:val="bottom"/>
          </w:tcPr>
          <w:p>
            <w:pPr>
              <w:jc w:val="center"/>
              <w:ind w:right="2330"/>
              <w:spacing w:after="0"/>
              <w:rPr>
                <w:sz w:val="20"/>
                <w:szCs w:val="20"/>
                <w:color w:val="auto"/>
              </w:rPr>
            </w:pPr>
            <w:r>
              <w:rPr>
                <w:rFonts w:ascii="Arial" w:cs="Arial" w:eastAsia="Arial" w:hAnsi="Arial"/>
                <w:sz w:val="18"/>
                <w:szCs w:val="18"/>
                <w:color w:val="auto"/>
                <w:w w:val="88"/>
              </w:rPr>
              <w:t>F-1</w:t>
            </w:r>
          </w:p>
        </w:tc>
        <w:tc>
          <w:tcPr>
            <w:tcW w:w="1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Social Capital Suvretta Holdings Corp. III</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have audited the accompanying balance sheet of Social Capital Suvretta Holdings Corp. III (the “Company”) as of March 2, 2021 and the related statements of operations, changes in shareholder’s equity and cash flows for the period from February 25, 2021 (inception) through March 2, 2021 and the related notes (collectively referred to as the “financial statements”). In our opinion, the financial statements present fairly, in all material respects, the financial position of the Company as of March 2, 2021 and the results of its operations and its cash flows for the period from February 25, 2021 (inception) through March 2, 2021,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more fully described in Note 1 to the financial statements, the Company’s ability to execute its business plan is dependent upon the completion of the proposed initial public offering described in Note 3 to the financial statements. The Company has a working capital deficiency as of March 2, 2021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result from the outcome of this uncertainty.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20, 2021, except Note 4 and Note 8, as to which the date is June 1,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2,</w:t>
            </w:r>
          </w:p>
        </w:tc>
        <w:tc>
          <w:tcPr>
            <w:tcW w:w="0" w:type="dxa"/>
            <w:vAlign w:val="bottom"/>
          </w:tcPr>
          <w:p>
            <w:pPr>
              <w:spacing w:after="0"/>
              <w:rPr>
                <w:sz w:val="1"/>
                <w:szCs w:val="1"/>
                <w:color w:val="auto"/>
              </w:rPr>
            </w:pPr>
          </w:p>
        </w:tc>
      </w:tr>
      <w:tr>
        <w:trPr>
          <w:trHeight w:val="148"/>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1"/>
              <w:spacing w:after="0" w:line="149"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11"/>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96"/>
        </w:trPr>
        <w:tc>
          <w:tcPr>
            <w:tcW w:w="8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25,117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25,000</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25,117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25,000</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offering costs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Promissory note — related party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5,138</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Preference shares, $0.0001 par value; 5,000,000 shares authorized; no shares issued and outstanding</w:t>
            </w:r>
          </w:p>
        </w:tc>
        <w:tc>
          <w:tcPr>
            <w:tcW w:w="16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$0.0001 par value; 500,000,000 shares authorized; none issued and outstanding</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w w:val="93"/>
              </w:rPr>
              <w:t>Class B ordinary shares, $0.0001 par value; 50,000,000 shares authorized; 5,750,000 shares issued and outstanding</w:t>
            </w:r>
            <w:r>
              <w:rPr>
                <w:rFonts w:ascii="Arial" w:cs="Arial" w:eastAsia="Arial" w:hAnsi="Arial"/>
                <w:sz w:val="15"/>
                <w:szCs w:val="15"/>
                <w:color w:val="auto"/>
                <w:w w:val="93"/>
              </w:rPr>
              <w:t>(1)</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24,425</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(5,182)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19,818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19,862</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25,117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80" w:hanging="424"/>
        <w:spacing w:after="0" w:line="27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an aggregate of up to 750,000 Class B ordinary shares that are subject to forfeiture depending on the extent to which the underwriter’s over-allotment option is exercised (see Note 5).</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FOR THE</w:t>
            </w: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25,</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25,</w:t>
            </w: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2021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84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rPr>
              <w:t>(INCEPTION)</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rPr>
              <w:t>THROUGH</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MARCH 2,</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2021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(Audited)</w:t>
            </w: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operational costs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(5,182)</w:t>
            </w:r>
          </w:p>
        </w:tc>
        <w:tc>
          <w:tcPr>
            <w:tcW w:w="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40" w:hanging="424"/>
        <w:spacing w:after="0" w:line="277"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Excludes an aggregate of up to 750,000 Class B ordinary shares that are subject to forfeiture depending on the extent to which the underwriter’s over-allotment option is exercised (see Note 5).</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16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460" w:type="dxa"/>
            <w:vAlign w:val="bottom"/>
            <w:tcBorders>
              <w:bottom w:val="single" w:sz="8" w:color="auto"/>
            </w:tcBorders>
            <w:gridSpan w:val="5"/>
          </w:tcPr>
          <w:p>
            <w:pPr>
              <w:jc w:val="center"/>
              <w:ind w:left="196"/>
              <w:spacing w:after="0"/>
              <w:rPr>
                <w:sz w:val="20"/>
                <w:szCs w:val="20"/>
                <w:color w:val="auto"/>
              </w:rPr>
            </w:pPr>
            <w:r>
              <w:rPr>
                <w:rFonts w:ascii="Arial" w:cs="Arial" w:eastAsia="Arial" w:hAnsi="Arial"/>
                <w:sz w:val="14"/>
                <w:szCs w:val="14"/>
                <w:b w:val="1"/>
                <w:bCs w:val="1"/>
                <w:color w:val="auto"/>
                <w:w w:val="95"/>
              </w:rPr>
              <w:t>Ordinary Shares</w:t>
            </w:r>
            <w:r>
              <w:rPr>
                <w:rFonts w:ascii="Arial" w:cs="Arial" w:eastAsia="Arial" w:hAnsi="Arial"/>
                <w:sz w:val="12"/>
                <w:szCs w:val="12"/>
                <w:b w:val="1"/>
                <w:bCs w:val="1"/>
                <w:color w:val="auto"/>
                <w:w w:val="95"/>
              </w:rPr>
              <w:t>(1)</w:t>
            </w:r>
          </w:p>
        </w:tc>
        <w:tc>
          <w:tcPr>
            <w:tcW w:w="2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320" w:type="dxa"/>
            <w:vAlign w:val="bottom"/>
            <w:gridSpan w:val="3"/>
            <w:vMerge w:val="continue"/>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16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gridSpan w:val="2"/>
          </w:tcPr>
          <w:p>
            <w:pPr>
              <w:jc w:val="right"/>
              <w:ind w:right="621"/>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February 25, 2021 (inception)</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Class B ordinary shares issued to Sponsor</w:t>
            </w:r>
            <w:r>
              <w:rPr>
                <w:rFonts w:ascii="Arial" w:cs="Arial" w:eastAsia="Arial" w:hAnsi="Arial"/>
                <w:sz w:val="15"/>
                <w:szCs w:val="15"/>
                <w:color w:val="auto"/>
              </w:rPr>
              <w:t>(1)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5,750,000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24,425</w:t>
            </w:r>
          </w:p>
        </w:tc>
        <w:tc>
          <w:tcPr>
            <w:tcW w:w="140" w:type="dxa"/>
            <w:vAlign w:val="bottom"/>
          </w:tcPr>
          <w:p>
            <w:pPr>
              <w:spacing w:after="0"/>
              <w:rPr>
                <w:sz w:val="18"/>
                <w:szCs w:val="18"/>
                <w:color w:val="auto"/>
              </w:rPr>
            </w:pPr>
          </w:p>
        </w:tc>
        <w:tc>
          <w:tcPr>
            <w:tcW w:w="118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(5,138)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b w:val="1"/>
                <w:bCs w:val="1"/>
                <w:color w:val="auto"/>
              </w:rPr>
              <w:t>Balance — March 2, 2021 (Audited)</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5,750,000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79"/>
              </w:rPr>
              <w:t>575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24,425</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(5,138)</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b w:val="1"/>
                <w:bCs w:val="1"/>
                <w:color w:val="auto"/>
              </w:rPr>
              <w:t>Balance — March 31, 2021 (Unaudited)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5,750,000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575</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24,425</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(5,182</w:t>
            </w:r>
          </w:p>
        </w:tc>
        <w:tc>
          <w:tcPr>
            <w:tcW w:w="500" w:type="dxa"/>
            <w:vAlign w:val="bottom"/>
          </w:tcPr>
          <w:p>
            <w:pPr>
              <w:jc w:val="right"/>
              <w:ind w:right="36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80" w:hanging="424"/>
        <w:spacing w:after="0" w:line="277"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an aggregate of up to 750,000 Class B ordinary shares that are subject to forfeiture depending on the extent to which the underwriter’s over-allotment option is exercised (see Note 5).</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FOR THE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THE</w:t>
            </w:r>
          </w:p>
        </w:tc>
      </w:tr>
      <w:tr>
        <w:trPr>
          <w:trHeight w:val="148"/>
        </w:trPr>
        <w:tc>
          <w:tcPr>
            <w:tcW w:w="7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PERIOD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PERIOD</w:t>
            </w:r>
          </w:p>
        </w:tc>
      </w:tr>
      <w:tr>
        <w:trPr>
          <w:trHeight w:val="149"/>
        </w:trPr>
        <w:tc>
          <w:tcPr>
            <w:tcW w:w="7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FROM</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FROM</w:t>
            </w:r>
          </w:p>
        </w:tc>
      </w:tr>
      <w:tr>
        <w:trPr>
          <w:trHeight w:val="148"/>
        </w:trPr>
        <w:tc>
          <w:tcPr>
            <w:tcW w:w="7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25,</w:t>
            </w:r>
          </w:p>
        </w:tc>
        <w:tc>
          <w:tcPr>
            <w:tcW w:w="38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FEBRUARY 25,</w:t>
            </w:r>
          </w:p>
        </w:tc>
      </w:tr>
      <w:tr>
        <w:trPr>
          <w:trHeight w:val="148"/>
        </w:trPr>
        <w:tc>
          <w:tcPr>
            <w:tcW w:w="7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2021</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r>
      <w:tr>
        <w:trPr>
          <w:trHeight w:val="148"/>
        </w:trPr>
        <w:tc>
          <w:tcPr>
            <w:tcW w:w="7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rPr>
              <w:t>(INCEPTION)</w:t>
            </w:r>
          </w:p>
        </w:tc>
        <w:tc>
          <w:tcPr>
            <w:tcW w:w="38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(INCEPTION)</w:t>
            </w:r>
          </w:p>
        </w:tc>
      </w:tr>
      <w:tr>
        <w:trPr>
          <w:trHeight w:val="148"/>
        </w:trPr>
        <w:tc>
          <w:tcPr>
            <w:tcW w:w="7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THROUGH</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THROUGH</w:t>
            </w:r>
          </w:p>
        </w:tc>
      </w:tr>
      <w:tr>
        <w:trPr>
          <w:trHeight w:val="148"/>
        </w:trPr>
        <w:tc>
          <w:tcPr>
            <w:tcW w:w="7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MARCH 2,</w:t>
            </w:r>
          </w:p>
        </w:tc>
      </w:tr>
      <w:tr>
        <w:trPr>
          <w:trHeight w:val="149"/>
        </w:trPr>
        <w:tc>
          <w:tcPr>
            <w:tcW w:w="7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2021</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r>
      <w:tr>
        <w:trPr>
          <w:trHeight w:val="171"/>
        </w:trPr>
        <w:tc>
          <w:tcPr>
            <w:tcW w:w="7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(Unaudited)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(Audited)</w:t>
            </w: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(5,182)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(5,138)</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Formation costs paid by Sponsor in exchange for issuance of Class B ordinary 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(138)</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138</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 (inception)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r>
      <w:tr>
        <w:trPr>
          <w:trHeight w:val="20"/>
        </w:trPr>
        <w:tc>
          <w:tcPr>
            <w:tcW w:w="7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9"/>
              </w:rPr>
              <w:t>Deferred offering costs paid by Sponsor in exchange for issuance of Class B ordinary shares</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r>
      <w:tr>
        <w:trPr>
          <w:trHeight w:val="20"/>
        </w:trPr>
        <w:tc>
          <w:tcPr>
            <w:tcW w:w="7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Organization and Plan of Business Operations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Social Capital Suvretta Holdings Corp. III (the “Company”) is a newly incorporated blank check company incorporated as a Cayman Islands exempted company on February 25, 2021. The Company was incorporated for the purpose of effecting a merger, share exchange, asset acquisition, share purchase, reorganization or similar business combination with one or more businesses (a “Business Combination”).</w:t>
      </w:r>
    </w:p>
    <w:p>
      <w:pPr>
        <w:spacing w:after="0" w:line="16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Company has not selected any specific Business Combination target and the Company has not, nor has anyone on its behalf, initiated any substantive discussions, directly or indirectly, with any Business Combination target. While the Company may pursue a Business Combination target in any industry, subsector therein or geographic location, the Company intends to focus its search for a target business operating in the biotechnology industry and within the organ space subsector of such industry. The Company is an early stage and emerging growth company and, as such, the Company is subject to all of the risks associated with early stage and emerging growth companies.</w:t>
      </w:r>
    </w:p>
    <w:p>
      <w:pPr>
        <w:spacing w:after="0" w:line="17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As of March 31, 2021, the Company had not commenced any operations. All activity for the period from February 25, 2021 (inception) through March 31, 2021 relates to the Company’s formation and the proposed initial public offering described below (the “Proposed Public Offering”).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88"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20,000,000 Class A ordinary shares (the “Public Shares”) (or 23,000,000 Public Shares if the underwriter’s over-allotment option is exercised in full) at a price of $10.00 per Public Share, which is discussed in Note 3, and the sale of 600,000 private placement shares (the “Private Placement Shares”) at a price of $10.00 per Private Placement Share in a private placement to the Company’s sponsor, SCS Sponsor III LLC, a Cayman Islands limited liability company (the “Sponsor”), that will close simultaneously with the Proposed Public Offering.</w:t>
      </w:r>
    </w:p>
    <w:p>
      <w:pPr>
        <w:spacing w:after="0" w:line="176"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Placement Shares, although substantially all of the net proceeds are intended to be applied generally toward consummating a Business Combination. The Company must complete one or more Business Combinations having an aggregate fair market value of at least 80% of the value of the assets held in the Trust Account (as defined below) (excluding any deferred underwriting commissions and taxes payable on the income earned on the Trust Account) at the time of the Company signing a definitive agreement in connection with the Business Combination. However, the Company will only complete a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complete a Business Combination successfully.</w:t>
      </w:r>
    </w:p>
    <w:p>
      <w:pPr>
        <w:spacing w:after="0" w:line="181" w:lineRule="exact"/>
        <w:rPr>
          <w:sz w:val="20"/>
          <w:szCs w:val="20"/>
          <w:color w:val="auto"/>
        </w:rPr>
      </w:pPr>
    </w:p>
    <w:p>
      <w:pPr>
        <w:jc w:val="both"/>
        <w:ind w:left="120" w:right="260" w:firstLine="440"/>
        <w:spacing w:after="0" w:line="255" w:lineRule="auto"/>
        <w:rPr>
          <w:sz w:val="20"/>
          <w:szCs w:val="20"/>
          <w:color w:val="auto"/>
        </w:rPr>
      </w:pPr>
      <w:r>
        <w:rPr>
          <w:rFonts w:ascii="Arial" w:cs="Arial" w:eastAsia="Arial" w:hAnsi="Arial"/>
          <w:sz w:val="18"/>
          <w:szCs w:val="18"/>
          <w:color w:val="auto"/>
        </w:rPr>
        <w:t>Upon the closing of the Proposed Public Offering, management has agreed that $10.00 per Public Share sold in the Proposed Public Offering, including proceeds of the sale of the Private Placement Shares, will be held in a trust account (the “Trust Account”), located in the United States and invested only in U.S. government treasury bills with a maturity of 185 days or less or in money market funds investing solely in U.S. Treasuries and meeting certain conditions under Rule 2a-7 under the Investment Company Act. Except with respect to interest earned on the funds held in the Trust Account that may be released to the Company to pay its taxes, if any, the funds held in the Trust Account will not be released from the Trust Account until the earliest of: (a)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completion of a Business Combination; (b) the redemption of any Public Shares properly submitted in connection with a shareholder vote to amend the Company’s Amended and Restated Memorandum and Articles of Association (i) to modify the substance or timing of the Company’s obligation to allow redemption in connection with the Business Combination or to redeem 100% of the Public Shares if the Company does not complete a Business Combination within the Combination Period (as defined below) or (ii) with respect to any other material provisions relating to shareholders’ rights or pre-Business Combination activity; and (c) the redemption of the Public Shares if the Company has not completed a Business Combination within the Combination Period or during any applicable extension period. The proceeds deposited in the Trust Account could become subject to the claims of the Company’s creditors, if any, which could have priority over the claims of the holders of the Public Shares (the “Public Shareholders”).</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Company will provide the Public Shareholders with the opportunity to redeem all or a portion of their Public Shares upon the completion of the Business Combination, either (a) in connection with a general meeting called to approve the Business Combination or (b) by means of a tender offer. The decision as to whether the Company will seek shareholder approval of a Business Combination or conduct a tender offer will be made by the Company, solely in its discretion. The Public Shareholders will be entitled to redeem all or a portion of their Public Shares at a per-share price, payable in cash, equal to the aggregate amount then on deposit in the Trust Account calculated as of two business days prior to the consummation of the Business Combination, including interest (which interest shall be net of taxes payable), divided by the number of then issued and outstanding Public Shares, subject to the limitations described below whereby the Company’s net tangible assets will be maintained at a minimum of $5,000,001 following such redemptions, and any limitations (including, but not limited to, cash requirements) pursuant to the terms of the Business Combination. The amount in the Trust Account is initially anticipated to be $10.00 per Public Share. The Public Shares subject to redemption will be recorded at redemption value and classified as temporary equity upon the completion of the Proposed Public Offering, in accordance with the Financial Accounting Standards Board’s (“FASB”) Accounting Standards Codification (“ASC”) Topic 480 “Distinguishing Liabilities from Equity.”</w:t>
      </w:r>
    </w:p>
    <w:p>
      <w:pPr>
        <w:spacing w:after="0" w:line="17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accordance with the Company’s Amended and Restated Memorandum and Articles of Association, in no event will the Company redeem the Public Shares in an amount that would cause the Company’s net tangible assets to be less than $5,000,001 following such redemptions. Redemptions of the Public Shares may also be subject to a higher net tangible asset test or cash requirement pursuant to an agreement relating to the Business Combination.</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a shareholder vote is not required in connection with a Business Combination and the Company does not decide to hold a shareholder vote for business or other reasons, the Company will, pursuant to its Amended and Restated Memorandum and Articles of Association, conduct the redemptions pursuant to the tender offer rules of the Securities and Exchange Commission (the “SEC”), and file tender offer documents with the SEC prior to completing a Business Combination. If, however, shareholder approval of the transaction is required by applicable law or stock exchange listing requirement, or the Company decides to obtain shareholder approval for business or other reasons, the Company will conduct the redemptions in conjunction with a proxy solicitation pursuant to the proxy rules and not pursuant to the tender offer rules and will file proxy materials with the SEC. If the Company seeks shareholder approval in connection with a Business Combination, the Company will complete a Business Combination only if the Company receives an ordinary resolution under Cayman Islands law, which requires the affirmative vote of holders of a majority of ordinary shares who attend and vote at a general meeting of the Company. The Public Shareholders may elect to redeem their Public Shares without voting and, if they do vote, irrespective of whether they vote for or against a proposed Business Combination.</w:t>
      </w:r>
    </w:p>
    <w:p>
      <w:pPr>
        <w:spacing w:after="0" w:line="18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Notwithstanding the foregoing redemption rights, if the Company seeks shareholder approval of the Business Combination and the Company does not conduct redemptions pursuant to the tender offer rules,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“Exchange Act”)), will be restricted from redeeming its Public Shares with respect to more than an aggregate of 15% of the Public Shares sold in the Proposed Public Offering without the Company’s prior written consent.</w:t>
      </w:r>
    </w:p>
    <w:p>
      <w:pPr>
        <w:spacing w:after="0" w:line="170"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Sponsor and any other holders of Founder Shares (as defined in Note 5) and Private Placement Shares prior to the Proposed Public Offering (collectively, the “Initial Shareholders”) and the Company’s directors and officers have agreed to waive: (a) their redemption rights with respect to any Founder Shares, Private Placement Shares and Public Shares held by them, as applicable, in connection with the completion of a Business Combination;</w:t>
      </w:r>
    </w:p>
    <w:p>
      <w:pPr>
        <w:spacing w:after="0" w:line="2" w:lineRule="exact"/>
        <w:rPr>
          <w:sz w:val="20"/>
          <w:szCs w:val="20"/>
          <w:color w:val="auto"/>
        </w:rPr>
      </w:pPr>
    </w:p>
    <w:p>
      <w:pPr>
        <w:ind w:left="120" w:right="40" w:hanging="4"/>
        <w:spacing w:after="0" w:line="268" w:lineRule="auto"/>
        <w:tabs>
          <w:tab w:leader="none" w:pos="37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their redemption rights with respect to any Founder Shares, Private Placement Shares and Public Shares held by them in connection with a shareholder vote to amend the Company’s Amended and Restated Memorandum and Articles of Association (i) to modify the substance or timing of the Company’s obligation to allow redemption in connection with the Business Combination or to redeem 100% of the Public Shares if the Company does not complete a Business Combination within the Combination Period or (ii) with respect to any other material provisions relating to shareholders’ rights or pre-Business Combination activity; and (c) their rights to liquidating distributions from the Trust Account with respect to any Founder Shares and Private Placement Shares they hold if the Company fails to complete a Business Combination within the Combination Period or during any applicable extension period (although such persons will be entitled to liquidating distributions from the Trust Account with respect to any Public Shares they hold if the Company fails to complete a Business Combination within the prescribed time frame). If the Company submits the Business Combination to the Public Shareholders for a vote, the Initial Shareholders and the Company’s directors and officers have also agreed to vote any Founder Shares and Public Shares held by them in favor of the Business Combination.</w:t>
      </w:r>
    </w:p>
    <w:p>
      <w:pPr>
        <w:spacing w:after="0" w:line="17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will have 24 months from the closing of the Proposed Public Offering to complete a Business Combination (the “Combination Period”). However, if the Company has not completed a Business Combination within such 24-month period or during any extended time that the Company has to complete a Business Combination beyond 24 months as a result of a shareholder vote to amend its Amended and Restated Memorandum and Articles of Association, the Company will: (a) cease all operations except for the purpose of winding up; (b)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the Public Shareholders’ rights as shareholders (including the right to receive further liquidating distributions, if any); and (c) as promptly as reasonably possible following such redemption, subject to the approval of the Company’s remaining shareholders and its board of directors, liquidate and dissolve, subject in each case to the Company’s obligations under Cayman Islands law to provide for claims of creditors and the requirements of other applicable law.</w:t>
      </w:r>
    </w:p>
    <w:p>
      <w:pPr>
        <w:spacing w:after="0" w:line="16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that executed a waiver of any and all rights to seek access to the Trust Account and except as to any claims under the Company’s indemnity of the underwriter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has not independently verified whether the Sponsor has sufficient funds to satisfy its indemnity obligations and believes that the Sponsor’s only assets are securities of the Company and, therefore, the Sponsor may not be able to satisfy those obligations. The Company has not asked the Sponsor to reserve for such obligations. None of the Company’s directors or officers will indemnify the Company for claims by third parties, including, without limitation, claims by vendors and prospective target businesses.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 Consideration</w:t>
      </w:r>
    </w:p>
    <w:p>
      <w:pPr>
        <w:spacing w:after="0" w:line="121"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At March 31, 2021 (unaudited) and March 2, 2021 (audited), the Company had no cash and a working capital deficit of $5,299 and $5,138, respectively. The Company has incurred and expects to continue to incur significant costs in pursuit of its financing and acquisition plans. These conditions raise substantial doubt about the Company’s ability to continue as a going concern for the next twelve months from the issuance of these financial statements. Management plans to address this uncertainty through a Proposed Public Offering as discussed in Note 3. There is no assurance that the Company’s plans to raise capital or to consummate a Business Combination will be successful within the Combination Period or at all. The financial statements do not include any adjustments that might result from the outcome of this uncertainty.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Management is currently evaluating the impact of the Covid-19 pandemic and has concluded that while it is reasonably possible that the pandemic could have a negative effect on the Company’s business, financial position, results of operations and prospects, including with respect to the close of the Proposed Public Offering and/or the search for a target company, the specific impact is not readily determinable as of the date of these financial statements. The financial statements do not include any adjustments that might result from the outcome of this uncertainty.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(“GAAP”) and pursuant to the accounting and disclosure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92"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or cash equivalents as of March 31, 2021 and March 2,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Deferred offering costs consist of legal, accounting and other expenses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incurred, will be charged to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 accounts for income taxes under FASB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Company’s management has determined that the Cayman Islands is the Company’s major tax jurisdiction. The Company recognizes accrued interest and penalties related to unrecognized tax benefits as income tax expense. There were no unrecognized tax benefits and no amounts accrued for interest and penalties as of March 31, 2021 and March 2, 2021. The Company’s management does not expect that the total amount of unrecognized tax benefits will materially change over the next twelve months.</w:t>
      </w:r>
    </w:p>
    <w:p>
      <w:pPr>
        <w:spacing w:after="0" w:line="17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is considered a Cayman Islands exempted company and is presently not subject to income taxes or income tax filing requirements in the Cayman Islands or the United States. As such, the Company’s tax provision was zero for the period presented.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Net loss per share is computed by dividing net loss by the weighted average number of ordinary shares outstanding during the period, excluding ordinary shares subject to forfeiture. Weighted average shares were reduced for the effect of an aggregate of 750,000 Class B ordinary shares that are subject to forfeiture depending on the extent to which the underwriter’s over-allotment option is exercised (see Note 5). At March 31, 2021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March 2, 2021, the Company did not have any dilutive securities or other contracts that could, potentially, be exercised for or converted into ordinary shares and then share in the earnings of the Company. As a result, diluted loss per share is the same as basic loss per share for the period presented.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limit of $250,000. The Company has not experienced losses on these accounts and management believes the Company is not exposed to significant risks on such accounts.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left="120" w:right="900" w:firstLine="4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FASB ASC Topic 820, “Fair Value Measurement,” approximates the carrying amounts represented in the accompanying balance sheet, primarily due to their short-term nature.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Proposed Public Offering</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the Proposed Public Offering, the Company will offer for sale 20,000,000 Public Shares (or 23,000,000 Public Shares if the underwriter’s over-allotment option is exercised in full) at a price of $10.00 per Public Share. Unlike other initial public offerings of special purpose acquisition companies, investors in the Proposed Public Offering will not receive any warrants (which would typically become exercisable following completion of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Private Placement</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Sponsor has committed to purchase an aggregate of 600,000 Private Placement Shares at a price of $10.00 per Private Placement Share, for an aggregate price of $6,000,000 in a private placement that will close simultaneously with the closing of the Proposed Public Offering. Each Private Placement Share is identical to the Class A ordinary share sold in the Public Offering. A portion of the proceeds from the sale of the Private Placement Shares will be added to the net proceeds from the Proposed Public Offering held in the Trust Account. If the Company does not complete a Business Combination within the Combination Period or during any applicable extension period, the proceeds from the sale of the Private Placement Shares held in the Trust Account will be used to fund the redemption of the Public Shares (subject to the requirements of applicable law) and the Private Placement Shares will expire worthless.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On March 2, 2021, the Sponsor paid $25,000 to cover certain offering and formation costs of the Company in consideration for which the Sponsor received 5,750,000 Class B ordinary shares (the “Founder Shares”). The Founder Shares include an aggregate of up to 750,000 shares that are subject to forfeiture depending on the extent to which the underwriter’s over-allotment option is exercised.</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Initial Shareholders and the Company’s directors and officers have agreed, subject to limited exceptions, not to transfer, assign or sell any of their Founder Shares until the earlier of: (A) one year after the completion of a Business Combination and (B) subsequent to a Business Combination, (x) if the last reported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sale price of the Class A ordinary shares equals or exceeds $12.00 per share (as adjusted for share sub-divisions, share dividends, rights issuances, consolidations, reorganizations, recapitalizations and other similar transactions)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Public Shareholders having the right to exchange their Class A ordinary shares for cash, securities or other property.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On March 2, 2021, the Sponsor issued an unsecured promissory note to the Company (the “Promissory Note”), pursuant to which the Company may borrow up to an aggregate principal amount of $300,000, of which $255 and $138 was outstanding as of March 31, 2021 and March 2, 2021, respectively. The Promissory Note is non-interest bearing and payable on the earlier of December 31, 2021 and the completion of the Proposed Public Offering.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Company will enter into an agreement pursuant to which it will pay an affiliate of the Sponsor up to $10,000 per month for office space, administrative and support services. Upon completion of a Business Combination or its liquidation, the Company will cease paying these monthly fees.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it may repay such loaned amounts out of the proceeds of the Trust Account. In the event that the Business Combination does not close, the Company may use a portion of the working capital held outside the Trust Account to repay such loaned amounts but no proceeds from the Trust Account would be used to repay such loaned amounts. Up to $1,500,000 of such Working Capital Loans may be convertible into shares at a price of $10.00 per share at the option of the lender. Such shares would be identical to the Private Placement Shares.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holders of the Founder Shares, Private Placement Shares and any Private Placement Shares that may be issued on conversion of Working Capital Loans (and any Class A ordinary shares issuable upon the conversion of the Founder Shares) will be entitled to registration rights pursuant to a registration rights agreement to be signed prior to or on the effective date of the Proposed Public Offering requiring the Company to register such securities for resale (in the case of the Founder Shares, only after conversion to the Class A ordinary shares).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termination of the applicable lock-up period. The Company will bear the expenses incurred in connection with the filing of any such registration statements.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will grant the underwriter a 45-day option to purchase up to 3,000,000 additional Public Shares to cover over-allotments at the Proposed Public Offering price, less the underwriting discounts and commissions.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underwriter will be entitled to a cash underwriting discount of $0.20 per Public Share sold in the base offering, or $4,000,000 in the aggregate, payable upon the closing of the Proposed Public Offering. In addition, the underwriter will be entitled to a deferred underwriting commission of $0.35 per Public Share sold in the base offering, or $7,000,000 in the aggregate. The deferred fee will become payable to the underwriters from the amounts held in the Trust Account solely in the event that the Company completes a Business Combination, subject to the terms of the underwriting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Shareholder’s Equity</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will be authorized to fix the voting rights, if any, designations, powers, preferences, the relative, participating, optional or other special rights and any qualifications, limitations and restrictions thereof, applicable to the shares of each series. The Company’s board of directors will be able to, without shareholder approval, issue preference shares with voting and other rights that could adversely affect the voting power and other rights of the holders of the Company’s ordinary shares and could have anti-takeover effects. At March 31, 2021 and March 2, 2021, there were no preference shares issued or outstanding.</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500,000,000 Class A ordinary shares, with a par value of $0.0001 per share.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 and March 2, 2021, there were no Class A ordinary shares issued or outstanding.</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50,000,000 Class B ordinary shares, with a par value of $0.0001 per share.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 and March 2, 2021, there were 5,750,000 Class B ordinary shares issued and outstanding, up to 750,000 of which are subject to forfeiture depending on the extent to which the underwriter’s over-allotment option is exercised.</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Holders of record of Class A ordinary shares and Class B ordinary shares are entitled to one vote for each share held on all matters to be voted on by shareholders and vote together as a single class, except as required by law; provided that prior to a Business Combination, holders of Class B ordinary shares will have the right to appoint all of the Company’s directors and remove members of its board of directors for any reason, and holders of Class A ordinary shares will not be entitled to vote on the appointment of directors during such time.</w:t>
      </w:r>
    </w:p>
    <w:p>
      <w:pPr>
        <w:spacing w:after="0" w:line="17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Business Combination, or earlier at the option of the holder, on a one-for-one basis, subject to adjustment for share sub-divisions, share dividends, rights issuances, consolidations, reorganizations, recapitalizations and the like, and subject to further adjustment. In the event that additional (in excess of the amounts issued in the Proposed Public Offering) Class A ordinary shares, or equity-linked securities, are issued or deemed issued in connection with the closing of the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20% of the sum of the total number of Class A ordinary shares outstanding after such conversion (after giving effect to any redemptions of Class A ordinary shares by Public Shareholders, and excluding the Private Placement Shares), including any Class A ordinary shares issued or deemed issued, or issuable upon the conversion or exercise of any equity-linked securities or rights issued or deemed issued, by the Company in connection with the Business Combination, excluding any Class A ordinary shares or equity-linked securities exercisable for or convertible into Class A ordinary shares issued, or to be issued, to any seller in the Business Combination and any private placement shares issued to the Sponsor or its affiliates upon conversion of Working Capital Loans; provided that such conversion of Class B ordinary shares will never occur on a less than one-for-one basis.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Private Placement Shares </w:t>
      </w:r>
      <w:r>
        <w:rPr>
          <w:rFonts w:ascii="Arial" w:cs="Arial" w:eastAsia="Arial" w:hAnsi="Arial"/>
          <w:sz w:val="18"/>
          <w:szCs w:val="18"/>
          <w:color w:val="auto"/>
        </w:rPr>
        <w:t>— The Private Placement Shares will not be transferable, assignable, or salable until 30 days after the completion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 Business Combination (except, among other limited exceptions, to the Company’s directors and officers and other persons or entities affiliated with the Sponsor). Holders of the Private Placement Shares are entitled to certain registration rights. If the Company does not complete its initial Business Combination within 24 months from the closing of the Public Offering or during any Extension Period, the proceeds from the sale of the Private Placement Shares held in the Trust Account will be used to fund the redemption of the Public Share (subject to the requirements of applicable law) and the Private Placement Shares will be worthless.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Sponsor has committed to purchase an aggregate of 600,000 Private Placement Shares at a price of $10.00 per Private Placement Share, for an aggregate price of $6,000,000 in a private placement that will close simultaneously with the closing of the Proposed Public Offering. The Company evaluated this commitment and other subsequent events and transactions that occurred after March 2, 2021, the audited balance sheet date, through the date that these financial statements were issued. Based upon this review, the Company did not identify any subsequent events that would have required adjustment or disclosure in the financial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Arial" w:cs="Arial" w:eastAsia="Arial" w:hAnsi="Arial"/>
          <w:sz w:val="29"/>
          <w:szCs w:val="29"/>
          <w:b w:val="1"/>
          <w:bCs w:val="1"/>
          <w:color w:val="auto"/>
        </w:rPr>
        <w:t>20,000,000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720"/>
        <w:spacing w:after="0"/>
        <w:rPr>
          <w:sz w:val="20"/>
          <w:szCs w:val="20"/>
          <w:color w:val="auto"/>
        </w:rPr>
      </w:pPr>
      <w:r>
        <w:rPr>
          <w:rFonts w:ascii="Arial" w:cs="Arial" w:eastAsia="Arial" w:hAnsi="Arial"/>
          <w:sz w:val="43"/>
          <w:szCs w:val="43"/>
          <w:b w:val="1"/>
          <w:bCs w:val="1"/>
          <w:color w:val="auto"/>
        </w:rPr>
        <w:t>Social Capital Suvretta Holdings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1316355</wp:posOffset>
            </wp:positionV>
            <wp:extent cx="1474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PRELIMINARY PROSPECTUS</w:t>
      </w:r>
    </w:p>
    <w:p>
      <w:pPr>
        <w:spacing w:after="0" w:line="32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411480</wp:posOffset>
            </wp:positionV>
            <wp:extent cx="1474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20"/>
        <w:spacing w:after="0"/>
        <w:rPr>
          <w:sz w:val="20"/>
          <w:szCs w:val="20"/>
          <w:color w:val="auto"/>
        </w:rPr>
      </w:pPr>
      <w:r>
        <w:rPr>
          <w:rFonts w:ascii="Arial" w:cs="Arial" w:eastAsia="Arial" w:hAnsi="Arial"/>
          <w:sz w:val="32"/>
          <w:szCs w:val="32"/>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Until , 2021,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400050</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459740</wp:posOffset>
            </wp:positionV>
            <wp:extent cx="699516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600"/>
          </w:cols>
          <w:pgMar w:left="320" w:top="459" w:right="9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SEC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25,093</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FINRA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Directors and officers insurance premiums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450,000</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offering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1,000,000</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 for indemnification of our directors and officers to the maximum extent permitted by law, including for any liability incurred in their capacities as such, except through their own actual fraud, willful default or willful neglect.</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will enter into agreements with our directors and officers to provide contractual indemnification in addition to the indemnification provided for in our amended and restated memorandum and articles of association. We may purchase a policy of directors’ and officers’ liability insurance that insures our directors and officers against the cost of defense, settlement or payment of a judgment in some circumstances and insures us against our obligations to indemnify our directors and officers.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directors and officers.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On March 2, 2021, SCS Sponsor III LLC, our sponsor, subscribed for an aggregate of 5,750,000 founder shares, for an aggregate offering price of $25,000, or approximately $0.004 per share. The number of founder shares issued was determined based on the expectation that the founder shares would represent 20% of the issued and outstanding ordinary shares upon completion of this offering (excluding the private placement shares). Such securities were issued in connection with our incorporation pursuant to the exemption from registration contained in Section 4(a)(2) of the Securities Act. Our sponsor is an accredited investor for purposes of Rule 501 of Regulation 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our sponsor has committed, pursuant to a written agreement, to purchase from us an aggregate of 600,000 private placement shares at $10.00 per share (for an aggregate purchase price of $6,000,000). This purchase will take place on a private placement basis concurrently with the completion of our initial public offering. This issuance will be made pursuant to the exemption from registration contained in Section 4(a)(2) of the Securities Act.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200" w:type="dxa"/>
            <w:vAlign w:val="bottom"/>
          </w:tcPr>
          <w:p>
            <w:pPr>
              <w:spacing w:after="0"/>
              <w:rPr>
                <w:sz w:val="20"/>
                <w:szCs w:val="20"/>
                <w:color w:val="auto"/>
              </w:rPr>
            </w:pPr>
          </w:p>
        </w:tc>
        <w:tc>
          <w:tcPr>
            <w:tcW w:w="10020" w:type="dxa"/>
            <w:vAlign w:val="bottom"/>
            <w:gridSpan w:val="16"/>
          </w:tcPr>
          <w:p>
            <w:pPr>
              <w:ind w:left="8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338"/>
        </w:trPr>
        <w:tc>
          <w:tcPr>
            <w:tcW w:w="800" w:type="dxa"/>
            <w:vAlign w:val="bottom"/>
            <w:gridSpan w:val="2"/>
          </w:tcPr>
          <w:p>
            <w:pPr>
              <w:ind w:left="420"/>
              <w:spacing w:after="0"/>
              <w:rPr>
                <w:sz w:val="20"/>
                <w:szCs w:val="20"/>
                <w:color w:val="auto"/>
              </w:rPr>
            </w:pPr>
            <w:r>
              <w:rPr>
                <w:rFonts w:ascii="Arial" w:cs="Arial" w:eastAsia="Arial" w:hAnsi="Arial"/>
                <w:sz w:val="18"/>
                <w:szCs w:val="18"/>
                <w:color w:val="auto"/>
              </w:rPr>
              <w:t>(a)</w:t>
            </w:r>
          </w:p>
        </w:tc>
        <w:tc>
          <w:tcPr>
            <w:tcW w:w="10220" w:type="dxa"/>
            <w:vAlign w:val="bottom"/>
            <w:gridSpan w:val="17"/>
          </w:tcPr>
          <w:p>
            <w:pPr>
              <w:ind w:left="160"/>
              <w:spacing w:after="0"/>
              <w:rPr>
                <w:sz w:val="20"/>
                <w:szCs w:val="20"/>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exhibits are being filed herewith:</w:t>
            </w:r>
          </w:p>
        </w:tc>
      </w:tr>
      <w:tr>
        <w:trPr>
          <w:trHeight w:val="398"/>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10"/>
          </w:tcPr>
          <w:p>
            <w:pPr>
              <w:ind w:left="1300"/>
              <w:spacing w:after="0"/>
              <w:rPr>
                <w:sz w:val="20"/>
                <w:szCs w:val="20"/>
                <w:color w:val="auto"/>
              </w:rPr>
            </w:pPr>
            <w:r>
              <w:rPr>
                <w:rFonts w:ascii="Arial" w:cs="Arial" w:eastAsia="Arial" w:hAnsi="Arial"/>
                <w:sz w:val="14"/>
                <w:szCs w:val="14"/>
                <w:b w:val="1"/>
                <w:bCs w:val="1"/>
                <w:color w:val="auto"/>
              </w:rPr>
              <w:t>Description</w:t>
            </w:r>
          </w:p>
        </w:tc>
      </w:tr>
      <w:tr>
        <w:trPr>
          <w:trHeight w:val="311"/>
        </w:trPr>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Form of Underwriting Agreement</w:t>
            </w:r>
          </w:p>
        </w:tc>
      </w:tr>
      <w:tr>
        <w:trPr>
          <w:trHeight w:val="283"/>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Memorandum and Articles of Association</w:t>
              </w:r>
            </w:hyperlink>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Form of Amended and Restated Memorandum and Articles of Association</w:t>
              </w:r>
            </w:hyperlink>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63">
              <w:r>
                <w:rPr>
                  <w:rFonts w:ascii="Arial" w:cs="Arial" w:eastAsia="Arial" w:hAnsi="Arial"/>
                  <w:sz w:val="18"/>
                  <w:szCs w:val="18"/>
                  <w:color w:val="0000EE"/>
                  <w:w w:val="89"/>
                </w:rPr>
                <w:t>Specimen Class A Ordinary Share Certificate</w:t>
              </w:r>
            </w:hyperlink>
          </w:p>
        </w:tc>
        <w:tc>
          <w:tcPr>
            <w:tcW w:w="2100" w:type="dxa"/>
            <w:vAlign w:val="bottom"/>
            <w:tcBorders>
              <w:top w:val="single" w:sz="8" w:color="0000EE"/>
            </w:tcBorders>
            <w:gridSpan w:val="2"/>
          </w:tcPr>
          <w:p>
            <w:pPr>
              <w:spacing w:after="0"/>
              <w:rPr>
                <w:sz w:val="24"/>
                <w:szCs w:val="24"/>
                <w:color w:val="auto"/>
              </w:rPr>
            </w:pPr>
          </w:p>
        </w:tc>
        <w:tc>
          <w:tcPr>
            <w:tcW w:w="4660" w:type="dxa"/>
            <w:vAlign w:val="bottom"/>
            <w:gridSpan w:val="9"/>
          </w:tcPr>
          <w:p>
            <w:pPr>
              <w:spacing w:after="0"/>
              <w:rPr>
                <w:sz w:val="24"/>
                <w:szCs w:val="24"/>
                <w:color w:val="auto"/>
              </w:rPr>
            </w:pPr>
          </w:p>
        </w:tc>
      </w:tr>
      <w:tr>
        <w:trPr>
          <w:trHeight w:val="344"/>
        </w:trPr>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Opinion of Maples and Calder (Hong Kong) LLP</w:t>
            </w:r>
          </w:p>
        </w:tc>
      </w:tr>
      <w:tr>
        <w:trPr>
          <w:trHeight w:val="283"/>
        </w:trPr>
        <w:tc>
          <w:tcPr>
            <w:tcW w:w="460" w:type="dxa"/>
            <w:vAlign w:val="bottom"/>
          </w:tcPr>
          <w:p>
            <w:pPr>
              <w:jc w:val="right"/>
              <w:spacing w:after="0"/>
              <w:rPr>
                <w:sz w:val="20"/>
                <w:szCs w:val="20"/>
                <w:color w:val="auto"/>
              </w:rPr>
            </w:pPr>
            <w:r>
              <w:rPr>
                <w:rFonts w:ascii="Arial" w:cs="Arial" w:eastAsia="Arial" w:hAnsi="Arial"/>
                <w:sz w:val="18"/>
                <w:szCs w:val="18"/>
                <w:color w:val="auto"/>
                <w:w w:val="90"/>
              </w:rPr>
              <w:t>10.1*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rPr>
            </w:pPr>
            <w:hyperlink w:anchor="page266">
              <w:r>
                <w:rPr>
                  <w:rFonts w:ascii="Arial" w:cs="Arial" w:eastAsia="Arial" w:hAnsi="Arial"/>
                  <w:sz w:val="18"/>
                  <w:szCs w:val="18"/>
                  <w:color w:val="0000EE"/>
                </w:rPr>
                <w:t>Amended and Restated Promissory Note, dated May 24, 2021, issued to SCS Sponsor III LLC</w:t>
              </w:r>
            </w:hyperlink>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rPr>
            </w:pPr>
            <w:hyperlink w:anchor="page270">
              <w:r>
                <w:rPr>
                  <w:rFonts w:ascii="Arial" w:cs="Arial" w:eastAsia="Arial" w:hAnsi="Arial"/>
                  <w:sz w:val="18"/>
                  <w:szCs w:val="18"/>
                  <w:color w:val="0000EE"/>
                </w:rPr>
                <w:t>Form of Letter Agreement among the Registrant and its directors and officers and SCS Sponsor III LLC</w:t>
              </w:r>
            </w:hyperlink>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Form of Investment Management Trust Agreement between Continental Stock Transfer &amp; Trust Company and the Registrant</w:t>
              </w:r>
            </w:hyperlink>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0" w:type="dxa"/>
            <w:vAlign w:val="bottom"/>
            <w:tcBorders>
              <w:top w:val="single" w:sz="8" w:color="0000EE"/>
            </w:tcBorders>
            <w:gridSpan w:val="14"/>
          </w:tcPr>
          <w:p>
            <w:pPr>
              <w:spacing w:after="0"/>
              <w:rPr>
                <w:rFonts w:ascii="Arial" w:cs="Arial" w:eastAsia="Arial" w:hAnsi="Arial"/>
                <w:sz w:val="18"/>
                <w:szCs w:val="18"/>
                <w:color w:val="0000EE"/>
              </w:rPr>
            </w:pPr>
            <w:hyperlink w:anchor="page296">
              <w:r>
                <w:rPr>
                  <w:rFonts w:ascii="Arial" w:cs="Arial" w:eastAsia="Arial" w:hAnsi="Arial"/>
                  <w:sz w:val="18"/>
                  <w:szCs w:val="18"/>
                  <w:color w:val="0000EE"/>
                </w:rPr>
                <w:t>Form of Registration Rights Agreement between the Registrant and certain security holders</w:t>
              </w:r>
            </w:hyperlink>
          </w:p>
        </w:tc>
        <w:tc>
          <w:tcPr>
            <w:tcW w:w="1020" w:type="dxa"/>
            <w:vAlign w:val="bottom"/>
            <w:gridSpan w:val="2"/>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10.5*</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12">
              <w:r>
                <w:rPr>
                  <w:rFonts w:ascii="Arial" w:cs="Arial" w:eastAsia="Arial" w:hAnsi="Arial"/>
                  <w:sz w:val="18"/>
                  <w:szCs w:val="18"/>
                  <w:color w:val="0000EE"/>
                  <w:w w:val="90"/>
                </w:rPr>
                <w:t>Amended and Restated Securities Subscription Agreement, dated May 24, 2021, between the Registrant and SCS Sponsor III LLC</w:t>
              </w:r>
            </w:hyperlink>
          </w:p>
        </w:tc>
        <w:tc>
          <w:tcPr>
            <w:tcW w:w="620" w:type="dxa"/>
            <w:vAlign w:val="bottom"/>
          </w:tcPr>
          <w:p>
            <w:pPr>
              <w:spacing w:after="0"/>
              <w:rPr>
                <w:sz w:val="24"/>
                <w:szCs w:val="24"/>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10.6*</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rPr>
            </w:pPr>
            <w:hyperlink w:anchor="page321">
              <w:r>
                <w:rPr>
                  <w:rFonts w:ascii="Arial" w:cs="Arial" w:eastAsia="Arial" w:hAnsi="Arial"/>
                  <w:sz w:val="18"/>
                  <w:szCs w:val="18"/>
                  <w:color w:val="0000EE"/>
                </w:rPr>
                <w:t>Form of Private Placement Shares Purchase Agreement between the Registrant and SCS Sponsor III LLC</w:t>
              </w:r>
            </w:hyperlink>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10.7*</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0" w:type="dxa"/>
            <w:vAlign w:val="bottom"/>
            <w:tcBorders>
              <w:top w:val="single" w:sz="8" w:color="0000EE"/>
            </w:tcBorders>
            <w:gridSpan w:val="13"/>
          </w:tcPr>
          <w:p>
            <w:pPr>
              <w:spacing w:after="0"/>
              <w:rPr>
                <w:rFonts w:ascii="Arial" w:cs="Arial" w:eastAsia="Arial" w:hAnsi="Arial"/>
                <w:sz w:val="18"/>
                <w:szCs w:val="18"/>
                <w:color w:val="0000EE"/>
              </w:rPr>
            </w:pPr>
            <w:hyperlink w:anchor="page329">
              <w:r>
                <w:rPr>
                  <w:rFonts w:ascii="Arial" w:cs="Arial" w:eastAsia="Arial" w:hAnsi="Arial"/>
                  <w:sz w:val="18"/>
                  <w:szCs w:val="18"/>
                  <w:color w:val="0000EE"/>
                </w:rPr>
                <w:t>Form of Indemnity Agreement</w:t>
              </w:r>
            </w:hyperlink>
          </w:p>
        </w:tc>
        <w:tc>
          <w:tcPr>
            <w:tcW w:w="2420" w:type="dxa"/>
            <w:vAlign w:val="bottom"/>
            <w:gridSpan w:val="3"/>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rPr>
            </w:pPr>
            <w:hyperlink w:anchor="page346">
              <w:r>
                <w:rPr>
                  <w:rFonts w:ascii="Arial" w:cs="Arial" w:eastAsia="Arial" w:hAnsi="Arial"/>
                  <w:sz w:val="18"/>
                  <w:szCs w:val="18"/>
                  <w:color w:val="0000EE"/>
                </w:rPr>
                <w:t>Form of Administrative Services Agreement between the Registrant and an affiliate of the Registrant</w:t>
              </w:r>
            </w:hyperlink>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48">
              <w:r>
                <w:rPr>
                  <w:rFonts w:ascii="Arial" w:cs="Arial" w:eastAsia="Arial" w:hAnsi="Arial"/>
                  <w:sz w:val="18"/>
                  <w:szCs w:val="18"/>
                  <w:color w:val="0000EE"/>
                  <w:w w:val="89"/>
                </w:rPr>
                <w:t>Form of Code of Ethics and Business Conduct</w:t>
              </w:r>
            </w:hyperlink>
          </w:p>
        </w:tc>
        <w:tc>
          <w:tcPr>
            <w:tcW w:w="3920" w:type="dxa"/>
            <w:vAlign w:val="bottom"/>
            <w:tcBorders>
              <w:top w:val="single" w:sz="8" w:color="0000EE"/>
            </w:tcBorders>
            <w:gridSpan w:val="5"/>
          </w:tcPr>
          <w:p>
            <w:pPr>
              <w:spacing w:after="0"/>
              <w:rPr>
                <w:sz w:val="24"/>
                <w:szCs w:val="24"/>
                <w:color w:val="auto"/>
              </w:rPr>
            </w:pPr>
          </w:p>
        </w:tc>
        <w:tc>
          <w:tcPr>
            <w:tcW w:w="2760" w:type="dxa"/>
            <w:vAlign w:val="bottom"/>
            <w:gridSpan w:val="5"/>
          </w:tcPr>
          <w:p>
            <w:pPr>
              <w:spacing w:after="0"/>
              <w:rPr>
                <w:sz w:val="24"/>
                <w:szCs w:val="24"/>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bottom w:val="single" w:sz="8" w:color="0000EE"/>
            </w:tcBorders>
          </w:tcPr>
          <w:p>
            <w:pPr>
              <w:spacing w:after="0"/>
              <w:rPr>
                <w:rFonts w:ascii="Arial" w:cs="Arial" w:eastAsia="Arial" w:hAnsi="Arial"/>
                <w:sz w:val="18"/>
                <w:szCs w:val="18"/>
                <w:color w:val="0000EE"/>
                <w:w w:val="91"/>
              </w:rPr>
            </w:pPr>
            <w:hyperlink w:anchor="page358">
              <w:r>
                <w:rPr>
                  <w:rFonts w:ascii="Arial" w:cs="Arial" w:eastAsia="Arial" w:hAnsi="Arial"/>
                  <w:sz w:val="18"/>
                  <w:szCs w:val="18"/>
                  <w:color w:val="0000EE"/>
                  <w:w w:val="91"/>
                </w:rPr>
                <w:t>Consent of Marcum LLP</w:t>
              </w:r>
            </w:hyperlink>
          </w:p>
        </w:tc>
        <w:tc>
          <w:tcPr>
            <w:tcW w:w="8220" w:type="dxa"/>
            <w:vAlign w:val="bottom"/>
            <w:gridSpan w:val="15"/>
          </w:tcPr>
          <w:p>
            <w:pPr>
              <w:spacing w:after="0"/>
              <w:rPr>
                <w:sz w:val="24"/>
                <w:szCs w:val="24"/>
                <w:color w:val="auto"/>
              </w:rPr>
            </w:pPr>
          </w:p>
        </w:tc>
      </w:tr>
      <w:tr>
        <w:trPr>
          <w:trHeight w:val="345"/>
        </w:trPr>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23.2**</w:t>
            </w:r>
          </w:p>
        </w:tc>
        <w:tc>
          <w:tcPr>
            <w:tcW w:w="20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Consent of Maples and Calder (Hong Kong) LLP (included in Exhibit 5.1)</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90">
              <w:r>
                <w:rPr>
                  <w:rFonts w:ascii="Arial" w:cs="Arial" w:eastAsia="Arial" w:hAnsi="Arial"/>
                  <w:sz w:val="18"/>
                  <w:szCs w:val="18"/>
                  <w:color w:val="0000EE"/>
                  <w:w w:val="92"/>
                </w:rPr>
                <w:t>Power of Attorney (included on signature page to the initial filing of this Registration Statement)</w:t>
              </w:r>
            </w:hyperlink>
          </w:p>
        </w:tc>
        <w:tc>
          <w:tcPr>
            <w:tcW w:w="3040" w:type="dxa"/>
            <w:vAlign w:val="bottom"/>
            <w:gridSpan w:val="6"/>
          </w:tcPr>
          <w:p>
            <w:pPr>
              <w:spacing w:after="0"/>
              <w:rPr>
                <w:sz w:val="24"/>
                <w:szCs w:val="24"/>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99.1*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59">
              <w:r>
                <w:rPr>
                  <w:rFonts w:ascii="Arial" w:cs="Arial" w:eastAsia="Arial" w:hAnsi="Arial"/>
                  <w:sz w:val="18"/>
                  <w:szCs w:val="18"/>
                  <w:color w:val="0000EE"/>
                  <w:w w:val="89"/>
                </w:rPr>
                <w:t>Consent of Marc Semigran</w:t>
              </w:r>
            </w:hyperlink>
          </w:p>
        </w:tc>
        <w:tc>
          <w:tcPr>
            <w:tcW w:w="8080" w:type="dxa"/>
            <w:vAlign w:val="bottom"/>
            <w:gridSpan w:val="14"/>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16" w:lineRule="exact"/>
        <w:rPr>
          <w:rFonts w:ascii="Arial" w:cs="Arial" w:eastAsia="Arial" w:hAnsi="Arial"/>
          <w:sz w:val="18"/>
          <w:szCs w:val="18"/>
          <w:color w:val="auto"/>
        </w:rPr>
      </w:pPr>
    </w:p>
    <w:p>
      <w:pPr>
        <w:ind w:left="1080" w:hanging="532"/>
        <w:spacing w:after="0"/>
        <w:tabs>
          <w:tab w:leader="none" w:pos="1080" w:val="left"/>
        </w:tabs>
        <w:numPr>
          <w:ilvl w:val="1"/>
          <w:numId w:val="98"/>
        </w:numPr>
        <w:rPr>
          <w:rFonts w:ascii="Arial" w:cs="Arial" w:eastAsia="Arial" w:hAnsi="Arial"/>
          <w:sz w:val="17"/>
          <w:szCs w:val="17"/>
          <w:color w:val="auto"/>
        </w:rPr>
      </w:pPr>
      <w:r>
        <w:rPr>
          <w:rFonts w:ascii="Arial" w:cs="Arial" w:eastAsia="Arial" w:hAnsi="Arial"/>
          <w:sz w:val="17"/>
          <w:szCs w:val="17"/>
          <w:i w:val="1"/>
          <w:iCs w:val="1"/>
          <w:color w:val="auto"/>
        </w:rPr>
        <w:t>Financial Statements</w:t>
      </w:r>
      <w:r>
        <w:rPr>
          <w:rFonts w:ascii="Arial" w:cs="Arial" w:eastAsia="Arial" w:hAnsi="Arial"/>
          <w:sz w:val="17"/>
          <w:szCs w:val="17"/>
          <w:color w:val="auto"/>
        </w:rPr>
        <w:t>. See page F-1 for an index to the financial statements and schedules included in the registration statement.</w:t>
      </w:r>
    </w:p>
    <w:p>
      <w:pPr>
        <w:spacing w:after="0" w:line="169"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1080" w:hanging="532"/>
        <w:spacing w:after="0" w:line="34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29" w:lineRule="exact"/>
        <w:rPr>
          <w:rFonts w:ascii="Arial" w:cs="Arial" w:eastAsia="Arial" w:hAnsi="Arial"/>
          <w:sz w:val="16"/>
          <w:szCs w:val="16"/>
          <w:color w:val="auto"/>
        </w:rPr>
      </w:pPr>
    </w:p>
    <w:p>
      <w:pPr>
        <w:ind w:left="1080" w:hanging="532"/>
        <w:spacing w:after="0" w:line="25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1"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540" w:right="40" w:hanging="439"/>
        <w:spacing w:after="0" w:line="259"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540" w:right="460" w:hanging="439"/>
        <w:spacing w:after="0" w:line="263"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540" w:right="140" w:hanging="439"/>
        <w:spacing w:after="0" w:line="290" w:lineRule="auto"/>
        <w:tabs>
          <w:tab w:leader="none" w:pos="1540"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Arial" w:cs="Arial" w:eastAsia="Arial" w:hAnsi="Arial"/>
          <w:sz w:val="16"/>
          <w:szCs w:val="16"/>
          <w:color w:val="auto"/>
        </w:rPr>
      </w:pPr>
    </w:p>
    <w:p>
      <w:pPr>
        <w:ind w:left="1540" w:right="140" w:hanging="439"/>
        <w:spacing w:after="0" w:line="275" w:lineRule="auto"/>
        <w:tabs>
          <w:tab w:leader="none" w:pos="15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2080" w:right="160" w:hanging="533"/>
        <w:spacing w:after="0" w:line="277" w:lineRule="auto"/>
        <w:tabs>
          <w:tab w:leader="none" w:pos="20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2080" w:right="60" w:hanging="533"/>
        <w:spacing w:after="0" w:line="277" w:lineRule="auto"/>
        <w:tabs>
          <w:tab w:leader="none" w:pos="20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hanging="533"/>
        <w:spacing w:after="0" w:line="308" w:lineRule="auto"/>
        <w:tabs>
          <w:tab w:leader="none" w:pos="2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51" w:lineRule="exact"/>
        <w:rPr>
          <w:rFonts w:ascii="Arial" w:cs="Arial" w:eastAsia="Arial" w:hAnsi="Arial"/>
          <w:sz w:val="17"/>
          <w:szCs w:val="17"/>
          <w:color w:val="auto"/>
        </w:rPr>
      </w:pPr>
    </w:p>
    <w:p>
      <w:pPr>
        <w:ind w:left="2080" w:hanging="533"/>
        <w:spacing w:after="0"/>
        <w:tabs>
          <w:tab w:leader="none" w:pos="2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260"/>
          </w:cols>
          <w:pgMar w:left="320" w:top="459" w:right="13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Palo Alto, State of California, on the 2nd day of June, 2021.</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SOCIAL CAPITAL SUVRETTA HOLDINGS CORP. III</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Chamath Palihapitiya</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Chamath Palihapitiya</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w w:val="94"/>
              </w:rPr>
              <w:t>Chief Executive Officer and Chairman of the Board</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of Directors</w:t>
            </w:r>
          </w:p>
        </w:tc>
      </w:tr>
    </w:tbl>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Each of the undersigned constitutes and appoints each of Chamath Palihapitiya, Kishan Mehta, James Ryans and Shoney Katz, each acting alone, his true and lawful attorneys-in-fact and agents,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7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6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Chamath Palihapitiya</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w w:val="99"/>
              </w:rPr>
              <w:t>Chief Executive Officer and Chairman of the Board</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June 2, 2021</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Chamath Palihapitiya</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of Directors (Principal Executive Officer)</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Ryans</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and</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June 2, 2021</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James Ryans</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Accounting Officer)</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Kishan Mehta</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President and 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June 2, 2021</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Kishan Mehta</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COMPANIES ACT (AS REVISED)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SOCIAL CAPITAL SUVRETTA HOLDINGS CORP. III</w:t>
      </w:r>
    </w:p>
    <w:p>
      <w:pPr>
        <w:sectPr>
          <w:pgSz w:w="11900" w:h="16838" w:orient="portrait"/>
          <w:cols w:equalWidth="0" w:num="1">
            <w:col w:w="10020"/>
          </w:cols>
          <w:pgMar w:left="1440" w:top="121" w:right="439" w:bottom="1440" w:gutter="0" w:footer="0" w:header="0"/>
        </w:sectPr>
      </w:pPr>
    </w:p>
    <w:bookmarkStart w:id="191" w:name="page192"/>
    <w:bookmarkEnd w:id="191"/>
    <w:p>
      <w:pPr>
        <w:jc w:val="center"/>
        <w:ind w:right="-2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ACT (AS REVISED)</w:t>
      </w:r>
    </w:p>
    <w:p>
      <w:pPr>
        <w:spacing w:after="0" w:line="27" w:lineRule="exact"/>
        <w:rPr>
          <w:sz w:val="20"/>
          <w:szCs w:val="20"/>
          <w:color w:val="auto"/>
        </w:rPr>
      </w:pPr>
    </w:p>
    <w:p>
      <w:pPr>
        <w:jc w:val="center"/>
        <w:ind w:right="-223"/>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223"/>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ind w:right="-223"/>
        <w:spacing w:after="0"/>
        <w:rPr>
          <w:sz w:val="20"/>
          <w:szCs w:val="20"/>
          <w:color w:val="auto"/>
        </w:rPr>
      </w:pPr>
      <w:r>
        <w:rPr>
          <w:rFonts w:ascii="Arial" w:cs="Arial" w:eastAsia="Arial" w:hAnsi="Arial"/>
          <w:sz w:val="18"/>
          <w:szCs w:val="18"/>
          <w:b w:val="1"/>
          <w:bCs w:val="1"/>
          <w:color w:val="auto"/>
        </w:rPr>
        <w:t>MEMORANDUM OF ASSOCIATION</w:t>
      </w:r>
    </w:p>
    <w:p>
      <w:pPr>
        <w:spacing w:after="0" w:line="27" w:lineRule="exact"/>
        <w:rPr>
          <w:sz w:val="20"/>
          <w:szCs w:val="20"/>
          <w:color w:val="auto"/>
        </w:rPr>
      </w:pPr>
    </w:p>
    <w:p>
      <w:pPr>
        <w:jc w:val="center"/>
        <w:ind w:right="-22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3"/>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34" w:lineRule="exact"/>
        <w:rPr>
          <w:sz w:val="20"/>
          <w:szCs w:val="20"/>
          <w:color w:val="auto"/>
        </w:rPr>
      </w:pPr>
    </w:p>
    <w:p>
      <w:pPr>
        <w:ind w:left="764" w:hanging="764"/>
        <w:spacing w:after="0"/>
        <w:tabs>
          <w:tab w:leader="none" w:pos="7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Social Capital Suvretta Holdings Corp. III</w:t>
      </w:r>
      <w:r>
        <w:rPr>
          <w:rFonts w:ascii="Arial" w:cs="Arial" w:eastAsia="Arial" w:hAnsi="Arial"/>
          <w:sz w:val="18"/>
          <w:szCs w:val="18"/>
          <w:color w:val="auto"/>
        </w:rPr>
        <w:t>.</w:t>
      </w:r>
    </w:p>
    <w:p>
      <w:pPr>
        <w:spacing w:after="0" w:line="135" w:lineRule="exact"/>
        <w:rPr>
          <w:sz w:val="20"/>
          <w:szCs w:val="20"/>
          <w:color w:val="auto"/>
        </w:rPr>
      </w:pPr>
    </w:p>
    <w:p>
      <w:pPr>
        <w:ind w:left="764" w:right="220" w:hanging="764"/>
        <w:spacing w:after="0" w:line="308" w:lineRule="auto"/>
        <w:tabs>
          <w:tab w:leader="none" w:pos="76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52" w:lineRule="exact"/>
        <w:rPr>
          <w:sz w:val="20"/>
          <w:szCs w:val="20"/>
          <w:color w:val="auto"/>
        </w:rPr>
      </w:pPr>
    </w:p>
    <w:p>
      <w:pPr>
        <w:ind w:left="764" w:right="240" w:hanging="764"/>
        <w:spacing w:after="0" w:line="277" w:lineRule="auto"/>
        <w:tabs>
          <w:tab w:leader="none" w:pos="76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76" w:lineRule="exact"/>
        <w:rPr>
          <w:sz w:val="20"/>
          <w:szCs w:val="20"/>
          <w:color w:val="auto"/>
        </w:rPr>
      </w:pPr>
    </w:p>
    <w:p>
      <w:pPr>
        <w:ind w:left="764" w:hanging="764"/>
        <w:spacing w:after="0"/>
        <w:tabs>
          <w:tab w:leader="none" w:pos="7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131" w:lineRule="exact"/>
        <w:rPr>
          <w:sz w:val="20"/>
          <w:szCs w:val="20"/>
          <w:color w:val="auto"/>
        </w:rPr>
      </w:pPr>
    </w:p>
    <w:p>
      <w:pPr>
        <w:ind w:left="764" w:right="140" w:hanging="764"/>
        <w:spacing w:after="0" w:line="342" w:lineRule="auto"/>
        <w:tabs>
          <w:tab w:leader="none" w:pos="76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share capital of the Company is US$55,500 divided into 500,000,000 Class A ordinary shares of a par value of US$0.0001 each, 50,000,000 Class B ordinary shares of a par value of US$0.0001 each and 5,000,000 preference shares of a par value of US$0.0001 each.</w:t>
      </w:r>
    </w:p>
    <w:p>
      <w:pPr>
        <w:spacing w:after="0" w:line="29" w:lineRule="exact"/>
        <w:rPr>
          <w:sz w:val="20"/>
          <w:szCs w:val="20"/>
          <w:color w:val="auto"/>
        </w:rPr>
      </w:pPr>
    </w:p>
    <w:p>
      <w:pPr>
        <w:ind w:left="764" w:hanging="764"/>
        <w:spacing w:after="0" w:line="277" w:lineRule="auto"/>
        <w:tabs>
          <w:tab w:leader="none" w:pos="7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76" w:lineRule="exact"/>
        <w:rPr>
          <w:sz w:val="20"/>
          <w:szCs w:val="20"/>
          <w:color w:val="auto"/>
        </w:rPr>
      </w:pPr>
    </w:p>
    <w:p>
      <w:pPr>
        <w:ind w:left="764" w:right="280" w:hanging="764"/>
        <w:spacing w:after="0" w:line="277" w:lineRule="auto"/>
        <w:tabs>
          <w:tab w:leader="none" w:pos="7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ectPr>
          <w:pgSz w:w="11900" w:h="16838" w:orient="portrait"/>
          <w:cols w:equalWidth="0" w:num="1">
            <w:col w:w="10804"/>
          </w:cols>
          <w:pgMar w:left="436" w:top="270" w:right="659" w:bottom="1440" w:gutter="0" w:footer="0" w:header="0"/>
        </w:sectPr>
      </w:pPr>
    </w:p>
    <w:bookmarkStart w:id="192" w:name="page193"/>
    <w:bookmarkEnd w:id="19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the subscriber to this Memorandum of Association, wish to form a company pursuant to this Memorandum of Association, and we agree to take the number of shares shown opposite our name.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Dated this 25th day of February 2021</w:t>
            </w:r>
          </w:p>
        </w:tc>
        <w:tc>
          <w:tcPr>
            <w:tcW w:w="2080" w:type="dxa"/>
            <w:vAlign w:val="bottom"/>
          </w:tcPr>
          <w:p>
            <w:pPr>
              <w:spacing w:after="0"/>
              <w:rPr>
                <w:sz w:val="20"/>
                <w:szCs w:val="20"/>
                <w:color w:val="auto"/>
              </w:rPr>
            </w:pPr>
          </w:p>
        </w:tc>
      </w:tr>
      <w:tr>
        <w:trPr>
          <w:trHeight w:val="459"/>
        </w:trPr>
        <w:tc>
          <w:tcPr>
            <w:tcW w:w="4940" w:type="dxa"/>
            <w:vAlign w:val="bottom"/>
          </w:tcPr>
          <w:p>
            <w:pPr>
              <w:spacing w:after="0"/>
              <w:rPr>
                <w:sz w:val="20"/>
                <w:szCs w:val="20"/>
                <w:color w:val="auto"/>
              </w:rPr>
            </w:pPr>
            <w:r>
              <w:rPr>
                <w:rFonts w:ascii="Arial" w:cs="Arial" w:eastAsia="Arial" w:hAnsi="Arial"/>
                <w:sz w:val="18"/>
                <w:szCs w:val="18"/>
                <w:b w:val="1"/>
                <w:bCs w:val="1"/>
                <w:color w:val="auto"/>
              </w:rPr>
              <w:t>Signature and Address of Subscriber</w:t>
            </w:r>
          </w:p>
        </w:tc>
        <w:tc>
          <w:tcPr>
            <w:tcW w:w="2080" w:type="dxa"/>
            <w:vAlign w:val="bottom"/>
          </w:tcPr>
          <w:p>
            <w:pPr>
              <w:ind w:left="100"/>
              <w:spacing w:after="0"/>
              <w:rPr>
                <w:sz w:val="20"/>
                <w:szCs w:val="20"/>
                <w:color w:val="auto"/>
              </w:rPr>
            </w:pPr>
            <w:r>
              <w:rPr>
                <w:rFonts w:ascii="Arial" w:cs="Arial" w:eastAsia="Arial" w:hAnsi="Arial"/>
                <w:sz w:val="18"/>
                <w:szCs w:val="18"/>
                <w:b w:val="1"/>
                <w:bCs w:val="1"/>
                <w:color w:val="auto"/>
                <w:w w:val="92"/>
              </w:rPr>
              <w:t>Number of Shares Taken</w:t>
            </w:r>
          </w:p>
        </w:tc>
      </w:tr>
      <w:tr>
        <w:trPr>
          <w:trHeight w:val="418"/>
        </w:trPr>
        <w:tc>
          <w:tcPr>
            <w:tcW w:w="4940" w:type="dxa"/>
            <w:vAlign w:val="bottom"/>
          </w:tcPr>
          <w:p>
            <w:pPr>
              <w:spacing w:after="0"/>
              <w:rPr>
                <w:sz w:val="20"/>
                <w:szCs w:val="20"/>
                <w:color w:val="auto"/>
              </w:rPr>
            </w:pPr>
            <w:r>
              <w:rPr>
                <w:rFonts w:ascii="Arial" w:cs="Arial" w:eastAsia="Arial" w:hAnsi="Arial"/>
                <w:sz w:val="18"/>
                <w:szCs w:val="18"/>
                <w:color w:val="auto"/>
              </w:rPr>
              <w:t>Mapcal Limited</w:t>
            </w:r>
          </w:p>
        </w:tc>
        <w:tc>
          <w:tcPr>
            <w:tcW w:w="2080" w:type="dxa"/>
            <w:vAlign w:val="bottom"/>
          </w:tcPr>
          <w:p>
            <w:pPr>
              <w:ind w:left="100"/>
              <w:spacing w:after="0"/>
              <w:rPr>
                <w:sz w:val="20"/>
                <w:szCs w:val="20"/>
                <w:color w:val="auto"/>
              </w:rPr>
            </w:pPr>
            <w:r>
              <w:rPr>
                <w:rFonts w:ascii="Arial" w:cs="Arial" w:eastAsia="Arial" w:hAnsi="Arial"/>
                <w:sz w:val="18"/>
                <w:szCs w:val="18"/>
                <w:color w:val="auto"/>
                <w:w w:val="88"/>
              </w:rPr>
              <w:t>One Class B ordinary share</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of PO Box 309, Ugland House</w:t>
            </w:r>
          </w:p>
        </w:tc>
        <w:tc>
          <w:tcPr>
            <w:tcW w:w="208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Grand Cayman</w:t>
            </w:r>
          </w:p>
        </w:tc>
        <w:tc>
          <w:tcPr>
            <w:tcW w:w="208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KY1-1104</w:t>
            </w:r>
          </w:p>
        </w:tc>
        <w:tc>
          <w:tcPr>
            <w:tcW w:w="208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Cayman Islands</w:t>
            </w:r>
          </w:p>
        </w:tc>
        <w:tc>
          <w:tcPr>
            <w:tcW w:w="208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acting by:</w:t>
            </w:r>
          </w:p>
        </w:tc>
        <w:tc>
          <w:tcPr>
            <w:tcW w:w="2080" w:type="dxa"/>
            <w:vAlign w:val="bottom"/>
          </w:tcPr>
          <w:p>
            <w:pPr>
              <w:spacing w:after="0"/>
              <w:rPr>
                <w:sz w:val="20"/>
                <w:szCs w:val="20"/>
                <w:color w:val="auto"/>
              </w:rPr>
            </w:pPr>
          </w:p>
        </w:tc>
      </w:tr>
      <w:tr>
        <w:trPr>
          <w:trHeight w:val="432"/>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Tasha McFarlane</w:t>
            </w:r>
          </w:p>
        </w:tc>
        <w:tc>
          <w:tcPr>
            <w:tcW w:w="2080" w:type="dxa"/>
            <w:vAlign w:val="bottom"/>
          </w:tcPr>
          <w:p>
            <w:pPr>
              <w:spacing w:after="0"/>
              <w:rPr>
                <w:sz w:val="24"/>
                <w:szCs w:val="24"/>
                <w:color w:val="auto"/>
              </w:rPr>
            </w:pPr>
          </w:p>
        </w:tc>
      </w:tr>
      <w:tr>
        <w:trPr>
          <w:trHeight w:val="224"/>
        </w:trPr>
        <w:tc>
          <w:tcPr>
            <w:tcW w:w="4940" w:type="dxa"/>
            <w:vAlign w:val="bottom"/>
          </w:tcPr>
          <w:p>
            <w:pPr>
              <w:spacing w:after="0"/>
              <w:rPr>
                <w:sz w:val="20"/>
                <w:szCs w:val="20"/>
                <w:color w:val="auto"/>
              </w:rPr>
            </w:pPr>
            <w:r>
              <w:rPr>
                <w:rFonts w:ascii="Arial" w:cs="Arial" w:eastAsia="Arial" w:hAnsi="Arial"/>
                <w:sz w:val="18"/>
                <w:szCs w:val="18"/>
                <w:color w:val="auto"/>
              </w:rPr>
              <w:t>Tasha McFarlane</w:t>
            </w:r>
          </w:p>
        </w:tc>
        <w:tc>
          <w:tcPr>
            <w:tcW w:w="2080" w:type="dxa"/>
            <w:vAlign w:val="bottom"/>
          </w:tcPr>
          <w:p>
            <w:pPr>
              <w:spacing w:after="0"/>
              <w:rPr>
                <w:sz w:val="19"/>
                <w:szCs w:val="19"/>
                <w:color w:val="auto"/>
              </w:rPr>
            </w:pPr>
          </w:p>
        </w:tc>
      </w:tr>
      <w:tr>
        <w:trPr>
          <w:trHeight w:val="431"/>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Ruth Grizzel</w:t>
            </w:r>
          </w:p>
        </w:tc>
        <w:tc>
          <w:tcPr>
            <w:tcW w:w="2080" w:type="dxa"/>
            <w:vAlign w:val="bottom"/>
          </w:tcPr>
          <w:p>
            <w:pPr>
              <w:spacing w:after="0"/>
              <w:rPr>
                <w:sz w:val="24"/>
                <w:szCs w:val="24"/>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Ruth Grizzel</w:t>
            </w:r>
          </w:p>
        </w:tc>
        <w:tc>
          <w:tcPr>
            <w:tcW w:w="208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Witness to the above signature</w:t>
            </w:r>
          </w:p>
        </w:tc>
        <w:tc>
          <w:tcPr>
            <w:tcW w:w="2080" w:type="dxa"/>
            <w:vAlign w:val="bottom"/>
          </w:tcPr>
          <w:p>
            <w:pPr>
              <w:spacing w:after="0"/>
              <w:rPr>
                <w:sz w:val="20"/>
                <w:szCs w:val="20"/>
                <w:color w:val="auto"/>
              </w:rPr>
            </w:pPr>
          </w:p>
        </w:tc>
      </w:tr>
      <w:tr>
        <w:trPr>
          <w:trHeight w:val="729"/>
        </w:trPr>
        <w:tc>
          <w:tcPr>
            <w:tcW w:w="4940" w:type="dxa"/>
            <w:vAlign w:val="bottom"/>
          </w:tcPr>
          <w:p>
            <w:pPr>
              <w:spacing w:after="0"/>
              <w:rPr>
                <w:sz w:val="24"/>
                <w:szCs w:val="24"/>
                <w:color w:val="auto"/>
              </w:rPr>
            </w:pPr>
          </w:p>
        </w:tc>
        <w:tc>
          <w:tcPr>
            <w:tcW w:w="2080" w:type="dxa"/>
            <w:vAlign w:val="bottom"/>
          </w:tcPr>
          <w:p>
            <w:pPr>
              <w:jc w:val="right"/>
              <w:ind w:right="139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980"/>
          </w:cols>
          <w:pgMar w:left="440" w:top="274" w:right="479" w:bottom="1440" w:gutter="0" w:footer="0" w:header="0"/>
        </w:sectPr>
      </w:pPr>
    </w:p>
    <w:bookmarkStart w:id="193" w:name="page194"/>
    <w:bookmarkEnd w:id="19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ACT (AS REVISED)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ARTICLES OF ASSOCIATION</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34" w:lineRule="exact"/>
        <w:rPr>
          <w:sz w:val="20"/>
          <w:szCs w:val="20"/>
          <w:color w:val="auto"/>
        </w:rPr>
      </w:pPr>
    </w:p>
    <w:p>
      <w:pPr>
        <w:ind w:left="764" w:hanging="764"/>
        <w:spacing w:after="0"/>
        <w:tabs>
          <w:tab w:leader="none" w:pos="76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764" w:right="80" w:hanging="768"/>
        <w:spacing w:after="0" w:line="277" w:lineRule="auto"/>
        <w:tabs>
          <w:tab w:leader="none" w:pos="74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ectPr>
          <w:pgSz w:w="11900" w:h="16838" w:orient="portrait"/>
          <w:cols w:equalWidth="0" w:num="1">
            <w:col w:w="11004"/>
          </w:cols>
          <w:pgMar w:left="436" w:top="270" w:right="459" w:bottom="1440" w:gutter="0" w:footer="0" w:header="0"/>
        </w:sectPr>
      </w:pPr>
    </w:p>
    <w:p>
      <w:pPr>
        <w:spacing w:after="0" w:line="193" w:lineRule="exact"/>
        <w:rPr>
          <w:sz w:val="20"/>
          <w:szCs w:val="20"/>
          <w:color w:val="auto"/>
        </w:rPr>
      </w:pPr>
    </w:p>
    <w:p>
      <w:pPr>
        <w:ind w:left="784"/>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means these articles of association of the Company.</w:t>
      </w:r>
    </w:p>
    <w:p>
      <w:pPr>
        <w:spacing w:after="0" w:line="136" w:lineRule="exact"/>
        <w:rPr>
          <w:sz w:val="20"/>
          <w:szCs w:val="20"/>
          <w:color w:val="auto"/>
        </w:rPr>
      </w:pPr>
    </w:p>
    <w:p>
      <w:pPr>
        <w:sectPr>
          <w:pgSz w:w="11900" w:h="16838" w:orient="portrait"/>
          <w:cols w:equalWidth="0" w:num="2">
            <w:col w:w="3024" w:space="720"/>
            <w:col w:w="7260"/>
          </w:cols>
          <w:pgMar w:left="436" w:top="270" w:right="459" w:bottom="1440" w:gutter="0" w:footer="0" w:header="0"/>
          <w:type w:val="continuous"/>
        </w:sectPr>
      </w:pPr>
    </w:p>
    <w:p>
      <w:pPr>
        <w:ind w:left="784"/>
        <w:spacing w:after="0"/>
        <w:rPr>
          <w:sz w:val="20"/>
          <w:szCs w:val="20"/>
          <w:color w:val="auto"/>
        </w:rPr>
      </w:pPr>
      <w:r>
        <w:rPr>
          <w:rFonts w:ascii="Arial" w:cs="Arial" w:eastAsia="Arial" w:hAnsi="Arial"/>
          <w:sz w:val="17"/>
          <w:szCs w:val="17"/>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person for the time being performing the duties of auditor of the Company (if any).</w:t>
      </w:r>
    </w:p>
    <w:p>
      <w:pPr>
        <w:spacing w:after="0" w:line="136" w:lineRule="exact"/>
        <w:rPr>
          <w:sz w:val="20"/>
          <w:szCs w:val="20"/>
          <w:color w:val="auto"/>
        </w:rPr>
      </w:pPr>
    </w:p>
    <w:p>
      <w:pPr>
        <w:sectPr>
          <w:pgSz w:w="11900" w:h="16838" w:orient="portrait"/>
          <w:cols w:equalWidth="0" w:num="2">
            <w:col w:w="3024" w:space="720"/>
            <w:col w:w="7260"/>
          </w:cols>
          <w:pgMar w:left="436" w:top="270" w:right="459" w:bottom="1440" w:gutter="0" w:footer="0" w:header="0"/>
          <w:type w:val="continuous"/>
        </w:sectPr>
      </w:pPr>
    </w:p>
    <w:p>
      <w:pPr>
        <w:ind w:left="784"/>
        <w:spacing w:after="0"/>
        <w:rPr>
          <w:sz w:val="20"/>
          <w:szCs w:val="20"/>
          <w:color w:val="auto"/>
        </w:rPr>
      </w:pPr>
      <w:r>
        <w:rPr>
          <w:rFonts w:ascii="Arial" w:cs="Arial" w:eastAsia="Arial" w:hAnsi="Arial"/>
          <w:sz w:val="16"/>
          <w:szCs w:val="16"/>
          <w:b w:val="1"/>
          <w:bCs w:val="1"/>
          <w:color w:val="auto"/>
        </w:rPr>
        <w:t>“Business Combination”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merger, amalgamation, share exchange, asset acquisition, share purchase, reorganisation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similar business combination involving the Company, with one or more businesses or entities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target business</w:t>
      </w:r>
      <w:r>
        <w:rPr>
          <w:rFonts w:ascii="Arial" w:cs="Arial" w:eastAsia="Arial" w:hAnsi="Arial"/>
          <w:sz w:val="16"/>
          <w:szCs w:val="16"/>
          <w:color w:val="auto"/>
        </w:rPr>
        <w:t>”), which Business Combination: (a) must occur with one or more target businesses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together have an aggregate fair market value of at least 80 per cent of the assets held in the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(excluding the deferred underwriting commissions and taxes payable on the income earned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Trust Account) at the time of the agreement to enter into such Business Combination;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 must not be effectuated with another blank cheque company or a similar company with nominal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99" w:lineRule="exact"/>
        <w:rPr>
          <w:sz w:val="20"/>
          <w:szCs w:val="20"/>
          <w:color w:val="auto"/>
        </w:rPr>
      </w:pPr>
    </w:p>
    <w:p>
      <w:pPr>
        <w:sectPr>
          <w:pgSz w:w="11900" w:h="16838" w:orient="portrait"/>
          <w:cols w:equalWidth="0" w:num="2">
            <w:col w:w="3024" w:space="720"/>
            <w:col w:w="7260"/>
          </w:cols>
          <w:pgMar w:left="436" w:top="270" w:right="459" w:bottom="1440" w:gutter="0" w:footer="0" w:header="0"/>
          <w:type w:val="continuous"/>
        </w:sectPr>
      </w:pPr>
    </w:p>
    <w:p>
      <w:pPr>
        <w:ind w:left="784"/>
        <w:spacing w:after="0"/>
        <w:rPr>
          <w:sz w:val="20"/>
          <w:szCs w:val="20"/>
          <w:color w:val="auto"/>
        </w:rPr>
      </w:pPr>
      <w:r>
        <w:rPr>
          <w:rFonts w:ascii="Arial" w:cs="Arial" w:eastAsia="Arial" w:hAnsi="Arial"/>
          <w:sz w:val="16"/>
          <w:szCs w:val="16"/>
          <w:b w:val="1"/>
          <w:bCs w:val="1"/>
          <w:color w:val="auto"/>
        </w:rPr>
        <w:t>“Class A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Class A ordinary share of a par value of US$0.0001 in the share capital of the Company.</w:t>
      </w:r>
    </w:p>
    <w:p>
      <w:pPr>
        <w:spacing w:after="0" w:line="136" w:lineRule="exact"/>
        <w:rPr>
          <w:sz w:val="20"/>
          <w:szCs w:val="20"/>
          <w:color w:val="auto"/>
        </w:rPr>
      </w:pPr>
    </w:p>
    <w:p>
      <w:pPr>
        <w:sectPr>
          <w:pgSz w:w="11900" w:h="16838" w:orient="portrait"/>
          <w:cols w:equalWidth="0" w:num="2">
            <w:col w:w="3024" w:space="720"/>
            <w:col w:w="7260"/>
          </w:cols>
          <w:pgMar w:left="436" w:top="270" w:right="459" w:bottom="1440" w:gutter="0" w:footer="0" w:header="0"/>
          <w:type w:val="continuous"/>
        </w:sectPr>
      </w:pPr>
    </w:p>
    <w:p>
      <w:pPr>
        <w:ind w:left="784"/>
        <w:spacing w:after="0"/>
        <w:rPr>
          <w:sz w:val="20"/>
          <w:szCs w:val="20"/>
          <w:color w:val="auto"/>
        </w:rPr>
      </w:pPr>
      <w:r>
        <w:rPr>
          <w:rFonts w:ascii="Arial" w:cs="Arial" w:eastAsia="Arial" w:hAnsi="Arial"/>
          <w:sz w:val="16"/>
          <w:szCs w:val="16"/>
          <w:b w:val="1"/>
          <w:bCs w:val="1"/>
          <w:color w:val="auto"/>
        </w:rPr>
        <w:t>“Class B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Class B ordinary share of a par value of US$0.0001 in the share capital of the Company.</w:t>
      </w:r>
    </w:p>
    <w:p>
      <w:pPr>
        <w:spacing w:after="0" w:line="136" w:lineRule="exact"/>
        <w:rPr>
          <w:sz w:val="20"/>
          <w:szCs w:val="20"/>
          <w:color w:val="auto"/>
        </w:rPr>
      </w:pPr>
    </w:p>
    <w:p>
      <w:pPr>
        <w:sectPr>
          <w:pgSz w:w="11900" w:h="16838" w:orient="portrait"/>
          <w:cols w:equalWidth="0" w:num="2">
            <w:col w:w="3024" w:space="720"/>
            <w:col w:w="7260"/>
          </w:cols>
          <w:pgMar w:left="436" w:top="270" w:right="459" w:bottom="1440" w:gutter="0" w:footer="0" w:header="0"/>
          <w:type w:val="continuous"/>
        </w:sectPr>
      </w:pPr>
    </w:p>
    <w:p>
      <w:pPr>
        <w:ind w:left="784"/>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above named company.</w:t>
      </w:r>
    </w:p>
    <w:p>
      <w:pPr>
        <w:spacing w:after="0" w:line="147" w:lineRule="exact"/>
        <w:rPr>
          <w:sz w:val="20"/>
          <w:szCs w:val="20"/>
          <w:color w:val="auto"/>
        </w:rPr>
      </w:pPr>
    </w:p>
    <w:p>
      <w:pPr>
        <w:sectPr>
          <w:pgSz w:w="11900" w:h="16838" w:orient="portrait"/>
          <w:cols w:equalWidth="0" w:num="2">
            <w:col w:w="3024" w:space="720"/>
            <w:col w:w="7260"/>
          </w:cols>
          <w:pgMar w:left="436" w:top="270" w:right="459" w:bottom="1440" w:gutter="0" w:footer="0" w:header="0"/>
          <w:type w:val="continuous"/>
        </w:sectPr>
      </w:pPr>
    </w:p>
    <w:p>
      <w:pPr>
        <w:ind w:left="784"/>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directors for the time being of the Company.</w:t>
      </w:r>
    </w:p>
    <w:p>
      <w:pPr>
        <w:sectPr>
          <w:pgSz w:w="11900" w:h="16838" w:orient="portrait"/>
          <w:cols w:equalWidth="0" w:num="2">
            <w:col w:w="3024" w:space="720"/>
            <w:col w:w="7260"/>
          </w:cols>
          <w:pgMar w:left="436" w:top="270" w:right="45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16"/>
          <w:szCs w:val="16"/>
          <w:b w:val="1"/>
          <w:bCs w:val="1"/>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dividend (whether interim or final) resolved to be paid on Shares pursuant to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-201295</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240" w:space="720"/>
            <w:col w:w="7260"/>
          </w:cols>
          <w:pgMar w:left="122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“Electronic Record”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same meaning as in the Electronic Transactions Act.</w:t>
      </w:r>
    </w:p>
    <w:p>
      <w:pPr>
        <w:spacing w:after="0" w:line="136"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“Electronic Transactions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Electronic Transactions Act (As Revised) of the Cayman Islands.</w:t>
      </w:r>
    </w:p>
    <w:p>
      <w:pPr>
        <w:spacing w:after="0" w:line="136" w:lineRule="exact"/>
        <w:rPr>
          <w:sz w:val="20"/>
          <w:szCs w:val="20"/>
          <w:color w:val="auto"/>
        </w:rPr>
      </w:pPr>
    </w:p>
    <w:p>
      <w:pPr>
        <w:sectPr>
          <w:pgSz w:w="11900" w:h="16838" w:orient="portrait"/>
          <w:cols w:equalWidth="0" w:num="2">
            <w:col w:w="2320" w:space="64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“Equity-linked Securities”</w:t>
      </w:r>
    </w:p>
    <w:p>
      <w:pPr>
        <w:spacing w:after="0" w:line="20" w:lineRule="exact"/>
        <w:rPr>
          <w:sz w:val="20"/>
          <w:szCs w:val="20"/>
          <w:color w:val="auto"/>
        </w:rPr>
      </w:pPr>
      <w:r>
        <w:rPr>
          <w:sz w:val="20"/>
          <w:szCs w:val="20"/>
          <w:color w:val="auto"/>
        </w:rPr>
        <w:br w:type="column"/>
      </w:r>
    </w:p>
    <w:p>
      <w:pPr>
        <w:ind w:right="180"/>
        <w:spacing w:after="0" w:line="263" w:lineRule="auto"/>
        <w:rPr>
          <w:sz w:val="20"/>
          <w:szCs w:val="20"/>
          <w:color w:val="auto"/>
        </w:rPr>
      </w:pPr>
      <w:r>
        <w:rPr>
          <w:rFonts w:ascii="Arial" w:cs="Arial" w:eastAsia="Arial" w:hAnsi="Arial"/>
          <w:sz w:val="18"/>
          <w:szCs w:val="18"/>
          <w:color w:val="auto"/>
        </w:rPr>
        <w:t>means any debt or equity securities that are convertible, exercisable or exchangeable for Class A Shares issued in a financing transaction in connection with a Business Combination, including but not limited to a private placement of equity or debt.</w:t>
      </w:r>
    </w:p>
    <w:p>
      <w:pPr>
        <w:spacing w:after="0" w:line="72"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Company’s initial public offering of securities.</w:t>
      </w:r>
    </w:p>
    <w:p>
      <w:pPr>
        <w:spacing w:after="0" w:line="135"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same meaning as in the Statute.</w:t>
      </w:r>
    </w:p>
    <w:p>
      <w:pPr>
        <w:spacing w:after="0" w:line="147"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“Memorandum”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memorandum of association of the Company.</w:t>
      </w:r>
    </w:p>
    <w:p>
      <w:pPr>
        <w:spacing w:after="0" w:line="136"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Resolution”</w:t>
      </w:r>
    </w:p>
    <w:p>
      <w:pPr>
        <w:spacing w:after="0" w:line="20" w:lineRule="exact"/>
        <w:rPr>
          <w:sz w:val="20"/>
          <w:szCs w:val="20"/>
          <w:color w:val="auto"/>
        </w:rPr>
      </w:pPr>
      <w:r>
        <w:rPr>
          <w:sz w:val="20"/>
          <w:szCs w:val="20"/>
          <w:color w:val="auto"/>
        </w:rPr>
        <w:br w:type="column"/>
      </w:r>
    </w:p>
    <w:p>
      <w:pPr>
        <w:ind w:right="200"/>
        <w:spacing w:after="0" w:line="279" w:lineRule="auto"/>
        <w:rPr>
          <w:sz w:val="20"/>
          <w:szCs w:val="20"/>
          <w:color w:val="auto"/>
        </w:rPr>
      </w:pPr>
      <w:r>
        <w:rPr>
          <w:rFonts w:ascii="Arial" w:cs="Arial" w:eastAsia="Arial" w:hAnsi="Arial"/>
          <w:sz w:val="17"/>
          <w:szCs w:val="17"/>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59"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“Preference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preference share of a par value of US$0.0001 in the share capital of the Company.</w:t>
      </w:r>
    </w:p>
    <w:p>
      <w:pPr>
        <w:spacing w:after="0" w:line="136"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“Register of Members”</w:t>
      </w:r>
    </w:p>
    <w:p>
      <w:pPr>
        <w:spacing w:after="0" w:line="20" w:lineRule="exact"/>
        <w:rPr>
          <w:sz w:val="20"/>
          <w:szCs w:val="20"/>
          <w:color w:val="auto"/>
        </w:rPr>
      </w:pPr>
      <w:r>
        <w:rPr>
          <w:sz w:val="20"/>
          <w:szCs w:val="20"/>
          <w:color w:val="auto"/>
        </w:rPr>
        <w:br w:type="column"/>
      </w:r>
    </w:p>
    <w:p>
      <w:pPr>
        <w:ind w:right="440"/>
        <w:spacing w:after="0" w:line="308" w:lineRule="auto"/>
        <w:rPr>
          <w:sz w:val="20"/>
          <w:szCs w:val="20"/>
          <w:color w:val="auto"/>
        </w:rPr>
      </w:pPr>
      <w:r>
        <w:rPr>
          <w:rFonts w:ascii="Arial" w:cs="Arial" w:eastAsia="Arial" w:hAnsi="Arial"/>
          <w:sz w:val="17"/>
          <w:szCs w:val="17"/>
          <w:color w:val="auto"/>
        </w:rPr>
        <w:t>means the register of Members maintained in accordance with the Statute and includes (except where otherwise stated) any branch or duplicate register of Members.</w:t>
      </w:r>
    </w:p>
    <w:p>
      <w:pPr>
        <w:spacing w:after="0" w:line="34"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registered office for the time being of the Company.</w:t>
      </w:r>
    </w:p>
    <w:p>
      <w:pPr>
        <w:spacing w:after="0" w:line="136"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common seal of the Company and includes every duplicate seal.</w:t>
      </w:r>
    </w:p>
    <w:p>
      <w:pPr>
        <w:spacing w:after="0" w:line="136"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means a Class A Share, a Class B Share or a Preference Share and includes a fraction of a share in the Company.</w:t>
      </w:r>
    </w:p>
    <w:p>
      <w:pPr>
        <w:spacing w:after="0" w:line="58" w:lineRule="exact"/>
        <w:rPr>
          <w:sz w:val="20"/>
          <w:szCs w:val="20"/>
          <w:color w:val="auto"/>
        </w:rPr>
      </w:pPr>
    </w:p>
    <w:p>
      <w:pPr>
        <w:sectPr>
          <w:pgSz w:w="11900" w:h="16838" w:orient="portrait"/>
          <w:cols w:equalWidth="0" w:num="2">
            <w:col w:w="2240" w:space="720"/>
            <w:col w:w="7260"/>
          </w:cols>
          <w:pgMar w:left="122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same meaning as in the Statute, and includes a unanimous written resolution.</w:t>
      </w:r>
    </w:p>
    <w:p>
      <w:pPr>
        <w:sectPr>
          <w:pgSz w:w="11900" w:h="16838" w:orient="portrait"/>
          <w:cols w:equalWidth="0" w:num="2">
            <w:col w:w="2240" w:space="720"/>
            <w:col w:w="7260"/>
          </w:cols>
          <w:pgMar w:left="1220" w:top="270" w:right="459" w:bottom="1440" w:gutter="0" w:footer="0" w:header="0"/>
          <w:type w:val="continuous"/>
        </w:sectPr>
      </w:pPr>
    </w:p>
    <w:bookmarkStart w:id="195" w:name="page196"/>
    <w:bookmarkEnd w:id="195"/>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900" w:type="dxa"/>
            <w:vAlign w:val="bottom"/>
            <w:gridSpan w:val="2"/>
          </w:tcPr>
          <w:p>
            <w:pPr>
              <w:ind w:left="280"/>
              <w:spacing w:after="0"/>
              <w:rPr>
                <w:sz w:val="20"/>
                <w:szCs w:val="20"/>
                <w:color w:val="auto"/>
              </w:rPr>
            </w:pPr>
            <w:r>
              <w:rPr>
                <w:rFonts w:ascii="Arial" w:cs="Arial" w:eastAsia="Arial" w:hAnsi="Arial"/>
                <w:sz w:val="18"/>
                <w:szCs w:val="18"/>
                <w:b w:val="1"/>
                <w:bCs w:val="1"/>
                <w:color w:val="auto"/>
              </w:rPr>
              <w:t>“Statute”</w:t>
            </w:r>
          </w:p>
        </w:tc>
        <w:tc>
          <w:tcPr>
            <w:tcW w:w="7540" w:type="dxa"/>
            <w:vAlign w:val="bottom"/>
          </w:tcPr>
          <w:p>
            <w:pPr>
              <w:ind w:left="340"/>
              <w:spacing w:after="0"/>
              <w:rPr>
                <w:sz w:val="20"/>
                <w:szCs w:val="20"/>
                <w:color w:val="auto"/>
              </w:rPr>
            </w:pPr>
            <w:r>
              <w:rPr>
                <w:rFonts w:ascii="Arial" w:cs="Arial" w:eastAsia="Arial" w:hAnsi="Arial"/>
                <w:sz w:val="18"/>
                <w:szCs w:val="18"/>
                <w:color w:val="auto"/>
              </w:rPr>
              <w:t>means the Companies Act (As Revised) of the Cayman Islands.</w:t>
            </w:r>
          </w:p>
        </w:tc>
      </w:tr>
      <w:tr>
        <w:trPr>
          <w:trHeight w:val="324"/>
        </w:trPr>
        <w:tc>
          <w:tcPr>
            <w:tcW w:w="500" w:type="dxa"/>
            <w:vAlign w:val="bottom"/>
          </w:tcPr>
          <w:p>
            <w:pPr>
              <w:spacing w:after="0"/>
              <w:rPr>
                <w:sz w:val="24"/>
                <w:szCs w:val="24"/>
                <w:color w:val="auto"/>
              </w:rPr>
            </w:pPr>
          </w:p>
        </w:tc>
        <w:tc>
          <w:tcPr>
            <w:tcW w:w="2900" w:type="dxa"/>
            <w:vAlign w:val="bottom"/>
            <w:gridSpan w:val="2"/>
          </w:tcPr>
          <w:p>
            <w:pPr>
              <w:ind w:left="280"/>
              <w:spacing w:after="0"/>
              <w:rPr>
                <w:sz w:val="20"/>
                <w:szCs w:val="20"/>
                <w:color w:val="auto"/>
              </w:rPr>
            </w:pPr>
            <w:r>
              <w:rPr>
                <w:rFonts w:ascii="Arial" w:cs="Arial" w:eastAsia="Arial" w:hAnsi="Arial"/>
                <w:sz w:val="18"/>
                <w:szCs w:val="18"/>
                <w:b w:val="1"/>
                <w:bCs w:val="1"/>
                <w:color w:val="auto"/>
              </w:rPr>
              <w:t>“Subscriber”</w:t>
            </w:r>
          </w:p>
        </w:tc>
        <w:tc>
          <w:tcPr>
            <w:tcW w:w="7540" w:type="dxa"/>
            <w:vAlign w:val="bottom"/>
          </w:tcPr>
          <w:p>
            <w:pPr>
              <w:ind w:left="340"/>
              <w:spacing w:after="0"/>
              <w:rPr>
                <w:sz w:val="20"/>
                <w:szCs w:val="20"/>
                <w:color w:val="auto"/>
              </w:rPr>
            </w:pPr>
            <w:r>
              <w:rPr>
                <w:rFonts w:ascii="Arial" w:cs="Arial" w:eastAsia="Arial" w:hAnsi="Arial"/>
                <w:sz w:val="18"/>
                <w:szCs w:val="18"/>
                <w:color w:val="auto"/>
              </w:rPr>
              <w:t>means the subscriber to the Memorandum.</w:t>
            </w:r>
          </w:p>
        </w:tc>
      </w:tr>
      <w:tr>
        <w:trPr>
          <w:trHeight w:val="324"/>
        </w:trPr>
        <w:tc>
          <w:tcPr>
            <w:tcW w:w="500" w:type="dxa"/>
            <w:vAlign w:val="bottom"/>
          </w:tcPr>
          <w:p>
            <w:pPr>
              <w:spacing w:after="0"/>
              <w:rPr>
                <w:sz w:val="24"/>
                <w:szCs w:val="24"/>
                <w:color w:val="auto"/>
              </w:rPr>
            </w:pPr>
          </w:p>
        </w:tc>
        <w:tc>
          <w:tcPr>
            <w:tcW w:w="2900" w:type="dxa"/>
            <w:vAlign w:val="bottom"/>
            <w:gridSpan w:val="2"/>
          </w:tcPr>
          <w:p>
            <w:pPr>
              <w:ind w:left="280"/>
              <w:spacing w:after="0"/>
              <w:rPr>
                <w:sz w:val="20"/>
                <w:szCs w:val="20"/>
                <w:color w:val="auto"/>
              </w:rPr>
            </w:pPr>
            <w:r>
              <w:rPr>
                <w:rFonts w:ascii="Arial" w:cs="Arial" w:eastAsia="Arial" w:hAnsi="Arial"/>
                <w:sz w:val="18"/>
                <w:szCs w:val="18"/>
                <w:b w:val="1"/>
                <w:bCs w:val="1"/>
                <w:color w:val="auto"/>
              </w:rPr>
              <w:t>“Treasury Share”</w:t>
            </w:r>
          </w:p>
        </w:tc>
        <w:tc>
          <w:tcPr>
            <w:tcW w:w="7540" w:type="dxa"/>
            <w:vAlign w:val="bottom"/>
          </w:tcPr>
          <w:p>
            <w:pPr>
              <w:ind w:left="340"/>
              <w:spacing w:after="0"/>
              <w:rPr>
                <w:sz w:val="20"/>
                <w:szCs w:val="20"/>
                <w:color w:val="auto"/>
              </w:rPr>
            </w:pPr>
            <w:r>
              <w:rPr>
                <w:rFonts w:ascii="Arial" w:cs="Arial" w:eastAsia="Arial" w:hAnsi="Arial"/>
                <w:sz w:val="18"/>
                <w:szCs w:val="18"/>
                <w:color w:val="auto"/>
                <w:w w:val="89"/>
              </w:rPr>
              <w:t>means a Share held in the name of the Company as a treasury share in accordance with the Statute.</w:t>
            </w:r>
          </w:p>
        </w:tc>
      </w:tr>
      <w:tr>
        <w:trPr>
          <w:trHeight w:val="310"/>
        </w:trPr>
        <w:tc>
          <w:tcPr>
            <w:tcW w:w="500" w:type="dxa"/>
            <w:vAlign w:val="bottom"/>
          </w:tcPr>
          <w:p>
            <w:pPr>
              <w:spacing w:after="0"/>
              <w:rPr>
                <w:sz w:val="24"/>
                <w:szCs w:val="24"/>
                <w:color w:val="auto"/>
              </w:rPr>
            </w:pPr>
          </w:p>
        </w:tc>
        <w:tc>
          <w:tcPr>
            <w:tcW w:w="2900" w:type="dxa"/>
            <w:vAlign w:val="bottom"/>
            <w:gridSpan w:val="2"/>
          </w:tcPr>
          <w:p>
            <w:pPr>
              <w:ind w:left="280"/>
              <w:spacing w:after="0"/>
              <w:rPr>
                <w:sz w:val="20"/>
                <w:szCs w:val="20"/>
                <w:color w:val="auto"/>
              </w:rPr>
            </w:pPr>
            <w:r>
              <w:rPr>
                <w:rFonts w:ascii="Arial" w:cs="Arial" w:eastAsia="Arial" w:hAnsi="Arial"/>
                <w:sz w:val="18"/>
                <w:szCs w:val="18"/>
                <w:b w:val="1"/>
                <w:bCs w:val="1"/>
                <w:color w:val="auto"/>
              </w:rPr>
              <w:t>“Trust Account”</w:t>
            </w:r>
          </w:p>
        </w:tc>
        <w:tc>
          <w:tcPr>
            <w:tcW w:w="7540" w:type="dxa"/>
            <w:vAlign w:val="bottom"/>
          </w:tcPr>
          <w:p>
            <w:pPr>
              <w:ind w:left="340"/>
              <w:spacing w:after="0"/>
              <w:rPr>
                <w:sz w:val="20"/>
                <w:szCs w:val="20"/>
                <w:color w:val="auto"/>
              </w:rPr>
            </w:pPr>
            <w:r>
              <w:rPr>
                <w:rFonts w:ascii="Arial" w:cs="Arial" w:eastAsia="Arial" w:hAnsi="Arial"/>
                <w:sz w:val="18"/>
                <w:szCs w:val="18"/>
                <w:color w:val="auto"/>
                <w:w w:val="93"/>
              </w:rPr>
              <w:t>means the trust account established by the Company upon the consummation of its IPO and into</w:t>
            </w: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w w:val="98"/>
              </w:rPr>
              <w:t>which a certain amount of the net proceeds of the IPO, together with a certain amount of the</w:t>
            </w: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w w:val="91"/>
              </w:rPr>
              <w:t>proceeds of a private placement of warrants simultaneously with the closing date of the IPO, will be</w:t>
            </w:r>
          </w:p>
        </w:tc>
      </w:tr>
      <w:tr>
        <w:trPr>
          <w:trHeight w:val="230"/>
        </w:trPr>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deposited.</w:t>
            </w:r>
          </w:p>
        </w:tc>
      </w:tr>
      <w:tr>
        <w:trPr>
          <w:trHeight w:val="338"/>
        </w:trPr>
        <w:tc>
          <w:tcPr>
            <w:tcW w:w="500" w:type="dxa"/>
            <w:vAlign w:val="bottom"/>
          </w:tcPr>
          <w:p>
            <w:pPr>
              <w:jc w:val="right"/>
              <w:ind w:right="190"/>
              <w:spacing w:after="0"/>
              <w:rPr>
                <w:sz w:val="20"/>
                <w:szCs w:val="20"/>
                <w:color w:val="auto"/>
              </w:rPr>
            </w:pPr>
            <w:r>
              <w:rPr>
                <w:rFonts w:ascii="Arial" w:cs="Arial" w:eastAsia="Arial" w:hAnsi="Arial"/>
                <w:sz w:val="18"/>
                <w:szCs w:val="18"/>
                <w:color w:val="auto"/>
                <w:w w:val="79"/>
              </w:rPr>
              <w:t>1.2</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In the Articles:</w:t>
            </w:r>
          </w:p>
        </w:tc>
        <w:tc>
          <w:tcPr>
            <w:tcW w:w="7540" w:type="dxa"/>
            <w:vAlign w:val="bottom"/>
          </w:tcPr>
          <w:p>
            <w:pPr>
              <w:spacing w:after="0"/>
              <w:rPr>
                <w:sz w:val="24"/>
                <w:szCs w:val="24"/>
                <w:color w:val="auto"/>
              </w:rPr>
            </w:pPr>
          </w:p>
        </w:tc>
      </w:tr>
      <w:tr>
        <w:trPr>
          <w:trHeight w:val="338"/>
        </w:trPr>
        <w:tc>
          <w:tcPr>
            <w:tcW w:w="5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(a)</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words importing the singular number include the plural number and vice versa;</w:t>
            </w:r>
          </w:p>
        </w:tc>
      </w:tr>
      <w:tr>
        <w:trPr>
          <w:trHeight w:val="338"/>
        </w:trPr>
        <w:tc>
          <w:tcPr>
            <w:tcW w:w="5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(b)</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words importing the masculine gender include the feminine gender;</w:t>
            </w:r>
          </w:p>
        </w:tc>
      </w:tr>
      <w:tr>
        <w:trPr>
          <w:trHeight w:val="338"/>
        </w:trPr>
        <w:tc>
          <w:tcPr>
            <w:tcW w:w="5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(c)</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words importing persons include corporations as well as any other legal or natural person;</w:t>
            </w:r>
          </w:p>
        </w:tc>
      </w:tr>
      <w:tr>
        <w:trPr>
          <w:trHeight w:val="323"/>
        </w:trPr>
        <w:tc>
          <w:tcPr>
            <w:tcW w:w="5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(d)</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w w:val="98"/>
              </w:rPr>
              <w:t>“written” and “in writing” include all modes of representing or reproducing words in visible form, including in the form of an</w:t>
            </w:r>
          </w:p>
        </w:tc>
      </w:tr>
      <w:tr>
        <w:trPr>
          <w:trHeight w:val="230"/>
        </w:trPr>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Electronic Record;</w:t>
            </w:r>
          </w:p>
        </w:tc>
        <w:tc>
          <w:tcPr>
            <w:tcW w:w="7540" w:type="dxa"/>
            <w:vAlign w:val="bottom"/>
          </w:tcPr>
          <w:p>
            <w:pPr>
              <w:spacing w:after="0"/>
              <w:rPr>
                <w:sz w:val="20"/>
                <w:szCs w:val="20"/>
                <w:color w:val="auto"/>
              </w:rPr>
            </w:pPr>
          </w:p>
        </w:tc>
      </w:tr>
      <w:tr>
        <w:trPr>
          <w:trHeight w:val="338"/>
        </w:trPr>
        <w:tc>
          <w:tcPr>
            <w:tcW w:w="5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(e)</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“shall” shall be construed as imperative and “may” shall be construed as permissive;</w:t>
            </w:r>
          </w:p>
        </w:tc>
      </w:tr>
      <w:tr>
        <w:trPr>
          <w:trHeight w:val="323"/>
        </w:trPr>
        <w:tc>
          <w:tcPr>
            <w:tcW w:w="5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(f)</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w w:val="96"/>
              </w:rPr>
              <w:t>references to provisions of any law or regulation shall be construed as references to those provisions as amended, modified,</w:t>
            </w:r>
          </w:p>
        </w:tc>
      </w:tr>
      <w:tr>
        <w:trPr>
          <w:trHeight w:val="230"/>
        </w:trPr>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re-enacted or replaced;</w:t>
            </w:r>
          </w:p>
        </w:tc>
        <w:tc>
          <w:tcPr>
            <w:tcW w:w="7540" w:type="dxa"/>
            <w:vAlign w:val="bottom"/>
          </w:tcPr>
          <w:p>
            <w:pPr>
              <w:spacing w:after="0"/>
              <w:rPr>
                <w:sz w:val="20"/>
                <w:szCs w:val="20"/>
                <w:color w:val="auto"/>
              </w:rPr>
            </w:pPr>
          </w:p>
        </w:tc>
      </w:tr>
      <w:tr>
        <w:trPr>
          <w:trHeight w:val="323"/>
        </w:trPr>
        <w:tc>
          <w:tcPr>
            <w:tcW w:w="5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(g)</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w w:val="92"/>
              </w:rPr>
              <w:t>any phrase introduced by the terms “including”, “include”, “in particular” or any similar expression shall be construed as illustrative</w:t>
            </w:r>
          </w:p>
        </w:tc>
      </w:tr>
      <w:tr>
        <w:trPr>
          <w:trHeight w:val="230"/>
        </w:trPr>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and shall not limit the sense of the words preceding those terms;</w:t>
            </w:r>
          </w:p>
        </w:tc>
      </w:tr>
      <w:tr>
        <w:trPr>
          <w:trHeight w:val="323"/>
        </w:trPr>
        <w:tc>
          <w:tcPr>
            <w:tcW w:w="5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(h)</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w w:val="92"/>
              </w:rPr>
              <w:t>the term “and/or” is used herein to mean both “and” as well as “or.” The use of “and/or” in certain contexts in no respects qualifies</w:t>
            </w: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w w:val="94"/>
              </w:rPr>
              <w:t>or modifies the use of the terms “and” or “or” in others. The term “or” shall not be interpreted to be exclusive and the term “and”</w:t>
            </w:r>
          </w:p>
        </w:tc>
      </w:tr>
      <w:tr>
        <w:trPr>
          <w:trHeight w:val="230"/>
        </w:trPr>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shall not be interpreted to require the conjunctive (in each case, unless the context otherwise requires);</w:t>
            </w:r>
          </w:p>
        </w:tc>
      </w:tr>
      <w:tr>
        <w:trPr>
          <w:trHeight w:val="338"/>
        </w:trPr>
        <w:tc>
          <w:tcPr>
            <w:tcW w:w="5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(i)</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headings are inserted for reference only and shall be ignored in construing the Articles;</w:t>
            </w:r>
          </w:p>
        </w:tc>
      </w:tr>
      <w:tr>
        <w:trPr>
          <w:trHeight w:val="338"/>
        </w:trPr>
        <w:tc>
          <w:tcPr>
            <w:tcW w:w="5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(j)</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any requirements as to delivery under the Articles include delivery in the form of an Electronic Record;</w:t>
            </w:r>
          </w:p>
        </w:tc>
      </w:tr>
    </w:tbl>
    <w:p>
      <w:pPr>
        <w:ind w:left="220"/>
        <w:spacing w:after="0"/>
        <w:rPr>
          <w:sz w:val="20"/>
          <w:szCs w:val="20"/>
          <w:color w:val="auto"/>
        </w:rPr>
        <w:sectPr>
          <w:pgSz w:w="11900" w:h="16838" w:orient="portrait"/>
          <w:cols w:equalWidth="0" w:num="1">
            <w:col w:w="10940"/>
          </w:cols>
          <w:pgMar w:left="440" w:top="270"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96" w:name="page197"/>
    <w:bookmarkEnd w:id="196"/>
    <w:p>
      <w:pPr>
        <w:ind w:left="1424" w:hanging="655"/>
        <w:spacing w:after="0" w:line="277" w:lineRule="auto"/>
        <w:tabs>
          <w:tab w:leader="none" w:pos="1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requirements as to execution or signature under the Articles including the execution of the Articles themselves can be satisfied in the form of an electronic signature as defined in the Electronic Transactions Act;</w:t>
      </w:r>
    </w:p>
    <w:p>
      <w:pPr>
        <w:spacing w:after="0" w:line="75" w:lineRule="exact"/>
        <w:rPr>
          <w:rFonts w:ascii="Arial" w:cs="Arial" w:eastAsia="Arial" w:hAnsi="Arial"/>
          <w:sz w:val="18"/>
          <w:szCs w:val="18"/>
          <w:color w:val="auto"/>
        </w:rPr>
      </w:pPr>
    </w:p>
    <w:p>
      <w:pPr>
        <w:ind w:left="1424" w:hanging="655"/>
        <w:spacing w:after="0"/>
        <w:tabs>
          <w:tab w:leader="none" w:pos="1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Act shall not apply;</w:t>
      </w:r>
    </w:p>
    <w:p>
      <w:pPr>
        <w:spacing w:after="0" w:line="130" w:lineRule="exact"/>
        <w:rPr>
          <w:rFonts w:ascii="Arial" w:cs="Arial" w:eastAsia="Arial" w:hAnsi="Arial"/>
          <w:sz w:val="18"/>
          <w:szCs w:val="18"/>
          <w:color w:val="auto"/>
        </w:rPr>
      </w:pPr>
    </w:p>
    <w:p>
      <w:pPr>
        <w:ind w:left="1424" w:right="80" w:hanging="655"/>
        <w:spacing w:after="0" w:line="277" w:lineRule="auto"/>
        <w:tabs>
          <w:tab w:leader="none" w:pos="1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75" w:lineRule="exact"/>
        <w:rPr>
          <w:rFonts w:ascii="Arial" w:cs="Arial" w:eastAsia="Arial" w:hAnsi="Arial"/>
          <w:sz w:val="18"/>
          <w:szCs w:val="18"/>
          <w:color w:val="auto"/>
        </w:rPr>
      </w:pPr>
    </w:p>
    <w:p>
      <w:pPr>
        <w:ind w:left="1424" w:right="400" w:hanging="655"/>
        <w:spacing w:after="0" w:line="277" w:lineRule="auto"/>
        <w:tabs>
          <w:tab w:leader="none" w:pos="1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term “holder” in relation to a Share means a person whose name is entered in the Register of Members as the holder of such Share.</w:t>
      </w:r>
    </w:p>
    <w:p>
      <w:pPr>
        <w:spacing w:after="0" w:line="315" w:lineRule="exact"/>
        <w:rPr>
          <w:sz w:val="20"/>
          <w:szCs w:val="20"/>
          <w:color w:val="auto"/>
        </w:rPr>
      </w:pPr>
    </w:p>
    <w:p>
      <w:pPr>
        <w:ind w:left="764" w:hanging="764"/>
        <w:spacing w:after="0"/>
        <w:tabs>
          <w:tab w:leader="none" w:pos="76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3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shall see fit.</w:t>
      </w:r>
    </w:p>
    <w:p>
      <w:pPr>
        <w:spacing w:after="0" w:line="131" w:lineRule="exact"/>
        <w:rPr>
          <w:sz w:val="20"/>
          <w:szCs w:val="20"/>
          <w:color w:val="auto"/>
        </w:rPr>
      </w:pPr>
    </w:p>
    <w:p>
      <w:pPr>
        <w:ind w:left="764" w:right="860" w:hanging="768"/>
        <w:spacing w:after="0" w:line="277" w:lineRule="auto"/>
        <w:tabs>
          <w:tab w:leader="none" w:pos="74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315" w:lineRule="exact"/>
        <w:rPr>
          <w:sz w:val="20"/>
          <w:szCs w:val="20"/>
          <w:color w:val="auto"/>
        </w:rPr>
      </w:pPr>
    </w:p>
    <w:p>
      <w:pPr>
        <w:ind w:left="764" w:hanging="764"/>
        <w:spacing w:after="0"/>
        <w:tabs>
          <w:tab w:leader="none" w:pos="76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 and other Securities</w:t>
      </w:r>
    </w:p>
    <w:p>
      <w:pPr>
        <w:spacing w:after="0" w:line="135" w:lineRule="exact"/>
        <w:rPr>
          <w:sz w:val="20"/>
          <w:szCs w:val="20"/>
          <w:color w:val="auto"/>
        </w:rPr>
      </w:pPr>
    </w:p>
    <w:p>
      <w:pPr>
        <w:ind w:left="764" w:right="20" w:hanging="768"/>
        <w:spacing w:after="0" w:line="290" w:lineRule="auto"/>
        <w:tabs>
          <w:tab w:leader="none" w:pos="74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w:t>
      </w:r>
    </w:p>
    <w:p>
      <w:pPr>
        <w:spacing w:after="0" w:line="71" w:lineRule="exact"/>
        <w:rPr>
          <w:sz w:val="20"/>
          <w:szCs w:val="20"/>
          <w:color w:val="auto"/>
        </w:rPr>
      </w:pPr>
    </w:p>
    <w:p>
      <w:pPr>
        <w:ind w:left="764" w:right="60" w:hanging="768"/>
        <w:spacing w:after="0" w:line="263" w:lineRule="auto"/>
        <w:tabs>
          <w:tab w:leader="none" w:pos="74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89" w:lineRule="exact"/>
        <w:rPr>
          <w:sz w:val="20"/>
          <w:szCs w:val="20"/>
          <w:color w:val="auto"/>
        </w:rPr>
      </w:pPr>
    </w:p>
    <w:p>
      <w:pPr>
        <w:jc w:val="both"/>
        <w:ind w:left="764" w:right="100" w:hanging="768"/>
        <w:spacing w:after="0" w:line="286" w:lineRule="auto"/>
        <w:tabs>
          <w:tab w:leader="none" w:pos="74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ectPr>
          <w:pgSz w:w="11900" w:h="16838" w:orient="portrait"/>
          <w:cols w:equalWidth="0" w:num="1">
            <w:col w:w="11004"/>
          </w:cols>
          <w:pgMar w:left="436" w:top="274" w:right="459" w:bottom="1440" w:gutter="0" w:footer="0" w:header="0"/>
        </w:sectPr>
      </w:pPr>
    </w:p>
    <w:bookmarkStart w:id="197" w:name="page198"/>
    <w:bookmarkEnd w:id="197"/>
    <w:p>
      <w:pPr>
        <w:ind w:left="4"/>
        <w:spacing w:after="0"/>
        <w:tabs>
          <w:tab w:leader="none" w:pos="7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3.4</w:t>
      </w:r>
      <w:r>
        <w:rPr>
          <w:sz w:val="20"/>
          <w:szCs w:val="20"/>
          <w:color w:val="auto"/>
        </w:rPr>
        <w:tab/>
      </w:r>
      <w:r>
        <w:rPr>
          <w:rFonts w:ascii="Arial" w:cs="Arial" w:eastAsia="Arial" w:hAnsi="Arial"/>
          <w:sz w:val="15"/>
          <w:szCs w:val="15"/>
          <w:color w:val="auto"/>
        </w:rPr>
        <w:t>The Company shall not issue Shares to bearer.</w:t>
      </w:r>
    </w:p>
    <w:p>
      <w:pPr>
        <w:spacing w:after="0" w:line="370" w:lineRule="exact"/>
        <w:rPr>
          <w:sz w:val="20"/>
          <w:szCs w:val="20"/>
          <w:color w:val="auto"/>
        </w:rPr>
      </w:pPr>
    </w:p>
    <w:p>
      <w:pPr>
        <w:ind w:left="764" w:hanging="764"/>
        <w:spacing w:after="0"/>
        <w:tabs>
          <w:tab w:leader="none" w:pos="76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3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Statute.</w:t>
      </w:r>
    </w:p>
    <w:p>
      <w:pPr>
        <w:spacing w:after="0" w:line="131" w:lineRule="exact"/>
        <w:rPr>
          <w:sz w:val="20"/>
          <w:szCs w:val="20"/>
          <w:color w:val="auto"/>
        </w:rPr>
      </w:pPr>
    </w:p>
    <w:p>
      <w:pPr>
        <w:jc w:val="both"/>
        <w:ind w:left="764" w:right="100" w:hanging="768"/>
        <w:spacing w:after="0" w:line="263" w:lineRule="auto"/>
        <w:tabs>
          <w:tab w:leader="none" w:pos="74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328" w:lineRule="exact"/>
        <w:rPr>
          <w:sz w:val="20"/>
          <w:szCs w:val="20"/>
          <w:color w:val="auto"/>
        </w:rPr>
      </w:pPr>
    </w:p>
    <w:p>
      <w:pPr>
        <w:ind w:left="764" w:hanging="764"/>
        <w:spacing w:after="0"/>
        <w:tabs>
          <w:tab w:leader="none" w:pos="76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or Fixing Record Date</w:t>
      </w:r>
    </w:p>
    <w:p>
      <w:pPr>
        <w:spacing w:after="0" w:line="135" w:lineRule="exact"/>
        <w:rPr>
          <w:sz w:val="20"/>
          <w:szCs w:val="20"/>
          <w:color w:val="auto"/>
        </w:rPr>
      </w:pPr>
    </w:p>
    <w:p>
      <w:pPr>
        <w:ind w:left="764" w:hanging="768"/>
        <w:spacing w:after="0" w:line="259" w:lineRule="auto"/>
        <w:tabs>
          <w:tab w:leader="none" w:pos="74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forty days.</w:t>
      </w:r>
    </w:p>
    <w:p>
      <w:pPr>
        <w:spacing w:after="0" w:line="92" w:lineRule="exact"/>
        <w:rPr>
          <w:sz w:val="20"/>
          <w:szCs w:val="20"/>
          <w:color w:val="auto"/>
        </w:rPr>
      </w:pPr>
    </w:p>
    <w:p>
      <w:pPr>
        <w:ind w:left="764" w:right="80" w:hanging="768"/>
        <w:spacing w:after="0" w:line="259" w:lineRule="auto"/>
        <w:tabs>
          <w:tab w:leader="none" w:pos="74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92" w:lineRule="exact"/>
        <w:rPr>
          <w:sz w:val="20"/>
          <w:szCs w:val="20"/>
          <w:color w:val="auto"/>
        </w:rPr>
      </w:pPr>
    </w:p>
    <w:p>
      <w:pPr>
        <w:ind w:left="764" w:right="80" w:hanging="768"/>
        <w:spacing w:after="0" w:line="275" w:lineRule="auto"/>
        <w:tabs>
          <w:tab w:leader="none" w:pos="74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321" w:lineRule="exact"/>
        <w:rPr>
          <w:sz w:val="20"/>
          <w:szCs w:val="20"/>
          <w:color w:val="auto"/>
        </w:rPr>
      </w:pPr>
    </w:p>
    <w:p>
      <w:pPr>
        <w:ind w:left="764" w:hanging="764"/>
        <w:spacing w:after="0"/>
        <w:tabs>
          <w:tab w:leader="none" w:pos="76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135" w:lineRule="exact"/>
        <w:rPr>
          <w:sz w:val="20"/>
          <w:szCs w:val="20"/>
          <w:color w:val="auto"/>
        </w:rPr>
      </w:pPr>
    </w:p>
    <w:p>
      <w:pPr>
        <w:ind w:left="764" w:right="80" w:hanging="768"/>
        <w:spacing w:after="0" w:line="293" w:lineRule="auto"/>
        <w:tabs>
          <w:tab w:leader="none" w:pos="74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ectPr>
          <w:pgSz w:w="11900" w:h="16838" w:orient="portrait"/>
          <w:cols w:equalWidth="0" w:num="1">
            <w:col w:w="10964"/>
          </w:cols>
          <w:pgMar w:left="436" w:top="274" w:right="499" w:bottom="1440" w:gutter="0" w:footer="0" w:header="0"/>
        </w:sectPr>
      </w:pPr>
    </w:p>
    <w:bookmarkStart w:id="198" w:name="page199"/>
    <w:bookmarkEnd w:id="198"/>
    <w:p>
      <w:pPr>
        <w:ind w:left="764" w:right="660" w:hanging="768"/>
        <w:spacing w:after="0" w:line="277" w:lineRule="auto"/>
        <w:tabs>
          <w:tab w:leader="none" w:pos="7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76" w:lineRule="exact"/>
        <w:rPr>
          <w:sz w:val="20"/>
          <w:szCs w:val="20"/>
          <w:color w:val="auto"/>
        </w:rPr>
      </w:pPr>
    </w:p>
    <w:p>
      <w:pPr>
        <w:jc w:val="both"/>
        <w:ind w:left="764" w:right="20" w:hanging="768"/>
        <w:spacing w:after="0" w:line="263" w:lineRule="auto"/>
        <w:tabs>
          <w:tab w:leader="none" w:pos="74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89"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Every share certificate sent in accordance with the Articles will be sent at the risk of the Member or other person entitled to the certificate.</w:t>
      </w:r>
    </w:p>
    <w:p>
      <w:pPr>
        <w:spacing w:after="0" w:line="23" w:lineRule="exact"/>
        <w:rPr>
          <w:sz w:val="20"/>
          <w:szCs w:val="20"/>
          <w:color w:val="auto"/>
        </w:rPr>
      </w:pPr>
    </w:p>
    <w:p>
      <w:pPr>
        <w:ind w:left="764"/>
        <w:spacing w:after="0"/>
        <w:rPr>
          <w:sz w:val="20"/>
          <w:szCs w:val="20"/>
          <w:color w:val="auto"/>
        </w:rPr>
      </w:pPr>
      <w:r>
        <w:rPr>
          <w:rFonts w:ascii="Arial" w:cs="Arial" w:eastAsia="Arial" w:hAnsi="Arial"/>
          <w:sz w:val="18"/>
          <w:szCs w:val="18"/>
          <w:color w:val="auto"/>
        </w:rPr>
        <w:t>The Company will not be responsible for any share certificate lost or delayed in the course of delivery.</w:t>
      </w:r>
    </w:p>
    <w:p>
      <w:pPr>
        <w:spacing w:after="0" w:line="355" w:lineRule="exact"/>
        <w:rPr>
          <w:sz w:val="20"/>
          <w:szCs w:val="20"/>
          <w:color w:val="auto"/>
        </w:rPr>
      </w:pPr>
    </w:p>
    <w:p>
      <w:pPr>
        <w:ind w:left="764" w:hanging="764"/>
        <w:spacing w:after="0"/>
        <w:tabs>
          <w:tab w:leader="none" w:pos="76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ind w:left="764" w:hanging="768"/>
        <w:spacing w:after="0" w:line="263" w:lineRule="auto"/>
        <w:tabs>
          <w:tab w:leader="none" w:pos="74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Article 3.1, Shares are transferable subject to the approval of the Directors by resolution who may, in their absolute discretion, decline to register any transfer of Shares without giving any reason. If the Directors refuse to register a transfer they shall notify the transferee within two months of such refusal.</w:t>
      </w:r>
    </w:p>
    <w:p>
      <w:pPr>
        <w:spacing w:after="0" w:line="89" w:lineRule="exact"/>
        <w:rPr>
          <w:sz w:val="20"/>
          <w:szCs w:val="20"/>
          <w:color w:val="auto"/>
        </w:rPr>
      </w:pPr>
    </w:p>
    <w:p>
      <w:pPr>
        <w:ind w:left="764" w:right="400" w:hanging="768"/>
        <w:spacing w:after="0" w:line="263" w:lineRule="auto"/>
        <w:tabs>
          <w:tab w:leader="none" w:pos="74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instrument of transfer of any Share shall be in writing and shall be executed by or on behalf of the transferor (and if the Directors so require, signed by or on behalf of the transferee). The transferor shall be deemed to remain the holder of a Share until the name of the transferee is entered in the Register of Members.</w:t>
      </w:r>
    </w:p>
    <w:p>
      <w:pPr>
        <w:spacing w:after="0" w:line="328" w:lineRule="exact"/>
        <w:rPr>
          <w:sz w:val="20"/>
          <w:szCs w:val="20"/>
          <w:color w:val="auto"/>
        </w:rPr>
      </w:pPr>
    </w:p>
    <w:p>
      <w:pPr>
        <w:ind w:left="764" w:hanging="764"/>
        <w:spacing w:after="0"/>
        <w:tabs>
          <w:tab w:leader="none" w:pos="76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Repurchase and Surrender of Shares</w:t>
      </w:r>
    </w:p>
    <w:p>
      <w:pPr>
        <w:spacing w:after="0" w:line="135" w:lineRule="exact"/>
        <w:rPr>
          <w:sz w:val="20"/>
          <w:szCs w:val="20"/>
          <w:color w:val="auto"/>
        </w:rPr>
      </w:pPr>
    </w:p>
    <w:p>
      <w:pPr>
        <w:jc w:val="both"/>
        <w:ind w:left="764" w:right="220" w:hanging="768"/>
        <w:spacing w:after="0" w:line="263" w:lineRule="auto"/>
        <w:tabs>
          <w:tab w:leader="none" w:pos="74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the Shares.</w:t>
      </w:r>
    </w:p>
    <w:p>
      <w:pPr>
        <w:spacing w:after="0" w:line="89" w:lineRule="exact"/>
        <w:rPr>
          <w:sz w:val="20"/>
          <w:szCs w:val="20"/>
          <w:color w:val="auto"/>
        </w:rPr>
      </w:pPr>
    </w:p>
    <w:p>
      <w:pPr>
        <w:ind w:left="764" w:right="20" w:hanging="768"/>
        <w:spacing w:after="0" w:line="277" w:lineRule="auto"/>
        <w:tabs>
          <w:tab w:leader="none" w:pos="74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the Company may purchase its own Shares (including any redeemable Shares) in such manner and on such other terms as the Directors may agree with the relevant Member.</w:t>
      </w:r>
    </w:p>
    <w:p>
      <w:pPr>
        <w:spacing w:after="0" w:line="76" w:lineRule="exact"/>
        <w:rPr>
          <w:sz w:val="20"/>
          <w:szCs w:val="20"/>
          <w:color w:val="auto"/>
        </w:rPr>
      </w:pPr>
    </w:p>
    <w:p>
      <w:pPr>
        <w:ind w:left="764" w:right="500" w:hanging="768"/>
        <w:spacing w:after="0" w:line="277" w:lineRule="auto"/>
        <w:tabs>
          <w:tab w:leader="none" w:pos="74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76"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ectPr>
          <w:pgSz w:w="11900" w:h="16838" w:orient="portrait"/>
          <w:cols w:equalWidth="0" w:num="1">
            <w:col w:w="10984"/>
          </w:cols>
          <w:pgMar w:left="436" w:top="274" w:right="479" w:bottom="1440" w:gutter="0" w:footer="0" w:header="0"/>
        </w:sectPr>
      </w:pPr>
    </w:p>
    <w:bookmarkStart w:id="199" w:name="page200"/>
    <w:bookmarkEnd w:id="199"/>
    <w:p>
      <w:pPr>
        <w:ind w:left="764" w:hanging="764"/>
        <w:spacing w:after="0"/>
        <w:tabs>
          <w:tab w:leader="none" w:pos="76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Treasury Shares</w:t>
      </w:r>
    </w:p>
    <w:p>
      <w:pPr>
        <w:spacing w:after="0" w:line="13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131" w:lineRule="exact"/>
        <w:rPr>
          <w:sz w:val="20"/>
          <w:szCs w:val="20"/>
          <w:color w:val="auto"/>
        </w:rPr>
      </w:pPr>
    </w:p>
    <w:p>
      <w:pPr>
        <w:ind w:left="764" w:right="160" w:hanging="768"/>
        <w:spacing w:after="0" w:line="277" w:lineRule="auto"/>
        <w:tabs>
          <w:tab w:leader="none" w:pos="74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31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Variation of Rights of Shares</w:t>
      </w:r>
    </w:p>
    <w:p>
      <w:pPr>
        <w:spacing w:after="0" w:line="135" w:lineRule="exact"/>
        <w:rPr>
          <w:sz w:val="20"/>
          <w:szCs w:val="20"/>
          <w:color w:val="auto"/>
        </w:rPr>
      </w:pPr>
    </w:p>
    <w:p>
      <w:pPr>
        <w:ind w:left="764" w:right="40" w:hanging="768"/>
        <w:spacing w:after="0" w:line="269" w:lineRule="auto"/>
        <w:tabs>
          <w:tab w:leader="none" w:pos="74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 xml:space="preserve">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91" w:lineRule="exact"/>
        <w:rPr>
          <w:sz w:val="20"/>
          <w:szCs w:val="20"/>
          <w:color w:val="auto"/>
        </w:rPr>
      </w:pPr>
    </w:p>
    <w:p>
      <w:pPr>
        <w:jc w:val="both"/>
        <w:ind w:left="764" w:hanging="768"/>
        <w:spacing w:after="0" w:line="263" w:lineRule="auto"/>
        <w:tabs>
          <w:tab w:leader="none" w:pos="74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89" w:lineRule="exact"/>
        <w:rPr>
          <w:sz w:val="20"/>
          <w:szCs w:val="20"/>
          <w:color w:val="auto"/>
        </w:rPr>
      </w:pPr>
    </w:p>
    <w:p>
      <w:pPr>
        <w:ind w:left="764" w:right="60" w:hanging="768"/>
        <w:spacing w:after="0" w:line="263" w:lineRule="auto"/>
        <w:tabs>
          <w:tab w:leader="none" w:pos="744"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328" w:lineRule="exact"/>
        <w:rPr>
          <w:sz w:val="20"/>
          <w:szCs w:val="20"/>
          <w:color w:val="auto"/>
        </w:rPr>
      </w:pPr>
    </w:p>
    <w:p>
      <w:pPr>
        <w:ind w:left="764" w:hanging="764"/>
        <w:spacing w:after="0"/>
        <w:tabs>
          <w:tab w:leader="none" w:pos="764"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121" w:lineRule="exact"/>
        <w:rPr>
          <w:rFonts w:ascii="Arial" w:cs="Arial" w:eastAsia="Arial" w:hAnsi="Arial"/>
          <w:sz w:val="18"/>
          <w:szCs w:val="18"/>
          <w:b w:val="1"/>
          <w:bCs w:val="1"/>
          <w:color w:val="auto"/>
        </w:rPr>
      </w:pPr>
    </w:p>
    <w:p>
      <w:pPr>
        <w:ind w:left="764"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ectPr>
          <w:pgSz w:w="11900" w:h="16838" w:orient="portrait"/>
          <w:cols w:equalWidth="0" w:num="1">
            <w:col w:w="10984"/>
          </w:cols>
          <w:pgMar w:left="436" w:top="270" w:right="479" w:bottom="1440" w:gutter="0" w:footer="0" w:header="0"/>
        </w:sectPr>
      </w:pPr>
    </w:p>
    <w:bookmarkStart w:id="200" w:name="page201"/>
    <w:bookmarkEnd w:id="200"/>
    <w:p>
      <w:pPr>
        <w:ind w:left="764" w:hanging="764"/>
        <w:spacing w:after="0"/>
        <w:tabs>
          <w:tab w:leader="none" w:pos="76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 Recognition of Trusts</w:t>
      </w:r>
    </w:p>
    <w:p>
      <w:pPr>
        <w:spacing w:after="0" w:line="121" w:lineRule="exact"/>
        <w:rPr>
          <w:rFonts w:ascii="Arial" w:cs="Arial" w:eastAsia="Arial" w:hAnsi="Arial"/>
          <w:sz w:val="18"/>
          <w:szCs w:val="18"/>
          <w:b w:val="1"/>
          <w:bCs w:val="1"/>
          <w:color w:val="auto"/>
        </w:rPr>
      </w:pPr>
    </w:p>
    <w:p>
      <w:pPr>
        <w:ind w:left="764"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328" w:lineRule="exact"/>
        <w:rPr>
          <w:rFonts w:ascii="Arial" w:cs="Arial" w:eastAsia="Arial" w:hAnsi="Arial"/>
          <w:sz w:val="18"/>
          <w:szCs w:val="18"/>
          <w:b w:val="1"/>
          <w:bCs w:val="1"/>
          <w:color w:val="auto"/>
        </w:rPr>
      </w:pPr>
    </w:p>
    <w:p>
      <w:pPr>
        <w:ind w:left="764" w:hanging="764"/>
        <w:spacing w:after="0"/>
        <w:tabs>
          <w:tab w:leader="none" w:pos="76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Lien on Shares</w:t>
      </w:r>
    </w:p>
    <w:p>
      <w:pPr>
        <w:spacing w:after="0" w:line="135" w:lineRule="exact"/>
        <w:rPr>
          <w:sz w:val="20"/>
          <w:szCs w:val="20"/>
          <w:color w:val="auto"/>
        </w:rPr>
      </w:pPr>
    </w:p>
    <w:p>
      <w:pPr>
        <w:ind w:left="764" w:right="60" w:hanging="768"/>
        <w:spacing w:after="0" w:line="296" w:lineRule="auto"/>
        <w:tabs>
          <w:tab w:leader="none" w:pos="74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67" w:lineRule="exact"/>
        <w:rPr>
          <w:sz w:val="20"/>
          <w:szCs w:val="20"/>
          <w:color w:val="auto"/>
        </w:rPr>
      </w:pPr>
    </w:p>
    <w:p>
      <w:pPr>
        <w:ind w:left="764" w:right="100" w:hanging="768"/>
        <w:spacing w:after="0" w:line="259" w:lineRule="auto"/>
        <w:tabs>
          <w:tab w:leader="none" w:pos="744"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92" w:lineRule="exact"/>
        <w:rPr>
          <w:sz w:val="20"/>
          <w:szCs w:val="20"/>
          <w:color w:val="auto"/>
        </w:rPr>
      </w:pPr>
    </w:p>
    <w:p>
      <w:pPr>
        <w:ind w:left="764" w:hanging="768"/>
        <w:spacing w:after="0" w:line="279" w:lineRule="auto"/>
        <w:tabs>
          <w:tab w:leader="none" w:pos="744"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77" w:lineRule="exact"/>
        <w:rPr>
          <w:sz w:val="20"/>
          <w:szCs w:val="20"/>
          <w:color w:val="auto"/>
        </w:rPr>
      </w:pPr>
    </w:p>
    <w:p>
      <w:pPr>
        <w:ind w:left="764" w:hanging="768"/>
        <w:spacing w:after="0" w:line="263" w:lineRule="auto"/>
        <w:tabs>
          <w:tab w:leader="none" w:pos="744"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32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Call on Shares</w:t>
      </w:r>
    </w:p>
    <w:p>
      <w:pPr>
        <w:spacing w:after="0" w:line="135" w:lineRule="exact"/>
        <w:rPr>
          <w:sz w:val="20"/>
          <w:szCs w:val="20"/>
          <w:color w:val="auto"/>
        </w:rPr>
      </w:pPr>
    </w:p>
    <w:p>
      <w:pPr>
        <w:ind w:left="764" w:hanging="768"/>
        <w:spacing w:after="0" w:line="255" w:lineRule="auto"/>
        <w:tabs>
          <w:tab w:leader="none" w:pos="74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ectPr>
          <w:pgSz w:w="11900" w:h="16838" w:orient="portrait"/>
          <w:cols w:equalWidth="0" w:num="1">
            <w:col w:w="10984"/>
          </w:cols>
          <w:pgMar w:left="436" w:top="270" w:right="479" w:bottom="1440" w:gutter="0" w:footer="0" w:header="0"/>
        </w:sectPr>
      </w:pPr>
    </w:p>
    <w:bookmarkStart w:id="201" w:name="page202"/>
    <w:bookmarkEnd w:id="201"/>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14.2</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such call was passed.</w:t>
      </w:r>
    </w:p>
    <w:p>
      <w:pPr>
        <w:spacing w:after="0" w:line="1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w:t>
      </w:r>
    </w:p>
    <w:p>
      <w:pPr>
        <w:spacing w:after="0" w:line="131" w:lineRule="exact"/>
        <w:rPr>
          <w:sz w:val="20"/>
          <w:szCs w:val="20"/>
          <w:color w:val="auto"/>
        </w:rPr>
      </w:pPr>
    </w:p>
    <w:p>
      <w:pPr>
        <w:jc w:val="both"/>
        <w:ind w:left="760" w:hanging="768"/>
        <w:spacing w:after="0" w:line="311" w:lineRule="auto"/>
        <w:tabs>
          <w:tab w:leader="none" w:pos="7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54" w:lineRule="exact"/>
        <w:rPr>
          <w:sz w:val="20"/>
          <w:szCs w:val="20"/>
          <w:color w:val="auto"/>
        </w:rPr>
      </w:pPr>
    </w:p>
    <w:p>
      <w:pPr>
        <w:ind w:left="760" w:right="420" w:hanging="768"/>
        <w:spacing w:after="0" w:line="263" w:lineRule="auto"/>
        <w:tabs>
          <w:tab w:leader="none" w:pos="7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The Directors may issue Shares with different terms as to the amount and times of payment of calls, or the interest to be paid.</w:t>
      </w:r>
    </w:p>
    <w:p>
      <w:pPr>
        <w:spacing w:after="0" w:line="131" w:lineRule="exact"/>
        <w:rPr>
          <w:sz w:val="20"/>
          <w:szCs w:val="20"/>
          <w:color w:val="auto"/>
        </w:rPr>
      </w:pPr>
    </w:p>
    <w:p>
      <w:pPr>
        <w:ind w:left="760" w:right="20" w:hanging="768"/>
        <w:spacing w:after="0" w:line="263" w:lineRule="auto"/>
        <w:tabs>
          <w:tab w:leader="none" w:pos="7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89" w:lineRule="exact"/>
        <w:rPr>
          <w:sz w:val="20"/>
          <w:szCs w:val="20"/>
          <w:color w:val="auto"/>
        </w:rPr>
      </w:pPr>
    </w:p>
    <w:p>
      <w:pPr>
        <w:ind w:left="760" w:right="440" w:hanging="768"/>
        <w:spacing w:after="0" w:line="342" w:lineRule="auto"/>
        <w:tabs>
          <w:tab w:leader="none" w:pos="7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2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Forfeiture of Shares</w:t>
      </w:r>
    </w:p>
    <w:p>
      <w:pPr>
        <w:spacing w:after="0" w:line="135" w:lineRule="exact"/>
        <w:rPr>
          <w:sz w:val="20"/>
          <w:szCs w:val="20"/>
          <w:color w:val="auto"/>
        </w:rPr>
      </w:pPr>
    </w:p>
    <w:p>
      <w:pPr>
        <w:jc w:val="both"/>
        <w:ind w:left="760" w:right="80" w:hanging="768"/>
        <w:spacing w:after="0" w:line="301" w:lineRule="auto"/>
        <w:tabs>
          <w:tab w:leader="none" w:pos="7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63" w:lineRule="exact"/>
        <w:rPr>
          <w:sz w:val="20"/>
          <w:szCs w:val="20"/>
          <w:color w:val="auto"/>
        </w:rPr>
      </w:pPr>
    </w:p>
    <w:p>
      <w:pPr>
        <w:jc w:val="both"/>
        <w:ind w:left="760" w:right="40" w:hanging="768"/>
        <w:spacing w:after="0" w:line="263" w:lineRule="auto"/>
        <w:tabs>
          <w:tab w:leader="none" w:pos="7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ectPr>
          <w:pgSz w:w="11900" w:h="16838" w:orient="portrait"/>
          <w:cols w:equalWidth="0" w:num="1">
            <w:col w:w="11000"/>
          </w:cols>
          <w:pgMar w:left="440" w:top="274" w:right="459" w:bottom="1440" w:gutter="0" w:footer="0" w:header="0"/>
        </w:sectPr>
      </w:pPr>
    </w:p>
    <w:bookmarkStart w:id="202" w:name="page203"/>
    <w:bookmarkEnd w:id="202"/>
    <w:p>
      <w:pPr>
        <w:ind w:left="760" w:hanging="768"/>
        <w:spacing w:after="0" w:line="259"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15.3</w:t>
      </w:r>
      <w:r>
        <w:rPr>
          <w:sz w:val="20"/>
          <w:szCs w:val="20"/>
          <w:color w:val="auto"/>
        </w:rPr>
        <w:tab/>
      </w:r>
      <w:r>
        <w:rPr>
          <w:rFonts w:ascii="Arial" w:cs="Arial" w:eastAsia="Arial" w:hAnsi="Arial"/>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92" w:lineRule="exact"/>
        <w:rPr>
          <w:sz w:val="20"/>
          <w:szCs w:val="20"/>
          <w:color w:val="auto"/>
        </w:rPr>
      </w:pPr>
    </w:p>
    <w:p>
      <w:pPr>
        <w:ind w:left="760" w:right="280" w:hanging="768"/>
        <w:spacing w:after="0" w:line="257" w:lineRule="auto"/>
        <w:tabs>
          <w:tab w:leader="none" w:pos="7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93" w:lineRule="exact"/>
        <w:rPr>
          <w:sz w:val="20"/>
          <w:szCs w:val="20"/>
          <w:color w:val="auto"/>
        </w:rPr>
      </w:pPr>
    </w:p>
    <w:p>
      <w:pPr>
        <w:ind w:left="760" w:right="140" w:hanging="768"/>
        <w:spacing w:after="0" w:line="275" w:lineRule="auto"/>
        <w:tabs>
          <w:tab w:leader="none" w:pos="7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color w:val="auto"/>
        </w:rPr>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82" w:lineRule="exact"/>
        <w:rPr>
          <w:sz w:val="20"/>
          <w:szCs w:val="20"/>
          <w:color w:val="auto"/>
        </w:rPr>
      </w:pPr>
    </w:p>
    <w:p>
      <w:pPr>
        <w:ind w:left="760" w:right="20" w:hanging="768"/>
        <w:spacing w:after="0" w:line="263" w:lineRule="auto"/>
        <w:tabs>
          <w:tab w:leader="none" w:pos="7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Transmission of Shares</w:t>
      </w:r>
    </w:p>
    <w:p>
      <w:pPr>
        <w:spacing w:after="0" w:line="135" w:lineRule="exact"/>
        <w:rPr>
          <w:sz w:val="20"/>
          <w:szCs w:val="20"/>
          <w:color w:val="auto"/>
        </w:rPr>
      </w:pPr>
    </w:p>
    <w:p>
      <w:pPr>
        <w:ind w:left="760" w:right="260" w:hanging="768"/>
        <w:spacing w:after="0" w:line="263" w:lineRule="auto"/>
        <w:tabs>
          <w:tab w:leader="none" w:pos="7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89" w:lineRule="exact"/>
        <w:rPr>
          <w:sz w:val="20"/>
          <w:szCs w:val="20"/>
          <w:color w:val="auto"/>
        </w:rPr>
      </w:pPr>
    </w:p>
    <w:p>
      <w:pPr>
        <w:ind w:left="760" w:hanging="768"/>
        <w:spacing w:after="0" w:line="293" w:lineRule="auto"/>
        <w:tabs>
          <w:tab w:leader="none" w:pos="7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ectPr>
          <w:pgSz w:w="11900" w:h="16838" w:orient="portrait"/>
          <w:cols w:equalWidth="0" w:num="1">
            <w:col w:w="11000"/>
          </w:cols>
          <w:pgMar w:left="440" w:top="274" w:right="459" w:bottom="1440" w:gutter="0" w:footer="0" w:header="0"/>
        </w:sectPr>
      </w:pPr>
    </w:p>
    <w:bookmarkStart w:id="203" w:name="page204"/>
    <w:bookmarkEnd w:id="203"/>
    <w:p>
      <w:pPr>
        <w:ind w:left="760" w:hanging="768"/>
        <w:spacing w:after="0" w:line="269"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16.3</w:t>
      </w:r>
      <w:r>
        <w:rPr>
          <w:sz w:val="20"/>
          <w:szCs w:val="20"/>
          <w:color w:val="auto"/>
        </w:rPr>
        <w:tab/>
      </w:r>
      <w:r>
        <w:rPr>
          <w:rFonts w:ascii="Arial" w:cs="Arial" w:eastAsia="Arial" w:hAnsi="Arial"/>
          <w:sz w:val="17"/>
          <w:szCs w:val="17"/>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33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Class B Ordinary Share Conversion</w:t>
      </w:r>
    </w:p>
    <w:p>
      <w:pPr>
        <w:spacing w:after="0" w:line="135" w:lineRule="exact"/>
        <w:rPr>
          <w:sz w:val="20"/>
          <w:szCs w:val="20"/>
          <w:color w:val="auto"/>
        </w:rPr>
      </w:pPr>
    </w:p>
    <w:p>
      <w:pPr>
        <w:ind w:left="760" w:right="220" w:hanging="768"/>
        <w:spacing w:after="0" w:line="342" w:lineRule="auto"/>
        <w:tabs>
          <w:tab w:leader="none" w:pos="7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 xml:space="preserve">The rights attaching to all Shares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all respects, and the Class A Shares and Class B Shares shall vote together as a single class on all matters with the exception that the holder of a Class B Share shall have the Conversion Rights referred to in this Article.</w:t>
      </w:r>
    </w:p>
    <w:p>
      <w:pPr>
        <w:spacing w:after="0" w:line="25" w:lineRule="exact"/>
        <w:rPr>
          <w:sz w:val="20"/>
          <w:szCs w:val="20"/>
          <w:color w:val="auto"/>
        </w:rPr>
      </w:pPr>
    </w:p>
    <w:p>
      <w:pPr>
        <w:jc w:val="center"/>
        <w:ind w:right="140"/>
        <w:spacing w:after="0" w:line="312" w:lineRule="auto"/>
        <w:rPr>
          <w:sz w:val="20"/>
          <w:szCs w:val="20"/>
          <w:color w:val="auto"/>
        </w:rPr>
      </w:pPr>
      <w:r>
        <w:rPr>
          <w:rFonts w:ascii="Arial" w:cs="Arial" w:eastAsia="Arial" w:hAnsi="Arial"/>
          <w:sz w:val="17"/>
          <w:szCs w:val="17"/>
          <w:color w:val="auto"/>
        </w:rPr>
        <w:t>17.2     Class B Shares shall automatically convert into Class A Shares on a one-for-one basis (the “</w:t>
      </w:r>
      <w:r>
        <w:rPr>
          <w:rFonts w:ascii="Arial" w:cs="Arial" w:eastAsia="Arial" w:hAnsi="Arial"/>
          <w:sz w:val="17"/>
          <w:szCs w:val="17"/>
          <w:b w:val="1"/>
          <w:bCs w:val="1"/>
          <w:color w:val="auto"/>
        </w:rPr>
        <w:t>Initial Conversion Ratio</w:t>
      </w:r>
      <w:r>
        <w:rPr>
          <w:rFonts w:ascii="Arial" w:cs="Arial" w:eastAsia="Arial" w:hAnsi="Arial"/>
          <w:sz w:val="17"/>
          <w:szCs w:val="17"/>
          <w:color w:val="auto"/>
        </w:rPr>
        <w:t>”): (a) at any time and from time to time at the option of the holder thereof; and (b) automatically on the day of the closing of a Business Combination.</w:t>
      </w:r>
    </w:p>
    <w:p>
      <w:pPr>
        <w:spacing w:after="0" w:line="49" w:lineRule="exact"/>
        <w:rPr>
          <w:sz w:val="20"/>
          <w:szCs w:val="20"/>
          <w:color w:val="auto"/>
        </w:rPr>
      </w:pPr>
    </w:p>
    <w:p>
      <w:pPr>
        <w:ind w:left="760" w:right="80" w:hanging="768"/>
        <w:spacing w:after="0" w:line="290" w:lineRule="auto"/>
        <w:tabs>
          <w:tab w:leader="none" w:pos="7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Notwithstanding the Initial Conversion Ratio, in the case that additional Class A Shares or any other Equity-linked Securities, are issued or deemed issued in excess of the amounts offered in the IPO and related to the closing of a Business Combination, all Class B Shares in issue shall automatically convert into Class A Shares at the time of the closing of a Business Combination at a ratio for which the Class B Shares shall convert into Class A Shares will be adjusted (unless the holders of a majority of the Class B Shares in issue agree to waive such anti-dilution adjustment with respect to any such issuance or deemed issuance) so that the number of Class A Shares issuable upon conversion of all Class B Shares will equal, in the aggregate, 20 per cent of the sum of all Class A Shares and Class B Shares in issue upon completion of the IPO plus all Class A Shares and Equity-linked Securities issued or deemed issued in connection with a Business Combination, excluding any Shares or Equity-linked Securities issued, or to be issued, to any seller in a Business Combination.</w:t>
      </w:r>
    </w:p>
    <w:p>
      <w:pPr>
        <w:spacing w:after="0" w:line="71" w:lineRule="exact"/>
        <w:rPr>
          <w:sz w:val="20"/>
          <w:szCs w:val="20"/>
          <w:color w:val="auto"/>
        </w:rPr>
      </w:pPr>
    </w:p>
    <w:p>
      <w:pPr>
        <w:ind w:left="760" w:right="40" w:hanging="768"/>
        <w:spacing w:after="0" w:line="259" w:lineRule="auto"/>
        <w:tabs>
          <w:tab w:leader="none" w:pos="7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92" w:lineRule="exact"/>
        <w:rPr>
          <w:sz w:val="20"/>
          <w:szCs w:val="20"/>
          <w:color w:val="auto"/>
        </w:rPr>
      </w:pPr>
    </w:p>
    <w:p>
      <w:pPr>
        <w:ind w:left="760" w:right="40" w:hanging="768"/>
        <w:spacing w:after="0" w:line="275" w:lineRule="auto"/>
        <w:tabs>
          <w:tab w:leader="none" w:pos="7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ectPr>
          <w:pgSz w:w="11900" w:h="16838" w:orient="portrait"/>
          <w:cols w:equalWidth="0" w:num="1">
            <w:col w:w="10960"/>
          </w:cols>
          <w:pgMar w:left="440" w:top="274" w:right="499" w:bottom="1440" w:gutter="0" w:footer="0" w:header="0"/>
        </w:sectPr>
      </w:pPr>
    </w:p>
    <w:bookmarkStart w:id="204" w:name="page205"/>
    <w:bookmarkEnd w:id="204"/>
    <w:p>
      <w:pPr>
        <w:ind w:left="760" w:hanging="768"/>
        <w:spacing w:after="0" w:line="257"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17.6</w:t>
      </w:r>
      <w:r>
        <w:rPr>
          <w:sz w:val="20"/>
          <w:szCs w:val="20"/>
          <w:color w:val="auto"/>
        </w:rPr>
        <w:tab/>
      </w:r>
      <w:r>
        <w:rPr>
          <w:rFonts w:ascii="Arial" w:cs="Arial" w:eastAsia="Arial" w:hAnsi="Arial"/>
          <w:sz w:val="18"/>
          <w:szCs w:val="18"/>
          <w:color w:val="auto"/>
        </w:rPr>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89" w:lineRule="exact"/>
        <w:rPr>
          <w:sz w:val="20"/>
          <w:szCs w:val="20"/>
          <w:color w:val="auto"/>
        </w:rPr>
      </w:pPr>
    </w:p>
    <w:p>
      <w:pPr>
        <w:ind w:left="760" w:right="40" w:hanging="768"/>
        <w:spacing w:after="0" w:line="256" w:lineRule="auto"/>
        <w:tabs>
          <w:tab w:leader="none" w:pos="7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References in this Article to “</w:t>
      </w:r>
      <w:r>
        <w:rPr>
          <w:rFonts w:ascii="Arial" w:cs="Arial" w:eastAsia="Arial" w:hAnsi="Arial"/>
          <w:sz w:val="18"/>
          <w:szCs w:val="18"/>
          <w:b w:val="1"/>
          <w:bCs w:val="1"/>
          <w:color w:val="auto"/>
        </w:rPr>
        <w:t>converted</w:t>
      </w:r>
      <w:r>
        <w:rPr>
          <w:rFonts w:ascii="Arial" w:cs="Arial" w:eastAsia="Arial" w:hAnsi="Arial"/>
          <w:sz w:val="18"/>
          <w:szCs w:val="18"/>
          <w:color w:val="auto"/>
        </w:rPr>
        <w:t>”, “</w:t>
      </w:r>
      <w:r>
        <w:rPr>
          <w:rFonts w:ascii="Arial" w:cs="Arial" w:eastAsia="Arial" w:hAnsi="Arial"/>
          <w:sz w:val="18"/>
          <w:szCs w:val="18"/>
          <w:b w:val="1"/>
          <w:bCs w:val="1"/>
          <w:color w:val="auto"/>
        </w:rPr>
        <w:t>conversion</w:t>
      </w:r>
      <w:r>
        <w:rPr>
          <w:rFonts w:ascii="Arial" w:cs="Arial" w:eastAsia="Arial" w:hAnsi="Arial"/>
          <w:sz w:val="18"/>
          <w:szCs w:val="18"/>
          <w:color w:val="auto"/>
        </w:rPr>
        <w:t>” or “</w:t>
      </w:r>
      <w:r>
        <w:rPr>
          <w:rFonts w:ascii="Arial" w:cs="Arial" w:eastAsia="Arial" w:hAnsi="Arial"/>
          <w:sz w:val="18"/>
          <w:szCs w:val="18"/>
          <w:b w:val="1"/>
          <w:bCs w:val="1"/>
          <w:color w:val="auto"/>
        </w:rPr>
        <w:t>exchange</w:t>
      </w:r>
      <w:r>
        <w:rPr>
          <w:rFonts w:ascii="Arial" w:cs="Arial" w:eastAsia="Arial" w:hAnsi="Arial"/>
          <w:sz w:val="18"/>
          <w:szCs w:val="18"/>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97" w:lineRule="exact"/>
        <w:rPr>
          <w:sz w:val="20"/>
          <w:szCs w:val="20"/>
          <w:color w:val="auto"/>
        </w:rPr>
      </w:pPr>
    </w:p>
    <w:p>
      <w:pPr>
        <w:ind w:left="760" w:right="40" w:hanging="768"/>
        <w:spacing w:after="0" w:line="277" w:lineRule="auto"/>
        <w:tabs>
          <w:tab w:leader="none" w:pos="74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Notwithstanding anything to the contrary in this Article, in no event may any Class B Share convert into Class A Shares at a ratio that is less than one-for-one.</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Amendments of Memorandum and Articles of Association and Alteration of Capital</w:t>
      </w:r>
    </w:p>
    <w:p>
      <w:pPr>
        <w:spacing w:after="0" w:line="13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Company may by Ordinary Resolution:</w:t>
      </w:r>
    </w:p>
    <w:p>
      <w:pPr>
        <w:spacing w:after="0" w:line="131" w:lineRule="exact"/>
        <w:rPr>
          <w:sz w:val="20"/>
          <w:szCs w:val="20"/>
          <w:color w:val="auto"/>
        </w:rPr>
      </w:pPr>
    </w:p>
    <w:p>
      <w:pPr>
        <w:ind w:left="1420" w:right="440" w:hanging="655"/>
        <w:spacing w:after="0" w:line="277" w:lineRule="auto"/>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75" w:lineRule="exact"/>
        <w:rPr>
          <w:rFonts w:ascii="Arial" w:cs="Arial" w:eastAsia="Arial" w:hAnsi="Arial"/>
          <w:sz w:val="18"/>
          <w:szCs w:val="18"/>
          <w:color w:val="auto"/>
        </w:rPr>
      </w:pPr>
    </w:p>
    <w:p>
      <w:pPr>
        <w:ind w:left="1420" w:hanging="655"/>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30" w:lineRule="exact"/>
        <w:rPr>
          <w:rFonts w:ascii="Arial" w:cs="Arial" w:eastAsia="Arial" w:hAnsi="Arial"/>
          <w:sz w:val="18"/>
          <w:szCs w:val="18"/>
          <w:color w:val="auto"/>
        </w:rPr>
      </w:pPr>
    </w:p>
    <w:p>
      <w:pPr>
        <w:ind w:left="1420" w:hanging="655"/>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130" w:lineRule="exact"/>
        <w:rPr>
          <w:rFonts w:ascii="Arial" w:cs="Arial" w:eastAsia="Arial" w:hAnsi="Arial"/>
          <w:sz w:val="18"/>
          <w:szCs w:val="18"/>
          <w:color w:val="auto"/>
        </w:rPr>
      </w:pPr>
    </w:p>
    <w:p>
      <w:pPr>
        <w:ind w:left="1420" w:right="180" w:hanging="655"/>
        <w:spacing w:after="0" w:line="277" w:lineRule="auto"/>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75" w:lineRule="exact"/>
        <w:rPr>
          <w:rFonts w:ascii="Arial" w:cs="Arial" w:eastAsia="Arial" w:hAnsi="Arial"/>
          <w:sz w:val="18"/>
          <w:szCs w:val="18"/>
          <w:color w:val="auto"/>
        </w:rPr>
      </w:pPr>
    </w:p>
    <w:p>
      <w:pPr>
        <w:ind w:left="1420" w:hanging="655"/>
        <w:spacing w:after="0" w:line="277" w:lineRule="auto"/>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ectPr>
          <w:pgSz w:w="11900" w:h="16838" w:orient="portrait"/>
          <w:cols w:equalWidth="0" w:num="1">
            <w:col w:w="10920"/>
          </w:cols>
          <w:pgMar w:left="440" w:top="274" w:right="539" w:bottom="1440" w:gutter="0" w:footer="0" w:header="0"/>
        </w:sectPr>
      </w:pPr>
    </w:p>
    <w:bookmarkStart w:id="205" w:name="page206"/>
    <w:bookmarkEnd w:id="205"/>
    <w:p>
      <w:pPr>
        <w:ind w:left="764" w:right="100" w:hanging="768"/>
        <w:spacing w:after="0" w:line="308" w:lineRule="auto"/>
        <w:tabs>
          <w:tab w:leader="none" w:pos="7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18.2</w:t>
      </w:r>
      <w:r>
        <w:rPr>
          <w:sz w:val="20"/>
          <w:szCs w:val="20"/>
          <w:color w:val="auto"/>
        </w:rPr>
        <w:tab/>
      </w:r>
      <w:r>
        <w:rPr>
          <w:rFonts w:ascii="Arial" w:cs="Arial" w:eastAsia="Arial" w:hAnsi="Arial"/>
          <w:sz w:val="17"/>
          <w:szCs w:val="17"/>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5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Subject to the provisions of the Statute and the provisions of the Articles as regards the matters to be dealt with by Ordinary Resolution, the</w:t>
      </w:r>
    </w:p>
    <w:p>
      <w:pPr>
        <w:spacing w:after="0" w:line="23" w:lineRule="exact"/>
        <w:rPr>
          <w:sz w:val="20"/>
          <w:szCs w:val="20"/>
          <w:color w:val="auto"/>
        </w:rPr>
      </w:pPr>
    </w:p>
    <w:p>
      <w:pPr>
        <w:ind w:left="764"/>
        <w:spacing w:after="0"/>
        <w:rPr>
          <w:sz w:val="20"/>
          <w:szCs w:val="20"/>
          <w:color w:val="auto"/>
        </w:rPr>
      </w:pPr>
      <w:r>
        <w:rPr>
          <w:rFonts w:ascii="Arial" w:cs="Arial" w:eastAsia="Arial" w:hAnsi="Arial"/>
          <w:sz w:val="18"/>
          <w:szCs w:val="18"/>
          <w:color w:val="auto"/>
        </w:rPr>
        <w:t>Company may by Special Resolution:</w:t>
      </w:r>
    </w:p>
    <w:p>
      <w:pPr>
        <w:spacing w:after="0" w:line="116" w:lineRule="exact"/>
        <w:rPr>
          <w:sz w:val="20"/>
          <w:szCs w:val="20"/>
          <w:color w:val="auto"/>
        </w:rPr>
      </w:pPr>
    </w:p>
    <w:p>
      <w:pPr>
        <w:ind w:left="1424" w:hanging="655"/>
        <w:spacing w:after="0"/>
        <w:tabs>
          <w:tab w:leader="none" w:pos="1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alter or add to the Articles;</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370" w:lineRule="exact"/>
        <w:rPr>
          <w:sz w:val="20"/>
          <w:szCs w:val="20"/>
          <w:color w:val="auto"/>
        </w:rPr>
      </w:pPr>
    </w:p>
    <w:p>
      <w:pPr>
        <w:ind w:left="764" w:hanging="764"/>
        <w:spacing w:after="0"/>
        <w:tabs>
          <w:tab w:leader="none" w:pos="764"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Offices and Places of Business</w:t>
      </w:r>
    </w:p>
    <w:p>
      <w:pPr>
        <w:spacing w:after="0" w:line="121" w:lineRule="exact"/>
        <w:rPr>
          <w:rFonts w:ascii="Arial" w:cs="Arial" w:eastAsia="Arial" w:hAnsi="Arial"/>
          <w:sz w:val="18"/>
          <w:szCs w:val="18"/>
          <w:b w:val="1"/>
          <w:bCs w:val="1"/>
          <w:color w:val="auto"/>
        </w:rPr>
      </w:pPr>
    </w:p>
    <w:p>
      <w:pPr>
        <w:ind w:left="764"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268" w:lineRule="exact"/>
        <w:rPr>
          <w:rFonts w:ascii="Arial" w:cs="Arial" w:eastAsia="Arial" w:hAnsi="Arial"/>
          <w:sz w:val="18"/>
          <w:szCs w:val="18"/>
          <w:b w:val="1"/>
          <w:bCs w:val="1"/>
          <w:color w:val="auto"/>
        </w:rPr>
      </w:pPr>
    </w:p>
    <w:p>
      <w:pPr>
        <w:ind w:left="764" w:hanging="764"/>
        <w:spacing w:after="0"/>
        <w:tabs>
          <w:tab w:leader="none" w:pos="764"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13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131" w:lineRule="exact"/>
        <w:rPr>
          <w:sz w:val="20"/>
          <w:szCs w:val="20"/>
          <w:color w:val="auto"/>
        </w:rPr>
      </w:pPr>
    </w:p>
    <w:p>
      <w:pPr>
        <w:ind w:left="764" w:hanging="768"/>
        <w:spacing w:after="0" w:line="301" w:lineRule="auto"/>
        <w:tabs>
          <w:tab w:leader="none" w:pos="744"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w:t>
      </w:r>
    </w:p>
    <w:p>
      <w:pPr>
        <w:spacing w:after="0" w:line="63" w:lineRule="exact"/>
        <w:rPr>
          <w:sz w:val="20"/>
          <w:szCs w:val="20"/>
          <w:color w:val="auto"/>
        </w:rPr>
      </w:pPr>
    </w:p>
    <w:p>
      <w:pPr>
        <w:ind w:left="764" w:right="320" w:hanging="768"/>
        <w:spacing w:after="0" w:line="277" w:lineRule="auto"/>
        <w:tabs>
          <w:tab w:leader="none" w:pos="744"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Directors may call general meetings, and they shall on a Members’ requisition forthwith proceed to convene an extraordinary general meeting of the Company.</w:t>
      </w:r>
    </w:p>
    <w:p>
      <w:pPr>
        <w:spacing w:after="0" w:line="76" w:lineRule="exact"/>
        <w:rPr>
          <w:sz w:val="20"/>
          <w:szCs w:val="20"/>
          <w:color w:val="auto"/>
        </w:rPr>
      </w:pPr>
    </w:p>
    <w:p>
      <w:pPr>
        <w:ind w:left="764" w:right="100" w:hanging="768"/>
        <w:spacing w:after="0" w:line="277" w:lineRule="auto"/>
        <w:tabs>
          <w:tab w:leader="none" w:pos="744"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A Members’ requisition is a requisition of Members holding at the date of deposit of the requisition not less than ten per cent. in par value of the issued Shares which as at that date carry the right to vote at general meetings of the Company.</w:t>
      </w:r>
    </w:p>
    <w:p>
      <w:pPr>
        <w:spacing w:after="0" w:line="76" w:lineRule="exact"/>
        <w:rPr>
          <w:sz w:val="20"/>
          <w:szCs w:val="20"/>
          <w:color w:val="auto"/>
        </w:rPr>
      </w:pPr>
    </w:p>
    <w:p>
      <w:pPr>
        <w:ind w:left="764" w:right="420" w:hanging="768"/>
        <w:spacing w:after="0" w:line="277" w:lineRule="auto"/>
        <w:tabs>
          <w:tab w:leader="none" w:pos="744"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The Members’ requisition must state the objects of the meeting and must be signed by the requisitionists and deposited at the Registered Office, and may consist of several documents in like form each signed by one or more requisitionists.</w:t>
      </w:r>
    </w:p>
    <w:p>
      <w:pPr>
        <w:sectPr>
          <w:pgSz w:w="11900" w:h="16838" w:orient="portrait"/>
          <w:cols w:equalWidth="0" w:num="1">
            <w:col w:w="11004"/>
          </w:cols>
          <w:pgMar w:left="436" w:top="274" w:right="459" w:bottom="1440" w:gutter="0" w:footer="0" w:header="0"/>
        </w:sectPr>
      </w:pPr>
    </w:p>
    <w:bookmarkStart w:id="206" w:name="page207"/>
    <w:bookmarkEnd w:id="206"/>
    <w:p>
      <w:pPr>
        <w:ind w:left="760" w:hanging="768"/>
        <w:spacing w:after="0" w:line="257"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20.6</w:t>
      </w:r>
      <w:r>
        <w:rPr>
          <w:sz w:val="20"/>
          <w:szCs w:val="20"/>
          <w:color w:val="auto"/>
        </w:rPr>
        <w:tab/>
      </w:r>
      <w:r>
        <w:rPr>
          <w:rFonts w:ascii="Arial" w:cs="Arial" w:eastAsia="Arial" w:hAnsi="Arial"/>
          <w:sz w:val="18"/>
          <w:szCs w:val="18"/>
          <w:color w:val="auto"/>
        </w:rPr>
        <w:t>If there are no Directors as at the date of the deposit of the Members’ requisition or if the Directors do not within twenty-one days from the date of the deposit of the Members’ requisition duly proceed to convene a general meeting to be held within a further twenty-one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day period.</w:t>
      </w:r>
    </w:p>
    <w:p>
      <w:pPr>
        <w:spacing w:after="0" w:line="93" w:lineRule="exact"/>
        <w:rPr>
          <w:sz w:val="20"/>
          <w:szCs w:val="20"/>
          <w:color w:val="auto"/>
        </w:rPr>
      </w:pPr>
    </w:p>
    <w:p>
      <w:pPr>
        <w:ind w:left="760" w:right="520" w:hanging="768"/>
        <w:spacing w:after="0" w:line="277" w:lineRule="auto"/>
        <w:tabs>
          <w:tab w:leader="none" w:pos="7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Notice of General Meetings</w:t>
      </w:r>
    </w:p>
    <w:p>
      <w:pPr>
        <w:spacing w:after="0" w:line="135" w:lineRule="exact"/>
        <w:rPr>
          <w:sz w:val="20"/>
          <w:szCs w:val="20"/>
          <w:color w:val="auto"/>
        </w:rPr>
      </w:pPr>
    </w:p>
    <w:p>
      <w:pPr>
        <w:ind w:left="760" w:right="20" w:hanging="768"/>
        <w:spacing w:after="0" w:line="257" w:lineRule="auto"/>
        <w:tabs>
          <w:tab w:leader="none" w:pos="7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93" w:lineRule="exact"/>
        <w:rPr>
          <w:sz w:val="20"/>
          <w:szCs w:val="20"/>
          <w:color w:val="auto"/>
        </w:rPr>
      </w:pPr>
    </w:p>
    <w:p>
      <w:pPr>
        <w:ind w:left="1420" w:hanging="655"/>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30" w:lineRule="exact"/>
        <w:rPr>
          <w:rFonts w:ascii="Arial" w:cs="Arial" w:eastAsia="Arial" w:hAnsi="Arial"/>
          <w:sz w:val="18"/>
          <w:szCs w:val="18"/>
          <w:color w:val="auto"/>
        </w:rPr>
      </w:pPr>
    </w:p>
    <w:p>
      <w:pPr>
        <w:ind w:left="1420" w:right="380" w:hanging="655"/>
        <w:spacing w:after="0" w:line="308" w:lineRule="auto"/>
        <w:tabs>
          <w:tab w:leader="none" w:pos="14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the case of an extraordinary general meeting, by a majority in number of the Members having a right to attend and vote at the meeting, together holding not less than ninety five per cent. in par value of the Shares giving that right.</w:t>
      </w:r>
    </w:p>
    <w:p>
      <w:pPr>
        <w:spacing w:after="0" w:line="52" w:lineRule="exact"/>
        <w:rPr>
          <w:sz w:val="20"/>
          <w:szCs w:val="20"/>
          <w:color w:val="auto"/>
        </w:rPr>
      </w:pPr>
    </w:p>
    <w:p>
      <w:pPr>
        <w:ind w:left="760" w:right="340" w:hanging="768"/>
        <w:spacing w:after="0" w:line="277" w:lineRule="auto"/>
        <w:tabs>
          <w:tab w:leader="none" w:pos="7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Proceedings at General Meetings</w:t>
      </w:r>
    </w:p>
    <w:p>
      <w:pPr>
        <w:spacing w:after="0" w:line="135" w:lineRule="exact"/>
        <w:rPr>
          <w:sz w:val="20"/>
          <w:szCs w:val="20"/>
          <w:color w:val="auto"/>
        </w:rPr>
      </w:pPr>
    </w:p>
    <w:p>
      <w:pPr>
        <w:ind w:left="760" w:right="20" w:hanging="768"/>
        <w:spacing w:after="0" w:line="279" w:lineRule="auto"/>
        <w:tabs>
          <w:tab w:leader="none" w:pos="7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No business shall be transacted at any general meeting unless a quorum is present. Two Members being individuals present in person or by proxy or if a corporation or other non-natural person by its duly authorised representative or proxy shall be a quorum unless the Company has only one Member entitled to vote at such general meeting in which case the quorum shall be that one Member present in person or by proxy or (in the case of a corporation or other non-natural person) by its duly authorised representative or proxy.</w:t>
      </w:r>
    </w:p>
    <w:p>
      <w:pPr>
        <w:spacing w:after="0" w:line="77" w:lineRule="exact"/>
        <w:rPr>
          <w:sz w:val="20"/>
          <w:szCs w:val="20"/>
          <w:color w:val="auto"/>
        </w:rPr>
      </w:pPr>
    </w:p>
    <w:p>
      <w:pPr>
        <w:ind w:left="760" w:right="40" w:hanging="768"/>
        <w:spacing w:after="0" w:line="263" w:lineRule="auto"/>
        <w:tabs>
          <w:tab w:leader="none" w:pos="7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ectPr>
          <w:pgSz w:w="11900" w:h="16838" w:orient="portrait"/>
          <w:cols w:equalWidth="0" w:num="1">
            <w:col w:w="11000"/>
          </w:cols>
          <w:pgMar w:left="440" w:top="274" w:right="459" w:bottom="1440" w:gutter="0" w:footer="0" w:header="0"/>
        </w:sectPr>
      </w:pPr>
    </w:p>
    <w:bookmarkStart w:id="207" w:name="page208"/>
    <w:bookmarkEnd w:id="207"/>
    <w:p>
      <w:pPr>
        <w:ind w:right="60" w:hanging="76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22.3</w:t>
      </w:r>
      <w:r>
        <w:rPr>
          <w:sz w:val="20"/>
          <w:szCs w:val="20"/>
          <w:color w:val="auto"/>
        </w:rPr>
        <w:t xml:space="preserve"> </w:t>
      </w:r>
      <w:r>
        <w:rPr>
          <w:rFonts w:ascii="Arial" w:cs="Arial" w:eastAsia="Arial" w:hAnsi="Arial"/>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92" w:lineRule="exact"/>
        <w:rPr>
          <w:sz w:val="20"/>
          <w:szCs w:val="20"/>
          <w:color w:val="auto"/>
        </w:rPr>
      </w:pPr>
    </w:p>
    <w:p>
      <w:pPr>
        <w:ind w:right="140" w:hanging="768"/>
        <w:spacing w:after="0" w:line="257" w:lineRule="auto"/>
        <w:rPr>
          <w:sz w:val="20"/>
          <w:szCs w:val="20"/>
          <w:color w:val="auto"/>
        </w:rPr>
      </w:pPr>
      <w:r>
        <w:rPr>
          <w:rFonts w:ascii="Arial" w:cs="Arial" w:eastAsia="Arial" w:hAnsi="Arial"/>
          <w:sz w:val="18"/>
          <w:szCs w:val="18"/>
          <w:color w:val="auto"/>
        </w:rPr>
        <w:t>22.4</w:t>
      </w:r>
      <w:r>
        <w:rPr>
          <w:sz w:val="20"/>
          <w:szCs w:val="20"/>
          <w:color w:val="auto"/>
        </w:rPr>
        <w:t xml:space="preserve"> </w:t>
      </w:r>
      <w:r>
        <w:rPr>
          <w:rFonts w:ascii="Arial" w:cs="Arial" w:eastAsia="Arial" w:hAnsi="Arial"/>
          <w:sz w:val="18"/>
          <w:szCs w:val="18"/>
          <w:color w:val="auto"/>
        </w:rPr>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93" w:lineRule="exact"/>
        <w:rPr>
          <w:sz w:val="20"/>
          <w:szCs w:val="20"/>
          <w:color w:val="auto"/>
        </w:rPr>
      </w:pPr>
    </w:p>
    <w:p>
      <w:pPr>
        <w:ind w:hanging="768"/>
        <w:spacing w:after="0" w:line="301" w:lineRule="auto"/>
        <w:rPr>
          <w:sz w:val="20"/>
          <w:szCs w:val="20"/>
          <w:color w:val="auto"/>
        </w:rPr>
      </w:pPr>
      <w:r>
        <w:rPr>
          <w:rFonts w:ascii="Arial" w:cs="Arial" w:eastAsia="Arial" w:hAnsi="Arial"/>
          <w:sz w:val="18"/>
          <w:szCs w:val="18"/>
          <w:color w:val="auto"/>
        </w:rPr>
        <w:t>22.5</w:t>
      </w:r>
      <w:r>
        <w:rPr>
          <w:sz w:val="20"/>
          <w:szCs w:val="20"/>
          <w:color w:val="auto"/>
        </w:rPr>
        <w:t xml:space="preserve"> </w:t>
      </w:r>
      <w:r>
        <w:rPr>
          <w:rFonts w:ascii="Arial" w:cs="Arial" w:eastAsia="Arial" w:hAnsi="Arial"/>
          <w:sz w:val="16"/>
          <w:szCs w:val="16"/>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63" w:lineRule="exact"/>
        <w:rPr>
          <w:sz w:val="20"/>
          <w:szCs w:val="20"/>
          <w:color w:val="auto"/>
        </w:rPr>
      </w:pPr>
    </w:p>
    <w:p>
      <w:pPr>
        <w:ind w:right="500" w:hanging="768"/>
        <w:spacing w:after="0" w:line="277" w:lineRule="auto"/>
        <w:rPr>
          <w:sz w:val="20"/>
          <w:szCs w:val="20"/>
          <w:color w:val="auto"/>
        </w:rPr>
      </w:pPr>
      <w:r>
        <w:rPr>
          <w:rFonts w:ascii="Arial" w:cs="Arial" w:eastAsia="Arial" w:hAnsi="Arial"/>
          <w:sz w:val="18"/>
          <w:szCs w:val="18"/>
          <w:color w:val="auto"/>
        </w:rPr>
        <w:t>22.6</w:t>
      </w:r>
      <w:r>
        <w:rPr>
          <w:sz w:val="20"/>
          <w:szCs w:val="20"/>
          <w:color w:val="auto"/>
        </w:rPr>
        <w:t xml:space="preserve"> </w:t>
      </w:r>
      <w:r>
        <w:rPr>
          <w:rFonts w:ascii="Arial" w:cs="Arial" w:eastAsia="Arial" w:hAnsi="Arial"/>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76" w:lineRule="exact"/>
        <w:rPr>
          <w:sz w:val="20"/>
          <w:szCs w:val="20"/>
          <w:color w:val="auto"/>
        </w:rPr>
      </w:pPr>
    </w:p>
    <w:p>
      <w:pPr>
        <w:ind w:right="20" w:hanging="768"/>
        <w:spacing w:after="0" w:line="263" w:lineRule="auto"/>
        <w:rPr>
          <w:sz w:val="20"/>
          <w:szCs w:val="20"/>
          <w:color w:val="auto"/>
        </w:rPr>
      </w:pPr>
      <w:r>
        <w:rPr>
          <w:rFonts w:ascii="Arial" w:cs="Arial" w:eastAsia="Arial" w:hAnsi="Arial"/>
          <w:sz w:val="18"/>
          <w:szCs w:val="18"/>
          <w:color w:val="auto"/>
        </w:rPr>
        <w:t>22.7</w:t>
      </w:r>
      <w:r>
        <w:rPr>
          <w:sz w:val="20"/>
          <w:szCs w:val="20"/>
          <w:color w:val="auto"/>
        </w:rPr>
        <w:t xml:space="preserve"> </w:t>
      </w:r>
      <w:r>
        <w:rPr>
          <w:rFonts w:ascii="Arial" w:cs="Arial" w:eastAsia="Arial" w:hAnsi="Arial"/>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89" w:lineRule="exact"/>
        <w:rPr>
          <w:sz w:val="20"/>
          <w:szCs w:val="20"/>
          <w:color w:val="auto"/>
        </w:rPr>
      </w:pPr>
    </w:p>
    <w:p>
      <w:pPr>
        <w:ind w:right="440" w:hanging="768"/>
        <w:spacing w:after="0" w:line="277" w:lineRule="auto"/>
        <w:rPr>
          <w:sz w:val="20"/>
          <w:szCs w:val="20"/>
          <w:color w:val="auto"/>
        </w:rPr>
      </w:pPr>
      <w:r>
        <w:rPr>
          <w:rFonts w:ascii="Arial" w:cs="Arial" w:eastAsia="Arial" w:hAnsi="Arial"/>
          <w:sz w:val="18"/>
          <w:szCs w:val="18"/>
          <w:color w:val="auto"/>
        </w:rPr>
        <w:t>22.8</w:t>
      </w:r>
      <w:r>
        <w:rPr>
          <w:sz w:val="20"/>
          <w:szCs w:val="20"/>
          <w:color w:val="auto"/>
        </w:rPr>
        <w:t xml:space="preserve"> </w:t>
      </w:r>
      <w:r>
        <w:rPr>
          <w:rFonts w:ascii="Arial" w:cs="Arial" w:eastAsia="Arial" w:hAnsi="Arial"/>
          <w:sz w:val="18"/>
          <w:szCs w:val="18"/>
          <w:color w:val="auto"/>
        </w:rPr>
        <w:t>When a general meeting is adjourned for thirty days or more, notice of the adjourned meeting shall be given as in the case of an original meeting. Otherwise it shall not be necessary to give any such notice of an adjourned meeting.</w:t>
      </w:r>
    </w:p>
    <w:p>
      <w:pPr>
        <w:spacing w:after="0" w:line="76" w:lineRule="exact"/>
        <w:rPr>
          <w:sz w:val="20"/>
          <w:szCs w:val="20"/>
          <w:color w:val="auto"/>
        </w:rPr>
      </w:pPr>
    </w:p>
    <w:p>
      <w:pPr>
        <w:ind w:right="140" w:hanging="768"/>
        <w:spacing w:after="0" w:line="259" w:lineRule="auto"/>
        <w:rPr>
          <w:sz w:val="20"/>
          <w:szCs w:val="20"/>
          <w:color w:val="auto"/>
        </w:rPr>
      </w:pPr>
      <w:r>
        <w:rPr>
          <w:rFonts w:ascii="Arial" w:cs="Arial" w:eastAsia="Arial" w:hAnsi="Arial"/>
          <w:sz w:val="18"/>
          <w:szCs w:val="18"/>
          <w:color w:val="auto"/>
        </w:rPr>
        <w:t>22.9</w:t>
      </w:r>
      <w:r>
        <w:rPr>
          <w:sz w:val="20"/>
          <w:szCs w:val="20"/>
          <w:color w:val="auto"/>
        </w:rPr>
        <w:t xml:space="preserve"> </w:t>
      </w:r>
      <w:r>
        <w:rPr>
          <w:rFonts w:ascii="Arial" w:cs="Arial" w:eastAsia="Arial" w:hAnsi="Arial"/>
          <w:sz w:val="18"/>
          <w:szCs w:val="18"/>
          <w:color w:val="auto"/>
        </w:rPr>
        <w:t>A resolution put to the vote of the meeting shall be decided on a show of hands unless before, or on the declaration of the result of, the show of hands, the chairman demands a poll, or any other Member or Members collectively present in person or by proxy (or in the case of a corporation or other non-natural person, by its duly authorised representative or proxy) and holding at least ten per cent. in par value of the Shares giving a right to attend and vote at the meeting demand a poll.</w:t>
      </w:r>
    </w:p>
    <w:p>
      <w:pPr>
        <w:spacing w:after="0" w:line="92" w:lineRule="exact"/>
        <w:rPr>
          <w:sz w:val="20"/>
          <w:szCs w:val="20"/>
          <w:color w:val="auto"/>
        </w:rPr>
      </w:pPr>
    </w:p>
    <w:p>
      <w:pPr>
        <w:ind w:hanging="768"/>
        <w:spacing w:after="0" w:line="259" w:lineRule="auto"/>
        <w:rPr>
          <w:sz w:val="20"/>
          <w:szCs w:val="20"/>
          <w:color w:val="auto"/>
        </w:rPr>
      </w:pPr>
      <w:r>
        <w:rPr>
          <w:rFonts w:ascii="Arial" w:cs="Arial" w:eastAsia="Arial" w:hAnsi="Arial"/>
          <w:sz w:val="18"/>
          <w:szCs w:val="18"/>
          <w:color w:val="auto"/>
        </w:rPr>
        <w:t>22.10</w:t>
      </w:r>
      <w:r>
        <w:rPr>
          <w:sz w:val="20"/>
          <w:szCs w:val="20"/>
          <w:color w:val="auto"/>
        </w:rPr>
        <w:t xml:space="preserve"> </w:t>
      </w:r>
      <w:r>
        <w:rPr>
          <w:rFonts w:ascii="Arial" w:cs="Arial" w:eastAsia="Arial" w:hAnsi="Arial"/>
          <w:sz w:val="18"/>
          <w:szCs w:val="18"/>
          <w:color w:val="auto"/>
        </w:rPr>
        <w:t>Unless a poll is duly demanded and the demand is not withdrawn a declaration by the chairman that a resolution has been carried or carried unanimously, or by a particular majority, or lost or not carried by a particular majority, an entry to that effect in the minutes of the proceedings of the meeting shall be conclusive evidence of that fact without proof of the number or proportion of the votes recorded in favour of or against such resolution.</w:t>
      </w:r>
    </w:p>
    <w:p>
      <w:pPr>
        <w:sectPr>
          <w:pgSz w:w="11900" w:h="16838" w:orient="portrait"/>
          <w:cols w:equalWidth="0" w:num="1">
            <w:col w:w="10240"/>
          </w:cols>
          <w:pgMar w:left="1200" w:top="274" w:right="459" w:bottom="1440" w:gutter="0" w:footer="0" w:header="0"/>
        </w:sectPr>
      </w:pPr>
    </w:p>
    <w:bookmarkStart w:id="208" w:name="page209"/>
    <w:bookmarkEnd w:id="208"/>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22.11</w:t>
      </w:r>
      <w:r>
        <w:rPr>
          <w:sz w:val="20"/>
          <w:szCs w:val="20"/>
          <w:color w:val="auto"/>
        </w:rPr>
        <w:tab/>
      </w:r>
      <w:r>
        <w:rPr>
          <w:rFonts w:ascii="Arial" w:cs="Arial" w:eastAsia="Arial" w:hAnsi="Arial"/>
          <w:sz w:val="16"/>
          <w:szCs w:val="16"/>
          <w:color w:val="auto"/>
        </w:rPr>
        <w:t>The demand for a poll may be withdrawn.</w:t>
      </w:r>
    </w:p>
    <w:p>
      <w:pPr>
        <w:spacing w:after="0" w:line="131" w:lineRule="exact"/>
        <w:rPr>
          <w:sz w:val="20"/>
          <w:szCs w:val="20"/>
          <w:color w:val="auto"/>
        </w:rPr>
      </w:pPr>
    </w:p>
    <w:p>
      <w:pPr>
        <w:ind w:left="760" w:right="220" w:hanging="768"/>
        <w:spacing w:after="0" w:line="308" w:lineRule="auto"/>
        <w:tabs>
          <w:tab w:leader="none" w:pos="74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7"/>
          <w:szCs w:val="17"/>
          <w:color w:val="auto"/>
        </w:rPr>
        <w:t>Except on a poll demanded on the election of a chairman or on a question of adjournment, a poll shall be taken as the chairman directs, and the result of the poll shall be deemed to be the resolution of the general meeting at which the poll was demanded.</w:t>
      </w:r>
    </w:p>
    <w:p>
      <w:pPr>
        <w:spacing w:after="0" w:line="52" w:lineRule="exact"/>
        <w:rPr>
          <w:sz w:val="20"/>
          <w:szCs w:val="20"/>
          <w:color w:val="auto"/>
        </w:rPr>
      </w:pPr>
    </w:p>
    <w:p>
      <w:pPr>
        <w:jc w:val="both"/>
        <w:ind w:left="760" w:right="400" w:hanging="768"/>
        <w:spacing w:after="0" w:line="286" w:lineRule="auto"/>
        <w:tabs>
          <w:tab w:leader="none" w:pos="74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7"/>
          <w:szCs w:val="17"/>
          <w:color w:val="auto"/>
        </w:rPr>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7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color w:val="auto"/>
        </w:rPr>
        <w:t>In the case of an equality of votes, whether on a show of hands or on a poll, the chairman shall be entitled to a second or casting vote.</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Votes of Members</w:t>
      </w:r>
    </w:p>
    <w:p>
      <w:pPr>
        <w:spacing w:after="0" w:line="135" w:lineRule="exact"/>
        <w:rPr>
          <w:sz w:val="20"/>
          <w:szCs w:val="20"/>
          <w:color w:val="auto"/>
        </w:rPr>
      </w:pPr>
    </w:p>
    <w:p>
      <w:pPr>
        <w:ind w:left="760" w:right="120" w:hanging="768"/>
        <w:spacing w:after="0" w:line="286" w:lineRule="auto"/>
        <w:tabs>
          <w:tab w:leader="none" w:pos="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Subject to any rights or restrictions attached to any Shares, on a show of hands every Member who (being an individual) is present in person or by proxy or, if a corporation or other non-natural person is present by its duly authorised representative or by proxy, shall have one vote and on a poll every Member present in any such manner shall have one vote for every Share of which he is the holder.</w:t>
      </w:r>
    </w:p>
    <w:p>
      <w:pPr>
        <w:spacing w:after="0" w:line="71" w:lineRule="exact"/>
        <w:rPr>
          <w:sz w:val="20"/>
          <w:szCs w:val="20"/>
          <w:color w:val="auto"/>
        </w:rPr>
      </w:pPr>
    </w:p>
    <w:p>
      <w:pPr>
        <w:ind w:left="760" w:right="100" w:hanging="768"/>
        <w:spacing w:after="0" w:line="311" w:lineRule="auto"/>
        <w:tabs>
          <w:tab w:leader="none" w:pos="7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54" w:lineRule="exact"/>
        <w:rPr>
          <w:sz w:val="20"/>
          <w:szCs w:val="20"/>
          <w:color w:val="auto"/>
        </w:rPr>
      </w:pPr>
    </w:p>
    <w:p>
      <w:pPr>
        <w:jc w:val="both"/>
        <w:ind w:left="760" w:right="40" w:hanging="768"/>
        <w:spacing w:after="0" w:line="263" w:lineRule="auto"/>
        <w:tabs>
          <w:tab w:leader="none" w:pos="7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A Member of unsound mind, or in respect of whom an order has been made by any court, having jurisdiction in lunacy, may vote, whether on a show of hands or on a poll, by his committee, receiver, curator bonis, or other person on such Member’s behalf appointed by that court, and any such committee, receiver, curator bonis or other person may vote by proxy.</w:t>
      </w:r>
    </w:p>
    <w:p>
      <w:pPr>
        <w:spacing w:after="0" w:line="89" w:lineRule="exact"/>
        <w:rPr>
          <w:sz w:val="20"/>
          <w:szCs w:val="20"/>
          <w:color w:val="auto"/>
        </w:rPr>
      </w:pPr>
    </w:p>
    <w:p>
      <w:pPr>
        <w:ind w:left="760" w:right="120" w:hanging="768"/>
        <w:spacing w:after="0" w:line="277" w:lineRule="auto"/>
        <w:tabs>
          <w:tab w:leader="none" w:pos="7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76" w:lineRule="exact"/>
        <w:rPr>
          <w:sz w:val="20"/>
          <w:szCs w:val="20"/>
          <w:color w:val="auto"/>
        </w:rPr>
      </w:pPr>
    </w:p>
    <w:p>
      <w:pPr>
        <w:ind w:left="760" w:right="120" w:hanging="768"/>
        <w:spacing w:after="0" w:line="263" w:lineRule="auto"/>
        <w:tabs>
          <w:tab w:leader="none" w:pos="7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89" w:lineRule="exact"/>
        <w:rPr>
          <w:sz w:val="20"/>
          <w:szCs w:val="20"/>
          <w:color w:val="auto"/>
        </w:rPr>
      </w:pPr>
    </w:p>
    <w:p>
      <w:pPr>
        <w:ind w:left="760" w:hanging="768"/>
        <w:spacing w:after="0" w:line="301" w:lineRule="auto"/>
        <w:tabs>
          <w:tab w:leader="none" w:pos="7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On a poll or on a show of hands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state which proxy is entitled to vote on a show of hands and shall specify the number of Shares in respect of which each proxy is entitled to exercise the related votes.</w:t>
      </w:r>
    </w:p>
    <w:p>
      <w:pPr>
        <w:sectPr>
          <w:pgSz w:w="11900" w:h="16838" w:orient="portrait"/>
          <w:cols w:equalWidth="0" w:num="1">
            <w:col w:w="11000"/>
          </w:cols>
          <w:pgMar w:left="440" w:top="274" w:right="459" w:bottom="1440" w:gutter="0" w:footer="0" w:header="0"/>
        </w:sectPr>
      </w:pPr>
    </w:p>
    <w:bookmarkStart w:id="209" w:name="page210"/>
    <w:bookmarkEnd w:id="209"/>
    <w:p>
      <w:pPr>
        <w:ind w:left="760" w:right="100" w:hanging="768"/>
        <w:spacing w:after="0" w:line="257"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23.7</w:t>
      </w:r>
      <w:r>
        <w:rPr>
          <w:sz w:val="20"/>
          <w:szCs w:val="20"/>
          <w:color w:val="auto"/>
        </w:rPr>
        <w:tab/>
      </w:r>
      <w:r>
        <w:rPr>
          <w:rFonts w:ascii="Arial" w:cs="Arial" w:eastAsia="Arial" w:hAnsi="Arial"/>
          <w:sz w:val="18"/>
          <w:szCs w:val="18"/>
          <w:color w:val="auto"/>
        </w:rPr>
        <w:t>On a poll, 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3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Proxies</w:t>
      </w:r>
    </w:p>
    <w:p>
      <w:pPr>
        <w:spacing w:after="0" w:line="135" w:lineRule="exact"/>
        <w:rPr>
          <w:sz w:val="20"/>
          <w:szCs w:val="20"/>
          <w:color w:val="auto"/>
        </w:rPr>
      </w:pPr>
    </w:p>
    <w:p>
      <w:pPr>
        <w:jc w:val="both"/>
        <w:ind w:left="760" w:hanging="768"/>
        <w:spacing w:after="0" w:line="263" w:lineRule="auto"/>
        <w:tabs>
          <w:tab w:leader="none" w:pos="7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89" w:lineRule="exact"/>
        <w:rPr>
          <w:sz w:val="20"/>
          <w:szCs w:val="20"/>
          <w:color w:val="auto"/>
        </w:rPr>
      </w:pPr>
    </w:p>
    <w:p>
      <w:pPr>
        <w:ind w:left="760" w:hanging="768"/>
        <w:spacing w:after="0" w:line="254" w:lineRule="auto"/>
        <w:tabs>
          <w:tab w:leader="none" w:pos="7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00" w:lineRule="exact"/>
        <w:rPr>
          <w:sz w:val="20"/>
          <w:szCs w:val="20"/>
          <w:color w:val="auto"/>
        </w:rPr>
      </w:pPr>
    </w:p>
    <w:p>
      <w:pPr>
        <w:jc w:val="both"/>
        <w:ind w:left="760" w:right="580" w:hanging="768"/>
        <w:spacing w:after="0" w:line="263" w:lineRule="auto"/>
        <w:tabs>
          <w:tab w:leader="none" w:pos="7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89" w:lineRule="exact"/>
        <w:rPr>
          <w:sz w:val="20"/>
          <w:szCs w:val="20"/>
          <w:color w:val="auto"/>
        </w:rPr>
      </w:pPr>
    </w:p>
    <w:p>
      <w:pPr>
        <w:ind w:left="760" w:right="280" w:hanging="768"/>
        <w:spacing w:after="0" w:line="263" w:lineRule="auto"/>
        <w:tabs>
          <w:tab w:leader="none" w:pos="7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89" w:lineRule="exact"/>
        <w:rPr>
          <w:sz w:val="20"/>
          <w:szCs w:val="20"/>
          <w:color w:val="auto"/>
        </w:rPr>
      </w:pPr>
    </w:p>
    <w:p>
      <w:pPr>
        <w:ind w:left="760" w:right="160" w:hanging="768"/>
        <w:spacing w:after="0" w:line="279" w:lineRule="auto"/>
        <w:tabs>
          <w:tab w:leader="none" w:pos="7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ectPr>
          <w:pgSz w:w="11900" w:h="16838" w:orient="portrait"/>
          <w:cols w:equalWidth="0" w:num="1">
            <w:col w:w="10940"/>
          </w:cols>
          <w:pgMar w:left="440" w:top="274" w:right="519" w:bottom="1440" w:gutter="0" w:footer="0" w:header="0"/>
        </w:sectPr>
      </w:pPr>
    </w:p>
    <w:bookmarkStart w:id="210" w:name="page211"/>
    <w:bookmarkEnd w:id="210"/>
    <w:p>
      <w:pPr>
        <w:ind w:left="764" w:hanging="764"/>
        <w:spacing w:after="0"/>
        <w:tabs>
          <w:tab w:leader="none" w:pos="76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Members</w:t>
      </w:r>
    </w:p>
    <w:p>
      <w:pPr>
        <w:spacing w:after="0" w:line="121" w:lineRule="exact"/>
        <w:rPr>
          <w:rFonts w:ascii="Arial" w:cs="Arial" w:eastAsia="Arial" w:hAnsi="Arial"/>
          <w:sz w:val="18"/>
          <w:szCs w:val="18"/>
          <w:b w:val="1"/>
          <w:bCs w:val="1"/>
          <w:color w:val="auto"/>
        </w:rPr>
      </w:pPr>
    </w:p>
    <w:p>
      <w:pPr>
        <w:ind w:left="764"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315" w:lineRule="exact"/>
        <w:rPr>
          <w:rFonts w:ascii="Arial" w:cs="Arial" w:eastAsia="Arial" w:hAnsi="Arial"/>
          <w:sz w:val="18"/>
          <w:szCs w:val="18"/>
          <w:b w:val="1"/>
          <w:bCs w:val="1"/>
          <w:color w:val="auto"/>
        </w:rPr>
      </w:pPr>
    </w:p>
    <w:p>
      <w:pPr>
        <w:ind w:left="764" w:hanging="764"/>
        <w:spacing w:after="0"/>
        <w:tabs>
          <w:tab w:leader="none" w:pos="76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121" w:lineRule="exact"/>
        <w:rPr>
          <w:rFonts w:ascii="Arial" w:cs="Arial" w:eastAsia="Arial" w:hAnsi="Arial"/>
          <w:sz w:val="18"/>
          <w:szCs w:val="18"/>
          <w:b w:val="1"/>
          <w:bCs w:val="1"/>
          <w:color w:val="auto"/>
        </w:rPr>
      </w:pPr>
    </w:p>
    <w:p>
      <w:pPr>
        <w:ind w:left="764"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314" w:lineRule="exact"/>
        <w:rPr>
          <w:rFonts w:ascii="Arial" w:cs="Arial" w:eastAsia="Arial" w:hAnsi="Arial"/>
          <w:sz w:val="18"/>
          <w:szCs w:val="18"/>
          <w:b w:val="1"/>
          <w:bCs w:val="1"/>
          <w:color w:val="auto"/>
        </w:rPr>
      </w:pPr>
    </w:p>
    <w:p>
      <w:pPr>
        <w:ind w:left="764" w:hanging="764"/>
        <w:spacing w:after="0"/>
        <w:tabs>
          <w:tab w:leader="none" w:pos="76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21" w:lineRule="exact"/>
        <w:rPr>
          <w:rFonts w:ascii="Arial" w:cs="Arial" w:eastAsia="Arial" w:hAnsi="Arial"/>
          <w:sz w:val="18"/>
          <w:szCs w:val="18"/>
          <w:b w:val="1"/>
          <w:bCs w:val="1"/>
          <w:color w:val="auto"/>
        </w:rPr>
      </w:pPr>
    </w:p>
    <w:p>
      <w:pPr>
        <w:ind w:left="764"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There shall be a board of Directors consisting of not less than one person (exclusive of alternate Directors) provided however that the Company may by Ordinary Resolution increase or reduce the limits in the number of Directors. The first Directors of the Company shall be determined in writing by, or appointed by a resolution of, the Subscriber.</w:t>
      </w:r>
    </w:p>
    <w:p>
      <w:pPr>
        <w:spacing w:after="0" w:line="328" w:lineRule="exact"/>
        <w:rPr>
          <w:rFonts w:ascii="Arial" w:cs="Arial" w:eastAsia="Arial" w:hAnsi="Arial"/>
          <w:sz w:val="18"/>
          <w:szCs w:val="18"/>
          <w:b w:val="1"/>
          <w:bCs w:val="1"/>
          <w:color w:val="auto"/>
        </w:rPr>
      </w:pPr>
    </w:p>
    <w:p>
      <w:pPr>
        <w:ind w:left="764" w:hanging="764"/>
        <w:spacing w:after="0"/>
        <w:tabs>
          <w:tab w:leader="none" w:pos="76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135" w:lineRule="exact"/>
        <w:rPr>
          <w:sz w:val="20"/>
          <w:szCs w:val="20"/>
          <w:color w:val="auto"/>
        </w:rPr>
      </w:pPr>
    </w:p>
    <w:p>
      <w:pPr>
        <w:ind w:left="764" w:right="60" w:hanging="768"/>
        <w:spacing w:after="0" w:line="257" w:lineRule="auto"/>
        <w:tabs>
          <w:tab w:leader="none" w:pos="744"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93" w:lineRule="exact"/>
        <w:rPr>
          <w:sz w:val="20"/>
          <w:szCs w:val="20"/>
          <w:color w:val="auto"/>
        </w:rPr>
      </w:pPr>
    </w:p>
    <w:p>
      <w:pPr>
        <w:ind w:left="764" w:hanging="768"/>
        <w:spacing w:after="0" w:line="263" w:lineRule="auto"/>
        <w:tabs>
          <w:tab w:leader="none" w:pos="744"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9" w:lineRule="exact"/>
        <w:rPr>
          <w:sz w:val="20"/>
          <w:szCs w:val="20"/>
          <w:color w:val="auto"/>
        </w:rPr>
      </w:pPr>
    </w:p>
    <w:p>
      <w:pPr>
        <w:ind w:left="764" w:right="40" w:hanging="768"/>
        <w:spacing w:after="0" w:line="263" w:lineRule="auto"/>
        <w:tabs>
          <w:tab w:leader="none" w:pos="744"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89" w:lineRule="exact"/>
        <w:rPr>
          <w:sz w:val="20"/>
          <w:szCs w:val="20"/>
          <w:color w:val="auto"/>
        </w:rPr>
      </w:pPr>
    </w:p>
    <w:p>
      <w:pPr>
        <w:ind w:left="764" w:right="180" w:hanging="768"/>
        <w:spacing w:after="0" w:line="286" w:lineRule="auto"/>
        <w:tabs>
          <w:tab w:leader="none" w:pos="744"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7"/>
          <w:szCs w:val="17"/>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ectPr>
          <w:pgSz w:w="11900" w:h="16838" w:orient="portrait"/>
          <w:cols w:equalWidth="0" w:num="1">
            <w:col w:w="11004"/>
          </w:cols>
          <w:pgMar w:left="436" w:top="270" w:right="459" w:bottom="1440" w:gutter="0" w:footer="0" w:header="0"/>
        </w:sectPr>
      </w:pPr>
    </w:p>
    <w:bookmarkStart w:id="211" w:name="page212"/>
    <w:bookmarkEnd w:id="211"/>
    <w:p>
      <w:pPr>
        <w:ind w:left="4"/>
        <w:spacing w:after="0"/>
        <w:tabs>
          <w:tab w:leader="none" w:pos="7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w:t>
      </w:r>
      <w:r>
        <w:rPr>
          <w:sz w:val="20"/>
          <w:szCs w:val="20"/>
          <w:color w:val="auto"/>
        </w:rPr>
        <w:tab/>
      </w:r>
      <w:r>
        <w:rPr>
          <w:rFonts w:ascii="Arial" w:cs="Arial" w:eastAsia="Arial" w:hAnsi="Arial"/>
          <w:sz w:val="18"/>
          <w:szCs w:val="18"/>
          <w:b w:val="1"/>
          <w:bCs w:val="1"/>
          <w:color w:val="auto"/>
        </w:rPr>
        <w:t>Appointment and Removal of Directors</w:t>
      </w:r>
    </w:p>
    <w:p>
      <w:pPr>
        <w:spacing w:after="0" w:line="13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The Company may by Ordinary Resolution appoint any person to be a Director or may by Ordinary Resolution remove any Director.</w:t>
      </w:r>
    </w:p>
    <w:p>
      <w:pPr>
        <w:spacing w:after="0" w:line="131" w:lineRule="exact"/>
        <w:rPr>
          <w:sz w:val="20"/>
          <w:szCs w:val="20"/>
          <w:color w:val="auto"/>
        </w:rPr>
      </w:pPr>
    </w:p>
    <w:p>
      <w:pPr>
        <w:ind w:left="764" w:right="20" w:hanging="768"/>
        <w:spacing w:after="0" w:line="342" w:lineRule="auto"/>
        <w:tabs>
          <w:tab w:leader="none" w:pos="744"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268" w:lineRule="exact"/>
        <w:rPr>
          <w:sz w:val="20"/>
          <w:szCs w:val="20"/>
          <w:color w:val="auto"/>
        </w:rPr>
      </w:pPr>
    </w:p>
    <w:p>
      <w:pPr>
        <w:ind w:left="764" w:hanging="764"/>
        <w:spacing w:after="0"/>
        <w:tabs>
          <w:tab w:leader="none" w:pos="76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121" w:lineRule="exact"/>
        <w:rPr>
          <w:rFonts w:ascii="Arial" w:cs="Arial" w:eastAsia="Arial" w:hAnsi="Arial"/>
          <w:sz w:val="18"/>
          <w:szCs w:val="18"/>
          <w:b w:val="1"/>
          <w:bCs w:val="1"/>
          <w:color w:val="auto"/>
        </w:rPr>
      </w:pPr>
    </w:p>
    <w:p>
      <w:pPr>
        <w:ind w:left="764"/>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130" w:lineRule="exact"/>
        <w:rPr>
          <w:rFonts w:ascii="Arial" w:cs="Arial" w:eastAsia="Arial" w:hAnsi="Arial"/>
          <w:sz w:val="18"/>
          <w:szCs w:val="18"/>
          <w:b w:val="1"/>
          <w:bCs w:val="1"/>
          <w:color w:val="auto"/>
        </w:rPr>
      </w:pPr>
    </w:p>
    <w:p>
      <w:pPr>
        <w:ind w:left="1424" w:hanging="655"/>
        <w:spacing w:after="0"/>
        <w:tabs>
          <w:tab w:leader="none" w:pos="142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130" w:lineRule="exact"/>
        <w:rPr>
          <w:rFonts w:ascii="Arial" w:cs="Arial" w:eastAsia="Arial" w:hAnsi="Arial"/>
          <w:sz w:val="18"/>
          <w:szCs w:val="18"/>
          <w:color w:val="auto"/>
        </w:rPr>
      </w:pPr>
    </w:p>
    <w:p>
      <w:pPr>
        <w:ind w:left="1424" w:right="220" w:hanging="655"/>
        <w:spacing w:after="0" w:line="263" w:lineRule="auto"/>
        <w:tabs>
          <w:tab w:leader="none" w:pos="142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or an alternate Director appointed by him) from three consecutive meetings of the board of Directors without special leave of absence from the Directors, and the Directors pass a resolution that he has by reason of such absence vacated office; or</w:t>
      </w:r>
    </w:p>
    <w:p>
      <w:pPr>
        <w:spacing w:after="0" w:line="89" w:lineRule="exact"/>
        <w:rPr>
          <w:rFonts w:ascii="Arial" w:cs="Arial" w:eastAsia="Arial" w:hAnsi="Arial"/>
          <w:sz w:val="18"/>
          <w:szCs w:val="18"/>
          <w:color w:val="auto"/>
        </w:rPr>
      </w:pPr>
    </w:p>
    <w:p>
      <w:pPr>
        <w:ind w:left="1424" w:hanging="655"/>
        <w:spacing w:after="0"/>
        <w:tabs>
          <w:tab w:leader="none" w:pos="142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130" w:lineRule="exact"/>
        <w:rPr>
          <w:rFonts w:ascii="Arial" w:cs="Arial" w:eastAsia="Arial" w:hAnsi="Arial"/>
          <w:sz w:val="18"/>
          <w:szCs w:val="18"/>
          <w:color w:val="auto"/>
        </w:rPr>
      </w:pPr>
    </w:p>
    <w:p>
      <w:pPr>
        <w:ind w:left="1424" w:right="160" w:hanging="655"/>
        <w:spacing w:after="0" w:line="263" w:lineRule="auto"/>
        <w:tabs>
          <w:tab w:leader="none" w:pos="142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328" w:lineRule="exact"/>
        <w:rPr>
          <w:rFonts w:ascii="Arial" w:cs="Arial" w:eastAsia="Arial" w:hAnsi="Arial"/>
          <w:sz w:val="18"/>
          <w:szCs w:val="18"/>
          <w:color w:val="auto"/>
        </w:rPr>
      </w:pPr>
    </w:p>
    <w:p>
      <w:pPr>
        <w:ind w:left="764" w:hanging="764"/>
        <w:spacing w:after="0"/>
        <w:tabs>
          <w:tab w:leader="none" w:pos="76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135" w:lineRule="exact"/>
        <w:rPr>
          <w:sz w:val="20"/>
          <w:szCs w:val="20"/>
          <w:color w:val="auto"/>
        </w:rPr>
      </w:pPr>
    </w:p>
    <w:p>
      <w:pPr>
        <w:ind w:left="764" w:hanging="768"/>
        <w:spacing w:after="0" w:line="259" w:lineRule="auto"/>
        <w:tabs>
          <w:tab w:leader="none" w:pos="744"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quorum for the transaction of the business of the Directors may be fixed by the Directors, and unless so fixed shall be two if there are two or more Directors, and shall be one if there is only one Director. A person who holds office as an alternate Director shall, if his appointor is not present, be counted in the quorum. A Director who also acts as an alternate Director shall, if his appointor is not present, count twice towards the quorum.</w:t>
      </w:r>
    </w:p>
    <w:p>
      <w:pPr>
        <w:spacing w:after="0" w:line="92" w:lineRule="exact"/>
        <w:rPr>
          <w:sz w:val="20"/>
          <w:szCs w:val="20"/>
          <w:color w:val="auto"/>
        </w:rPr>
      </w:pPr>
    </w:p>
    <w:p>
      <w:pPr>
        <w:jc w:val="both"/>
        <w:ind w:left="764" w:right="40" w:hanging="768"/>
        <w:spacing w:after="0" w:line="311" w:lineRule="auto"/>
        <w:tabs>
          <w:tab w:leader="none" w:pos="744"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 A Director who is also an alternate Director shall be entitled in the absence of his appointor to a separate vote on behalf of his appointor in addition to his own vote.</w:t>
      </w:r>
    </w:p>
    <w:p>
      <w:pPr>
        <w:spacing w:after="0" w:line="54" w:lineRule="exact"/>
        <w:rPr>
          <w:sz w:val="20"/>
          <w:szCs w:val="20"/>
          <w:color w:val="auto"/>
        </w:rPr>
      </w:pPr>
    </w:p>
    <w:p>
      <w:pPr>
        <w:ind w:left="764" w:right="40" w:hanging="768"/>
        <w:spacing w:after="0" w:line="279" w:lineRule="auto"/>
        <w:tabs>
          <w:tab w:leader="none" w:pos="744"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ectPr>
          <w:pgSz w:w="11900" w:h="16838" w:orient="portrait"/>
          <w:cols w:equalWidth="0" w:num="1">
            <w:col w:w="11004"/>
          </w:cols>
          <w:pgMar w:left="436" w:top="270" w:right="459" w:bottom="1440" w:gutter="0" w:footer="0" w:header="0"/>
        </w:sectPr>
      </w:pPr>
    </w:p>
    <w:bookmarkStart w:id="212" w:name="page213"/>
    <w:bookmarkEnd w:id="212"/>
    <w:p>
      <w:pPr>
        <w:ind w:left="760" w:right="40" w:hanging="768"/>
        <w:spacing w:after="0" w:line="255"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31.4</w:t>
      </w:r>
      <w:r>
        <w:rPr>
          <w:sz w:val="20"/>
          <w:szCs w:val="20"/>
          <w:color w:val="auto"/>
        </w:rPr>
        <w:tab/>
      </w:r>
      <w:r>
        <w:rPr>
          <w:rFonts w:ascii="Arial" w:cs="Arial" w:eastAsia="Arial" w:hAnsi="Arial"/>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his appointor and if such alternate Director is also a Director, being entitled to sign such resolution both on behalf of his appointer and in his capacity as a Director) shall be as valid and effectual as if it had been passed at a meeting of the Directors, or committee of Directors as the case may be, duly convened and held.</w:t>
      </w:r>
    </w:p>
    <w:p>
      <w:pPr>
        <w:spacing w:after="0" w:line="98" w:lineRule="exact"/>
        <w:rPr>
          <w:sz w:val="20"/>
          <w:szCs w:val="20"/>
          <w:color w:val="auto"/>
        </w:rPr>
      </w:pPr>
    </w:p>
    <w:p>
      <w:pPr>
        <w:ind w:left="760" w:right="60" w:hanging="768"/>
        <w:spacing w:after="0" w:line="257" w:lineRule="auto"/>
        <w:tabs>
          <w:tab w:leader="none" w:pos="7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A Director or alternate Director may, or other officer of the Company on the direction of a Director or alternate Director shall, call a meeting of the Directors by at least two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93" w:lineRule="exact"/>
        <w:rPr>
          <w:sz w:val="20"/>
          <w:szCs w:val="20"/>
          <w:color w:val="auto"/>
        </w:rPr>
      </w:pPr>
    </w:p>
    <w:p>
      <w:pPr>
        <w:ind w:left="760" w:right="40" w:hanging="768"/>
        <w:spacing w:after="0" w:line="259" w:lineRule="auto"/>
        <w:tabs>
          <w:tab w:leader="none" w:pos="7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92" w:lineRule="exact"/>
        <w:rPr>
          <w:sz w:val="20"/>
          <w:szCs w:val="20"/>
          <w:color w:val="auto"/>
        </w:rPr>
      </w:pPr>
    </w:p>
    <w:p>
      <w:pPr>
        <w:ind w:left="760" w:right="80" w:hanging="768"/>
        <w:spacing w:after="0" w:line="263" w:lineRule="auto"/>
        <w:tabs>
          <w:tab w:leader="none" w:pos="7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89" w:lineRule="exact"/>
        <w:rPr>
          <w:sz w:val="20"/>
          <w:szCs w:val="20"/>
          <w:color w:val="auto"/>
        </w:rPr>
      </w:pPr>
    </w:p>
    <w:p>
      <w:pPr>
        <w:ind w:left="760" w:right="40" w:hanging="768"/>
        <w:spacing w:after="0" w:line="257" w:lineRule="auto"/>
        <w:tabs>
          <w:tab w:leader="none" w:pos="74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w:t>
      </w:r>
    </w:p>
    <w:p>
      <w:pPr>
        <w:spacing w:after="0" w:line="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color w:val="auto"/>
        </w:rPr>
        <w:t>A Director but not an alternate Director may be represented at any meetings of the board of Directors by a proxy appointed in writing by him.</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proxy shall count towards the quorum and the vote of the proxy shall for all purposes be deemed to be that of the appointing Director.</w:t>
      </w:r>
    </w:p>
    <w:p>
      <w:pPr>
        <w:sectPr>
          <w:pgSz w:w="11900" w:h="16838" w:orient="portrait"/>
          <w:cols w:equalWidth="0" w:num="1">
            <w:col w:w="10960"/>
          </w:cols>
          <w:pgMar w:left="440" w:top="274" w:right="499" w:bottom="1440" w:gutter="0" w:footer="0" w:header="0"/>
        </w:sectPr>
      </w:pPr>
    </w:p>
    <w:bookmarkStart w:id="213" w:name="page214"/>
    <w:bookmarkEnd w:id="213"/>
    <w:p>
      <w:pPr>
        <w:ind w:left="764" w:hanging="764"/>
        <w:spacing w:after="0"/>
        <w:tabs>
          <w:tab w:leader="none" w:pos="76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Presumption of Assent</w:t>
      </w:r>
    </w:p>
    <w:p>
      <w:pPr>
        <w:spacing w:after="0" w:line="121" w:lineRule="exact"/>
        <w:rPr>
          <w:rFonts w:ascii="Arial" w:cs="Arial" w:eastAsia="Arial" w:hAnsi="Arial"/>
          <w:sz w:val="18"/>
          <w:szCs w:val="18"/>
          <w:b w:val="1"/>
          <w:bCs w:val="1"/>
          <w:color w:val="auto"/>
        </w:rPr>
      </w:pPr>
    </w:p>
    <w:p>
      <w:pPr>
        <w:ind w:left="764"/>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 Director or alternate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w:t>
      </w:r>
    </w:p>
    <w:p>
      <w:pPr>
        <w:spacing w:after="0" w:line="320" w:lineRule="exact"/>
        <w:rPr>
          <w:rFonts w:ascii="Arial" w:cs="Arial" w:eastAsia="Arial" w:hAnsi="Arial"/>
          <w:sz w:val="18"/>
          <w:szCs w:val="18"/>
          <w:b w:val="1"/>
          <w:bCs w:val="1"/>
          <w:color w:val="auto"/>
        </w:rPr>
      </w:pPr>
    </w:p>
    <w:p>
      <w:pPr>
        <w:ind w:left="764" w:hanging="764"/>
        <w:spacing w:after="0"/>
        <w:tabs>
          <w:tab w:leader="none" w:pos="76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135" w:lineRule="exact"/>
        <w:rPr>
          <w:sz w:val="20"/>
          <w:szCs w:val="20"/>
          <w:color w:val="auto"/>
        </w:rPr>
      </w:pPr>
    </w:p>
    <w:p>
      <w:pPr>
        <w:ind w:left="764" w:right="200" w:hanging="768"/>
        <w:spacing w:after="0" w:line="342" w:lineRule="auto"/>
        <w:tabs>
          <w:tab w:leader="none" w:pos="744"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A Director or alternate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29" w:lineRule="exact"/>
        <w:rPr>
          <w:sz w:val="20"/>
          <w:szCs w:val="20"/>
          <w:color w:val="auto"/>
        </w:rPr>
      </w:pPr>
    </w:p>
    <w:p>
      <w:pPr>
        <w:ind w:left="764" w:right="100" w:hanging="768"/>
        <w:spacing w:after="0" w:line="308" w:lineRule="auto"/>
        <w:tabs>
          <w:tab w:leader="none" w:pos="744"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A Director or alternate Director may act by himself or by, through or on behalf of his firm in a professional capacity for the Company and he or his firm shall be entitled to remuneration for professional services as if he were not a Director or alternate Director.</w:t>
      </w:r>
    </w:p>
    <w:p>
      <w:pPr>
        <w:spacing w:after="0" w:line="52" w:lineRule="exact"/>
        <w:rPr>
          <w:sz w:val="20"/>
          <w:szCs w:val="20"/>
          <w:color w:val="auto"/>
        </w:rPr>
      </w:pPr>
    </w:p>
    <w:p>
      <w:pPr>
        <w:ind w:left="764" w:right="220" w:hanging="768"/>
        <w:spacing w:after="0" w:line="259" w:lineRule="auto"/>
        <w:tabs>
          <w:tab w:leader="none" w:pos="744"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him as a director or officer of, or from his interest in, such other company.</w:t>
      </w:r>
    </w:p>
    <w:p>
      <w:pPr>
        <w:spacing w:after="0" w:line="92" w:lineRule="exact"/>
        <w:rPr>
          <w:sz w:val="20"/>
          <w:szCs w:val="20"/>
          <w:color w:val="auto"/>
        </w:rPr>
      </w:pPr>
    </w:p>
    <w:p>
      <w:pPr>
        <w:ind w:left="764" w:right="20" w:hanging="768"/>
        <w:spacing w:after="0" w:line="271" w:lineRule="auto"/>
        <w:tabs>
          <w:tab w:leader="none" w:pos="744"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7"/>
          <w:szCs w:val="17"/>
          <w:color w:val="auto"/>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w:t>
      </w:r>
    </w:p>
    <w:p>
      <w:pPr>
        <w:spacing w:after="0" w:line="84" w:lineRule="exact"/>
        <w:rPr>
          <w:sz w:val="20"/>
          <w:szCs w:val="20"/>
          <w:color w:val="auto"/>
        </w:rPr>
      </w:pPr>
    </w:p>
    <w:p>
      <w:pPr>
        <w:ind w:left="764" w:right="20" w:hanging="768"/>
        <w:spacing w:after="0" w:line="259" w:lineRule="auto"/>
        <w:tabs>
          <w:tab w:leader="none" w:pos="744"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ectPr>
          <w:pgSz w:w="11900" w:h="16838" w:orient="portrait"/>
          <w:cols w:equalWidth="0" w:num="1">
            <w:col w:w="11004"/>
          </w:cols>
          <w:pgMar w:left="436" w:top="270" w:right="459" w:bottom="1440" w:gutter="0" w:footer="0" w:header="0"/>
        </w:sectPr>
      </w:pPr>
    </w:p>
    <w:bookmarkStart w:id="214" w:name="page215"/>
    <w:bookmarkEnd w:id="214"/>
    <w:p>
      <w:pPr>
        <w:ind w:left="764" w:hanging="764"/>
        <w:spacing w:after="0"/>
        <w:tabs>
          <w:tab w:leader="none" w:pos="76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Minutes</w:t>
      </w:r>
    </w:p>
    <w:p>
      <w:pPr>
        <w:spacing w:after="0" w:line="121" w:lineRule="exact"/>
        <w:rPr>
          <w:rFonts w:ascii="Arial" w:cs="Arial" w:eastAsia="Arial" w:hAnsi="Arial"/>
          <w:sz w:val="18"/>
          <w:szCs w:val="18"/>
          <w:b w:val="1"/>
          <w:bCs w:val="1"/>
          <w:color w:val="auto"/>
        </w:rPr>
      </w:pPr>
    </w:p>
    <w:p>
      <w:pPr>
        <w:ind w:left="764"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or alternate Directors present at each meeting.</w:t>
      </w:r>
    </w:p>
    <w:p>
      <w:pPr>
        <w:spacing w:after="0" w:line="328" w:lineRule="exact"/>
        <w:rPr>
          <w:rFonts w:ascii="Arial" w:cs="Arial" w:eastAsia="Arial" w:hAnsi="Arial"/>
          <w:sz w:val="18"/>
          <w:szCs w:val="18"/>
          <w:b w:val="1"/>
          <w:bCs w:val="1"/>
          <w:color w:val="auto"/>
        </w:rPr>
      </w:pPr>
    </w:p>
    <w:p>
      <w:pPr>
        <w:ind w:left="764" w:hanging="764"/>
        <w:spacing w:after="0"/>
        <w:tabs>
          <w:tab w:leader="none" w:pos="76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135" w:lineRule="exact"/>
        <w:rPr>
          <w:sz w:val="20"/>
          <w:szCs w:val="20"/>
          <w:color w:val="auto"/>
        </w:rPr>
      </w:pPr>
    </w:p>
    <w:p>
      <w:pPr>
        <w:ind w:left="764" w:right="40" w:hanging="768"/>
        <w:spacing w:after="0" w:line="291" w:lineRule="auto"/>
        <w:tabs>
          <w:tab w:leader="none" w:pos="744"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color w:val="auto"/>
        </w:rPr>
        <w:t>The Directors may delegate any of their powers, authorities and discretions, including the power to sub-delegate, to any committee consisting of one or more Directors. They may also delegate to any managing director or any Director holding any other executive office such of their powers, authorities and discretions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72" w:lineRule="exact"/>
        <w:rPr>
          <w:sz w:val="20"/>
          <w:szCs w:val="20"/>
          <w:color w:val="auto"/>
        </w:rPr>
      </w:pPr>
    </w:p>
    <w:p>
      <w:pPr>
        <w:ind w:left="764" w:hanging="768"/>
        <w:spacing w:after="0" w:line="296" w:lineRule="auto"/>
        <w:tabs>
          <w:tab w:leader="none" w:pos="744"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67" w:lineRule="exact"/>
        <w:rPr>
          <w:sz w:val="20"/>
          <w:szCs w:val="20"/>
          <w:color w:val="auto"/>
        </w:rPr>
      </w:pPr>
    </w:p>
    <w:p>
      <w:pPr>
        <w:ind w:left="764" w:right="120" w:hanging="768"/>
        <w:spacing w:after="0" w:line="342" w:lineRule="auto"/>
        <w:tabs>
          <w:tab w:leader="none" w:pos="744"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29" w:lineRule="exact"/>
        <w:rPr>
          <w:sz w:val="20"/>
          <w:szCs w:val="20"/>
          <w:color w:val="auto"/>
        </w:rPr>
      </w:pPr>
    </w:p>
    <w:p>
      <w:pPr>
        <w:ind w:left="764" w:right="80" w:hanging="768"/>
        <w:spacing w:after="0" w:line="293" w:lineRule="auto"/>
        <w:tabs>
          <w:tab w:leader="none" w:pos="744"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6"/>
          <w:szCs w:val="16"/>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70" w:lineRule="exact"/>
        <w:rPr>
          <w:sz w:val="20"/>
          <w:szCs w:val="20"/>
          <w:color w:val="auto"/>
        </w:rPr>
      </w:pPr>
    </w:p>
    <w:p>
      <w:pPr>
        <w:ind w:left="764" w:hanging="768"/>
        <w:spacing w:after="0" w:line="257" w:lineRule="auto"/>
        <w:tabs>
          <w:tab w:leader="none" w:pos="744"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8"/>
          <w:szCs w:val="18"/>
          <w:color w:val="auto"/>
        </w:rPr>
        <w:t>The Directors may appoint such officers of the Company (including, for the avoidance of doubt and without limitation, any secretary) as they consider necessary on such terms, at such remuneration and to perform such duties, and subject to such provisions as to disqualification and removal as the Directors may think fit. Unless otherwise specified in the terms of his appointment an officer of the Company may be removed by resolution of the Directors or Members. An officer of the Company may vacate his office at any time if he gives notice in writing to the Company that he resigns his office.</w:t>
      </w:r>
    </w:p>
    <w:p>
      <w:pPr>
        <w:sectPr>
          <w:pgSz w:w="11900" w:h="16838" w:orient="portrait"/>
          <w:cols w:equalWidth="0" w:num="1">
            <w:col w:w="11004"/>
          </w:cols>
          <w:pgMar w:left="436" w:top="270" w:right="459" w:bottom="1440" w:gutter="0" w:footer="0" w:header="0"/>
        </w:sectPr>
      </w:pPr>
    </w:p>
    <w:bookmarkStart w:id="215" w:name="page216"/>
    <w:bookmarkEnd w:id="215"/>
    <w:p>
      <w:pPr>
        <w:ind w:left="4"/>
        <w:spacing w:after="0"/>
        <w:tabs>
          <w:tab w:leader="none" w:pos="7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w:t>
      </w:r>
      <w:r>
        <w:rPr>
          <w:sz w:val="20"/>
          <w:szCs w:val="20"/>
          <w:color w:val="auto"/>
        </w:rPr>
        <w:tab/>
      </w:r>
      <w:r>
        <w:rPr>
          <w:rFonts w:ascii="Arial" w:cs="Arial" w:eastAsia="Arial" w:hAnsi="Arial"/>
          <w:sz w:val="18"/>
          <w:szCs w:val="18"/>
          <w:b w:val="1"/>
          <w:bCs w:val="1"/>
          <w:color w:val="auto"/>
        </w:rPr>
        <w:t>Alternate Directors</w:t>
      </w:r>
    </w:p>
    <w:p>
      <w:pPr>
        <w:spacing w:after="0" w:line="135" w:lineRule="exact"/>
        <w:rPr>
          <w:sz w:val="20"/>
          <w:szCs w:val="20"/>
          <w:color w:val="auto"/>
        </w:rPr>
      </w:pPr>
    </w:p>
    <w:p>
      <w:pPr>
        <w:ind w:left="764" w:right="200" w:hanging="768"/>
        <w:spacing w:after="0" w:line="277" w:lineRule="auto"/>
        <w:tabs>
          <w:tab w:leader="none" w:pos="744"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8"/>
          <w:szCs w:val="18"/>
          <w:color w:val="auto"/>
        </w:rPr>
        <w:t>Any Director (but not an alternate Director) may by writing appoint any other Director, or any other person willing to act, to be an alternate Director and by writing may remove from office an alternate Director so appointed by him.</w:t>
      </w:r>
    </w:p>
    <w:p>
      <w:pPr>
        <w:spacing w:after="0" w:line="76" w:lineRule="exact"/>
        <w:rPr>
          <w:sz w:val="20"/>
          <w:szCs w:val="20"/>
          <w:color w:val="auto"/>
        </w:rPr>
      </w:pPr>
    </w:p>
    <w:p>
      <w:pPr>
        <w:ind w:left="764" w:hanging="768"/>
        <w:spacing w:after="0" w:line="311" w:lineRule="auto"/>
        <w:tabs>
          <w:tab w:leader="none" w:pos="744"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color w:val="auto"/>
        </w:rPr>
        <w:t>An alternate Director shall be entitled to receive notice of all meetings of Directors and of all meetings of committees of Directors of which his appointor is a member, to attend and vote at every such meeting at which the Director appointing him is not personally present, to sign any written resolution of the Directors, and generally to perform all the functions of his appointor as a Director in his absence.</w:t>
      </w:r>
    </w:p>
    <w:p>
      <w:pPr>
        <w:spacing w:after="0" w:line="54"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An alternate Director shall cease to be an alternate Director if his appointor ceases to be a Director.</w:t>
      </w:r>
    </w:p>
    <w:p>
      <w:pPr>
        <w:spacing w:after="0" w:line="131" w:lineRule="exact"/>
        <w:rPr>
          <w:sz w:val="20"/>
          <w:szCs w:val="20"/>
          <w:color w:val="auto"/>
        </w:rPr>
      </w:pPr>
    </w:p>
    <w:p>
      <w:pPr>
        <w:ind w:left="764" w:right="560" w:hanging="768"/>
        <w:spacing w:after="0" w:line="277" w:lineRule="auto"/>
        <w:tabs>
          <w:tab w:leader="none" w:pos="744"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8"/>
          <w:szCs w:val="18"/>
          <w:color w:val="auto"/>
        </w:rPr>
        <w:t>Any appointment or removal of an alternate Director shall be by notice to the Company signed by the Director making or revoking the appointment or in any other manner approved by the Directors.</w:t>
      </w:r>
    </w:p>
    <w:p>
      <w:pPr>
        <w:spacing w:after="0" w:line="76" w:lineRule="exact"/>
        <w:rPr>
          <w:sz w:val="20"/>
          <w:szCs w:val="20"/>
          <w:color w:val="auto"/>
        </w:rPr>
      </w:pPr>
    </w:p>
    <w:p>
      <w:pPr>
        <w:ind w:left="764" w:right="60" w:hanging="768"/>
        <w:spacing w:after="0" w:line="277" w:lineRule="auto"/>
        <w:tabs>
          <w:tab w:leader="none" w:pos="744"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8"/>
          <w:szCs w:val="18"/>
          <w:color w:val="auto"/>
        </w:rPr>
        <w:t>Subject to the provisions of the Articles, an alternate Director shall be deemed for all purposes to be a Director and shall alone be responsible for his own acts and defaults and shall not be deemed to be the agent of the Director appointing him.</w:t>
      </w:r>
    </w:p>
    <w:p>
      <w:pPr>
        <w:spacing w:after="0" w:line="315" w:lineRule="exact"/>
        <w:rPr>
          <w:sz w:val="20"/>
          <w:szCs w:val="20"/>
          <w:color w:val="auto"/>
        </w:rPr>
      </w:pPr>
    </w:p>
    <w:p>
      <w:pPr>
        <w:ind w:left="764" w:hanging="764"/>
        <w:spacing w:after="0"/>
        <w:tabs>
          <w:tab w:leader="none" w:pos="76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121" w:lineRule="exact"/>
        <w:rPr>
          <w:rFonts w:ascii="Arial" w:cs="Arial" w:eastAsia="Arial" w:hAnsi="Arial"/>
          <w:sz w:val="18"/>
          <w:szCs w:val="18"/>
          <w:b w:val="1"/>
          <w:bCs w:val="1"/>
          <w:color w:val="auto"/>
        </w:rPr>
      </w:pPr>
    </w:p>
    <w:p>
      <w:pPr>
        <w:ind w:left="76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14" w:lineRule="exact"/>
        <w:rPr>
          <w:rFonts w:ascii="Arial" w:cs="Arial" w:eastAsia="Arial" w:hAnsi="Arial"/>
          <w:sz w:val="18"/>
          <w:szCs w:val="18"/>
          <w:b w:val="1"/>
          <w:bCs w:val="1"/>
          <w:color w:val="auto"/>
        </w:rPr>
      </w:pPr>
    </w:p>
    <w:p>
      <w:pPr>
        <w:ind w:left="764" w:hanging="764"/>
        <w:spacing w:after="0"/>
        <w:tabs>
          <w:tab w:leader="none" w:pos="76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135" w:lineRule="exact"/>
        <w:rPr>
          <w:sz w:val="20"/>
          <w:szCs w:val="20"/>
          <w:color w:val="auto"/>
        </w:rPr>
      </w:pPr>
    </w:p>
    <w:p>
      <w:pPr>
        <w:ind w:left="764" w:right="20" w:hanging="768"/>
        <w:spacing w:after="0" w:line="255" w:lineRule="auto"/>
        <w:tabs>
          <w:tab w:leader="none" w:pos="744"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98" w:lineRule="exact"/>
        <w:rPr>
          <w:sz w:val="20"/>
          <w:szCs w:val="20"/>
          <w:color w:val="auto"/>
        </w:rPr>
      </w:pPr>
    </w:p>
    <w:p>
      <w:pPr>
        <w:ind w:left="764" w:right="260" w:hanging="768"/>
        <w:spacing w:after="0" w:line="286" w:lineRule="auto"/>
        <w:tabs>
          <w:tab w:leader="none" w:pos="744"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7"/>
          <w:szCs w:val="17"/>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ectPr>
          <w:pgSz w:w="11900" w:h="16838" w:orient="portrait"/>
          <w:cols w:equalWidth="0" w:num="1">
            <w:col w:w="11004"/>
          </w:cols>
          <w:pgMar w:left="436" w:top="270" w:right="459" w:bottom="1440" w:gutter="0" w:footer="0" w:header="0"/>
        </w:sectPr>
      </w:pPr>
    </w:p>
    <w:bookmarkStart w:id="216" w:name="page217"/>
    <w:bookmarkEnd w:id="216"/>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39</w:t>
      </w:r>
      <w:r>
        <w:rPr>
          <w:sz w:val="20"/>
          <w:szCs w:val="20"/>
          <w:color w:val="auto"/>
        </w:rPr>
        <w:tab/>
      </w:r>
      <w:r>
        <w:rPr>
          <w:rFonts w:ascii="Arial" w:cs="Arial" w:eastAsia="Arial" w:hAnsi="Arial"/>
          <w:sz w:val="18"/>
          <w:szCs w:val="18"/>
          <w:b w:val="1"/>
          <w:bCs w:val="1"/>
          <w:color w:val="auto"/>
        </w:rPr>
        <w:t>Seal</w:t>
      </w:r>
    </w:p>
    <w:p>
      <w:pPr>
        <w:spacing w:after="0" w:line="135" w:lineRule="exact"/>
        <w:rPr>
          <w:sz w:val="20"/>
          <w:szCs w:val="20"/>
          <w:color w:val="auto"/>
        </w:rPr>
      </w:pPr>
    </w:p>
    <w:p>
      <w:pPr>
        <w:ind w:left="760" w:right="40" w:hanging="768"/>
        <w:spacing w:after="0" w:line="286" w:lineRule="auto"/>
        <w:tabs>
          <w:tab w:leader="none" w:pos="7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7"/>
          <w:szCs w:val="17"/>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of the Company or other person appointed by the Directors for the purpose.</w:t>
      </w:r>
    </w:p>
    <w:p>
      <w:pPr>
        <w:spacing w:after="0" w:line="71" w:lineRule="exact"/>
        <w:rPr>
          <w:sz w:val="20"/>
          <w:szCs w:val="20"/>
          <w:color w:val="auto"/>
        </w:rPr>
      </w:pPr>
    </w:p>
    <w:p>
      <w:pPr>
        <w:jc w:val="both"/>
        <w:ind w:left="760" w:hanging="768"/>
        <w:spacing w:after="0" w:line="263" w:lineRule="auto"/>
        <w:tabs>
          <w:tab w:leader="none" w:pos="74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89" w:lineRule="exact"/>
        <w:rPr>
          <w:sz w:val="20"/>
          <w:szCs w:val="20"/>
          <w:color w:val="auto"/>
        </w:rPr>
      </w:pPr>
    </w:p>
    <w:p>
      <w:pPr>
        <w:ind w:left="760" w:right="620" w:hanging="768"/>
        <w:spacing w:after="0" w:line="263" w:lineRule="auto"/>
        <w:tabs>
          <w:tab w:leader="none" w:pos="7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Dividends, Distributions and Reserve</w:t>
      </w:r>
    </w:p>
    <w:p>
      <w:pPr>
        <w:spacing w:after="0" w:line="135" w:lineRule="exact"/>
        <w:rPr>
          <w:sz w:val="20"/>
          <w:szCs w:val="20"/>
          <w:color w:val="auto"/>
        </w:rPr>
      </w:pPr>
    </w:p>
    <w:p>
      <w:pPr>
        <w:ind w:left="760" w:right="40" w:hanging="768"/>
        <w:spacing w:after="0" w:line="255" w:lineRule="auto"/>
        <w:tabs>
          <w:tab w:leader="none" w:pos="7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98" w:lineRule="exact"/>
        <w:rPr>
          <w:sz w:val="20"/>
          <w:szCs w:val="20"/>
          <w:color w:val="auto"/>
        </w:rPr>
      </w:pPr>
    </w:p>
    <w:p>
      <w:pPr>
        <w:jc w:val="both"/>
        <w:ind w:left="760" w:right="260" w:hanging="768"/>
        <w:spacing w:after="0" w:line="263" w:lineRule="auto"/>
        <w:tabs>
          <w:tab w:leader="none" w:pos="7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89" w:lineRule="exact"/>
        <w:rPr>
          <w:sz w:val="20"/>
          <w:szCs w:val="20"/>
          <w:color w:val="auto"/>
        </w:rPr>
      </w:pPr>
    </w:p>
    <w:p>
      <w:pPr>
        <w:ind w:left="760" w:right="60" w:hanging="768"/>
        <w:spacing w:after="0" w:line="277" w:lineRule="auto"/>
        <w:tabs>
          <w:tab w:leader="none" w:pos="74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8"/>
          <w:szCs w:val="18"/>
          <w:color w:val="auto"/>
        </w:rPr>
        <w:t>The Directors may deduct from any Dividend or other distribution payable to any Member all sums of money (if any) then payable by him to the Company on account of calls or otherwise.</w:t>
      </w:r>
    </w:p>
    <w:p>
      <w:pPr>
        <w:spacing w:after="0" w:line="76" w:lineRule="exact"/>
        <w:rPr>
          <w:sz w:val="20"/>
          <w:szCs w:val="20"/>
          <w:color w:val="auto"/>
        </w:rPr>
      </w:pPr>
    </w:p>
    <w:p>
      <w:pPr>
        <w:ind w:left="760" w:right="40" w:hanging="768"/>
        <w:spacing w:after="0" w:line="273" w:lineRule="auto"/>
        <w:tabs>
          <w:tab w:leader="none" w:pos="74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7"/>
          <w:szCs w:val="17"/>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ectPr>
          <w:pgSz w:w="11900" w:h="16838" w:orient="portrait"/>
          <w:cols w:equalWidth="0" w:num="1">
            <w:col w:w="10980"/>
          </w:cols>
          <w:pgMar w:left="440" w:top="270" w:right="479" w:bottom="1440" w:gutter="0" w:footer="0" w:header="0"/>
        </w:sectPr>
      </w:pPr>
    </w:p>
    <w:bookmarkStart w:id="217" w:name="page218"/>
    <w:bookmarkEnd w:id="217"/>
    <w:p>
      <w:pPr>
        <w:ind w:left="764" w:right="20" w:hanging="768"/>
        <w:spacing w:after="0" w:line="342" w:lineRule="auto"/>
        <w:tabs>
          <w:tab w:leader="none" w:pos="7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40.5</w:t>
      </w:r>
      <w:r>
        <w:rPr>
          <w:sz w:val="20"/>
          <w:szCs w:val="20"/>
          <w:color w:val="auto"/>
        </w:rPr>
        <w:tab/>
      </w:r>
      <w:r>
        <w:rPr>
          <w:rFonts w:ascii="Arial" w:cs="Arial" w:eastAsia="Arial" w:hAnsi="Arial"/>
          <w:sz w:val="16"/>
          <w:szCs w:val="16"/>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29" w:lineRule="exact"/>
        <w:rPr>
          <w:sz w:val="20"/>
          <w:szCs w:val="20"/>
          <w:color w:val="auto"/>
        </w:rPr>
      </w:pPr>
    </w:p>
    <w:p>
      <w:pPr>
        <w:ind w:left="764" w:right="220" w:hanging="768"/>
        <w:spacing w:after="0" w:line="263" w:lineRule="auto"/>
        <w:tabs>
          <w:tab w:leader="none" w:pos="744"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89" w:lineRule="exact"/>
        <w:rPr>
          <w:sz w:val="20"/>
          <w:szCs w:val="20"/>
          <w:color w:val="auto"/>
        </w:rPr>
      </w:pPr>
    </w:p>
    <w:p>
      <w:pPr>
        <w:ind w:left="764" w:hanging="768"/>
        <w:spacing w:after="0" w:line="255" w:lineRule="auto"/>
        <w:tabs>
          <w:tab w:leader="none" w:pos="744"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9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6"/>
          <w:szCs w:val="16"/>
          <w:color w:val="auto"/>
        </w:rPr>
        <w:t>No Dividend or other distribution shall bear interest against the Company.</w:t>
      </w:r>
    </w:p>
    <w:p>
      <w:pPr>
        <w:spacing w:after="0" w:line="131" w:lineRule="exact"/>
        <w:rPr>
          <w:sz w:val="20"/>
          <w:szCs w:val="20"/>
          <w:color w:val="auto"/>
        </w:rPr>
      </w:pPr>
    </w:p>
    <w:p>
      <w:pPr>
        <w:ind w:left="764" w:right="40" w:hanging="768"/>
        <w:spacing w:after="0" w:line="296" w:lineRule="auto"/>
        <w:tabs>
          <w:tab w:leader="none" w:pos="744" w:val="left"/>
        </w:tabs>
        <w:rPr>
          <w:sz w:val="20"/>
          <w:szCs w:val="20"/>
          <w:color w:val="auto"/>
        </w:rPr>
      </w:pPr>
      <w:r>
        <w:rPr>
          <w:rFonts w:ascii="Arial" w:cs="Arial" w:eastAsia="Arial" w:hAnsi="Arial"/>
          <w:sz w:val="18"/>
          <w:szCs w:val="18"/>
          <w:color w:val="auto"/>
        </w:rPr>
        <w:t>40.9</w:t>
      </w:r>
      <w:r>
        <w:rPr>
          <w:sz w:val="20"/>
          <w:szCs w:val="20"/>
          <w:color w:val="auto"/>
        </w:rPr>
        <w:tab/>
      </w:r>
      <w:r>
        <w:rPr>
          <w:rFonts w:ascii="Arial" w:cs="Arial" w:eastAsia="Arial" w:hAnsi="Arial"/>
          <w:sz w:val="16"/>
          <w:szCs w:val="16"/>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306" w:lineRule="exact"/>
        <w:rPr>
          <w:sz w:val="20"/>
          <w:szCs w:val="20"/>
          <w:color w:val="auto"/>
        </w:rPr>
      </w:pPr>
    </w:p>
    <w:p>
      <w:pPr>
        <w:ind w:left="764" w:hanging="764"/>
        <w:spacing w:after="0"/>
        <w:tabs>
          <w:tab w:leader="none" w:pos="764"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121" w:lineRule="exact"/>
        <w:rPr>
          <w:rFonts w:ascii="Arial" w:cs="Arial" w:eastAsia="Arial" w:hAnsi="Arial"/>
          <w:sz w:val="18"/>
          <w:szCs w:val="18"/>
          <w:b w:val="1"/>
          <w:bCs w:val="1"/>
          <w:color w:val="auto"/>
        </w:rPr>
      </w:pPr>
    </w:p>
    <w:p>
      <w:pPr>
        <w:ind w:left="764" w:right="1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ectPr>
          <w:pgSz w:w="11900" w:h="16838" w:orient="portrait"/>
          <w:cols w:equalWidth="0" w:num="1">
            <w:col w:w="11004"/>
          </w:cols>
          <w:pgMar w:left="436" w:top="274" w:right="459" w:bottom="1440" w:gutter="0" w:footer="0" w:header="0"/>
        </w:sectPr>
      </w:pPr>
    </w:p>
    <w:bookmarkStart w:id="218" w:name="page219"/>
    <w:bookmarkEnd w:id="218"/>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w:t>
      </w:r>
      <w:r>
        <w:rPr>
          <w:sz w:val="20"/>
          <w:szCs w:val="20"/>
          <w:color w:val="auto"/>
        </w:rPr>
        <w:tab/>
      </w:r>
      <w:r>
        <w:rPr>
          <w:rFonts w:ascii="Arial" w:cs="Arial" w:eastAsia="Arial" w:hAnsi="Arial"/>
          <w:sz w:val="18"/>
          <w:szCs w:val="18"/>
          <w:b w:val="1"/>
          <w:bCs w:val="1"/>
          <w:color w:val="auto"/>
        </w:rPr>
        <w:t>Books of Account</w:t>
      </w:r>
    </w:p>
    <w:p>
      <w:pPr>
        <w:spacing w:after="0" w:line="135" w:lineRule="exact"/>
        <w:rPr>
          <w:sz w:val="20"/>
          <w:szCs w:val="20"/>
          <w:color w:val="auto"/>
        </w:rPr>
      </w:pPr>
    </w:p>
    <w:p>
      <w:pPr>
        <w:ind w:left="760" w:right="20" w:hanging="768"/>
        <w:spacing w:after="0" w:line="255" w:lineRule="auto"/>
        <w:tabs>
          <w:tab w:leader="none" w:pos="7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98" w:lineRule="exact"/>
        <w:rPr>
          <w:sz w:val="20"/>
          <w:szCs w:val="20"/>
          <w:color w:val="auto"/>
        </w:rPr>
      </w:pPr>
    </w:p>
    <w:p>
      <w:pPr>
        <w:ind w:left="760" w:hanging="768"/>
        <w:spacing w:after="0" w:line="259" w:lineRule="auto"/>
        <w:tabs>
          <w:tab w:leader="none" w:pos="7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92" w:lineRule="exact"/>
        <w:rPr>
          <w:sz w:val="20"/>
          <w:szCs w:val="20"/>
          <w:color w:val="auto"/>
        </w:rPr>
      </w:pPr>
    </w:p>
    <w:p>
      <w:pPr>
        <w:ind w:left="760" w:right="20" w:hanging="768"/>
        <w:spacing w:after="0" w:line="277" w:lineRule="auto"/>
        <w:tabs>
          <w:tab w:leader="none" w:pos="7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3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Audit</w:t>
      </w:r>
    </w:p>
    <w:p>
      <w:pPr>
        <w:spacing w:after="0" w:line="13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131" w:lineRule="exact"/>
        <w:rPr>
          <w:sz w:val="20"/>
          <w:szCs w:val="20"/>
          <w:color w:val="auto"/>
        </w:rPr>
      </w:pPr>
    </w:p>
    <w:p>
      <w:pPr>
        <w:ind w:left="760" w:hanging="768"/>
        <w:spacing w:after="0" w:line="263" w:lineRule="auto"/>
        <w:tabs>
          <w:tab w:leader="none" w:pos="7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89" w:lineRule="exact"/>
        <w:rPr>
          <w:sz w:val="20"/>
          <w:szCs w:val="20"/>
          <w:color w:val="auto"/>
        </w:rPr>
      </w:pPr>
    </w:p>
    <w:p>
      <w:pPr>
        <w:ind w:left="760" w:right="120" w:hanging="768"/>
        <w:spacing w:after="0" w:line="257" w:lineRule="auto"/>
        <w:tabs>
          <w:tab w:leader="none" w:pos="74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ectPr>
          <w:pgSz w:w="11900" w:h="16838" w:orient="portrait"/>
          <w:cols w:equalWidth="0" w:num="1">
            <w:col w:w="10960"/>
          </w:cols>
          <w:pgMar w:left="440" w:top="270" w:right="499" w:bottom="1440" w:gutter="0" w:footer="0" w:header="0"/>
        </w:sectPr>
      </w:pPr>
    </w:p>
    <w:bookmarkStart w:id="219" w:name="page220"/>
    <w:bookmarkEnd w:id="219"/>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44</w:t>
      </w:r>
      <w:r>
        <w:rPr>
          <w:sz w:val="20"/>
          <w:szCs w:val="20"/>
          <w:color w:val="auto"/>
        </w:rPr>
        <w:tab/>
      </w:r>
      <w:r>
        <w:rPr>
          <w:rFonts w:ascii="Arial" w:cs="Arial" w:eastAsia="Arial" w:hAnsi="Arial"/>
          <w:sz w:val="18"/>
          <w:szCs w:val="18"/>
          <w:b w:val="1"/>
          <w:bCs w:val="1"/>
          <w:color w:val="auto"/>
        </w:rPr>
        <w:t>Notices</w:t>
      </w:r>
    </w:p>
    <w:p>
      <w:pPr>
        <w:spacing w:after="0" w:line="135" w:lineRule="exact"/>
        <w:rPr>
          <w:sz w:val="20"/>
          <w:szCs w:val="20"/>
          <w:color w:val="auto"/>
        </w:rPr>
      </w:pPr>
    </w:p>
    <w:p>
      <w:pPr>
        <w:jc w:val="both"/>
        <w:ind w:left="760" w:right="100" w:hanging="768"/>
        <w:spacing w:after="0" w:line="286" w:lineRule="auto"/>
        <w:tabs>
          <w:tab w:leader="none" w:pos="7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7"/>
          <w:szCs w:val="17"/>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Any notice, if posted from one country to another, is to be sent by airmail.</w:t>
      </w:r>
    </w:p>
    <w:p>
      <w:pPr>
        <w:spacing w:after="0" w:line="71" w:lineRule="exact"/>
        <w:rPr>
          <w:sz w:val="20"/>
          <w:szCs w:val="20"/>
          <w:color w:val="auto"/>
        </w:rPr>
      </w:pPr>
    </w:p>
    <w:p>
      <w:pPr>
        <w:ind w:left="760" w:hanging="768"/>
        <w:spacing w:after="0" w:line="289" w:lineRule="auto"/>
        <w:tabs>
          <w:tab w:leader="none" w:pos="7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72" w:lineRule="exact"/>
        <w:rPr>
          <w:sz w:val="20"/>
          <w:szCs w:val="20"/>
          <w:color w:val="auto"/>
        </w:rPr>
      </w:pPr>
    </w:p>
    <w:p>
      <w:pPr>
        <w:ind w:left="760" w:hanging="768"/>
        <w:spacing w:after="0" w:line="275" w:lineRule="auto"/>
        <w:tabs>
          <w:tab w:leader="none" w:pos="74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7"/>
          <w:szCs w:val="17"/>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2" w:lineRule="exact"/>
        <w:rPr>
          <w:sz w:val="20"/>
          <w:szCs w:val="20"/>
          <w:color w:val="auto"/>
        </w:rPr>
      </w:pPr>
    </w:p>
    <w:p>
      <w:pPr>
        <w:ind w:left="760" w:hanging="768"/>
        <w:spacing w:after="0" w:line="296" w:lineRule="auto"/>
        <w:tabs>
          <w:tab w:leader="none" w:pos="74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30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Winding Up</w:t>
      </w:r>
    </w:p>
    <w:p>
      <w:pPr>
        <w:spacing w:after="0" w:line="135" w:lineRule="exact"/>
        <w:rPr>
          <w:sz w:val="20"/>
          <w:szCs w:val="20"/>
          <w:color w:val="auto"/>
        </w:rPr>
      </w:pPr>
    </w:p>
    <w:p>
      <w:pPr>
        <w:ind w:left="760" w:right="40" w:hanging="768"/>
        <w:spacing w:after="0" w:line="277" w:lineRule="auto"/>
        <w:tabs>
          <w:tab w:leader="none" w:pos="7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ectPr>
          <w:pgSz w:w="11900" w:h="16838" w:orient="portrait"/>
          <w:cols w:equalWidth="0" w:num="1">
            <w:col w:w="11000"/>
          </w:cols>
          <w:pgMar w:left="440" w:top="270" w:right="459" w:bottom="1440" w:gutter="0" w:footer="0" w:header="0"/>
        </w:sectPr>
      </w:pPr>
    </w:p>
    <w:bookmarkStart w:id="220" w:name="page221"/>
    <w:bookmarkEnd w:id="220"/>
    <w:p>
      <w:pPr>
        <w:ind w:left="1420" w:right="20" w:hanging="655"/>
        <w:spacing w:after="0" w:line="263"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89" w:lineRule="exact"/>
        <w:rPr>
          <w:rFonts w:ascii="Arial" w:cs="Arial" w:eastAsia="Arial" w:hAnsi="Arial"/>
          <w:sz w:val="18"/>
          <w:szCs w:val="18"/>
          <w:color w:val="auto"/>
        </w:rPr>
      </w:pPr>
    </w:p>
    <w:p>
      <w:pPr>
        <w:ind w:left="1420" w:hanging="655"/>
        <w:spacing w:after="0" w:line="279" w:lineRule="auto"/>
        <w:tabs>
          <w:tab w:leader="none" w:pos="1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77" w:lineRule="exact"/>
        <w:rPr>
          <w:sz w:val="20"/>
          <w:szCs w:val="20"/>
          <w:color w:val="auto"/>
        </w:rPr>
      </w:pPr>
    </w:p>
    <w:p>
      <w:pPr>
        <w:ind w:left="760" w:right="100" w:hanging="768"/>
        <w:spacing w:after="0" w:line="293" w:lineRule="auto"/>
        <w:tabs>
          <w:tab w:leader="none" w:pos="7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3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Indemnity and Insurance</w:t>
      </w:r>
    </w:p>
    <w:p>
      <w:pPr>
        <w:spacing w:after="0" w:line="135" w:lineRule="exact"/>
        <w:rPr>
          <w:sz w:val="20"/>
          <w:szCs w:val="20"/>
          <w:color w:val="auto"/>
        </w:rPr>
      </w:pPr>
    </w:p>
    <w:p>
      <w:pPr>
        <w:ind w:left="760" w:right="40" w:hanging="768"/>
        <w:spacing w:after="0" w:line="271" w:lineRule="auto"/>
        <w:tabs>
          <w:tab w:leader="none" w:pos="74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7"/>
          <w:szCs w:val="17"/>
          <w:color w:val="auto"/>
        </w:rPr>
        <w:t>Every Director and officer of the Company (which for the avoidance of doubt, shall not include auditors of the Company), together with every former Director and former officer of the Company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or wilful default. No Indemnified Person shall be liable to the Company for any loss or damage incurred by the Company as a result (whether direct or indirect) of the carrying out of their functions unless that liability arises through the actual fraud or wilful default of such Indemnified Person. No person shall be found to have committed actual fraud or wilful default under this Article unless or until a court of competent jurisdiction shall have made a finding to that effect.</w:t>
      </w:r>
    </w:p>
    <w:p>
      <w:pPr>
        <w:spacing w:after="0" w:line="84" w:lineRule="exact"/>
        <w:rPr>
          <w:sz w:val="20"/>
          <w:szCs w:val="20"/>
          <w:color w:val="auto"/>
        </w:rPr>
      </w:pPr>
    </w:p>
    <w:p>
      <w:pPr>
        <w:ind w:left="760" w:hanging="768"/>
        <w:spacing w:after="0" w:line="291" w:lineRule="auto"/>
        <w:tabs>
          <w:tab w:leader="none" w:pos="74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ectPr>
          <w:pgSz w:w="11900" w:h="16838" w:orient="portrait"/>
          <w:cols w:equalWidth="0" w:num="1">
            <w:col w:w="11000"/>
          </w:cols>
          <w:pgMar w:left="440" w:top="274" w:right="459" w:bottom="1440" w:gutter="0" w:footer="0" w:header="0"/>
        </w:sectPr>
      </w:pPr>
    </w:p>
    <w:bookmarkStart w:id="221" w:name="page222"/>
    <w:bookmarkEnd w:id="221"/>
    <w:p>
      <w:pPr>
        <w:ind w:left="764" w:hanging="768"/>
        <w:spacing w:after="0" w:line="263" w:lineRule="auto"/>
        <w:tabs>
          <w:tab w:leader="none" w:pos="7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46.3</w:t>
      </w:r>
      <w:r>
        <w:rPr>
          <w:sz w:val="20"/>
          <w:szCs w:val="20"/>
          <w:color w:val="auto"/>
        </w:rPr>
        <w:tab/>
      </w:r>
      <w:r>
        <w:rPr>
          <w:rFonts w:ascii="Arial" w:cs="Arial" w:eastAsia="Arial" w:hAnsi="Arial"/>
          <w:sz w:val="18"/>
          <w:szCs w:val="18"/>
          <w:color w:val="auto"/>
        </w:rPr>
        <w:t>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328" w:lineRule="exact"/>
        <w:rPr>
          <w:sz w:val="20"/>
          <w:szCs w:val="20"/>
          <w:color w:val="auto"/>
        </w:rPr>
      </w:pPr>
    </w:p>
    <w:p>
      <w:pPr>
        <w:ind w:left="764" w:hanging="764"/>
        <w:spacing w:after="0"/>
        <w:tabs>
          <w:tab w:leader="none" w:pos="764"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21" w:lineRule="exact"/>
        <w:rPr>
          <w:rFonts w:ascii="Arial" w:cs="Arial" w:eastAsia="Arial" w:hAnsi="Arial"/>
          <w:sz w:val="18"/>
          <w:szCs w:val="18"/>
          <w:b w:val="1"/>
          <w:bCs w:val="1"/>
          <w:color w:val="auto"/>
        </w:rPr>
      </w:pPr>
    </w:p>
    <w:p>
      <w:pPr>
        <w:ind w:left="76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314" w:lineRule="exact"/>
        <w:rPr>
          <w:rFonts w:ascii="Arial" w:cs="Arial" w:eastAsia="Arial" w:hAnsi="Arial"/>
          <w:sz w:val="18"/>
          <w:szCs w:val="18"/>
          <w:b w:val="1"/>
          <w:bCs w:val="1"/>
          <w:color w:val="auto"/>
        </w:rPr>
      </w:pPr>
    </w:p>
    <w:p>
      <w:pPr>
        <w:ind w:left="764" w:hanging="764"/>
        <w:spacing w:after="0"/>
        <w:tabs>
          <w:tab w:leader="none" w:pos="764"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121" w:lineRule="exact"/>
        <w:rPr>
          <w:rFonts w:ascii="Arial" w:cs="Arial" w:eastAsia="Arial" w:hAnsi="Arial"/>
          <w:sz w:val="18"/>
          <w:szCs w:val="18"/>
          <w:b w:val="1"/>
          <w:bCs w:val="1"/>
          <w:color w:val="auto"/>
        </w:rPr>
      </w:pPr>
    </w:p>
    <w:p>
      <w:pPr>
        <w:ind w:left="764" w:right="4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328" w:lineRule="exact"/>
        <w:rPr>
          <w:rFonts w:ascii="Arial" w:cs="Arial" w:eastAsia="Arial" w:hAnsi="Arial"/>
          <w:sz w:val="18"/>
          <w:szCs w:val="18"/>
          <w:b w:val="1"/>
          <w:bCs w:val="1"/>
          <w:color w:val="auto"/>
        </w:rPr>
      </w:pPr>
    </w:p>
    <w:p>
      <w:pPr>
        <w:ind w:left="764" w:hanging="764"/>
        <w:spacing w:after="0"/>
        <w:tabs>
          <w:tab w:leader="none" w:pos="764"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121" w:lineRule="exact"/>
        <w:rPr>
          <w:rFonts w:ascii="Arial" w:cs="Arial" w:eastAsia="Arial" w:hAnsi="Arial"/>
          <w:sz w:val="18"/>
          <w:szCs w:val="18"/>
          <w:b w:val="1"/>
          <w:bCs w:val="1"/>
          <w:color w:val="auto"/>
        </w:rPr>
      </w:pPr>
    </w:p>
    <w:p>
      <w:pPr>
        <w:ind w:left="764"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ectPr>
          <w:pgSz w:w="11900" w:h="16838" w:orient="portrait"/>
          <w:cols w:equalWidth="0" w:num="1">
            <w:col w:w="11004"/>
          </w:cols>
          <w:pgMar w:left="436" w:top="274" w:right="459" w:bottom="1440" w:gutter="0" w:footer="0" w:header="0"/>
        </w:sectPr>
      </w:pPr>
    </w:p>
    <w:bookmarkStart w:id="222" w:name="page223"/>
    <w:bookmarkEnd w:id="2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Dated this 25th day of February 2021.</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Signature and Address of Subscriber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Mapcal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PO Box 309, 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 acting by: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Tasha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Tasha McFarlane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Ruth Grizzel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Ruth Grizzel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Witness to the above signature</w:t>
      </w:r>
    </w:p>
    <w:p>
      <w:pPr>
        <w:sectPr>
          <w:pgSz w:w="11900" w:h="16838" w:orient="portrait"/>
          <w:cols w:equalWidth="0" w:num="1">
            <w:col w:w="10019"/>
          </w:cols>
          <w:pgMar w:left="440" w:top="274"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COMPANIES ACT (AS REVISED)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COMPANY LIMITED BY SHARES</w:t>
      </w:r>
    </w:p>
    <w:p>
      <w:pPr>
        <w:spacing w:after="0" w:line="9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9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(ADOPTED BY SPECIAL RESOLUTION DATED [DATE] AND EFFECTIVE ON [DATE])</w:t>
      </w:r>
    </w:p>
    <w:p>
      <w:pPr>
        <w:sectPr>
          <w:pgSz w:w="11900" w:h="16838" w:orient="portrait"/>
          <w:cols w:equalWidth="0" w:num="1">
            <w:col w:w="10020"/>
          </w:cols>
          <w:pgMar w:left="1440" w:top="121" w:right="439" w:bottom="1440" w:gutter="0" w:footer="0" w:header="0"/>
        </w:sectPr>
      </w:pPr>
    </w:p>
    <w:bookmarkStart w:id="224" w:name="page225"/>
    <w:bookmarkEnd w:id="224"/>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ACT (AS REVISED)</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COMPANY LIMITED BY SHARES</w:t>
      </w:r>
    </w:p>
    <w:p>
      <w:pPr>
        <w:spacing w:after="0" w:line="9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MEMORANDUM OF ASSOCIATION</w:t>
      </w:r>
    </w:p>
    <w:p>
      <w:pPr>
        <w:spacing w:after="0" w:line="99" w:lineRule="exact"/>
        <w:rPr>
          <w:sz w:val="20"/>
          <w:szCs w:val="20"/>
          <w:color w:val="auto"/>
        </w:rPr>
      </w:pPr>
    </w:p>
    <w:p>
      <w:pPr>
        <w:ind w:left="5384"/>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ind w:left="3304"/>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(ADOPTED BY SPECIAL RESOLUTION DATED [DATE] AND EFFECTIVE ON [DATE])</w:t>
      </w:r>
    </w:p>
    <w:p>
      <w:pPr>
        <w:spacing w:after="0" w:line="234" w:lineRule="exact"/>
        <w:rPr>
          <w:sz w:val="20"/>
          <w:szCs w:val="20"/>
          <w:color w:val="auto"/>
        </w:rPr>
      </w:pPr>
    </w:p>
    <w:p>
      <w:pPr>
        <w:ind w:left="544" w:hanging="544"/>
        <w:spacing w:after="0"/>
        <w:tabs>
          <w:tab w:leader="none" w:pos="5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Social Capital Suvretta Holdings Corp. III.</w:t>
      </w:r>
    </w:p>
    <w:p>
      <w:pPr>
        <w:spacing w:after="0" w:line="135" w:lineRule="exact"/>
        <w:rPr>
          <w:sz w:val="20"/>
          <w:szCs w:val="20"/>
          <w:color w:val="auto"/>
        </w:rPr>
      </w:pPr>
    </w:p>
    <w:p>
      <w:pPr>
        <w:ind w:left="544" w:right="600" w:hanging="544"/>
        <w:spacing w:after="0" w:line="308" w:lineRule="auto"/>
        <w:tabs>
          <w:tab w:leader="none" w:pos="54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52" w:lineRule="exact"/>
        <w:rPr>
          <w:sz w:val="20"/>
          <w:szCs w:val="20"/>
          <w:color w:val="auto"/>
        </w:rPr>
      </w:pPr>
    </w:p>
    <w:p>
      <w:pPr>
        <w:ind w:left="544" w:right="140" w:hanging="544"/>
        <w:spacing w:after="0" w:line="277" w:lineRule="auto"/>
        <w:tabs>
          <w:tab w:leader="none" w:pos="5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76" w:lineRule="exact"/>
        <w:rPr>
          <w:sz w:val="20"/>
          <w:szCs w:val="20"/>
          <w:color w:val="auto"/>
        </w:rPr>
      </w:pPr>
    </w:p>
    <w:p>
      <w:pPr>
        <w:ind w:left="544" w:hanging="544"/>
        <w:spacing w:after="0"/>
        <w:tabs>
          <w:tab w:leader="none" w:pos="5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131" w:lineRule="exact"/>
        <w:rPr>
          <w:sz w:val="20"/>
          <w:szCs w:val="20"/>
          <w:color w:val="auto"/>
        </w:rPr>
      </w:pPr>
    </w:p>
    <w:p>
      <w:pPr>
        <w:ind w:left="544" w:hanging="544"/>
        <w:spacing w:after="0" w:line="342" w:lineRule="auto"/>
        <w:tabs>
          <w:tab w:leader="none" w:pos="54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share capital of the Company is US$55,500 divided into 500,000,000 Class A ordinary shares of a par value of US$0.0001 each, 50,000,000 Class B ordinary shares of a par value of US$0.0001 each and 5,000,000 preference shares of a par value of US$0.0001 each.</w:t>
      </w:r>
    </w:p>
    <w:p>
      <w:pPr>
        <w:spacing w:after="0" w:line="29" w:lineRule="exact"/>
        <w:rPr>
          <w:sz w:val="20"/>
          <w:szCs w:val="20"/>
          <w:color w:val="auto"/>
        </w:rPr>
      </w:pPr>
    </w:p>
    <w:p>
      <w:pPr>
        <w:ind w:left="544" w:right="140" w:hanging="544"/>
        <w:spacing w:after="0" w:line="277" w:lineRule="auto"/>
        <w:tabs>
          <w:tab w:leader="none" w:pos="5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76" w:lineRule="exact"/>
        <w:rPr>
          <w:sz w:val="20"/>
          <w:szCs w:val="20"/>
          <w:color w:val="auto"/>
        </w:rPr>
      </w:pPr>
    </w:p>
    <w:p>
      <w:pPr>
        <w:ind w:left="544" w:right="20" w:hanging="544"/>
        <w:spacing w:after="0" w:line="277" w:lineRule="auto"/>
        <w:tabs>
          <w:tab w:leader="none" w:pos="5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Capitalised terms that are not defined in this Amended and Restated Memorandum of Association bear the respective meanings given to them in the Amended and Restated Articles of Association of the Company.</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0" w:right="499" w:bottom="1440" w:gutter="0" w:footer="0" w:header="0"/>
        </w:sectPr>
      </w:pPr>
    </w:p>
    <w:bookmarkStart w:id="225" w:name="page226"/>
    <w:bookmarkEnd w:id="22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ACT (AS REVISED)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COMPANY LIMITED BY SHARES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ARTICLES OF ASSOCIATION</w:t>
      </w:r>
    </w:p>
    <w:p>
      <w:pPr>
        <w:spacing w:after="0" w:line="99" w:lineRule="exact"/>
        <w:rPr>
          <w:sz w:val="20"/>
          <w:szCs w:val="20"/>
          <w:color w:val="auto"/>
        </w:rPr>
      </w:pPr>
    </w:p>
    <w:p>
      <w:pPr>
        <w:ind w:left="5384"/>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ind w:left="3304"/>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(ADOPTED BY SPECIAL RESOLUTION DATED [DATE] AND EFFECTIVE ON [DATE])</w:t>
      </w:r>
    </w:p>
    <w:p>
      <w:pPr>
        <w:spacing w:after="0" w:line="234" w:lineRule="exact"/>
        <w:rPr>
          <w:sz w:val="20"/>
          <w:szCs w:val="20"/>
          <w:color w:val="auto"/>
        </w:rPr>
      </w:pPr>
    </w:p>
    <w:p>
      <w:pPr>
        <w:ind w:left="544" w:hanging="544"/>
        <w:spacing w:after="0"/>
        <w:tabs>
          <w:tab w:leader="none" w:pos="54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ectPr>
          <w:pgSz w:w="11900" w:h="16838" w:orient="portrait"/>
          <w:cols w:equalWidth="0" w:num="1">
            <w:col w:w="11004"/>
          </w:cols>
          <w:pgMar w:left="436" w:top="270" w:right="459" w:bottom="1440" w:gutter="0" w:footer="0" w:header="0"/>
        </w:sectPr>
      </w:pPr>
    </w:p>
    <w:p>
      <w:pPr>
        <w:spacing w:after="0" w:line="193" w:lineRule="exact"/>
        <w:rPr>
          <w:sz w:val="20"/>
          <w:szCs w:val="20"/>
          <w:color w:val="auto"/>
        </w:rPr>
      </w:pPr>
    </w:p>
    <w:p>
      <w:pPr>
        <w:ind w:left="564"/>
        <w:spacing w:after="0"/>
        <w:rPr>
          <w:sz w:val="20"/>
          <w:szCs w:val="20"/>
          <w:color w:val="auto"/>
        </w:rPr>
      </w:pPr>
      <w:r>
        <w:rPr>
          <w:rFonts w:ascii="Arial" w:cs="Arial" w:eastAsia="Arial" w:hAnsi="Arial"/>
          <w:sz w:val="17"/>
          <w:szCs w:val="17"/>
          <w:b w:val="1"/>
          <w:bCs w:val="1"/>
          <w:color w:val="auto"/>
        </w:rPr>
        <w:t>“Affiliate”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p>
      <w:pPr>
        <w:spacing w:after="0" w:line="84" w:lineRule="exact"/>
        <w:rPr>
          <w:sz w:val="20"/>
          <w:szCs w:val="20"/>
          <w:color w:val="auto"/>
        </w:rPr>
      </w:pPr>
    </w:p>
    <w:p>
      <w:pPr>
        <w:sectPr>
          <w:pgSz w:w="11900" w:h="16838" w:orient="portrait"/>
          <w:cols w:equalWidth="0" w:num="2">
            <w:col w:w="2584" w:space="720"/>
            <w:col w:w="7700"/>
          </w:cols>
          <w:pgMar w:left="436" w:top="270" w:right="459" w:bottom="1440" w:gutter="0" w:footer="0" w:header="0"/>
          <w:type w:val="continuous"/>
        </w:sectPr>
      </w:pPr>
    </w:p>
    <w:p>
      <w:pPr>
        <w:ind w:left="564"/>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ind w:right="120"/>
        <w:spacing w:after="0" w:line="263" w:lineRule="auto"/>
        <w:rPr>
          <w:sz w:val="20"/>
          <w:szCs w:val="20"/>
          <w:color w:val="auto"/>
        </w:rPr>
      </w:pPr>
      <w:r>
        <w:rPr>
          <w:rFonts w:ascii="Arial" w:cs="Arial" w:eastAsia="Arial" w:hAnsi="Arial"/>
          <w:sz w:val="18"/>
          <w:szCs w:val="18"/>
          <w:color w:val="auto"/>
        </w:rPr>
        <w:t>means, with respect to any person, all provisions of laws, statutes, ordinances, rules, regulations, permits, certificates, judgments, decisions, decrees or orders of any governmental authority applicable to such person.</w:t>
      </w:r>
    </w:p>
    <w:p>
      <w:pPr>
        <w:spacing w:after="0" w:line="72" w:lineRule="exact"/>
        <w:rPr>
          <w:sz w:val="20"/>
          <w:szCs w:val="20"/>
          <w:color w:val="auto"/>
        </w:rPr>
      </w:pPr>
    </w:p>
    <w:p>
      <w:pPr>
        <w:sectPr>
          <w:pgSz w:w="11900" w:h="16838" w:orient="portrait"/>
          <w:cols w:equalWidth="0" w:num="2">
            <w:col w:w="2584" w:space="720"/>
            <w:col w:w="7700"/>
          </w:cols>
          <w:pgMar w:left="436" w:top="270" w:right="459" w:bottom="1440" w:gutter="0" w:footer="0" w:header="0"/>
          <w:type w:val="continuous"/>
        </w:sectPr>
      </w:pPr>
    </w:p>
    <w:p>
      <w:pPr>
        <w:ind w:left="564"/>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these amended and restated articles of association of the Company.</w:t>
      </w:r>
    </w:p>
    <w:p>
      <w:pPr>
        <w:spacing w:after="0" w:line="147" w:lineRule="exact"/>
        <w:rPr>
          <w:sz w:val="20"/>
          <w:szCs w:val="20"/>
          <w:color w:val="auto"/>
        </w:rPr>
      </w:pPr>
    </w:p>
    <w:p>
      <w:pPr>
        <w:sectPr>
          <w:pgSz w:w="11900" w:h="16838" w:orient="portrait"/>
          <w:cols w:equalWidth="0" w:num="2">
            <w:col w:w="2584" w:space="720"/>
            <w:col w:w="7700"/>
          </w:cols>
          <w:pgMar w:left="436" w:top="270" w:right="459" w:bottom="1440" w:gutter="0" w:footer="0" w:header="0"/>
          <w:type w:val="continuous"/>
        </w:sectPr>
      </w:pPr>
    </w:p>
    <w:p>
      <w:pPr>
        <w:ind w:left="564"/>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means the audit committee of the board of directors of the Company established pursuant to the Articles, or any successor committee.</w:t>
      </w:r>
    </w:p>
    <w:p>
      <w:pPr>
        <w:spacing w:after="0" w:line="103" w:lineRule="exact"/>
        <w:rPr>
          <w:sz w:val="20"/>
          <w:szCs w:val="20"/>
          <w:color w:val="auto"/>
        </w:rPr>
      </w:pPr>
    </w:p>
    <w:p>
      <w:pPr>
        <w:sectPr>
          <w:pgSz w:w="11900" w:h="16838" w:orient="portrait"/>
          <w:cols w:equalWidth="0" w:num="2">
            <w:col w:w="2584" w:space="720"/>
            <w:col w:w="7700"/>
          </w:cols>
          <w:pgMar w:left="436" w:top="270" w:right="459" w:bottom="1440" w:gutter="0" w:footer="0" w:header="0"/>
          <w:type w:val="continuous"/>
        </w:sectPr>
      </w:pPr>
    </w:p>
    <w:p>
      <w:pPr>
        <w:jc w:val="center"/>
        <w:ind w:right="-3"/>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04"/>
          </w:cols>
          <w:pgMar w:left="436" w:top="270" w:right="459" w:bottom="1440" w:gutter="0" w:footer="0" w:header="0"/>
          <w:type w:val="continuous"/>
        </w:sectPr>
      </w:pPr>
    </w:p>
    <w:bookmarkStart w:id="226" w:name="page227"/>
    <w:bookmarkEnd w:id="226"/>
    <w:p>
      <w:pPr>
        <w:spacing w:after="0"/>
        <w:rPr>
          <w:sz w:val="20"/>
          <w:szCs w:val="20"/>
          <w:color w:val="auto"/>
        </w:rPr>
      </w:pPr>
      <w:r>
        <w:rPr>
          <w:rFonts w:ascii="Arial" w:cs="Arial" w:eastAsia="Arial" w:hAnsi="Arial"/>
          <w:sz w:val="17"/>
          <w:szCs w:val="17"/>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person for the time being performing the duties of auditor of the Company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-201295</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020" w:space="720"/>
            <w:col w:w="7700"/>
          </w:cols>
          <w:pgMar w:left="100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“Business Combination”</w:t>
      </w:r>
    </w:p>
    <w:p>
      <w:pPr>
        <w:spacing w:after="0" w:line="20" w:lineRule="exact"/>
        <w:rPr>
          <w:sz w:val="20"/>
          <w:szCs w:val="20"/>
          <w:color w:val="auto"/>
        </w:rPr>
      </w:pPr>
      <w:r>
        <w:rPr>
          <w:sz w:val="20"/>
          <w:szCs w:val="20"/>
          <w:color w:val="auto"/>
        </w:rPr>
        <w:br w:type="column"/>
      </w:r>
    </w:p>
    <w:p>
      <w:pPr>
        <w:ind w:right="60"/>
        <w:spacing w:after="0" w:line="290" w:lineRule="auto"/>
        <w:rPr>
          <w:sz w:val="20"/>
          <w:szCs w:val="20"/>
          <w:color w:val="auto"/>
        </w:rPr>
      </w:pPr>
      <w:r>
        <w:rPr>
          <w:rFonts w:ascii="Arial" w:cs="Arial" w:eastAsia="Arial" w:hAnsi="Arial"/>
          <w:sz w:val="16"/>
          <w:szCs w:val="16"/>
          <w:color w:val="auto"/>
        </w:rPr>
        <w:t>means a merger, share exchange, asset acquisition, share purchase, reorganisation or similar business combination involving the Company, with one or more businesses or entities (each, a “</w:t>
      </w:r>
      <w:r>
        <w:rPr>
          <w:rFonts w:ascii="Arial" w:cs="Arial" w:eastAsia="Arial" w:hAnsi="Arial"/>
          <w:sz w:val="16"/>
          <w:szCs w:val="16"/>
          <w:b w:val="1"/>
          <w:bCs w:val="1"/>
          <w:color w:val="auto"/>
        </w:rPr>
        <w:t>target business</w:t>
      </w:r>
      <w:r>
        <w:rPr>
          <w:rFonts w:ascii="Arial" w:cs="Arial" w:eastAsia="Arial" w:hAnsi="Arial"/>
          <w:sz w:val="16"/>
          <w:szCs w:val="16"/>
          <w:color w:val="auto"/>
        </w:rPr>
        <w:t>”), which Business Combination: (a) as long as the securities of the Company are listed on The Nasdaq Capital Market, must occur with one or more target businesses that together have an aggregate fair market value of at least 80 per cent of the assets held in the Trust Account (net of any deferred underwriting commissions and taxes payable on the interest earned on the Trust Account) at the time of the signing of the definitive agreement to enter into such Business Combination; and (b) must not be solely effectuated with another blank cheque company or a similar company with nominal operations.</w:t>
      </w:r>
    </w:p>
    <w:p>
      <w:pPr>
        <w:spacing w:after="0" w:line="53" w:lineRule="exact"/>
        <w:rPr>
          <w:sz w:val="20"/>
          <w:szCs w:val="20"/>
          <w:color w:val="auto"/>
        </w:rPr>
      </w:pPr>
    </w:p>
    <w:p>
      <w:pPr>
        <w:sectPr>
          <w:pgSz w:w="11900" w:h="16838" w:orient="portrait"/>
          <w:cols w:equalWidth="0" w:num="2">
            <w:col w:w="2020" w:space="720"/>
            <w:col w:w="7700"/>
          </w:cols>
          <w:pgMar w:left="100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any day other than a Saturday, a Sunday or a legal holiday or a day on which banking institutions or trust companies are authorised or obligated by law to close in New York City.</w:t>
      </w:r>
    </w:p>
    <w:p>
      <w:pPr>
        <w:spacing w:after="0" w:line="58" w:lineRule="exact"/>
        <w:rPr>
          <w:sz w:val="20"/>
          <w:szCs w:val="20"/>
          <w:color w:val="auto"/>
        </w:rPr>
      </w:pPr>
    </w:p>
    <w:p>
      <w:pPr>
        <w:sectPr>
          <w:pgSz w:w="11900" w:h="16838" w:orient="portrait"/>
          <w:cols w:equalWidth="0" w:num="2">
            <w:col w:w="2020" w:space="720"/>
            <w:col w:w="7700"/>
          </w:cols>
          <w:pgMar w:left="10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“Class A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Class A ordinary share of a par value of US$0.0001 in the share capital of the Company.</w:t>
      </w:r>
    </w:p>
    <w:p>
      <w:pPr>
        <w:spacing w:after="0" w:line="136" w:lineRule="exact"/>
        <w:rPr>
          <w:sz w:val="20"/>
          <w:szCs w:val="20"/>
          <w:color w:val="auto"/>
        </w:rPr>
      </w:pPr>
    </w:p>
    <w:p>
      <w:pPr>
        <w:sectPr>
          <w:pgSz w:w="11900" w:h="16838" w:orient="portrait"/>
          <w:cols w:equalWidth="0" w:num="2">
            <w:col w:w="2020" w:space="720"/>
            <w:col w:w="7700"/>
          </w:cols>
          <w:pgMar w:left="10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“Class B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Class B ordinary share of a par value of US$0.0001 in the share capital of the Company.</w:t>
      </w:r>
    </w:p>
    <w:p>
      <w:pPr>
        <w:spacing w:after="0" w:line="136" w:lineRule="exact"/>
        <w:rPr>
          <w:sz w:val="20"/>
          <w:szCs w:val="20"/>
          <w:color w:val="auto"/>
        </w:rPr>
      </w:pPr>
    </w:p>
    <w:p>
      <w:pPr>
        <w:sectPr>
          <w:pgSz w:w="11900" w:h="16838" w:orient="portrait"/>
          <w:cols w:equalWidth="0" w:num="2">
            <w:col w:w="2020" w:space="720"/>
            <w:col w:w="7700"/>
          </w:cols>
          <w:pgMar w:left="10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“Clearing House”</w:t>
      </w:r>
    </w:p>
    <w:p>
      <w:pPr>
        <w:spacing w:after="0" w:line="20" w:lineRule="exact"/>
        <w:rPr>
          <w:sz w:val="20"/>
          <w:szCs w:val="20"/>
          <w:color w:val="auto"/>
        </w:rPr>
      </w:pPr>
      <w:r>
        <w:rPr>
          <w:sz w:val="20"/>
          <w:szCs w:val="20"/>
          <w:color w:val="auto"/>
        </w:rPr>
        <w:br w:type="column"/>
      </w:r>
    </w:p>
    <w:p>
      <w:pPr>
        <w:ind w:right="500"/>
        <w:spacing w:after="0" w:line="263" w:lineRule="auto"/>
        <w:rPr>
          <w:sz w:val="20"/>
          <w:szCs w:val="20"/>
          <w:color w:val="auto"/>
        </w:rPr>
      </w:pPr>
      <w:r>
        <w:rPr>
          <w:rFonts w:ascii="Arial" w:cs="Arial" w:eastAsia="Arial" w:hAnsi="Arial"/>
          <w:sz w:val="18"/>
          <w:szCs w:val="18"/>
          <w:color w:val="auto"/>
        </w:rPr>
        <w:t>means a clearing house recognised by the laws of the jurisdiction in which the Shares (or depositary receipts therefor) are listed or quoted on a stock exchange or interdealer quotation system in such jurisdiction.</w:t>
      </w:r>
    </w:p>
    <w:p>
      <w:pPr>
        <w:spacing w:after="0" w:line="72" w:lineRule="exact"/>
        <w:rPr>
          <w:sz w:val="20"/>
          <w:szCs w:val="20"/>
          <w:color w:val="auto"/>
        </w:rPr>
      </w:pPr>
    </w:p>
    <w:p>
      <w:pPr>
        <w:sectPr>
          <w:pgSz w:w="11900" w:h="16838" w:orient="portrait"/>
          <w:cols w:equalWidth="0" w:num="2">
            <w:col w:w="2020" w:space="720"/>
            <w:col w:w="7700"/>
          </w:cols>
          <w:pgMar w:left="10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above named company.</w:t>
      </w:r>
    </w:p>
    <w:p>
      <w:pPr>
        <w:spacing w:after="0" w:line="147" w:lineRule="exact"/>
        <w:rPr>
          <w:sz w:val="20"/>
          <w:szCs w:val="20"/>
          <w:color w:val="auto"/>
        </w:rPr>
      </w:pPr>
    </w:p>
    <w:p>
      <w:pPr>
        <w:sectPr>
          <w:pgSz w:w="11900" w:h="16838" w:orient="portrait"/>
          <w:cols w:equalWidth="0" w:num="2">
            <w:col w:w="2020" w:space="720"/>
            <w:col w:w="7700"/>
          </w:cols>
          <w:pgMar w:left="10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“Company’s Website”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website of the Company and/or its web-address or domain name (if any).</w:t>
      </w:r>
    </w:p>
    <w:p>
      <w:pPr>
        <w:spacing w:after="0" w:line="136" w:lineRule="exact"/>
        <w:rPr>
          <w:sz w:val="20"/>
          <w:szCs w:val="20"/>
          <w:color w:val="auto"/>
        </w:rPr>
      </w:pPr>
    </w:p>
    <w:p>
      <w:pPr>
        <w:sectPr>
          <w:pgSz w:w="11900" w:h="16838" w:orient="portrait"/>
          <w:cols w:equalWidth="0" w:num="2">
            <w:col w:w="2020" w:space="720"/>
            <w:col w:w="7700"/>
          </w:cols>
          <w:pgMar w:left="10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means the compensation committee of the board of directors of the Company established pursuant to the Articles, or any successor committee.</w:t>
      </w:r>
    </w:p>
    <w:p>
      <w:pPr>
        <w:spacing w:after="0" w:line="58" w:lineRule="exact"/>
        <w:rPr>
          <w:sz w:val="20"/>
          <w:szCs w:val="20"/>
          <w:color w:val="auto"/>
        </w:rPr>
      </w:pPr>
    </w:p>
    <w:p>
      <w:pPr>
        <w:sectPr>
          <w:pgSz w:w="11900" w:h="16838" w:orient="portrait"/>
          <w:cols w:equalWidth="0" w:num="2">
            <w:col w:w="2180" w:space="560"/>
            <w:col w:w="7700"/>
          </w:cols>
          <w:pgMar w:left="100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“Designated Stock Exchange”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any United States national securities exchange on which the securities of the Company are listed for trading, including The Nasdaq Capital Market.</w:t>
      </w:r>
    </w:p>
    <w:p>
      <w:pPr>
        <w:spacing w:after="0" w:line="58" w:lineRule="exact"/>
        <w:rPr>
          <w:sz w:val="20"/>
          <w:szCs w:val="20"/>
          <w:color w:val="auto"/>
        </w:rPr>
      </w:pPr>
    </w:p>
    <w:p>
      <w:pPr>
        <w:sectPr>
          <w:pgSz w:w="11900" w:h="16838" w:orient="portrait"/>
          <w:cols w:equalWidth="0" w:num="2">
            <w:col w:w="2300" w:space="440"/>
            <w:col w:w="7700"/>
          </w:cols>
          <w:pgMar w:left="10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each of the members of the board of directors of the Company.</w:t>
      </w:r>
    </w:p>
    <w:p>
      <w:pPr>
        <w:spacing w:after="0" w:line="181" w:lineRule="exact"/>
        <w:rPr>
          <w:sz w:val="20"/>
          <w:szCs w:val="20"/>
          <w:color w:val="auto"/>
        </w:rPr>
      </w:pPr>
    </w:p>
    <w:p>
      <w:pPr>
        <w:sectPr>
          <w:pgSz w:w="11900" w:h="16838" w:orient="portrait"/>
          <w:cols w:equalWidth="0" w:num="2">
            <w:col w:w="2020" w:space="720"/>
            <w:col w:w="7700"/>
          </w:cols>
          <w:pgMar w:left="1000" w:top="270" w:right="459" w:bottom="1440" w:gutter="0" w:footer="0" w:header="0"/>
          <w:type w:val="continuous"/>
        </w:sectPr>
      </w:pPr>
    </w:p>
    <w:p>
      <w:pPr>
        <w:ind w:left="49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440"/>
          </w:cols>
          <w:pgMar w:left="1000" w:top="270" w:right="459" w:bottom="1440" w:gutter="0" w:footer="0" w:header="0"/>
          <w:type w:val="continuous"/>
        </w:sectPr>
      </w:pPr>
    </w:p>
    <w:bookmarkStart w:id="227" w:name="page228"/>
    <w:bookmarkEnd w:id="227"/>
    <w:p>
      <w:pPr>
        <w:spacing w:after="0"/>
        <w:rPr>
          <w:sz w:val="20"/>
          <w:szCs w:val="20"/>
          <w:color w:val="auto"/>
        </w:rPr>
      </w:pPr>
      <w:r>
        <w:rPr>
          <w:rFonts w:ascii="Arial" w:cs="Arial" w:eastAsia="Arial" w:hAnsi="Arial"/>
          <w:sz w:val="16"/>
          <w:szCs w:val="16"/>
          <w:b w:val="1"/>
          <w:bCs w:val="1"/>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dividend (whether interim or final) resolved to be paid on Shares pursuant to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-269875</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020" w:space="720"/>
            <w:col w:w="7680"/>
          </w:cols>
          <w:pgMar w:left="1000" w:top="378" w:right="479" w:bottom="1440" w:gutter="0" w:footer="0" w:header="0"/>
        </w:sectPr>
      </w:pPr>
    </w:p>
    <w:p>
      <w:pPr>
        <w:spacing w:after="0"/>
        <w:rPr>
          <w:sz w:val="20"/>
          <w:szCs w:val="20"/>
          <w:color w:val="auto"/>
        </w:rPr>
      </w:pPr>
      <w:r>
        <w:rPr>
          <w:rFonts w:ascii="Arial" w:cs="Arial" w:eastAsia="Arial" w:hAnsi="Arial"/>
          <w:sz w:val="16"/>
          <w:szCs w:val="16"/>
          <w:b w:val="1"/>
          <w:bCs w:val="1"/>
          <w:color w:val="auto"/>
        </w:rPr>
        <w:t>“Electronic Communication”</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means a communication sent by electronic means, including electronic posting to the Company’s Website, transmission to any number, address or internet website (including the website of the Securities and Exchange Commission) or other electronic delivery methods as otherwise decided and approved by the Directors.</w:t>
      </w:r>
    </w:p>
    <w:p>
      <w:pPr>
        <w:spacing w:after="0" w:line="75" w:lineRule="exact"/>
        <w:rPr>
          <w:sz w:val="20"/>
          <w:szCs w:val="20"/>
          <w:color w:val="auto"/>
        </w:rPr>
      </w:pPr>
    </w:p>
    <w:p>
      <w:pPr>
        <w:sectPr>
          <w:pgSz w:w="11900" w:h="16838" w:orient="portrait"/>
          <w:cols w:equalWidth="0" w:num="2">
            <w:col w:w="2260" w:space="480"/>
            <w:col w:w="7680"/>
          </w:cols>
          <w:pgMar w:left="1000" w:top="378"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“Electronic Record”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same meaning as in the Electronic Transactions Act.</w:t>
      </w:r>
    </w:p>
    <w:p>
      <w:pPr>
        <w:spacing w:after="0" w:line="136" w:lineRule="exact"/>
        <w:rPr>
          <w:sz w:val="20"/>
          <w:szCs w:val="20"/>
          <w:color w:val="auto"/>
        </w:rPr>
      </w:pPr>
    </w:p>
    <w:p>
      <w:pPr>
        <w:sectPr>
          <w:pgSz w:w="11900" w:h="16838" w:orient="portrait"/>
          <w:cols w:equalWidth="0" w:num="2">
            <w:col w:w="2020" w:space="720"/>
            <w:col w:w="7680"/>
          </w:cols>
          <w:pgMar w:left="1000" w:top="378"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“Electronic Transactions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Electronic Transactions Act (As Revised) of the Cayman Islands.</w:t>
      </w:r>
    </w:p>
    <w:p>
      <w:pPr>
        <w:spacing w:after="0" w:line="136" w:lineRule="exact"/>
        <w:rPr>
          <w:sz w:val="20"/>
          <w:szCs w:val="20"/>
          <w:color w:val="auto"/>
        </w:rPr>
      </w:pPr>
    </w:p>
    <w:p>
      <w:pPr>
        <w:sectPr>
          <w:pgSz w:w="11900" w:h="16838" w:orient="portrait"/>
          <w:cols w:equalWidth="0" w:num="2">
            <w:col w:w="2320" w:space="420"/>
            <w:col w:w="7680"/>
          </w:cols>
          <w:pgMar w:left="1000" w:top="378"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“Equity-linked Securities”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means any debt or equity securities that are convertible, exercisable or exchangeable for Class A Shares issued in a financing transaction in connection with a Business Combination, including but not limited to a private placement of equity or debt.</w:t>
      </w:r>
    </w:p>
    <w:p>
      <w:pPr>
        <w:spacing w:after="0" w:line="72" w:lineRule="exact"/>
        <w:rPr>
          <w:sz w:val="20"/>
          <w:szCs w:val="20"/>
          <w:color w:val="auto"/>
        </w:rPr>
      </w:pPr>
    </w:p>
    <w:p>
      <w:pPr>
        <w:sectPr>
          <w:pgSz w:w="11900" w:h="16838" w:orient="portrait"/>
          <w:cols w:equalWidth="0" w:num="2">
            <w:col w:w="2040" w:space="700"/>
            <w:col w:w="7680"/>
          </w:cols>
          <w:pgMar w:left="1000" w:top="378"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“Exchange Act”</w:t>
      </w:r>
    </w:p>
    <w:p>
      <w:pPr>
        <w:spacing w:after="0" w:line="20" w:lineRule="exact"/>
        <w:rPr>
          <w:sz w:val="20"/>
          <w:szCs w:val="20"/>
          <w:color w:val="auto"/>
        </w:rPr>
      </w:pPr>
      <w:r>
        <w:rPr>
          <w:sz w:val="20"/>
          <w:szCs w:val="20"/>
          <w:color w:val="auto"/>
        </w:rPr>
        <w:br w:type="column"/>
      </w:r>
    </w:p>
    <w:p>
      <w:pPr>
        <w:jc w:val="both"/>
        <w:ind w:right="40"/>
        <w:spacing w:after="0" w:line="263" w:lineRule="auto"/>
        <w:rPr>
          <w:sz w:val="20"/>
          <w:szCs w:val="20"/>
          <w:color w:val="auto"/>
        </w:rPr>
      </w:pPr>
      <w:r>
        <w:rPr>
          <w:rFonts w:ascii="Arial" w:cs="Arial" w:eastAsia="Arial" w:hAnsi="Arial"/>
          <w:sz w:val="18"/>
          <w:szCs w:val="18"/>
          <w:color w:val="auto"/>
        </w:rPr>
        <w:t>means the United States Securities Exchange Act of 1934, as amended, or any similar U.S. federal statute and the rules and regulations of the Securities and Exchange Commission thereunder, all as the same shall be in effect at the time.</w:t>
      </w:r>
    </w:p>
    <w:p>
      <w:pPr>
        <w:spacing w:after="0" w:line="72" w:lineRule="exact"/>
        <w:rPr>
          <w:sz w:val="20"/>
          <w:szCs w:val="20"/>
          <w:color w:val="auto"/>
        </w:rPr>
      </w:pPr>
    </w:p>
    <w:p>
      <w:pPr>
        <w:sectPr>
          <w:pgSz w:w="11900" w:h="16838" w:orient="portrait"/>
          <w:cols w:equalWidth="0" w:num="2">
            <w:col w:w="2020" w:space="720"/>
            <w:col w:w="7680"/>
          </w:cols>
          <w:pgMar w:left="1000" w:top="378"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has the same meaning as in the rules and regulations of the Designated Stock Exchange or in Rule 10A-3 under the Exchange Act, as the case may be.</w:t>
      </w:r>
    </w:p>
    <w:p>
      <w:pPr>
        <w:spacing w:after="0" w:line="58" w:lineRule="exact"/>
        <w:rPr>
          <w:sz w:val="20"/>
          <w:szCs w:val="20"/>
          <w:color w:val="auto"/>
        </w:rPr>
      </w:pPr>
    </w:p>
    <w:p>
      <w:pPr>
        <w:sectPr>
          <w:pgSz w:w="11900" w:h="16838" w:orient="portrait"/>
          <w:cols w:equalWidth="0" w:num="2">
            <w:col w:w="2020" w:space="720"/>
            <w:col w:w="7680"/>
          </w:cols>
          <w:pgMar w:left="1000" w:top="378" w:right="4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Company’s initial public offering of securities.</w:t>
      </w:r>
    </w:p>
    <w:p>
      <w:pPr>
        <w:spacing w:after="0" w:line="135" w:lineRule="exact"/>
        <w:rPr>
          <w:sz w:val="20"/>
          <w:szCs w:val="20"/>
          <w:color w:val="auto"/>
        </w:rPr>
      </w:pPr>
    </w:p>
    <w:p>
      <w:pPr>
        <w:sectPr>
          <w:pgSz w:w="11900" w:h="16838" w:orient="portrait"/>
          <w:cols w:equalWidth="0" w:num="2">
            <w:col w:w="2020" w:space="720"/>
            <w:col w:w="7680"/>
          </w:cols>
          <w:pgMar w:left="1000" w:top="378" w:right="4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same meaning as in the Statute.</w:t>
      </w:r>
    </w:p>
    <w:p>
      <w:pPr>
        <w:spacing w:after="0" w:line="147" w:lineRule="exact"/>
        <w:rPr>
          <w:sz w:val="20"/>
          <w:szCs w:val="20"/>
          <w:color w:val="auto"/>
        </w:rPr>
      </w:pPr>
    </w:p>
    <w:p>
      <w:pPr>
        <w:sectPr>
          <w:pgSz w:w="11900" w:h="16838" w:orient="portrait"/>
          <w:cols w:equalWidth="0" w:num="2">
            <w:col w:w="2020" w:space="720"/>
            <w:col w:w="7680"/>
          </w:cols>
          <w:pgMar w:left="1000" w:top="378" w:right="4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“Memorandum”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amended and restated memorandum of association of the Company.</w:t>
      </w:r>
    </w:p>
    <w:p>
      <w:pPr>
        <w:spacing w:after="0" w:line="147" w:lineRule="exact"/>
        <w:rPr>
          <w:sz w:val="20"/>
          <w:szCs w:val="20"/>
          <w:color w:val="auto"/>
        </w:rPr>
      </w:pPr>
    </w:p>
    <w:p>
      <w:pPr>
        <w:sectPr>
          <w:pgSz w:w="11900" w:h="16838" w:orient="portrait"/>
          <w:cols w:equalWidth="0" w:num="2">
            <w:col w:w="2020" w:space="720"/>
            <w:col w:w="7680"/>
          </w:cols>
          <w:pgMar w:left="1000" w:top="378" w:right="47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“Nominating and Corporate Governance Committee”</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means the nominating and corporate governance committee of the board of directors of the Company established pursuant to the Articles, or any successor committee.</w:t>
      </w:r>
    </w:p>
    <w:p>
      <w:pPr>
        <w:spacing w:after="0" w:line="58" w:lineRule="exact"/>
        <w:rPr>
          <w:sz w:val="20"/>
          <w:szCs w:val="20"/>
          <w:color w:val="auto"/>
        </w:rPr>
      </w:pPr>
    </w:p>
    <w:p>
      <w:pPr>
        <w:sectPr>
          <w:pgSz w:w="11900" w:h="16838" w:orient="portrait"/>
          <w:cols w:equalWidth="0" w:num="2">
            <w:col w:w="2180" w:space="560"/>
            <w:col w:w="7680"/>
          </w:cols>
          <w:pgMar w:left="1000" w:top="378" w:right="4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“Officer”</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means a person appointed to hold an office in the Company, which Officers may consist of a chairman, a chief executive officer, a president, a chief operating officer, a chief financial officer, a director of research, vice presidents, a secretary, assistant secretaries, a treasurer and such other offices as may be determined by the board of directors of the Company.</w:t>
      </w:r>
    </w:p>
    <w:p>
      <w:pPr>
        <w:spacing w:after="0" w:line="119" w:lineRule="exact"/>
        <w:rPr>
          <w:sz w:val="20"/>
          <w:szCs w:val="20"/>
          <w:color w:val="auto"/>
        </w:rPr>
      </w:pPr>
    </w:p>
    <w:p>
      <w:pPr>
        <w:sectPr>
          <w:pgSz w:w="11900" w:h="16838" w:orient="portrait"/>
          <w:cols w:equalWidth="0" w:num="2">
            <w:col w:w="2020" w:space="720"/>
            <w:col w:w="7680"/>
          </w:cols>
          <w:pgMar w:left="1000" w:top="378" w:right="479" w:bottom="1440" w:gutter="0" w:footer="0" w:header="0"/>
          <w:type w:val="continuous"/>
        </w:sectPr>
      </w:pPr>
    </w:p>
    <w:p>
      <w:pPr>
        <w:jc w:val="center"/>
        <w:ind w:right="5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420"/>
          </w:cols>
          <w:pgMar w:left="1000" w:top="378" w:right="479" w:bottom="1440" w:gutter="0" w:footer="0" w:header="0"/>
          <w:type w:val="continuous"/>
        </w:sectPr>
      </w:pPr>
    </w:p>
    <w:bookmarkStart w:id="228" w:name="page229"/>
    <w:bookmarkEnd w:id="228"/>
    <w:p>
      <w:pPr>
        <w:spacing w:after="0"/>
        <w:rPr>
          <w:sz w:val="20"/>
          <w:szCs w:val="20"/>
          <w:color w:val="auto"/>
        </w:rPr>
      </w:pPr>
      <w:r>
        <w:rPr>
          <w:rFonts w:ascii="Arial" w:cs="Arial" w:eastAsia="Arial" w:hAnsi="Arial"/>
          <w:sz w:val="16"/>
          <w:szCs w:val="16"/>
          <w:b w:val="1"/>
          <w:bCs w:val="1"/>
          <w:color w:val="auto"/>
        </w:rPr>
        <w:t>“Ordinary Resolution”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-652145</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2020" w:space="720"/>
            <w:col w:w="7680"/>
          </w:cols>
          <w:pgMar w:left="1000" w:top="270" w:right="479" w:bottom="1440" w:gutter="0" w:footer="0" w:header="0"/>
        </w:sectPr>
      </w:pPr>
    </w:p>
    <w:p>
      <w:pPr>
        <w:spacing w:after="0"/>
        <w:rPr>
          <w:sz w:val="20"/>
          <w:szCs w:val="20"/>
          <w:color w:val="auto"/>
        </w:rPr>
      </w:pPr>
      <w:r>
        <w:rPr>
          <w:rFonts w:ascii="Arial" w:cs="Arial" w:eastAsia="Arial" w:hAnsi="Arial"/>
          <w:sz w:val="16"/>
          <w:szCs w:val="16"/>
          <w:b w:val="1"/>
          <w:bCs w:val="1"/>
          <w:color w:val="auto"/>
        </w:rPr>
        <w:t>“Over-Allotment Option”</w:t>
      </w:r>
    </w:p>
    <w:p>
      <w:pPr>
        <w:spacing w:after="0" w:line="20" w:lineRule="exact"/>
        <w:rPr>
          <w:sz w:val="20"/>
          <w:szCs w:val="20"/>
          <w:color w:val="auto"/>
        </w:rPr>
      </w:pPr>
      <w:r>
        <w:rPr>
          <w:sz w:val="20"/>
          <w:szCs w:val="20"/>
          <w:color w:val="auto"/>
        </w:rPr>
        <w:br w:type="column"/>
      </w:r>
    </w:p>
    <w:p>
      <w:pPr>
        <w:ind w:right="180"/>
        <w:spacing w:after="0" w:line="342" w:lineRule="auto"/>
        <w:rPr>
          <w:sz w:val="20"/>
          <w:szCs w:val="20"/>
          <w:color w:val="auto"/>
        </w:rPr>
      </w:pPr>
      <w:r>
        <w:rPr>
          <w:rFonts w:ascii="Arial" w:cs="Arial" w:eastAsia="Arial" w:hAnsi="Arial"/>
          <w:sz w:val="16"/>
          <w:szCs w:val="16"/>
          <w:color w:val="auto"/>
        </w:rPr>
        <w:t>means the option of the Underwriter(s) to purchase up to an additional 15 per cent of the Class A Shares issued in the IPO at a price equal to US$10.00 per share, less any applicable commission or discount.</w:t>
      </w:r>
    </w:p>
    <w:p>
      <w:pPr>
        <w:spacing w:after="0" w:line="12" w:lineRule="exact"/>
        <w:rPr>
          <w:sz w:val="20"/>
          <w:szCs w:val="20"/>
          <w:color w:val="auto"/>
        </w:rPr>
      </w:pPr>
    </w:p>
    <w:p>
      <w:pPr>
        <w:sectPr>
          <w:pgSz w:w="11900" w:h="16838" w:orient="portrait"/>
          <w:cols w:equalWidth="0" w:num="2">
            <w:col w:w="2020" w:space="720"/>
            <w:col w:w="7680"/>
          </w:cols>
          <w:pgMar w:left="10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“Preference Share”</w:t>
      </w:r>
    </w:p>
    <w:p>
      <w:pPr>
        <w:spacing w:after="0" w:line="20" w:lineRule="exact"/>
        <w:rPr>
          <w:sz w:val="20"/>
          <w:szCs w:val="20"/>
          <w:color w:val="auto"/>
        </w:rPr>
      </w:pPr>
      <w:r>
        <w:rPr>
          <w:sz w:val="20"/>
          <w:szCs w:val="20"/>
          <w:color w:val="auto"/>
        </w:rPr>
        <w:br w:type="column"/>
      </w:r>
    </w:p>
    <w:p>
      <w:pPr>
        <w:jc w:val="center"/>
        <w:ind w:right="1140"/>
        <w:spacing w:after="0"/>
        <w:rPr>
          <w:sz w:val="20"/>
          <w:szCs w:val="20"/>
          <w:color w:val="auto"/>
        </w:rPr>
      </w:pPr>
      <w:r>
        <w:rPr>
          <w:rFonts w:ascii="Arial" w:cs="Arial" w:eastAsia="Arial" w:hAnsi="Arial"/>
          <w:sz w:val="16"/>
          <w:szCs w:val="16"/>
          <w:color w:val="auto"/>
        </w:rPr>
        <w:t>means a preference share of a par value of US$0.0001 in the share capital of the Company.</w:t>
      </w:r>
    </w:p>
    <w:p>
      <w:pPr>
        <w:spacing w:after="0" w:line="136" w:lineRule="exact"/>
        <w:rPr>
          <w:sz w:val="20"/>
          <w:szCs w:val="20"/>
          <w:color w:val="auto"/>
        </w:rPr>
      </w:pPr>
    </w:p>
    <w:p>
      <w:pPr>
        <w:sectPr>
          <w:pgSz w:w="11900" w:h="16838" w:orient="portrait"/>
          <w:cols w:equalWidth="0" w:num="2">
            <w:col w:w="2020" w:space="720"/>
            <w:col w:w="7680"/>
          </w:cols>
          <w:pgMar w:left="10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“Private Placement Shares”</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means the Class A Shares issued to the Sponsor in a private placement to occur concurrently with the closing of the IPO.</w:t>
      </w:r>
    </w:p>
    <w:p>
      <w:pPr>
        <w:spacing w:after="0" w:line="58" w:lineRule="exact"/>
        <w:rPr>
          <w:sz w:val="20"/>
          <w:szCs w:val="20"/>
          <w:color w:val="auto"/>
        </w:rPr>
      </w:pPr>
    </w:p>
    <w:p>
      <w:pPr>
        <w:sectPr>
          <w:pgSz w:w="11900" w:h="16838" w:orient="portrait"/>
          <w:cols w:equalWidth="0" w:num="2">
            <w:col w:w="2140" w:space="600"/>
            <w:col w:w="7680"/>
          </w:cols>
          <w:pgMar w:left="10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“Public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a Class A Share issued in the IPO.</w:t>
      </w:r>
    </w:p>
    <w:p>
      <w:pPr>
        <w:spacing w:after="0" w:line="147" w:lineRule="exact"/>
        <w:rPr>
          <w:sz w:val="20"/>
          <w:szCs w:val="20"/>
          <w:color w:val="auto"/>
        </w:rPr>
      </w:pPr>
    </w:p>
    <w:p>
      <w:pPr>
        <w:sectPr>
          <w:pgSz w:w="11900" w:h="16838" w:orient="portrait"/>
          <w:cols w:equalWidth="0" w:num="2">
            <w:col w:w="2020" w:space="720"/>
            <w:col w:w="7680"/>
          </w:cols>
          <w:pgMar w:left="10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“Redemption Notice”</w:t>
      </w:r>
    </w:p>
    <w:p>
      <w:pPr>
        <w:spacing w:after="0" w:line="20" w:lineRule="exact"/>
        <w:rPr>
          <w:sz w:val="20"/>
          <w:szCs w:val="20"/>
          <w:color w:val="auto"/>
        </w:rPr>
      </w:pPr>
      <w:r>
        <w:rPr>
          <w:sz w:val="20"/>
          <w:szCs w:val="20"/>
          <w:color w:val="auto"/>
        </w:rPr>
        <w:br w:type="column"/>
      </w:r>
    </w:p>
    <w:p>
      <w:pPr>
        <w:ind w:right="460"/>
        <w:spacing w:after="0" w:line="342" w:lineRule="auto"/>
        <w:rPr>
          <w:sz w:val="20"/>
          <w:szCs w:val="20"/>
          <w:color w:val="auto"/>
        </w:rPr>
      </w:pPr>
      <w:r>
        <w:rPr>
          <w:rFonts w:ascii="Arial" w:cs="Arial" w:eastAsia="Arial" w:hAnsi="Arial"/>
          <w:sz w:val="16"/>
          <w:szCs w:val="16"/>
          <w:color w:val="auto"/>
        </w:rPr>
        <w:t>means a notice in a form approved by the Company by which a holder of Public Shares is entitled to require the Company to redeem its Public Shares, subject to any conditions contained therein.</w:t>
      </w:r>
    </w:p>
    <w:p>
      <w:pPr>
        <w:spacing w:after="0" w:line="12" w:lineRule="exact"/>
        <w:rPr>
          <w:sz w:val="20"/>
          <w:szCs w:val="20"/>
          <w:color w:val="auto"/>
        </w:rPr>
      </w:pPr>
    </w:p>
    <w:p>
      <w:pPr>
        <w:sectPr>
          <w:pgSz w:w="11900" w:h="16838" w:orient="portrait"/>
          <w:cols w:equalWidth="0" w:num="2">
            <w:col w:w="2020" w:space="720"/>
            <w:col w:w="7680"/>
          </w:cols>
          <w:pgMar w:left="10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“Register of Members”</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means the register of Members maintained in accordance with the Statute and includes (except where otherwise stated) any branch or duplicate register of Members.</w:t>
      </w:r>
    </w:p>
    <w:p>
      <w:pPr>
        <w:spacing w:after="0" w:line="58" w:lineRule="exact"/>
        <w:rPr>
          <w:sz w:val="20"/>
          <w:szCs w:val="20"/>
          <w:color w:val="auto"/>
        </w:rPr>
      </w:pPr>
    </w:p>
    <w:p>
      <w:pPr>
        <w:sectPr>
          <w:pgSz w:w="11900" w:h="16838" w:orient="portrait"/>
          <w:cols w:equalWidth="0" w:num="2">
            <w:col w:w="2020" w:space="720"/>
            <w:col w:w="7680"/>
          </w:cols>
          <w:pgMar w:left="10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registered office for the time being of the Company.</w:t>
      </w:r>
    </w:p>
    <w:p>
      <w:pPr>
        <w:spacing w:after="0" w:line="136" w:lineRule="exact"/>
        <w:rPr>
          <w:sz w:val="20"/>
          <w:szCs w:val="20"/>
          <w:color w:val="auto"/>
        </w:rPr>
      </w:pPr>
    </w:p>
    <w:p>
      <w:pPr>
        <w:sectPr>
          <w:pgSz w:w="11900" w:h="16838" w:orient="portrait"/>
          <w:cols w:equalWidth="0" w:num="2">
            <w:col w:w="2020" w:space="720"/>
            <w:col w:w="7680"/>
          </w:cols>
          <w:pgMar w:left="10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“Seal”</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Arial" w:cs="Arial" w:eastAsia="Arial" w:hAnsi="Arial"/>
          <w:sz w:val="16"/>
          <w:szCs w:val="16"/>
          <w:color w:val="auto"/>
        </w:rPr>
        <w:t>means the common seal of the Company and includes every duplicate seal.</w:t>
      </w:r>
    </w:p>
    <w:p>
      <w:pPr>
        <w:spacing w:after="0" w:line="136" w:lineRule="exact"/>
        <w:rPr>
          <w:sz w:val="20"/>
          <w:szCs w:val="20"/>
          <w:color w:val="auto"/>
        </w:rPr>
      </w:pPr>
    </w:p>
    <w:p>
      <w:pPr>
        <w:sectPr>
          <w:pgSz w:w="11900" w:h="16838" w:orient="portrait"/>
          <w:cols w:equalWidth="0" w:num="2">
            <w:col w:w="2020" w:space="720"/>
            <w:col w:w="7680"/>
          </w:cols>
          <w:pgMar w:left="10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“Securities and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United States Securities and Exchange Commission.</w:t>
      </w:r>
    </w:p>
    <w:p>
      <w:pPr>
        <w:spacing w:after="0" w:line="46" w:lineRule="exact"/>
        <w:rPr>
          <w:sz w:val="20"/>
          <w:szCs w:val="20"/>
          <w:color w:val="auto"/>
        </w:rPr>
      </w:pPr>
    </w:p>
    <w:p>
      <w:pPr>
        <w:sectPr>
          <w:pgSz w:w="11900" w:h="16838" w:orient="portrait"/>
          <w:cols w:equalWidth="0" w:num="2">
            <w:col w:w="2020" w:space="720"/>
            <w:col w:w="7680"/>
          </w:cols>
          <w:pgMar w:left="100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Commission”</w:t>
      </w:r>
    </w:p>
    <w:p>
      <w:pPr>
        <w:sectPr>
          <w:pgSz w:w="11900" w:h="16838" w:orient="portrait"/>
          <w:cols w:equalWidth="0" w:num="1">
            <w:col w:w="10420"/>
          </w:cols>
          <w:pgMar w:left="1000" w:top="270" w:right="47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means a Class A Share, a Class B Share, or a Preference Share and includes a fraction of a share in the Company.</w:t>
      </w:r>
    </w:p>
    <w:p>
      <w:pPr>
        <w:spacing w:after="0" w:line="58" w:lineRule="exact"/>
        <w:rPr>
          <w:sz w:val="20"/>
          <w:szCs w:val="20"/>
          <w:color w:val="auto"/>
        </w:rPr>
      </w:pPr>
    </w:p>
    <w:p>
      <w:pPr>
        <w:sectPr>
          <w:pgSz w:w="11900" w:h="16838" w:orient="portrait"/>
          <w:cols w:equalWidth="0" w:num="2">
            <w:col w:w="2020" w:space="720"/>
            <w:col w:w="7680"/>
          </w:cols>
          <w:pgMar w:left="10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“Special Resolution”</w:t>
      </w:r>
    </w:p>
    <w:p>
      <w:pPr>
        <w:spacing w:after="0" w:line="20" w:lineRule="exact"/>
        <w:rPr>
          <w:sz w:val="20"/>
          <w:szCs w:val="20"/>
          <w:color w:val="auto"/>
        </w:rPr>
      </w:pPr>
      <w:r>
        <w:rPr>
          <w:sz w:val="20"/>
          <w:szCs w:val="20"/>
          <w:color w:val="auto"/>
        </w:rPr>
        <w:br w:type="column"/>
      </w:r>
    </w:p>
    <w:p>
      <w:pPr>
        <w:ind w:right="700"/>
        <w:spacing w:after="0" w:line="277" w:lineRule="auto"/>
        <w:rPr>
          <w:sz w:val="20"/>
          <w:szCs w:val="20"/>
          <w:color w:val="auto"/>
        </w:rPr>
      </w:pPr>
      <w:r>
        <w:rPr>
          <w:rFonts w:ascii="Arial" w:cs="Arial" w:eastAsia="Arial" w:hAnsi="Arial"/>
          <w:sz w:val="18"/>
          <w:szCs w:val="18"/>
          <w:color w:val="auto"/>
        </w:rPr>
        <w:t>subject to Article 29.4, has the same meaning as in the Statute, and includes a unanimous written resolution.</w:t>
      </w:r>
    </w:p>
    <w:p>
      <w:pPr>
        <w:spacing w:after="0" w:line="103" w:lineRule="exact"/>
        <w:rPr>
          <w:sz w:val="20"/>
          <w:szCs w:val="20"/>
          <w:color w:val="auto"/>
        </w:rPr>
      </w:pPr>
    </w:p>
    <w:p>
      <w:pPr>
        <w:sectPr>
          <w:pgSz w:w="11900" w:h="16838" w:orient="portrait"/>
          <w:cols w:equalWidth="0" w:num="2">
            <w:col w:w="2020" w:space="720"/>
            <w:col w:w="7680"/>
          </w:cols>
          <w:pgMar w:left="1000" w:top="270" w:right="479" w:bottom="1440" w:gutter="0" w:footer="0" w:header="0"/>
          <w:type w:val="continuous"/>
        </w:sectPr>
      </w:pPr>
    </w:p>
    <w:p>
      <w:pPr>
        <w:jc w:val="center"/>
        <w:ind w:right="54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420"/>
          </w:cols>
          <w:pgMar w:left="1000" w:top="270" w:right="479" w:bottom="1440" w:gutter="0" w:footer="0" w:header="0"/>
          <w:type w:val="continuous"/>
        </w:sectPr>
      </w:pPr>
    </w:p>
    <w:bookmarkStart w:id="229" w:name="page230"/>
    <w:bookmarkEnd w:id="229"/>
    <w:p>
      <w:pPr>
        <w:ind w:left="560"/>
        <w:spacing w:after="0"/>
        <w:rPr>
          <w:sz w:val="20"/>
          <w:szCs w:val="20"/>
          <w:color w:val="auto"/>
        </w:rPr>
      </w:pPr>
      <w:r>
        <w:rPr>
          <w:rFonts w:ascii="Arial" w:cs="Arial" w:eastAsia="Arial" w:hAnsi="Arial"/>
          <w:sz w:val="16"/>
          <w:szCs w:val="16"/>
          <w:b w:val="1"/>
          <w:bCs w:val="1"/>
          <w:color w:val="auto"/>
        </w:rPr>
        <w:t>“Sponsor”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SCS Sponsor III LLC, a Cayman Islands limited liability company, and its successors or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-201295</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580" w:space="720"/>
            <w:col w:w="7700"/>
          </w:cols>
          <w:pgMar w:left="440" w:top="270" w:right="459" w:bottom="1440" w:gutter="0" w:footer="0" w:header="0"/>
        </w:sectPr>
      </w:pPr>
    </w:p>
    <w:p>
      <w:pPr>
        <w:ind w:left="560"/>
        <w:spacing w:after="0"/>
        <w:rPr>
          <w:sz w:val="20"/>
          <w:szCs w:val="20"/>
          <w:color w:val="auto"/>
        </w:rPr>
      </w:pPr>
      <w:r>
        <w:rPr>
          <w:rFonts w:ascii="Arial" w:cs="Arial" w:eastAsia="Arial" w:hAnsi="Arial"/>
          <w:sz w:val="16"/>
          <w:szCs w:val="16"/>
          <w:b w:val="1"/>
          <w:bCs w:val="1"/>
          <w:color w:val="auto"/>
        </w:rPr>
        <w:t>“Statute”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Companies Act (As Revised) of the Cayman Islands.</w:t>
      </w:r>
    </w:p>
    <w:p>
      <w:pPr>
        <w:spacing w:after="0" w:line="136" w:lineRule="exact"/>
        <w:rPr>
          <w:sz w:val="20"/>
          <w:szCs w:val="20"/>
          <w:color w:val="auto"/>
        </w:rPr>
      </w:pPr>
    </w:p>
    <w:p>
      <w:pPr>
        <w:sectPr>
          <w:pgSz w:w="11900" w:h="16838" w:orient="portrait"/>
          <w:cols w:equalWidth="0" w:num="2">
            <w:col w:w="2580" w:space="720"/>
            <w:col w:w="7700"/>
          </w:cols>
          <w:pgMar w:left="440" w:top="270" w:right="45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“Tax Filing Authorised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such person as any Director shall designate from time to time, acting severally.</w:t>
      </w:r>
    </w:p>
    <w:p>
      <w:pPr>
        <w:spacing w:after="0" w:line="136" w:lineRule="exact"/>
        <w:rPr>
          <w:sz w:val="20"/>
          <w:szCs w:val="20"/>
          <w:color w:val="auto"/>
        </w:rPr>
      </w:pPr>
    </w:p>
    <w:p>
      <w:pPr>
        <w:sectPr>
          <w:pgSz w:w="11900" w:h="16838" w:orient="portrait"/>
          <w:cols w:equalWidth="0" w:num="2">
            <w:col w:w="3000" w:space="300"/>
            <w:col w:w="7700"/>
          </w:cols>
          <w:pgMar w:left="440" w:top="270" w:right="45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“Treasury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a Share held in the name of the Company as a treasury share in accordance with the Statute.</w:t>
      </w:r>
    </w:p>
    <w:p>
      <w:pPr>
        <w:spacing w:after="0" w:line="147" w:lineRule="exact"/>
        <w:rPr>
          <w:sz w:val="20"/>
          <w:szCs w:val="20"/>
          <w:color w:val="auto"/>
        </w:rPr>
      </w:pPr>
    </w:p>
    <w:p>
      <w:pPr>
        <w:sectPr>
          <w:pgSz w:w="11900" w:h="16838" w:orient="portrait"/>
          <w:cols w:equalWidth="0" w:num="2">
            <w:col w:w="2580" w:space="720"/>
            <w:col w:w="7700"/>
          </w:cols>
          <w:pgMar w:left="440" w:top="270" w:right="45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“Trust Account”</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means the trust account established by the Company upon the consummation of the IPO and into which a certain amount of the net proceeds of the IPO, together with a certain amount of the proceeds of the sale of the Private Placement Shares, will be deposited.</w:t>
      </w:r>
    </w:p>
    <w:p>
      <w:pPr>
        <w:spacing w:after="0" w:line="72" w:lineRule="exact"/>
        <w:rPr>
          <w:sz w:val="20"/>
          <w:szCs w:val="20"/>
          <w:color w:val="auto"/>
        </w:rPr>
      </w:pPr>
    </w:p>
    <w:p>
      <w:pPr>
        <w:sectPr>
          <w:pgSz w:w="11900" w:h="16838" w:orient="portrait"/>
          <w:cols w:equalWidth="0" w:num="2">
            <w:col w:w="2580" w:space="720"/>
            <w:col w:w="7700"/>
          </w:cols>
          <w:pgMar w:left="440" w:top="270" w:right="459" w:bottom="1440" w:gutter="0" w:footer="0" w:header="0"/>
          <w:type w:val="continuous"/>
        </w:sectPr>
      </w:pPr>
    </w:p>
    <w:p>
      <w:pPr>
        <w:ind w:left="560"/>
        <w:spacing w:after="0"/>
        <w:rPr>
          <w:sz w:val="20"/>
          <w:szCs w:val="20"/>
          <w:color w:val="auto"/>
        </w:rPr>
      </w:pPr>
      <w:r>
        <w:rPr>
          <w:rFonts w:ascii="Arial" w:cs="Arial" w:eastAsia="Arial" w:hAnsi="Arial"/>
          <w:sz w:val="17"/>
          <w:szCs w:val="17"/>
          <w:b w:val="1"/>
          <w:bCs w:val="1"/>
          <w:color w:val="auto"/>
        </w:rPr>
        <w:t>“Underwriter”</w:t>
      </w:r>
    </w:p>
    <w:p>
      <w:pPr>
        <w:spacing w:after="0" w:line="20" w:lineRule="exact"/>
        <w:rPr>
          <w:sz w:val="20"/>
          <w:szCs w:val="20"/>
          <w:color w:val="auto"/>
        </w:rPr>
      </w:pPr>
      <w:r>
        <w:rPr>
          <w:sz w:val="20"/>
          <w:szCs w:val="20"/>
          <w:color w:val="auto"/>
        </w:rPr>
        <w:br w:type="column"/>
      </w:r>
    </w:p>
    <w:p>
      <w:pPr>
        <w:jc w:val="center"/>
        <w:ind w:right="1780"/>
        <w:spacing w:after="0"/>
        <w:rPr>
          <w:sz w:val="20"/>
          <w:szCs w:val="20"/>
          <w:color w:val="auto"/>
        </w:rPr>
      </w:pPr>
      <w:r>
        <w:rPr>
          <w:rFonts w:ascii="Arial" w:cs="Arial" w:eastAsia="Arial" w:hAnsi="Arial"/>
          <w:sz w:val="16"/>
          <w:szCs w:val="16"/>
          <w:color w:val="auto"/>
        </w:rPr>
        <w:t>means an underwriter of the IPO from time to time and any successor underwriter.</w:t>
      </w:r>
    </w:p>
    <w:p>
      <w:pPr>
        <w:spacing w:after="0" w:line="207" w:lineRule="exact"/>
        <w:rPr>
          <w:sz w:val="20"/>
          <w:szCs w:val="20"/>
          <w:color w:val="auto"/>
        </w:rPr>
      </w:pPr>
    </w:p>
    <w:p>
      <w:pPr>
        <w:sectPr>
          <w:pgSz w:w="11900" w:h="16838" w:orient="portrait"/>
          <w:cols w:equalWidth="0" w:num="2">
            <w:col w:w="2580" w:space="720"/>
            <w:col w:w="7700"/>
          </w:cols>
          <w:pgMar w:left="440" w:top="270" w:right="459" w:bottom="1440" w:gutter="0" w:footer="0" w:header="0"/>
          <w:type w:val="continuous"/>
        </w:sectPr>
      </w:pPr>
    </w:p>
    <w:p>
      <w:pPr>
        <w:spacing w:after="0" w:line="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the Articles:</w:t>
      </w:r>
    </w:p>
    <w:p>
      <w:pPr>
        <w:spacing w:after="0" w:line="131" w:lineRule="exact"/>
        <w:rPr>
          <w:sz w:val="20"/>
          <w:szCs w:val="20"/>
          <w:color w:val="auto"/>
        </w:rPr>
      </w:pPr>
    </w:p>
    <w:p>
      <w:pPr>
        <w:ind w:left="1080" w:hanging="54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words importing the singular number include the plural number and vice versa;</w:t>
      </w:r>
    </w:p>
    <w:p>
      <w:pPr>
        <w:spacing w:after="0" w:line="130" w:lineRule="exact"/>
        <w:rPr>
          <w:rFonts w:ascii="Arial" w:cs="Arial" w:eastAsia="Arial" w:hAnsi="Arial"/>
          <w:sz w:val="18"/>
          <w:szCs w:val="18"/>
          <w:color w:val="auto"/>
        </w:rPr>
      </w:pPr>
    </w:p>
    <w:p>
      <w:pPr>
        <w:ind w:left="1080" w:hanging="54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words importing the masculine gender include the feminine gender;</w:t>
      </w:r>
    </w:p>
    <w:p>
      <w:pPr>
        <w:spacing w:after="0" w:line="130" w:lineRule="exact"/>
        <w:rPr>
          <w:rFonts w:ascii="Arial" w:cs="Arial" w:eastAsia="Arial" w:hAnsi="Arial"/>
          <w:sz w:val="18"/>
          <w:szCs w:val="18"/>
          <w:color w:val="auto"/>
        </w:rPr>
      </w:pPr>
    </w:p>
    <w:p>
      <w:pPr>
        <w:ind w:left="1080" w:hanging="54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words importing persons include corporations as well as any other legal or natural person;</w:t>
      </w:r>
    </w:p>
    <w:p>
      <w:pPr>
        <w:spacing w:after="0" w:line="130" w:lineRule="exact"/>
        <w:rPr>
          <w:rFonts w:ascii="Arial" w:cs="Arial" w:eastAsia="Arial" w:hAnsi="Arial"/>
          <w:sz w:val="18"/>
          <w:szCs w:val="18"/>
          <w:color w:val="auto"/>
        </w:rPr>
      </w:pPr>
    </w:p>
    <w:p>
      <w:pPr>
        <w:ind w:left="1080" w:right="100" w:hanging="54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in the form of an Electronic Record;</w:t>
      </w:r>
    </w:p>
    <w:p>
      <w:pPr>
        <w:spacing w:after="0" w:line="75" w:lineRule="exact"/>
        <w:rPr>
          <w:rFonts w:ascii="Arial" w:cs="Arial" w:eastAsia="Arial" w:hAnsi="Arial"/>
          <w:sz w:val="18"/>
          <w:szCs w:val="18"/>
          <w:color w:val="auto"/>
        </w:rPr>
      </w:pPr>
    </w:p>
    <w:p>
      <w:pPr>
        <w:ind w:left="1080" w:hanging="54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“shall” shall be construed as imperative and “may” shall be construed as permissive;</w:t>
      </w:r>
    </w:p>
    <w:p>
      <w:pPr>
        <w:spacing w:after="0" w:line="130" w:lineRule="exact"/>
        <w:rPr>
          <w:rFonts w:ascii="Arial" w:cs="Arial" w:eastAsia="Arial" w:hAnsi="Arial"/>
          <w:sz w:val="18"/>
          <w:szCs w:val="18"/>
          <w:color w:val="auto"/>
        </w:rPr>
      </w:pPr>
    </w:p>
    <w:p>
      <w:pPr>
        <w:ind w:left="1080" w:right="40" w:hanging="54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w:t>
      </w:r>
    </w:p>
    <w:p>
      <w:pPr>
        <w:spacing w:after="0" w:line="75" w:lineRule="exact"/>
        <w:rPr>
          <w:rFonts w:ascii="Arial" w:cs="Arial" w:eastAsia="Arial" w:hAnsi="Arial"/>
          <w:sz w:val="18"/>
          <w:szCs w:val="18"/>
          <w:color w:val="auto"/>
        </w:rPr>
      </w:pPr>
    </w:p>
    <w:p>
      <w:pPr>
        <w:ind w:left="1080" w:right="100" w:hanging="54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75" w:lineRule="exact"/>
        <w:rPr>
          <w:rFonts w:ascii="Arial" w:cs="Arial" w:eastAsia="Arial" w:hAnsi="Arial"/>
          <w:sz w:val="18"/>
          <w:szCs w:val="18"/>
          <w:color w:val="auto"/>
        </w:rPr>
      </w:pPr>
    </w:p>
    <w:p>
      <w:pPr>
        <w:ind w:left="1080" w:right="160" w:hanging="544"/>
        <w:spacing w:after="0" w:line="263"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type w:val="continuous"/>
        </w:sectPr>
      </w:pPr>
    </w:p>
    <w:bookmarkStart w:id="230" w:name="page231"/>
    <w:bookmarkEnd w:id="230"/>
    <w:p>
      <w:pPr>
        <w:ind w:left="1084" w:hanging="544"/>
        <w:spacing w:after="0"/>
        <w:tabs>
          <w:tab w:leader="none" w:pos="10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 are inserted for reference only and shall be ignored in construing the Articles;</w:t>
      </w:r>
    </w:p>
    <w:p>
      <w:pPr>
        <w:spacing w:after="0" w:line="130" w:lineRule="exact"/>
        <w:rPr>
          <w:rFonts w:ascii="Arial" w:cs="Arial" w:eastAsia="Arial" w:hAnsi="Arial"/>
          <w:sz w:val="18"/>
          <w:szCs w:val="18"/>
          <w:color w:val="auto"/>
        </w:rPr>
      </w:pPr>
    </w:p>
    <w:p>
      <w:pPr>
        <w:ind w:left="1084" w:hanging="544"/>
        <w:spacing w:after="0"/>
        <w:tabs>
          <w:tab w:leader="none" w:pos="10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130" w:lineRule="exact"/>
        <w:rPr>
          <w:rFonts w:ascii="Arial" w:cs="Arial" w:eastAsia="Arial" w:hAnsi="Arial"/>
          <w:sz w:val="18"/>
          <w:szCs w:val="18"/>
          <w:color w:val="auto"/>
        </w:rPr>
      </w:pPr>
    </w:p>
    <w:p>
      <w:pPr>
        <w:ind w:left="1084" w:right="40" w:hanging="544"/>
        <w:spacing w:after="0" w:line="277" w:lineRule="auto"/>
        <w:tabs>
          <w:tab w:leader="none" w:pos="10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75" w:lineRule="exact"/>
        <w:rPr>
          <w:rFonts w:ascii="Arial" w:cs="Arial" w:eastAsia="Arial" w:hAnsi="Arial"/>
          <w:sz w:val="18"/>
          <w:szCs w:val="18"/>
          <w:color w:val="auto"/>
        </w:rPr>
      </w:pPr>
    </w:p>
    <w:p>
      <w:pPr>
        <w:ind w:left="1084" w:hanging="544"/>
        <w:spacing w:after="0"/>
        <w:tabs>
          <w:tab w:leader="none" w:pos="10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Act shall not apply;</w:t>
      </w:r>
    </w:p>
    <w:p>
      <w:pPr>
        <w:spacing w:after="0" w:line="130" w:lineRule="exact"/>
        <w:rPr>
          <w:rFonts w:ascii="Arial" w:cs="Arial" w:eastAsia="Arial" w:hAnsi="Arial"/>
          <w:sz w:val="18"/>
          <w:szCs w:val="18"/>
          <w:color w:val="auto"/>
        </w:rPr>
      </w:pPr>
    </w:p>
    <w:p>
      <w:pPr>
        <w:ind w:left="1084" w:hanging="544"/>
        <w:spacing w:after="0" w:line="277" w:lineRule="auto"/>
        <w:tabs>
          <w:tab w:leader="none" w:pos="10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75" w:lineRule="exact"/>
        <w:rPr>
          <w:rFonts w:ascii="Arial" w:cs="Arial" w:eastAsia="Arial" w:hAnsi="Arial"/>
          <w:sz w:val="18"/>
          <w:szCs w:val="18"/>
          <w:color w:val="auto"/>
        </w:rPr>
      </w:pPr>
    </w:p>
    <w:p>
      <w:pPr>
        <w:ind w:left="1084" w:hanging="544"/>
        <w:spacing w:after="0"/>
        <w:tabs>
          <w:tab w:leader="none" w:pos="108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term “holder” in relation to a Share means a person whose name is entered in the Register of Members as the holder of such Share.</w:t>
      </w:r>
    </w:p>
    <w:p>
      <w:pPr>
        <w:spacing w:after="0" w:line="393" w:lineRule="exact"/>
        <w:rPr>
          <w:sz w:val="20"/>
          <w:szCs w:val="20"/>
          <w:color w:val="auto"/>
        </w:rPr>
      </w:pPr>
    </w:p>
    <w:p>
      <w:pPr>
        <w:ind w:left="544" w:hanging="544"/>
        <w:spacing w:after="0"/>
        <w:tabs>
          <w:tab w:leader="none" w:pos="54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shall see fit.</w:t>
      </w:r>
    </w:p>
    <w:p>
      <w:pPr>
        <w:spacing w:after="0" w:line="131"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315" w:lineRule="exact"/>
        <w:rPr>
          <w:sz w:val="20"/>
          <w:szCs w:val="20"/>
          <w:color w:val="auto"/>
        </w:rPr>
      </w:pPr>
    </w:p>
    <w:p>
      <w:pPr>
        <w:ind w:left="544" w:hanging="544"/>
        <w:spacing w:after="0"/>
        <w:tabs>
          <w:tab w:leader="none" w:pos="54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 and other Securities</w:t>
      </w:r>
    </w:p>
    <w:p>
      <w:pPr>
        <w:spacing w:after="0" w:line="135" w:lineRule="exact"/>
        <w:rPr>
          <w:sz w:val="20"/>
          <w:szCs w:val="20"/>
          <w:color w:val="auto"/>
        </w:rPr>
      </w:pPr>
    </w:p>
    <w:p>
      <w:pPr>
        <w:ind w:left="544" w:right="40" w:hanging="539"/>
        <w:spacing w:after="0" w:line="271"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w:t>
      </w:r>
    </w:p>
    <w:p>
      <w:pPr>
        <w:spacing w:after="0" w:line="84"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231" w:name="page232"/>
    <w:bookmarkEnd w:id="231"/>
    <w:p>
      <w:pPr>
        <w:ind w:left="544" w:hanging="539"/>
        <w:spacing w:after="0" w:line="286"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w:t>
      </w:r>
      <w:r>
        <w:rPr>
          <w:sz w:val="20"/>
          <w:szCs w:val="20"/>
          <w:color w:val="auto"/>
        </w:rPr>
        <w:tab/>
      </w:r>
      <w:r>
        <w:rPr>
          <w:rFonts w:ascii="Arial" w:cs="Arial" w:eastAsia="Arial" w:hAnsi="Arial"/>
          <w:sz w:val="17"/>
          <w:szCs w:val="17"/>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7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The Company shall not issue Shares to bearer.</w:t>
      </w:r>
    </w:p>
    <w:p>
      <w:pPr>
        <w:spacing w:after="0" w:line="370" w:lineRule="exact"/>
        <w:rPr>
          <w:sz w:val="20"/>
          <w:szCs w:val="20"/>
          <w:color w:val="auto"/>
        </w:rPr>
      </w:pPr>
    </w:p>
    <w:p>
      <w:pPr>
        <w:ind w:left="544" w:hanging="544"/>
        <w:spacing w:after="0"/>
        <w:tabs>
          <w:tab w:leader="none" w:pos="544"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Statute.</w:t>
      </w:r>
    </w:p>
    <w:p>
      <w:pPr>
        <w:spacing w:after="0" w:line="131" w:lineRule="exact"/>
        <w:rPr>
          <w:sz w:val="20"/>
          <w:szCs w:val="20"/>
          <w:color w:val="auto"/>
        </w:rPr>
      </w:pPr>
    </w:p>
    <w:p>
      <w:pPr>
        <w:ind w:left="544" w:right="200" w:hanging="539"/>
        <w:spacing w:after="0" w:line="263"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328" w:lineRule="exact"/>
        <w:rPr>
          <w:sz w:val="20"/>
          <w:szCs w:val="20"/>
          <w:color w:val="auto"/>
        </w:rPr>
      </w:pPr>
    </w:p>
    <w:p>
      <w:pPr>
        <w:ind w:left="544" w:hanging="544"/>
        <w:spacing w:after="0"/>
        <w:tabs>
          <w:tab w:leader="none" w:pos="544"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or Fixing Record Date</w:t>
      </w:r>
    </w:p>
    <w:p>
      <w:pPr>
        <w:spacing w:after="0" w:line="135" w:lineRule="exact"/>
        <w:rPr>
          <w:sz w:val="20"/>
          <w:szCs w:val="20"/>
          <w:color w:val="auto"/>
        </w:rPr>
      </w:pPr>
    </w:p>
    <w:p>
      <w:pPr>
        <w:ind w:left="544" w:right="160" w:hanging="539"/>
        <w:spacing w:after="0" w:line="311"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40 days.</w:t>
      </w:r>
    </w:p>
    <w:p>
      <w:pPr>
        <w:spacing w:after="0" w:line="54" w:lineRule="exact"/>
        <w:rPr>
          <w:sz w:val="20"/>
          <w:szCs w:val="20"/>
          <w:color w:val="auto"/>
        </w:rPr>
      </w:pPr>
    </w:p>
    <w:p>
      <w:pPr>
        <w:ind w:left="544" w:right="100" w:hanging="539"/>
        <w:spacing w:after="0" w:line="259"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92" w:lineRule="exact"/>
        <w:rPr>
          <w:sz w:val="20"/>
          <w:szCs w:val="20"/>
          <w:color w:val="auto"/>
        </w:rPr>
      </w:pPr>
    </w:p>
    <w:p>
      <w:pPr>
        <w:ind w:left="544" w:right="100" w:hanging="539"/>
        <w:spacing w:after="0" w:line="275"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32" w:name="page233"/>
    <w:bookmarkEnd w:id="232"/>
    <w:p>
      <w:pPr>
        <w:ind w:left="544" w:hanging="544"/>
        <w:spacing w:after="0"/>
        <w:tabs>
          <w:tab w:leader="none" w:pos="544"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Certificates for Shares</w:t>
      </w:r>
    </w:p>
    <w:p>
      <w:pPr>
        <w:spacing w:after="0" w:line="135" w:lineRule="exact"/>
        <w:rPr>
          <w:sz w:val="20"/>
          <w:szCs w:val="20"/>
          <w:color w:val="auto"/>
        </w:rPr>
      </w:pPr>
    </w:p>
    <w:p>
      <w:pPr>
        <w:ind w:left="544" w:hanging="539"/>
        <w:spacing w:after="0" w:line="293"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70"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76" w:lineRule="exact"/>
        <w:rPr>
          <w:sz w:val="20"/>
          <w:szCs w:val="20"/>
          <w:color w:val="auto"/>
        </w:rPr>
      </w:pPr>
    </w:p>
    <w:p>
      <w:pPr>
        <w:jc w:val="both"/>
        <w:ind w:left="544" w:right="260" w:hanging="539"/>
        <w:spacing w:after="0" w:line="263" w:lineRule="auto"/>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89"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76" w:lineRule="exact"/>
        <w:rPr>
          <w:sz w:val="20"/>
          <w:szCs w:val="20"/>
          <w:color w:val="auto"/>
        </w:rPr>
      </w:pPr>
    </w:p>
    <w:p>
      <w:pPr>
        <w:ind w:left="544" w:right="260" w:hanging="539"/>
        <w:spacing w:after="0" w:line="301" w:lineRule="auto"/>
        <w:tabs>
          <w:tab w:leader="none" w:pos="52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302" w:lineRule="exact"/>
        <w:rPr>
          <w:sz w:val="20"/>
          <w:szCs w:val="20"/>
          <w:color w:val="auto"/>
        </w:rPr>
      </w:pPr>
    </w:p>
    <w:p>
      <w:pPr>
        <w:ind w:left="544" w:hanging="544"/>
        <w:spacing w:after="0"/>
        <w:tabs>
          <w:tab w:leader="none" w:pos="544"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ind w:left="544" w:right="20" w:hanging="539"/>
        <w:spacing w:after="0" w:line="296"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Subject to the terms of the Articles,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233" w:name="page234"/>
    <w:bookmarkEnd w:id="233"/>
    <w:p>
      <w:pPr>
        <w:ind w:left="544" w:right="40" w:hanging="539"/>
        <w:spacing w:after="0" w:line="29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Arial" w:cs="Arial" w:eastAsia="Arial" w:hAnsi="Arial"/>
          <w:sz w:val="16"/>
          <w:szCs w:val="16"/>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309" w:lineRule="exact"/>
        <w:rPr>
          <w:sz w:val="20"/>
          <w:szCs w:val="20"/>
          <w:color w:val="auto"/>
        </w:rPr>
      </w:pPr>
    </w:p>
    <w:p>
      <w:pPr>
        <w:ind w:left="544" w:hanging="544"/>
        <w:spacing w:after="0"/>
        <w:tabs>
          <w:tab w:leader="none" w:pos="544"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Repurchase and Surrender of Shares</w:t>
      </w:r>
    </w:p>
    <w:p>
      <w:pPr>
        <w:spacing w:after="0" w:line="135" w:lineRule="exact"/>
        <w:rPr>
          <w:sz w:val="20"/>
          <w:szCs w:val="20"/>
          <w:color w:val="auto"/>
        </w:rPr>
      </w:pPr>
    </w:p>
    <w:p>
      <w:pPr>
        <w:ind w:left="544" w:right="40" w:hanging="539"/>
        <w:spacing w:after="0" w:line="275"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except Public Shares, shall be effected in such manner and upon such other terms as the Company may, by Special Resolution, determine before the issue of such Shares. With respect to redeeming or repurchasing the Shares:</w:t>
      </w:r>
    </w:p>
    <w:p>
      <w:pPr>
        <w:spacing w:after="0" w:line="82" w:lineRule="exact"/>
        <w:rPr>
          <w:sz w:val="20"/>
          <w:szCs w:val="20"/>
          <w:color w:val="auto"/>
        </w:rPr>
      </w:pPr>
    </w:p>
    <w:p>
      <w:pPr>
        <w:ind w:left="1084" w:right="280" w:hanging="544"/>
        <w:spacing w:after="0" w:line="277" w:lineRule="auto"/>
        <w:tabs>
          <w:tab w:leader="none" w:pos="10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Members who hold Public Shares are entitled to request the redemption of such Shares in the circumstances described in the Business Combination Article hereof;</w:t>
      </w:r>
    </w:p>
    <w:p>
      <w:pPr>
        <w:spacing w:after="0" w:line="75" w:lineRule="exact"/>
        <w:rPr>
          <w:rFonts w:ascii="Arial" w:cs="Arial" w:eastAsia="Arial" w:hAnsi="Arial"/>
          <w:sz w:val="18"/>
          <w:szCs w:val="18"/>
          <w:color w:val="auto"/>
        </w:rPr>
      </w:pPr>
    </w:p>
    <w:p>
      <w:pPr>
        <w:ind w:left="1084" w:right="120" w:hanging="544"/>
        <w:spacing w:after="0" w:line="311" w:lineRule="auto"/>
        <w:tabs>
          <w:tab w:leader="none" w:pos="108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Class B Shares held by the Sponsor shall be surrendered by the Sponsor for no consideration on a pro-rata basis to the extent that the Over-Allotment Option is not exercised in full so that the Class B Shares in issue will equal 20 per cent of the Company’s issued Shares after the IPO (excluding the Private Placement Shares) or 25 per cent of the number of Public Shares issued in the IPO; and</w:t>
      </w:r>
    </w:p>
    <w:p>
      <w:pPr>
        <w:spacing w:after="0" w:line="54" w:lineRule="exact"/>
        <w:rPr>
          <w:rFonts w:ascii="Arial" w:cs="Arial" w:eastAsia="Arial" w:hAnsi="Arial"/>
          <w:sz w:val="16"/>
          <w:szCs w:val="16"/>
          <w:color w:val="auto"/>
        </w:rPr>
      </w:pPr>
    </w:p>
    <w:p>
      <w:pPr>
        <w:ind w:left="1084" w:right="300" w:hanging="544"/>
        <w:spacing w:after="0" w:line="277" w:lineRule="auto"/>
        <w:tabs>
          <w:tab w:leader="none" w:pos="10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Public Shares shall be repurchased by the Company, by way of tender offer, in the circumstances set out in the Business Combination Article hereof.</w:t>
      </w:r>
    </w:p>
    <w:p>
      <w:pPr>
        <w:spacing w:after="0" w:line="76" w:lineRule="exact"/>
        <w:rPr>
          <w:sz w:val="20"/>
          <w:szCs w:val="20"/>
          <w:color w:val="auto"/>
        </w:rPr>
      </w:pPr>
    </w:p>
    <w:p>
      <w:pPr>
        <w:ind w:left="544" w:right="40" w:hanging="539"/>
        <w:spacing w:after="0" w:line="25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this Article 8 shall not require further approval of the Members.</w:t>
      </w:r>
    </w:p>
    <w:p>
      <w:pPr>
        <w:spacing w:after="0" w:line="93"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234" w:name="page235"/>
    <w:bookmarkEnd w:id="234"/>
    <w:p>
      <w:pPr>
        <w:ind w:left="544" w:hanging="544"/>
        <w:spacing w:after="0"/>
        <w:tabs>
          <w:tab w:leader="none" w:pos="544"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Treasury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131"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Variation of Rights of Shares</w:t>
      </w:r>
    </w:p>
    <w:p>
      <w:pPr>
        <w:spacing w:after="0" w:line="135" w:lineRule="exact"/>
        <w:rPr>
          <w:sz w:val="20"/>
          <w:szCs w:val="20"/>
          <w:color w:val="auto"/>
        </w:rPr>
      </w:pPr>
    </w:p>
    <w:p>
      <w:pPr>
        <w:ind w:left="544" w:hanging="539"/>
        <w:spacing w:after="0" w:line="287" w:lineRule="auto"/>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(other than with respect to a waiver of the provisions of the Class B Share Conversion Article hereof, which as stated therein shall only require the consent in writing of the holders of a majority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except that the necessary quorum shall be one or more persons holding or representing by proxy at least one third of the issued Shares of the class and that any holder of Shares of the class present in person or by proxy may demand a poll.</w:t>
      </w:r>
    </w:p>
    <w:p>
      <w:pPr>
        <w:spacing w:after="0" w:line="77"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10.2</w:t>
        <w:tab/>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89" w:lineRule="exact"/>
        <w:rPr>
          <w:sz w:val="20"/>
          <w:szCs w:val="20"/>
          <w:color w:val="auto"/>
        </w:rPr>
      </w:pPr>
    </w:p>
    <w:p>
      <w:pPr>
        <w:ind w:left="544" w:right="300" w:hanging="539"/>
        <w:spacing w:after="0" w:line="263" w:lineRule="auto"/>
        <w:tabs>
          <w:tab w:leader="none" w:pos="524" w:val="left"/>
        </w:tabs>
        <w:rPr>
          <w:sz w:val="20"/>
          <w:szCs w:val="20"/>
          <w:color w:val="auto"/>
        </w:rPr>
      </w:pPr>
      <w:r>
        <w:rPr>
          <w:rFonts w:ascii="Arial" w:cs="Arial" w:eastAsia="Arial" w:hAnsi="Arial"/>
          <w:sz w:val="18"/>
          <w:szCs w:val="18"/>
          <w:color w:val="auto"/>
        </w:rPr>
        <w:t>10.3</w:t>
        <w:tab/>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328" w:lineRule="exact"/>
        <w:rPr>
          <w:sz w:val="20"/>
          <w:szCs w:val="20"/>
          <w:color w:val="auto"/>
        </w:rPr>
      </w:pPr>
    </w:p>
    <w:p>
      <w:pPr>
        <w:ind w:left="544" w:hanging="544"/>
        <w:spacing w:after="0"/>
        <w:tabs>
          <w:tab w:leader="none" w:pos="54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121" w:lineRule="exact"/>
        <w:rPr>
          <w:rFonts w:ascii="Arial" w:cs="Arial" w:eastAsia="Arial" w:hAnsi="Arial"/>
          <w:sz w:val="18"/>
          <w:szCs w:val="18"/>
          <w:b w:val="1"/>
          <w:bCs w:val="1"/>
          <w:color w:val="auto"/>
        </w:rPr>
      </w:pPr>
    </w:p>
    <w:p>
      <w:pPr>
        <w:ind w:left="544"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0" w:right="479" w:bottom="1440" w:gutter="0" w:footer="0" w:header="0"/>
        </w:sectPr>
      </w:pPr>
    </w:p>
    <w:bookmarkStart w:id="235" w:name="page236"/>
    <w:bookmarkEnd w:id="235"/>
    <w:p>
      <w:pPr>
        <w:ind w:left="544" w:hanging="544"/>
        <w:spacing w:after="0"/>
        <w:tabs>
          <w:tab w:leader="none" w:pos="544"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 Recognition of Trusts</w:t>
      </w:r>
    </w:p>
    <w:p>
      <w:pPr>
        <w:spacing w:after="0" w:line="121" w:lineRule="exact"/>
        <w:rPr>
          <w:rFonts w:ascii="Arial" w:cs="Arial" w:eastAsia="Arial" w:hAnsi="Arial"/>
          <w:sz w:val="18"/>
          <w:szCs w:val="18"/>
          <w:b w:val="1"/>
          <w:bCs w:val="1"/>
          <w:color w:val="auto"/>
        </w:rPr>
      </w:pPr>
    </w:p>
    <w:p>
      <w:pPr>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Lien on Shares</w:t>
      </w:r>
    </w:p>
    <w:p>
      <w:pPr>
        <w:spacing w:after="0" w:line="135" w:lineRule="exact"/>
        <w:rPr>
          <w:sz w:val="20"/>
          <w:szCs w:val="20"/>
          <w:color w:val="auto"/>
        </w:rPr>
      </w:pPr>
    </w:p>
    <w:p>
      <w:pPr>
        <w:ind w:left="544" w:right="40" w:hanging="539"/>
        <w:spacing w:after="0" w:line="296" w:lineRule="auto"/>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67" w:lineRule="exact"/>
        <w:rPr>
          <w:sz w:val="20"/>
          <w:szCs w:val="20"/>
          <w:color w:val="auto"/>
        </w:rPr>
      </w:pPr>
    </w:p>
    <w:p>
      <w:pPr>
        <w:ind w:left="544" w:right="40" w:hanging="539"/>
        <w:spacing w:after="0" w:line="259" w:lineRule="auto"/>
        <w:tabs>
          <w:tab w:leader="none" w:pos="524" w:val="left"/>
        </w:tabs>
        <w:rPr>
          <w:sz w:val="20"/>
          <w:szCs w:val="20"/>
          <w:color w:val="auto"/>
        </w:rPr>
      </w:pPr>
      <w:r>
        <w:rPr>
          <w:rFonts w:ascii="Arial" w:cs="Arial" w:eastAsia="Arial" w:hAnsi="Arial"/>
          <w:sz w:val="18"/>
          <w:szCs w:val="18"/>
          <w:color w:val="auto"/>
        </w:rPr>
        <w:t>13.2</w:t>
        <w:tab/>
        <w:t>The Company may sell, in such manner as the Directors think fit, any Shares on which the Company has a lien, if a sum in respect of which the lien exists is presently payable, and is not paid within 14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92" w:lineRule="exact"/>
        <w:rPr>
          <w:sz w:val="20"/>
          <w:szCs w:val="20"/>
          <w:color w:val="auto"/>
        </w:rPr>
      </w:pPr>
    </w:p>
    <w:p>
      <w:pPr>
        <w:ind w:left="544" w:right="20" w:hanging="539"/>
        <w:spacing w:after="0" w:line="279" w:lineRule="auto"/>
        <w:tabs>
          <w:tab w:leader="none" w:pos="524"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77"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13.4</w:t>
        <w:tab/>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32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Call on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Subject to the terms of the allotment and issue of any Shares, the Directors may make calls upon the Members in respect of any monies unpaid</w:t>
      </w:r>
    </w:p>
    <w:p>
      <w:pPr>
        <w:spacing w:after="0" w:line="23" w:lineRule="exact"/>
        <w:rPr>
          <w:sz w:val="20"/>
          <w:szCs w:val="20"/>
          <w:color w:val="auto"/>
        </w:rPr>
      </w:pPr>
    </w:p>
    <w:p>
      <w:pPr>
        <w:ind w:left="544" w:right="240"/>
        <w:spacing w:after="0" w:line="253" w:lineRule="auto"/>
        <w:rPr>
          <w:sz w:val="20"/>
          <w:szCs w:val="20"/>
          <w:color w:val="auto"/>
        </w:rPr>
      </w:pPr>
      <w:r>
        <w:rPr>
          <w:rFonts w:ascii="Arial" w:cs="Arial" w:eastAsia="Arial" w:hAnsi="Arial"/>
          <w:sz w:val="18"/>
          <w:szCs w:val="18"/>
          <w:color w:val="auto"/>
        </w:rPr>
        <w:t>on their Shares (whether in respect of par value or premium), and each Member shall (subject to receiving at least 14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236" w:name="page237"/>
    <w:bookmarkEnd w:id="23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14.2</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such call was passed.</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w:t>
      </w:r>
    </w:p>
    <w:p>
      <w:pPr>
        <w:spacing w:after="0" w:line="131" w:lineRule="exact"/>
        <w:rPr>
          <w:sz w:val="20"/>
          <w:szCs w:val="20"/>
          <w:color w:val="auto"/>
        </w:rPr>
      </w:pPr>
    </w:p>
    <w:p>
      <w:pPr>
        <w:ind w:left="540" w:hanging="539"/>
        <w:spacing w:after="0" w:line="311" w:lineRule="auto"/>
        <w:tabs>
          <w:tab w:leader="none" w:pos="5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54" w:lineRule="exact"/>
        <w:rPr>
          <w:sz w:val="20"/>
          <w:szCs w:val="20"/>
          <w:color w:val="auto"/>
        </w:rPr>
      </w:pPr>
    </w:p>
    <w:p>
      <w:pPr>
        <w:jc w:val="both"/>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14.5</w:t>
        <w:tab/>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The Directors may issue Shares with different terms as to the amount and times of payment of calls, or the interest to be paid.</w:t>
      </w:r>
    </w:p>
    <w:p>
      <w:pPr>
        <w:spacing w:after="0" w:line="131" w:lineRule="exact"/>
        <w:rPr>
          <w:sz w:val="20"/>
          <w:szCs w:val="20"/>
          <w:color w:val="auto"/>
        </w:rPr>
      </w:pPr>
    </w:p>
    <w:p>
      <w:pPr>
        <w:ind w:left="540" w:right="240" w:hanging="539"/>
        <w:spacing w:after="0" w:line="263" w:lineRule="auto"/>
        <w:tabs>
          <w:tab w:leader="none" w:pos="520" w:val="left"/>
        </w:tabs>
        <w:rPr>
          <w:sz w:val="20"/>
          <w:szCs w:val="20"/>
          <w:color w:val="auto"/>
        </w:rPr>
      </w:pPr>
      <w:r>
        <w:rPr>
          <w:rFonts w:ascii="Arial" w:cs="Arial" w:eastAsia="Arial" w:hAnsi="Arial"/>
          <w:sz w:val="18"/>
          <w:szCs w:val="18"/>
          <w:color w:val="auto"/>
        </w:rPr>
        <w:t>14.7</w:t>
        <w:tab/>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89" w:lineRule="exact"/>
        <w:rPr>
          <w:sz w:val="20"/>
          <w:szCs w:val="20"/>
          <w:color w:val="auto"/>
        </w:rPr>
      </w:pPr>
    </w:p>
    <w:p>
      <w:pPr>
        <w:ind w:left="540" w:right="80" w:hanging="539"/>
        <w:spacing w:after="0" w:line="308" w:lineRule="auto"/>
        <w:tabs>
          <w:tab w:leader="none" w:pos="5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2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Forfeiture of Shares</w:t>
      </w:r>
    </w:p>
    <w:p>
      <w:pPr>
        <w:spacing w:after="0" w:line="135" w:lineRule="exact"/>
        <w:rPr>
          <w:sz w:val="20"/>
          <w:szCs w:val="20"/>
          <w:color w:val="auto"/>
        </w:rPr>
      </w:pPr>
    </w:p>
    <w:p>
      <w:pPr>
        <w:ind w:left="540" w:right="80" w:hanging="539"/>
        <w:spacing w:after="0" w:line="279" w:lineRule="auto"/>
        <w:tabs>
          <w:tab w:leader="none" w:pos="5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If a call or instalment of a call remains unpaid after it has become due and payable the Directors may give to the person from whom it is due not less than 14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77" w:lineRule="exact"/>
        <w:rPr>
          <w:sz w:val="20"/>
          <w:szCs w:val="20"/>
          <w:color w:val="auto"/>
        </w:rPr>
      </w:pPr>
    </w:p>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15.2</w:t>
        <w:tab/>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37" w:name="page238"/>
    <w:bookmarkEnd w:id="237"/>
    <w:p>
      <w:pPr>
        <w:jc w:val="both"/>
        <w:ind w:left="540" w:right="180" w:hanging="539"/>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15.3</w:t>
        <w:tab/>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92" w:lineRule="exact"/>
        <w:rPr>
          <w:sz w:val="20"/>
          <w:szCs w:val="20"/>
          <w:color w:val="auto"/>
        </w:rPr>
      </w:pPr>
    </w:p>
    <w:p>
      <w:pPr>
        <w:ind w:left="540" w:right="120" w:hanging="539"/>
        <w:spacing w:after="0" w:line="301" w:lineRule="auto"/>
        <w:tabs>
          <w:tab w:leader="none" w:pos="5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63"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15.5</w:t>
        <w:tab/>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93"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15.6</w:t>
        <w:tab/>
        <w:t>The provisions of the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Transmission of Shares</w:t>
      </w:r>
    </w:p>
    <w:p>
      <w:pPr>
        <w:spacing w:after="0" w:line="135"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16.1</w:t>
        <w:tab/>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89" w:lineRule="exact"/>
        <w:rPr>
          <w:sz w:val="20"/>
          <w:szCs w:val="20"/>
          <w:color w:val="auto"/>
        </w:rPr>
      </w:pPr>
    </w:p>
    <w:p>
      <w:pPr>
        <w:ind w:left="540" w:right="80" w:hanging="539"/>
        <w:spacing w:after="0" w:line="293" w:lineRule="auto"/>
        <w:tabs>
          <w:tab w:leader="none" w:pos="5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38" w:name="page239"/>
    <w:bookmarkEnd w:id="238"/>
    <w:p>
      <w:pPr>
        <w:ind w:left="540" w:right="20" w:hanging="539"/>
        <w:spacing w:after="0" w:line="26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16.3</w:t>
      </w:r>
      <w:r>
        <w:rPr>
          <w:sz w:val="20"/>
          <w:szCs w:val="20"/>
          <w:color w:val="auto"/>
        </w:rPr>
        <w:tab/>
      </w:r>
      <w:r>
        <w:rPr>
          <w:rFonts w:ascii="Arial" w:cs="Arial" w:eastAsia="Arial" w:hAnsi="Arial"/>
          <w:sz w:val="17"/>
          <w:szCs w:val="17"/>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90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Class B Share Conversion</w:t>
      </w:r>
    </w:p>
    <w:p>
      <w:pPr>
        <w:spacing w:after="0" w:line="135" w:lineRule="exact"/>
        <w:rPr>
          <w:sz w:val="20"/>
          <w:szCs w:val="20"/>
          <w:color w:val="auto"/>
        </w:rPr>
      </w:pPr>
    </w:p>
    <w:p>
      <w:pPr>
        <w:ind w:left="540" w:right="260" w:hanging="539"/>
        <w:spacing w:after="0" w:line="340" w:lineRule="auto"/>
        <w:tabs>
          <w:tab w:leader="none" w:pos="5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color w:val="auto"/>
        </w:rPr>
        <w:t xml:space="preserve">The rights attaching to the Class A Shares and Class B Shares shall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all respects, and the Class A Shares and Class B Shares shall vote together as a single class on all matters (subject to the Variation of Rights of Shares Article and the Appointment and Removal of Directors Article hereof) with the exception that the holder of a Class B Share shall have the conversion rights referred to in this Article.</w:t>
      </w:r>
    </w:p>
    <w:p>
      <w:pPr>
        <w:spacing w:after="0" w:line="32" w:lineRule="exact"/>
        <w:rPr>
          <w:sz w:val="20"/>
          <w:szCs w:val="20"/>
          <w:color w:val="auto"/>
        </w:rPr>
      </w:pPr>
    </w:p>
    <w:p>
      <w:pPr>
        <w:ind w:left="540" w:hanging="539"/>
        <w:spacing w:after="0" w:line="312" w:lineRule="auto"/>
        <w:tabs>
          <w:tab w:leader="none" w:pos="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Class B Shares shall automatically convert into Class A Shares on a one-for-one basis (the “</w:t>
      </w:r>
      <w:r>
        <w:rPr>
          <w:rFonts w:ascii="Arial" w:cs="Arial" w:eastAsia="Arial" w:hAnsi="Arial"/>
          <w:sz w:val="17"/>
          <w:szCs w:val="17"/>
          <w:b w:val="1"/>
          <w:bCs w:val="1"/>
          <w:color w:val="auto"/>
        </w:rPr>
        <w:t>Initial Conversion Ratio</w:t>
      </w:r>
      <w:r>
        <w:rPr>
          <w:rFonts w:ascii="Arial" w:cs="Arial" w:eastAsia="Arial" w:hAnsi="Arial"/>
          <w:sz w:val="17"/>
          <w:szCs w:val="17"/>
          <w:color w:val="auto"/>
        </w:rPr>
        <w:t>”): (a) at any time and from time to time at the option of the holders thereof; or (b) automatically on the day of the consummation of a Business Combination.</w:t>
      </w:r>
    </w:p>
    <w:p>
      <w:pPr>
        <w:spacing w:after="0" w:line="49" w:lineRule="exact"/>
        <w:rPr>
          <w:sz w:val="20"/>
          <w:szCs w:val="20"/>
          <w:color w:val="auto"/>
        </w:rPr>
      </w:pPr>
    </w:p>
    <w:p>
      <w:pPr>
        <w:ind w:left="540" w:right="20" w:hanging="539"/>
        <w:spacing w:after="0" w:line="269" w:lineRule="auto"/>
        <w:tabs>
          <w:tab w:leader="none" w:pos="5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Notwithstanding the Initial Conversion Ratio, in the case that additional (in excess of the amounts issued in the IPO) Class A Shares or any other Equity-linked Securities, are issued, or deemed issued in connection with a Business Combination, the ratio at which all Class B Shares in issue shall automatically convert into Class A Shares at the time of the consummation of a Business Combination will be adjusted (unless the holders of a majority of the Class B Shares in issue agree to waive such anti-dilution adjustment with respect to any such issuance or deemed issuance pursuant to Article 17.4) so that the number of Class A Shares issuable upon conversion of all Class B Shares will equal, in the aggregate, 20 per cent of the total number of Class A Shares outstanding after such conversion (after giving effect to any redemptions of Public Shares pursuant to the Business Combination Article, and excluding the Private Placement Shares), including any Class A Shares issued or deemed issued, or issuable upon the conversion or exercise of any Equity-linked Securities or rights issued or deemed issued, by the Company in connection with a Business Combination, excluding (x) any Class A Shares or Equity-linked Securities exercisable for or convertible into Class A Shares issued, or to be issued, to any seller in a Business Combination and (y) any Shares issued to the Sponsor or its Affiliates upon conversion of working capital loans.</w:t>
      </w:r>
    </w:p>
    <w:p>
      <w:pPr>
        <w:spacing w:after="0" w:line="87"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17.4</w:t>
        <w:tab/>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39" w:name="page240"/>
    <w:bookmarkEnd w:id="239"/>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17.5</w:t>
        <w:tab/>
        <w:t>The foregoing conversion ratio shall also be adjusted to account for any subdivision (by share subdivision, exchange, capitalisation, rights issue, reclassification, recapitalisation or otherwise) or combination (by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93" w:lineRule="exact"/>
        <w:rPr>
          <w:sz w:val="20"/>
          <w:szCs w:val="20"/>
          <w:color w:val="auto"/>
        </w:rPr>
      </w:pPr>
    </w:p>
    <w:p>
      <w:pPr>
        <w:ind w:left="540" w:hanging="539"/>
        <w:spacing w:after="0" w:line="301" w:lineRule="auto"/>
        <w:tabs>
          <w:tab w:leader="none" w:pos="5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one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59" w:lineRule="exact"/>
        <w:rPr>
          <w:sz w:val="20"/>
          <w:szCs w:val="20"/>
          <w:color w:val="auto"/>
        </w:rPr>
      </w:pPr>
    </w:p>
    <w:p>
      <w:pPr>
        <w:ind w:left="540" w:right="60" w:hanging="539"/>
        <w:spacing w:after="0" w:line="298" w:lineRule="auto"/>
        <w:tabs>
          <w:tab w:leader="none" w:pos="5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References in this Article to “</w:t>
      </w:r>
      <w:r>
        <w:rPr>
          <w:rFonts w:ascii="Arial" w:cs="Arial" w:eastAsia="Arial" w:hAnsi="Arial"/>
          <w:sz w:val="16"/>
          <w:szCs w:val="16"/>
          <w:b w:val="1"/>
          <w:bCs w:val="1"/>
          <w:color w:val="auto"/>
        </w:rPr>
        <w:t>converted</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or “</w:t>
      </w:r>
      <w:r>
        <w:rPr>
          <w:rFonts w:ascii="Arial" w:cs="Arial" w:eastAsia="Arial" w:hAnsi="Arial"/>
          <w:sz w:val="16"/>
          <w:szCs w:val="16"/>
          <w:b w:val="1"/>
          <w:bCs w:val="1"/>
          <w:color w:val="auto"/>
        </w:rPr>
        <w:t>exchange</w:t>
      </w:r>
      <w:r>
        <w:rPr>
          <w:rFonts w:ascii="Arial" w:cs="Arial" w:eastAsia="Arial" w:hAnsi="Arial"/>
          <w:sz w:val="16"/>
          <w:szCs w:val="16"/>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63"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17.8</w:t>
        <w:tab/>
        <w:t>Notwithstanding anything to the contrary in this Article, in no event may any Class B Share convert into Class A Shares at a ratio that is less than one-for-one.</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Amendments of Memorandum and Articles of Association and Alteration of Capital</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Company may by Ordinary Resolution:</w:t>
      </w:r>
    </w:p>
    <w:p>
      <w:pPr>
        <w:spacing w:after="0" w:line="131" w:lineRule="exact"/>
        <w:rPr>
          <w:sz w:val="20"/>
          <w:szCs w:val="20"/>
          <w:color w:val="auto"/>
        </w:rPr>
      </w:pPr>
    </w:p>
    <w:p>
      <w:pPr>
        <w:ind w:left="1080" w:right="220" w:hanging="54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75" w:lineRule="exact"/>
        <w:rPr>
          <w:rFonts w:ascii="Arial" w:cs="Arial" w:eastAsia="Arial" w:hAnsi="Arial"/>
          <w:sz w:val="18"/>
          <w:szCs w:val="18"/>
          <w:color w:val="auto"/>
        </w:rPr>
      </w:pPr>
    </w:p>
    <w:p>
      <w:pPr>
        <w:ind w:left="1080" w:hanging="54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30" w:lineRule="exact"/>
        <w:rPr>
          <w:rFonts w:ascii="Arial" w:cs="Arial" w:eastAsia="Arial" w:hAnsi="Arial"/>
          <w:sz w:val="18"/>
          <w:szCs w:val="18"/>
          <w:color w:val="auto"/>
        </w:rPr>
      </w:pPr>
    </w:p>
    <w:p>
      <w:pPr>
        <w:ind w:left="1080" w:hanging="54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0" w:name="page241"/>
    <w:bookmarkEnd w:id="240"/>
    <w:p>
      <w:pPr>
        <w:ind w:left="1084" w:right="40" w:hanging="544"/>
        <w:spacing w:after="0" w:line="277" w:lineRule="auto"/>
        <w:tabs>
          <w:tab w:leader="none" w:pos="1084"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subdivision of its existing Shares or any of them divide the whole or any part of its share capital into Shares of smaller amount than is fixed by the Memorandum or into Shares without par value; and</w:t>
      </w:r>
    </w:p>
    <w:p>
      <w:pPr>
        <w:spacing w:after="0" w:line="75" w:lineRule="exact"/>
        <w:rPr>
          <w:rFonts w:ascii="Arial" w:cs="Arial" w:eastAsia="Arial" w:hAnsi="Arial"/>
          <w:sz w:val="18"/>
          <w:szCs w:val="18"/>
          <w:color w:val="auto"/>
        </w:rPr>
      </w:pPr>
    </w:p>
    <w:p>
      <w:pPr>
        <w:ind w:left="1084" w:right="100" w:hanging="544"/>
        <w:spacing w:after="0" w:line="277" w:lineRule="auto"/>
        <w:tabs>
          <w:tab w:leader="none" w:pos="108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76" w:lineRule="exact"/>
        <w:rPr>
          <w:sz w:val="20"/>
          <w:szCs w:val="20"/>
          <w:color w:val="auto"/>
        </w:rPr>
      </w:pPr>
    </w:p>
    <w:p>
      <w:pPr>
        <w:ind w:left="544" w:right="80" w:hanging="539"/>
        <w:spacing w:after="0" w:line="308" w:lineRule="auto"/>
        <w:tabs>
          <w:tab w:leader="none" w:pos="524"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All new Shares created in accordance with the provisions of this Article 18 shall be subject to the same provisions of the Articles with reference to the payment of calls, liens, transfer, transmission, forfeiture and otherwise as the Shares in the original share capital.</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Subject to the provisions of the Statute, the provisions of the Articles as regards the matters to be dealt with by Ordinary Resolution and Article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29.4, the Company may by Special Resolution:</w:t>
      </w:r>
    </w:p>
    <w:p>
      <w:pPr>
        <w:spacing w:after="0" w:line="116" w:lineRule="exact"/>
        <w:rPr>
          <w:sz w:val="20"/>
          <w:szCs w:val="20"/>
          <w:color w:val="auto"/>
        </w:rPr>
      </w:pPr>
    </w:p>
    <w:p>
      <w:pPr>
        <w:ind w:left="1084" w:hanging="544"/>
        <w:spacing w:after="0"/>
        <w:tabs>
          <w:tab w:leader="none" w:pos="108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130" w:lineRule="exact"/>
        <w:rPr>
          <w:rFonts w:ascii="Arial" w:cs="Arial" w:eastAsia="Arial" w:hAnsi="Arial"/>
          <w:sz w:val="18"/>
          <w:szCs w:val="18"/>
          <w:color w:val="auto"/>
        </w:rPr>
      </w:pPr>
    </w:p>
    <w:p>
      <w:pPr>
        <w:ind w:left="1084" w:hanging="544"/>
        <w:spacing w:after="0"/>
        <w:tabs>
          <w:tab w:leader="none" w:pos="108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alter or add to the Articles;</w:t>
      </w:r>
    </w:p>
    <w:p>
      <w:pPr>
        <w:spacing w:after="0" w:line="130" w:lineRule="exact"/>
        <w:rPr>
          <w:rFonts w:ascii="Arial" w:cs="Arial" w:eastAsia="Arial" w:hAnsi="Arial"/>
          <w:sz w:val="18"/>
          <w:szCs w:val="18"/>
          <w:color w:val="auto"/>
        </w:rPr>
      </w:pPr>
    </w:p>
    <w:p>
      <w:pPr>
        <w:ind w:left="1084" w:hanging="544"/>
        <w:spacing w:after="0"/>
        <w:tabs>
          <w:tab w:leader="none" w:pos="108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130" w:lineRule="exact"/>
        <w:rPr>
          <w:rFonts w:ascii="Arial" w:cs="Arial" w:eastAsia="Arial" w:hAnsi="Arial"/>
          <w:sz w:val="18"/>
          <w:szCs w:val="18"/>
          <w:color w:val="auto"/>
        </w:rPr>
      </w:pPr>
    </w:p>
    <w:p>
      <w:pPr>
        <w:ind w:left="1084" w:hanging="544"/>
        <w:spacing w:after="0"/>
        <w:tabs>
          <w:tab w:leader="none" w:pos="108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370" w:lineRule="exact"/>
        <w:rPr>
          <w:sz w:val="20"/>
          <w:szCs w:val="20"/>
          <w:color w:val="auto"/>
        </w:rPr>
      </w:pPr>
    </w:p>
    <w:p>
      <w:pPr>
        <w:ind w:left="544" w:hanging="544"/>
        <w:spacing w:after="0"/>
        <w:tabs>
          <w:tab w:leader="none" w:pos="544"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Offices and Places of Business</w:t>
      </w:r>
    </w:p>
    <w:p>
      <w:pPr>
        <w:spacing w:after="0" w:line="121" w:lineRule="exact"/>
        <w:rPr>
          <w:rFonts w:ascii="Arial" w:cs="Arial" w:eastAsia="Arial" w:hAnsi="Arial"/>
          <w:sz w:val="18"/>
          <w:szCs w:val="18"/>
          <w:b w:val="1"/>
          <w:bCs w:val="1"/>
          <w:color w:val="auto"/>
        </w:rPr>
      </w:pPr>
    </w:p>
    <w:p>
      <w:pPr>
        <w:ind w:left="544" w:right="5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268" w:lineRule="exact"/>
        <w:rPr>
          <w:rFonts w:ascii="Arial" w:cs="Arial" w:eastAsia="Arial" w:hAnsi="Arial"/>
          <w:sz w:val="18"/>
          <w:szCs w:val="18"/>
          <w:b w:val="1"/>
          <w:bCs w:val="1"/>
          <w:color w:val="auto"/>
        </w:rPr>
      </w:pPr>
    </w:p>
    <w:p>
      <w:pPr>
        <w:ind w:left="544" w:hanging="544"/>
        <w:spacing w:after="0"/>
        <w:tabs>
          <w:tab w:leader="none" w:pos="544"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131"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20.2</w:t>
        <w:tab/>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89" w:lineRule="exact"/>
        <w:rPr>
          <w:sz w:val="20"/>
          <w:szCs w:val="20"/>
          <w:color w:val="auto"/>
        </w:rPr>
      </w:pPr>
    </w:p>
    <w:p>
      <w:pPr>
        <w:ind w:left="544" w:right="480" w:hanging="539"/>
        <w:spacing w:after="0" w:line="277" w:lineRule="auto"/>
        <w:tabs>
          <w:tab w:leader="none" w:pos="524" w:val="left"/>
        </w:tabs>
        <w:rPr>
          <w:sz w:val="20"/>
          <w:szCs w:val="20"/>
          <w:color w:val="auto"/>
        </w:rPr>
      </w:pPr>
      <w:r>
        <w:rPr>
          <w:rFonts w:ascii="Arial" w:cs="Arial" w:eastAsia="Arial" w:hAnsi="Arial"/>
          <w:sz w:val="18"/>
          <w:szCs w:val="18"/>
          <w:color w:val="auto"/>
        </w:rPr>
        <w:t>20.3</w:t>
        <w:tab/>
        <w:t>The Directors, the chief executive officer or the chairman of the board of directors of the Company may call general meetings, and, for the avoidance of doubt, Members shall not have the ability to call general meetings.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241" w:name="page242"/>
    <w:bookmarkEnd w:id="241"/>
    <w:p>
      <w:pPr>
        <w:ind w:left="540" w:right="80" w:hanging="539"/>
        <w:spacing w:after="0" w:line="29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20.4</w:t>
      </w:r>
      <w:r>
        <w:rPr>
          <w:sz w:val="20"/>
          <w:szCs w:val="20"/>
          <w:color w:val="auto"/>
        </w:rPr>
        <w:tab/>
      </w:r>
      <w:r>
        <w:rPr>
          <w:rFonts w:ascii="Arial" w:cs="Arial" w:eastAsia="Arial" w:hAnsi="Arial"/>
          <w:sz w:val="16"/>
          <w:szCs w:val="16"/>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of the Company with such deadline being a reasonable time before the Company begins to print and send its related proxy materials.</w:t>
      </w:r>
    </w:p>
    <w:p>
      <w:pPr>
        <w:spacing w:after="0" w:line="30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Notice of General Meetings</w:t>
      </w:r>
    </w:p>
    <w:p>
      <w:pPr>
        <w:spacing w:after="0" w:line="135" w:lineRule="exact"/>
        <w:rPr>
          <w:sz w:val="20"/>
          <w:szCs w:val="20"/>
          <w:color w:val="auto"/>
        </w:rPr>
      </w:pPr>
    </w:p>
    <w:p>
      <w:pPr>
        <w:ind w:left="540" w:right="20" w:hanging="539"/>
        <w:spacing w:after="0" w:line="257" w:lineRule="auto"/>
        <w:tabs>
          <w:tab w:leader="none" w:pos="520" w:val="left"/>
        </w:tabs>
        <w:rPr>
          <w:sz w:val="20"/>
          <w:szCs w:val="20"/>
          <w:color w:val="auto"/>
        </w:rPr>
      </w:pPr>
      <w:r>
        <w:rPr>
          <w:rFonts w:ascii="Arial" w:cs="Arial" w:eastAsia="Arial" w:hAnsi="Arial"/>
          <w:sz w:val="18"/>
          <w:szCs w:val="18"/>
          <w:color w:val="auto"/>
        </w:rPr>
        <w:t>21.1</w:t>
        <w:tab/>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93" w:lineRule="exact"/>
        <w:rPr>
          <w:sz w:val="20"/>
          <w:szCs w:val="20"/>
          <w:color w:val="auto"/>
        </w:rPr>
      </w:pPr>
    </w:p>
    <w:p>
      <w:pPr>
        <w:ind w:left="1080" w:hanging="54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30" w:lineRule="exact"/>
        <w:rPr>
          <w:rFonts w:ascii="Arial" w:cs="Arial" w:eastAsia="Arial" w:hAnsi="Arial"/>
          <w:sz w:val="18"/>
          <w:szCs w:val="18"/>
          <w:color w:val="auto"/>
        </w:rPr>
      </w:pPr>
    </w:p>
    <w:p>
      <w:pPr>
        <w:ind w:left="1080" w:right="40" w:hanging="54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95 per cent in par value of the Shares giving that right.</w:t>
      </w:r>
    </w:p>
    <w:p>
      <w:pPr>
        <w:spacing w:after="0" w:line="76"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21.2</w:t>
        <w:tab/>
        <w:t>The accidental omission to give notice of a general meeting to, or the non-receipt of notice of a general meeting by, any person entitled to receive such notice shall not invalidate the proceedings of that general meeting.</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Proceedings at General Meetings</w:t>
      </w:r>
    </w:p>
    <w:p>
      <w:pPr>
        <w:spacing w:after="0" w:line="135" w:lineRule="exact"/>
        <w:rPr>
          <w:sz w:val="20"/>
          <w:szCs w:val="20"/>
          <w:color w:val="auto"/>
        </w:rPr>
      </w:pPr>
    </w:p>
    <w:p>
      <w:pPr>
        <w:ind w:left="540" w:right="300" w:hanging="539"/>
        <w:spacing w:after="0" w:line="342" w:lineRule="auto"/>
        <w:tabs>
          <w:tab w:leader="none" w:pos="5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No business shall be transacted at any general meeting unless a quorum is present. The holders of a majority of the Shares being individuals present in person or by proxy or if a corporation or other non-natural person by its duly authorised representative or proxy shall be a quorum.</w:t>
      </w:r>
    </w:p>
    <w:p>
      <w:pPr>
        <w:spacing w:after="0" w:line="29"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22.2</w:t>
        <w:tab/>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9"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t>22.3</w:t>
        <w:tab/>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42" w:name="page243"/>
    <w:bookmarkEnd w:id="242"/>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22.4</w:t>
        <w:tab/>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92" w:lineRule="exact"/>
        <w:rPr>
          <w:sz w:val="20"/>
          <w:szCs w:val="20"/>
          <w:color w:val="auto"/>
        </w:rPr>
      </w:pPr>
    </w:p>
    <w:p>
      <w:pPr>
        <w:ind w:left="540" w:right="120" w:hanging="539"/>
        <w:spacing w:after="0" w:line="257" w:lineRule="auto"/>
        <w:tabs>
          <w:tab w:leader="none" w:pos="520" w:val="left"/>
        </w:tabs>
        <w:rPr>
          <w:sz w:val="20"/>
          <w:szCs w:val="20"/>
          <w:color w:val="auto"/>
        </w:rPr>
      </w:pPr>
      <w:r>
        <w:rPr>
          <w:rFonts w:ascii="Arial" w:cs="Arial" w:eastAsia="Arial" w:hAnsi="Arial"/>
          <w:sz w:val="18"/>
          <w:szCs w:val="18"/>
          <w:color w:val="auto"/>
        </w:rPr>
        <w:t>22.5</w:t>
        <w:tab/>
        <w:t>The Directors may, at any time prior to the time appointed for the meeting to commence, appoint any person to act as chairman of a general meeting of the Company or, if the Directors do not make any such appointment, the chairman, if any, of the board of directors of the Company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93" w:lineRule="exact"/>
        <w:rPr>
          <w:sz w:val="20"/>
          <w:szCs w:val="20"/>
          <w:color w:val="auto"/>
        </w:rPr>
      </w:pPr>
    </w:p>
    <w:p>
      <w:pPr>
        <w:ind w:left="540" w:right="740" w:hanging="539"/>
        <w:spacing w:after="0" w:line="277" w:lineRule="auto"/>
        <w:tabs>
          <w:tab w:leader="none" w:pos="520" w:val="left"/>
        </w:tabs>
        <w:rPr>
          <w:sz w:val="20"/>
          <w:szCs w:val="20"/>
          <w:color w:val="auto"/>
        </w:rPr>
      </w:pPr>
      <w:r>
        <w:rPr>
          <w:rFonts w:ascii="Arial" w:cs="Arial" w:eastAsia="Arial" w:hAnsi="Arial"/>
          <w:sz w:val="18"/>
          <w:szCs w:val="18"/>
          <w:color w:val="auto"/>
        </w:rPr>
        <w:t>22.6</w:t>
        <w:tab/>
        <w:t>If no Director is willing to act as chairman or if no Director is present within fifteen minutes after the time appointed for the meeting to commence, the Members present shall choose one of their number to be chairman of the meeting.</w:t>
      </w:r>
    </w:p>
    <w:p>
      <w:pPr>
        <w:spacing w:after="0" w:line="76"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22.7</w:t>
        <w:tab/>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When a general meeting is adjourned for 30 days or more, notice of the adjourned meeting shall be given as in the case of an original meeting.</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Otherwise it shall not be necessary to give any such notice of an adjourned meeting.</w:t>
      </w:r>
    </w:p>
    <w:p>
      <w:pPr>
        <w:spacing w:after="0" w:line="116" w:lineRule="exact"/>
        <w:rPr>
          <w:sz w:val="20"/>
          <w:szCs w:val="20"/>
          <w:color w:val="auto"/>
        </w:rPr>
      </w:pPr>
    </w:p>
    <w:p>
      <w:pPr>
        <w:ind w:left="540" w:right="60" w:hanging="539"/>
        <w:spacing w:after="0" w:line="275" w:lineRule="auto"/>
        <w:tabs>
          <w:tab w:leader="none" w:pos="52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7"/>
          <w:szCs w:val="17"/>
          <w:color w:val="auto"/>
        </w:rPr>
        <w:t>If, prior to a Business Combination,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82" w:lineRule="exact"/>
        <w:rPr>
          <w:sz w:val="20"/>
          <w:szCs w:val="20"/>
          <w:color w:val="auto"/>
        </w:rPr>
      </w:pPr>
    </w:p>
    <w:p>
      <w:pPr>
        <w:jc w:val="both"/>
        <w:ind w:left="540" w:right="180" w:hanging="539"/>
        <w:spacing w:after="0" w:line="311" w:lineRule="auto"/>
        <w:rPr>
          <w:sz w:val="20"/>
          <w:szCs w:val="20"/>
          <w:color w:val="auto"/>
        </w:rPr>
      </w:pPr>
      <w:r>
        <w:rPr>
          <w:rFonts w:ascii="Arial" w:cs="Arial" w:eastAsia="Arial" w:hAnsi="Arial"/>
          <w:sz w:val="16"/>
          <w:szCs w:val="16"/>
          <w:color w:val="auto"/>
        </w:rPr>
        <w:t>22.10 When a general meeting is postponed for 30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22.11  A resolution put to the vote of the meeting shall be decided on a poll.</w:t>
      </w:r>
    </w:p>
    <w:p>
      <w:pPr>
        <w:spacing w:after="0" w:line="131" w:lineRule="exact"/>
        <w:rPr>
          <w:sz w:val="20"/>
          <w:szCs w:val="20"/>
          <w:color w:val="auto"/>
        </w:rPr>
      </w:pPr>
    </w:p>
    <w:p>
      <w:pPr>
        <w:ind w:left="540" w:right="220" w:hanging="539"/>
        <w:spacing w:after="0" w:line="277" w:lineRule="auto"/>
        <w:rPr>
          <w:sz w:val="20"/>
          <w:szCs w:val="20"/>
          <w:color w:val="auto"/>
        </w:rPr>
      </w:pPr>
      <w:r>
        <w:rPr>
          <w:rFonts w:ascii="Arial" w:cs="Arial" w:eastAsia="Arial" w:hAnsi="Arial"/>
          <w:sz w:val="18"/>
          <w:szCs w:val="18"/>
          <w:color w:val="auto"/>
        </w:rPr>
        <w:t>22.12 A poll shall be taken as the chairman directs, and the result of the poll shall be deemed to be the resolution of the general meeting at which the poll was demanded.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43" w:name="page244"/>
    <w:bookmarkEnd w:id="243"/>
    <w:p>
      <w:pPr>
        <w:jc w:val="both"/>
        <w:ind w:left="540" w:right="40" w:hanging="53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22.13 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22.14  In the case of an equality of votes the chairman shall be entitled to a second or casting vote.</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Votes of Members</w:t>
      </w:r>
    </w:p>
    <w:p>
      <w:pPr>
        <w:spacing w:after="0" w:line="135" w:lineRule="exact"/>
        <w:rPr>
          <w:sz w:val="20"/>
          <w:szCs w:val="20"/>
          <w:color w:val="auto"/>
        </w:rPr>
      </w:pPr>
    </w:p>
    <w:p>
      <w:pPr>
        <w:jc w:val="both"/>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23.1</w:t>
        <w:tab/>
        <w:t>Subject to any rights or restrictions attached to any Shares, including as set forth in Article 29.4, every Member present in any such manner shall have one vote for every Share of which he is the holder.</w:t>
      </w:r>
    </w:p>
    <w:p>
      <w:pPr>
        <w:spacing w:after="0" w:line="76" w:lineRule="exact"/>
        <w:rPr>
          <w:sz w:val="20"/>
          <w:szCs w:val="20"/>
          <w:color w:val="auto"/>
        </w:rPr>
      </w:pPr>
    </w:p>
    <w:p>
      <w:pPr>
        <w:ind w:left="540" w:hanging="539"/>
        <w:spacing w:after="0" w:line="286" w:lineRule="auto"/>
        <w:tabs>
          <w:tab w:leader="none" w:pos="5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71"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23.3</w:t>
        <w:tab/>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89" w:lineRule="exact"/>
        <w:rPr>
          <w:sz w:val="20"/>
          <w:szCs w:val="20"/>
          <w:color w:val="auto"/>
        </w:rPr>
      </w:pPr>
    </w:p>
    <w:p>
      <w:pPr>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23.4</w:t>
        <w:tab/>
        <w:t>No person shall be entitled to vote at any general meeting unless he is registered as a Member on the record date for such meeting nor unless all calls or other monies then payable by him in respect of Shares have been paid.</w:t>
      </w:r>
    </w:p>
    <w:p>
      <w:pPr>
        <w:spacing w:after="0" w:line="76" w:lineRule="exact"/>
        <w:rPr>
          <w:sz w:val="20"/>
          <w:szCs w:val="20"/>
          <w:color w:val="auto"/>
        </w:rPr>
      </w:pPr>
    </w:p>
    <w:p>
      <w:pPr>
        <w:ind w:left="540" w:right="100" w:hanging="539"/>
        <w:spacing w:after="0" w:line="263" w:lineRule="auto"/>
        <w:tabs>
          <w:tab w:leader="none" w:pos="520" w:val="left"/>
        </w:tabs>
        <w:rPr>
          <w:sz w:val="20"/>
          <w:szCs w:val="20"/>
          <w:color w:val="auto"/>
        </w:rPr>
      </w:pPr>
      <w:r>
        <w:rPr>
          <w:rFonts w:ascii="Arial" w:cs="Arial" w:eastAsia="Arial" w:hAnsi="Arial"/>
          <w:sz w:val="18"/>
          <w:szCs w:val="18"/>
          <w:color w:val="auto"/>
        </w:rPr>
        <w:t>23.5</w:t>
        <w:tab/>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89"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23.6</w:t>
        <w:tab/>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92" w:lineRule="exact"/>
        <w:rPr>
          <w:sz w:val="20"/>
          <w:szCs w:val="20"/>
          <w:color w:val="auto"/>
        </w:rPr>
      </w:pPr>
    </w:p>
    <w:p>
      <w:pPr>
        <w:ind w:left="540" w:right="200" w:hanging="539"/>
        <w:spacing w:after="0" w:line="257" w:lineRule="auto"/>
        <w:tabs>
          <w:tab w:leader="none" w:pos="520" w:val="left"/>
        </w:tabs>
        <w:rPr>
          <w:sz w:val="20"/>
          <w:szCs w:val="20"/>
          <w:color w:val="auto"/>
        </w:rPr>
      </w:pPr>
      <w:r>
        <w:rPr>
          <w:rFonts w:ascii="Arial" w:cs="Arial" w:eastAsia="Arial" w:hAnsi="Arial"/>
          <w:sz w:val="18"/>
          <w:szCs w:val="18"/>
          <w:color w:val="auto"/>
        </w:rPr>
        <w:t>23.7</w:t>
        <w:tab/>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44" w:name="page245"/>
    <w:bookmarkEnd w:id="244"/>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w:t>
      </w:r>
      <w:r>
        <w:rPr>
          <w:sz w:val="20"/>
          <w:szCs w:val="20"/>
          <w:color w:val="auto"/>
        </w:rPr>
        <w:tab/>
      </w:r>
      <w:r>
        <w:rPr>
          <w:rFonts w:ascii="Arial" w:cs="Arial" w:eastAsia="Arial" w:hAnsi="Arial"/>
          <w:sz w:val="18"/>
          <w:szCs w:val="18"/>
          <w:b w:val="1"/>
          <w:bCs w:val="1"/>
          <w:color w:val="auto"/>
        </w:rPr>
        <w:t>Proxies</w:t>
      </w:r>
    </w:p>
    <w:p>
      <w:pPr>
        <w:spacing w:after="0" w:line="135"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24.1</w:t>
        <w:tab/>
        <w:t>The instrument appointing a proxy shall be in writing and shall be executed under the hand of the appointor or of his attorney duly authorised in writing, or, if the appointor is a corporation or other non-natural person, under the hand of its duly authorised representative. A proxy need not be a Member.</w:t>
      </w:r>
    </w:p>
    <w:p>
      <w:pPr>
        <w:spacing w:after="0" w:line="89" w:lineRule="exact"/>
        <w:rPr>
          <w:sz w:val="20"/>
          <w:szCs w:val="20"/>
          <w:color w:val="auto"/>
        </w:rPr>
      </w:pPr>
    </w:p>
    <w:p>
      <w:pPr>
        <w:jc w:val="both"/>
        <w:ind w:left="540" w:right="20" w:hanging="539"/>
        <w:spacing w:after="0" w:line="287" w:lineRule="auto"/>
        <w:tabs>
          <w:tab w:leader="none" w:pos="5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w:t>
      </w:r>
    </w:p>
    <w:p>
      <w:pPr>
        <w:spacing w:after="0" w:line="2" w:lineRule="exact"/>
        <w:rPr>
          <w:sz w:val="20"/>
          <w:szCs w:val="20"/>
          <w:color w:val="auto"/>
        </w:rPr>
      </w:pPr>
    </w:p>
    <w:p>
      <w:pPr>
        <w:jc w:val="both"/>
        <w:ind w:left="540" w:right="160"/>
        <w:spacing w:after="0" w:line="302" w:lineRule="auto"/>
        <w:rPr>
          <w:sz w:val="20"/>
          <w:szCs w:val="20"/>
          <w:color w:val="auto"/>
        </w:rPr>
      </w:pPr>
      <w:r>
        <w:rPr>
          <w:rFonts w:ascii="Arial" w:cs="Arial" w:eastAsia="Arial" w:hAnsi="Arial"/>
          <w:sz w:val="16"/>
          <w:szCs w:val="16"/>
          <w:color w:val="auto"/>
        </w:rPr>
        <w:t>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61" w:lineRule="exact"/>
        <w:rPr>
          <w:sz w:val="20"/>
          <w:szCs w:val="20"/>
          <w:color w:val="auto"/>
        </w:rPr>
      </w:pPr>
    </w:p>
    <w:p>
      <w:pPr>
        <w:ind w:left="540" w:right="60" w:hanging="539"/>
        <w:spacing w:after="0" w:line="263" w:lineRule="auto"/>
        <w:tabs>
          <w:tab w:leader="none" w:pos="520" w:val="left"/>
        </w:tabs>
        <w:rPr>
          <w:sz w:val="20"/>
          <w:szCs w:val="20"/>
          <w:color w:val="auto"/>
        </w:rPr>
      </w:pPr>
      <w:r>
        <w:rPr>
          <w:rFonts w:ascii="Arial" w:cs="Arial" w:eastAsia="Arial" w:hAnsi="Arial"/>
          <w:sz w:val="18"/>
          <w:szCs w:val="18"/>
          <w:color w:val="auto"/>
        </w:rPr>
        <w:t>24.3</w:t>
        <w:tab/>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89" w:lineRule="exact"/>
        <w:rPr>
          <w:sz w:val="20"/>
          <w:szCs w:val="20"/>
          <w:color w:val="auto"/>
        </w:rPr>
      </w:pPr>
    </w:p>
    <w:p>
      <w:pPr>
        <w:ind w:left="540" w:right="580" w:hanging="539"/>
        <w:spacing w:after="0" w:line="263" w:lineRule="auto"/>
        <w:tabs>
          <w:tab w:leader="none" w:pos="520" w:val="left"/>
        </w:tabs>
        <w:rPr>
          <w:sz w:val="20"/>
          <w:szCs w:val="20"/>
          <w:color w:val="auto"/>
        </w:rPr>
      </w:pPr>
      <w:r>
        <w:rPr>
          <w:rFonts w:ascii="Arial" w:cs="Arial" w:eastAsia="Arial" w:hAnsi="Arial"/>
          <w:sz w:val="18"/>
          <w:szCs w:val="18"/>
          <w:color w:val="auto"/>
        </w:rPr>
        <w:t>24.4</w:t>
        <w:tab/>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89" w:lineRule="exact"/>
        <w:rPr>
          <w:sz w:val="20"/>
          <w:szCs w:val="20"/>
          <w:color w:val="auto"/>
        </w:rPr>
      </w:pPr>
    </w:p>
    <w:p>
      <w:pPr>
        <w:ind w:left="540" w:right="100" w:hanging="539"/>
        <w:spacing w:after="0" w:line="279" w:lineRule="auto"/>
        <w:tabs>
          <w:tab w:leader="none" w:pos="5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3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Corporate Members</w:t>
      </w:r>
    </w:p>
    <w:p>
      <w:pPr>
        <w:spacing w:after="0" w:line="135" w:lineRule="exact"/>
        <w:rPr>
          <w:sz w:val="20"/>
          <w:szCs w:val="20"/>
          <w:color w:val="auto"/>
        </w:rPr>
      </w:pPr>
    </w:p>
    <w:p>
      <w:pPr>
        <w:jc w:val="both"/>
        <w:ind w:left="540" w:right="60" w:hanging="539"/>
        <w:spacing w:after="0" w:line="279" w:lineRule="auto"/>
        <w:tabs>
          <w:tab w:leader="none" w:pos="5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7"/>
          <w:szCs w:val="17"/>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245" w:name="page246"/>
    <w:bookmarkEnd w:id="245"/>
    <w:p>
      <w:pPr>
        <w:ind w:left="544" w:hanging="539"/>
        <w:spacing w:after="0" w:line="296"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25.2</w:t>
      </w:r>
      <w:r>
        <w:rPr>
          <w:sz w:val="20"/>
          <w:szCs w:val="20"/>
          <w:color w:val="auto"/>
        </w:rPr>
        <w:tab/>
      </w:r>
      <w:r>
        <w:rPr>
          <w:rFonts w:ascii="Arial" w:cs="Arial" w:eastAsia="Arial" w:hAnsi="Arial"/>
          <w:sz w:val="16"/>
          <w:szCs w:val="16"/>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306" w:lineRule="exact"/>
        <w:rPr>
          <w:sz w:val="20"/>
          <w:szCs w:val="20"/>
          <w:color w:val="auto"/>
        </w:rPr>
      </w:pPr>
    </w:p>
    <w:p>
      <w:pPr>
        <w:ind w:left="544" w:hanging="544"/>
        <w:spacing w:after="0"/>
        <w:tabs>
          <w:tab w:leader="none" w:pos="544"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121" w:lineRule="exact"/>
        <w:rPr>
          <w:rFonts w:ascii="Arial" w:cs="Arial" w:eastAsia="Arial" w:hAnsi="Arial"/>
          <w:sz w:val="18"/>
          <w:szCs w:val="18"/>
          <w:b w:val="1"/>
          <w:bCs w:val="1"/>
          <w:color w:val="auto"/>
        </w:rPr>
      </w:pPr>
    </w:p>
    <w:p>
      <w:pPr>
        <w:ind w:left="5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35"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27.1</w:t>
        <w:tab/>
        <w:t>There shall be a board of directors of the Company consisting of not less than one person provided however that the Company may by Ordinary Resolution increase or reduce the limits in the number of Directors.</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Powers of Directors</w:t>
      </w:r>
    </w:p>
    <w:p>
      <w:pPr>
        <w:spacing w:after="0" w:line="135" w:lineRule="exact"/>
        <w:rPr>
          <w:sz w:val="20"/>
          <w:szCs w:val="20"/>
          <w:color w:val="auto"/>
        </w:rPr>
      </w:pPr>
    </w:p>
    <w:p>
      <w:pPr>
        <w:jc w:val="both"/>
        <w:ind w:left="544" w:hanging="539"/>
        <w:spacing w:after="0" w:line="301" w:lineRule="auto"/>
        <w:tabs>
          <w:tab w:leader="none" w:pos="524"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63" w:lineRule="exact"/>
        <w:rPr>
          <w:sz w:val="20"/>
          <w:szCs w:val="20"/>
          <w:color w:val="auto"/>
        </w:rPr>
      </w:pPr>
    </w:p>
    <w:p>
      <w:pPr>
        <w:jc w:val="both"/>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28.2</w:t>
        <w:tab/>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9"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28.3</w:t>
        <w:tab/>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89" w:lineRule="exact"/>
        <w:rPr>
          <w:sz w:val="20"/>
          <w:szCs w:val="20"/>
          <w:color w:val="auto"/>
        </w:rPr>
      </w:pPr>
    </w:p>
    <w:p>
      <w:pPr>
        <w:ind w:left="544" w:right="60" w:hanging="539"/>
        <w:spacing w:after="0" w:line="286" w:lineRule="auto"/>
        <w:tabs>
          <w:tab w:leader="none" w:pos="524"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7"/>
          <w:szCs w:val="17"/>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46" w:name="page247"/>
    <w:bookmarkEnd w:id="246"/>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w:t>
        <w:tab/>
        <w:t>Appointment and Removal of Directors</w:t>
      </w:r>
    </w:p>
    <w:p>
      <w:pPr>
        <w:spacing w:after="0" w:line="135"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29.1</w:t>
        <w:tab/>
        <w:t>Prior to the consummation of a Business Combination, the Company may by Ordinary Resolution of the holders of the Class B Shares appoint any person to be a Director or may by Ordinary Resolution of the holders of the Class B Shares remove any Director. For the avoidance of doubt, prior to the consummation of a Business Combination, holders of Class A Shares shall have no right to vote on the appointment or removal of any Director.</w:t>
      </w:r>
    </w:p>
    <w:p>
      <w:pPr>
        <w:spacing w:after="0" w:line="92" w:lineRule="exact"/>
        <w:rPr>
          <w:sz w:val="20"/>
          <w:szCs w:val="20"/>
          <w:color w:val="auto"/>
        </w:rPr>
      </w:pPr>
    </w:p>
    <w:p>
      <w:pPr>
        <w:ind w:left="544" w:right="240" w:hanging="539"/>
        <w:spacing w:after="0" w:line="342" w:lineRule="auto"/>
        <w:tabs>
          <w:tab w:leader="none" w:pos="524"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29"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29.3</w:t>
        <w:tab/>
        <w:t>After the consummation of a Business Combination, the Company may by Ordinary Resolution appoint any person to be a Director or may by Ordinary Resolution remove any Director.</w:t>
      </w:r>
    </w:p>
    <w:p>
      <w:pPr>
        <w:spacing w:after="0" w:line="76" w:lineRule="exact"/>
        <w:rPr>
          <w:sz w:val="20"/>
          <w:szCs w:val="20"/>
          <w:color w:val="auto"/>
        </w:rPr>
      </w:pPr>
    </w:p>
    <w:p>
      <w:pPr>
        <w:jc w:val="center"/>
        <w:ind w:right="76"/>
        <w:spacing w:after="0"/>
        <w:tabs>
          <w:tab w:leader="none" w:pos="20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Prior to the consummation of a Business Combination, Article 29.1 may only be amended by a Special Resolution passed by at least 90 per cent</w:t>
      </w:r>
    </w:p>
    <w:p>
      <w:pPr>
        <w:spacing w:after="0" w:line="23" w:lineRule="exact"/>
        <w:rPr>
          <w:sz w:val="20"/>
          <w:szCs w:val="20"/>
          <w:color w:val="auto"/>
        </w:rPr>
      </w:pPr>
    </w:p>
    <w:p>
      <w:pPr>
        <w:ind w:left="544" w:right="660"/>
        <w:spacing w:after="0" w:line="323" w:lineRule="auto"/>
        <w:rPr>
          <w:sz w:val="20"/>
          <w:szCs w:val="20"/>
          <w:color w:val="auto"/>
        </w:rPr>
      </w:pPr>
      <w:r>
        <w:rPr>
          <w:rFonts w:ascii="Arial" w:cs="Arial" w:eastAsia="Arial" w:hAnsi="Arial"/>
          <w:sz w:val="16"/>
          <w:szCs w:val="16"/>
          <w:color w:val="auto"/>
        </w:rPr>
        <w:t>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283" w:lineRule="exact"/>
        <w:rPr>
          <w:sz w:val="20"/>
          <w:szCs w:val="20"/>
          <w:color w:val="auto"/>
        </w:rPr>
      </w:pPr>
    </w:p>
    <w:p>
      <w:pPr>
        <w:ind w:left="544" w:hanging="544"/>
        <w:spacing w:after="0"/>
        <w:tabs>
          <w:tab w:leader="none" w:pos="54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130" w:lineRule="exact"/>
        <w:rPr>
          <w:rFonts w:ascii="Arial" w:cs="Arial" w:eastAsia="Arial" w:hAnsi="Arial"/>
          <w:sz w:val="18"/>
          <w:szCs w:val="18"/>
          <w:b w:val="1"/>
          <w:bCs w:val="1"/>
          <w:color w:val="auto"/>
        </w:rPr>
      </w:pPr>
    </w:p>
    <w:p>
      <w:pPr>
        <w:ind w:left="1084" w:hanging="544"/>
        <w:spacing w:after="0"/>
        <w:tabs>
          <w:tab w:leader="none" w:pos="108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130" w:lineRule="exact"/>
        <w:rPr>
          <w:rFonts w:ascii="Arial" w:cs="Arial" w:eastAsia="Arial" w:hAnsi="Arial"/>
          <w:sz w:val="18"/>
          <w:szCs w:val="18"/>
          <w:color w:val="auto"/>
        </w:rPr>
      </w:pPr>
    </w:p>
    <w:p>
      <w:pPr>
        <w:ind w:left="1084" w:right="80" w:hanging="544"/>
        <w:spacing w:after="0" w:line="263" w:lineRule="auto"/>
        <w:tabs>
          <w:tab w:leader="none" w:pos="108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from three consecutive meetings of the board of directors of the Company without special leave of absence from the Directors, and the Directors pass a resolution that he has by reason of such absence vacated office; or</w:t>
      </w:r>
    </w:p>
    <w:p>
      <w:pPr>
        <w:spacing w:after="0" w:line="89" w:lineRule="exact"/>
        <w:rPr>
          <w:rFonts w:ascii="Arial" w:cs="Arial" w:eastAsia="Arial" w:hAnsi="Arial"/>
          <w:sz w:val="18"/>
          <w:szCs w:val="18"/>
          <w:color w:val="auto"/>
        </w:rPr>
      </w:pPr>
    </w:p>
    <w:p>
      <w:pPr>
        <w:ind w:left="1084" w:hanging="544"/>
        <w:spacing w:after="0"/>
        <w:tabs>
          <w:tab w:leader="none" w:pos="108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130" w:lineRule="exact"/>
        <w:rPr>
          <w:rFonts w:ascii="Arial" w:cs="Arial" w:eastAsia="Arial" w:hAnsi="Arial"/>
          <w:sz w:val="18"/>
          <w:szCs w:val="18"/>
          <w:color w:val="auto"/>
        </w:rPr>
      </w:pPr>
    </w:p>
    <w:p>
      <w:pPr>
        <w:ind w:left="1084" w:hanging="544"/>
        <w:spacing w:after="0"/>
        <w:tabs>
          <w:tab w:leader="none" w:pos="108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130" w:lineRule="exact"/>
        <w:rPr>
          <w:rFonts w:ascii="Arial" w:cs="Arial" w:eastAsia="Arial" w:hAnsi="Arial"/>
          <w:sz w:val="18"/>
          <w:szCs w:val="18"/>
          <w:color w:val="auto"/>
        </w:rPr>
      </w:pPr>
    </w:p>
    <w:p>
      <w:pPr>
        <w:ind w:left="1084" w:right="280" w:hanging="544"/>
        <w:spacing w:after="0" w:line="263" w:lineRule="auto"/>
        <w:tabs>
          <w:tab w:leader="none" w:pos="108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135" w:lineRule="exact"/>
        <w:rPr>
          <w:sz w:val="20"/>
          <w:szCs w:val="20"/>
          <w:color w:val="auto"/>
        </w:rPr>
      </w:pPr>
    </w:p>
    <w:p>
      <w:pPr>
        <w:ind w:left="544" w:right="440" w:hanging="539"/>
        <w:spacing w:after="0" w:line="277" w:lineRule="auto"/>
        <w:tabs>
          <w:tab w:leader="none" w:pos="524" w:val="left"/>
        </w:tabs>
        <w:rPr>
          <w:sz w:val="20"/>
          <w:szCs w:val="20"/>
          <w:color w:val="auto"/>
        </w:rPr>
      </w:pPr>
      <w:r>
        <w:rPr>
          <w:rFonts w:ascii="Arial" w:cs="Arial" w:eastAsia="Arial" w:hAnsi="Arial"/>
          <w:sz w:val="18"/>
          <w:szCs w:val="18"/>
          <w:color w:val="auto"/>
        </w:rPr>
        <w:t>31.1</w:t>
        <w:tab/>
        <w:t>The quorum for the transaction of the business of the Directors may be fixed by the Directors, and unless so fixed shall be a majority of the Directors then in office.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247" w:name="page248"/>
    <w:bookmarkEnd w:id="247"/>
    <w:p>
      <w:pPr>
        <w:ind w:left="540" w:right="100" w:hanging="539"/>
        <w:spacing w:after="0" w:line="308"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31.2</w:t>
      </w:r>
      <w:r>
        <w:rPr>
          <w:sz w:val="20"/>
          <w:szCs w:val="20"/>
          <w:color w:val="auto"/>
        </w:rPr>
        <w:tab/>
      </w:r>
      <w:r>
        <w:rPr>
          <w:rFonts w:ascii="Arial" w:cs="Arial" w:eastAsia="Arial" w:hAnsi="Arial"/>
          <w:sz w:val="17"/>
          <w:szCs w:val="17"/>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52" w:lineRule="exact"/>
        <w:rPr>
          <w:sz w:val="20"/>
          <w:szCs w:val="20"/>
          <w:color w:val="auto"/>
        </w:rPr>
      </w:pPr>
    </w:p>
    <w:p>
      <w:pPr>
        <w:ind w:left="540" w:right="140" w:hanging="539"/>
        <w:spacing w:after="0" w:line="279" w:lineRule="auto"/>
        <w:tabs>
          <w:tab w:leader="none" w:pos="5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77"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31.4</w:t>
        <w:tab/>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92" w:lineRule="exact"/>
        <w:rPr>
          <w:sz w:val="20"/>
          <w:szCs w:val="20"/>
          <w:color w:val="auto"/>
        </w:rPr>
      </w:pPr>
    </w:p>
    <w:p>
      <w:pPr>
        <w:ind w:left="540" w:right="140" w:hanging="539"/>
        <w:spacing w:after="0" w:line="259" w:lineRule="auto"/>
        <w:tabs>
          <w:tab w:leader="none" w:pos="520" w:val="left"/>
        </w:tabs>
        <w:rPr>
          <w:sz w:val="20"/>
          <w:szCs w:val="20"/>
          <w:color w:val="auto"/>
        </w:rPr>
      </w:pPr>
      <w:r>
        <w:rPr>
          <w:rFonts w:ascii="Arial" w:cs="Arial" w:eastAsia="Arial" w:hAnsi="Arial"/>
          <w:sz w:val="18"/>
          <w:szCs w:val="18"/>
          <w:color w:val="auto"/>
        </w:rPr>
        <w:t>31.5</w:t>
        <w:tab/>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92"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31.6</w:t>
        <w:tab/>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92"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31.7</w:t>
        <w:tab/>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89"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Arial" w:cs="Arial" w:eastAsia="Arial" w:hAnsi="Arial"/>
          <w:sz w:val="18"/>
          <w:szCs w:val="18"/>
          <w:color w:val="auto"/>
        </w:rPr>
        <w:t>31.8</w:t>
        <w:tab/>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92" w:lineRule="exact"/>
        <w:rPr>
          <w:sz w:val="20"/>
          <w:szCs w:val="20"/>
          <w:color w:val="auto"/>
        </w:rPr>
      </w:pPr>
    </w:p>
    <w:p>
      <w:pPr>
        <w:ind w:left="540" w:hanging="539"/>
        <w:spacing w:after="0" w:line="308" w:lineRule="auto"/>
        <w:tabs>
          <w:tab w:leader="none" w:pos="52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7"/>
          <w:szCs w:val="17"/>
          <w:color w:val="auto"/>
        </w:rPr>
        <w:t>A Director may be represented at any meetings of the board of directors of the Company by a proxy appointed in writing by him. The proxy shall count towards the quorum and the vote of the proxy shall for all purposes be deemed to be that of the appointing Director.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48" w:name="page249"/>
    <w:bookmarkEnd w:id="248"/>
    <w:p>
      <w:pPr>
        <w:ind w:left="544" w:hanging="544"/>
        <w:spacing w:after="0"/>
        <w:tabs>
          <w:tab w:leader="none" w:pos="54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Presumption of Assent</w:t>
      </w:r>
    </w:p>
    <w:p>
      <w:pPr>
        <w:spacing w:after="0" w:line="121" w:lineRule="exact"/>
        <w:rPr>
          <w:rFonts w:ascii="Arial" w:cs="Arial" w:eastAsia="Arial" w:hAnsi="Arial"/>
          <w:sz w:val="18"/>
          <w:szCs w:val="18"/>
          <w:b w:val="1"/>
          <w:bCs w:val="1"/>
          <w:color w:val="auto"/>
        </w:rPr>
      </w:pPr>
    </w:p>
    <w:p>
      <w:pPr>
        <w:ind w:left="544"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Director who is present at a meeting of the board of directors of the Company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32" w:lineRule="exact"/>
        <w:rPr>
          <w:rFonts w:ascii="Arial" w:cs="Arial" w:eastAsia="Arial" w:hAnsi="Arial"/>
          <w:sz w:val="18"/>
          <w:szCs w:val="18"/>
          <w:b w:val="1"/>
          <w:bCs w:val="1"/>
          <w:color w:val="auto"/>
        </w:rPr>
      </w:pPr>
    </w:p>
    <w:p>
      <w:pPr>
        <w:ind w:left="544" w:hanging="544"/>
        <w:spacing w:after="0"/>
        <w:tabs>
          <w:tab w:leader="none" w:pos="54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135" w:lineRule="exact"/>
        <w:rPr>
          <w:sz w:val="20"/>
          <w:szCs w:val="20"/>
          <w:color w:val="auto"/>
        </w:rPr>
      </w:pPr>
    </w:p>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t>33.1</w:t>
        <w:tab/>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76" w:lineRule="exact"/>
        <w:rPr>
          <w:sz w:val="20"/>
          <w:szCs w:val="20"/>
          <w:color w:val="auto"/>
        </w:rPr>
      </w:pPr>
    </w:p>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t>33.2</w:t>
        <w:tab/>
        <w:t>A Director may act by himself or by, through or on behalf of his firm in a professional capacity for the Company and he or his firm shall be entitled to remuneration for professional services as if he were not a Director.</w:t>
      </w:r>
    </w:p>
    <w:p>
      <w:pPr>
        <w:spacing w:after="0" w:line="76" w:lineRule="exact"/>
        <w:rPr>
          <w:sz w:val="20"/>
          <w:szCs w:val="20"/>
          <w:color w:val="auto"/>
        </w:rPr>
      </w:pPr>
    </w:p>
    <w:p>
      <w:pPr>
        <w:ind w:left="544" w:right="20" w:hanging="539"/>
        <w:spacing w:after="0" w:line="286" w:lineRule="auto"/>
        <w:tabs>
          <w:tab w:leader="none" w:pos="524"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71" w:lineRule="exact"/>
        <w:rPr>
          <w:sz w:val="20"/>
          <w:szCs w:val="20"/>
          <w:color w:val="auto"/>
        </w:rPr>
      </w:pPr>
    </w:p>
    <w:p>
      <w:pPr>
        <w:ind w:left="544" w:hanging="539"/>
        <w:spacing w:after="0" w:line="254" w:lineRule="auto"/>
        <w:tabs>
          <w:tab w:leader="none" w:pos="524" w:val="left"/>
        </w:tabs>
        <w:rPr>
          <w:sz w:val="20"/>
          <w:szCs w:val="20"/>
          <w:color w:val="auto"/>
        </w:rPr>
      </w:pPr>
      <w:r>
        <w:rPr>
          <w:rFonts w:ascii="Arial" w:cs="Arial" w:eastAsia="Arial" w:hAnsi="Arial"/>
          <w:sz w:val="18"/>
          <w:szCs w:val="18"/>
          <w:color w:val="auto"/>
        </w:rPr>
        <w:t>33.4</w:t>
        <w:tab/>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00" w:lineRule="exact"/>
        <w:rPr>
          <w:sz w:val="20"/>
          <w:szCs w:val="20"/>
          <w:color w:val="auto"/>
        </w:rPr>
      </w:pPr>
    </w:p>
    <w:p>
      <w:pPr>
        <w:ind w:left="544" w:right="280" w:hanging="539"/>
        <w:spacing w:after="0" w:line="259" w:lineRule="auto"/>
        <w:tabs>
          <w:tab w:leader="none" w:pos="524" w:val="left"/>
        </w:tabs>
        <w:rPr>
          <w:sz w:val="20"/>
          <w:szCs w:val="20"/>
          <w:color w:val="auto"/>
        </w:rPr>
      </w:pPr>
      <w:r>
        <w:rPr>
          <w:rFonts w:ascii="Arial" w:cs="Arial" w:eastAsia="Arial" w:hAnsi="Arial"/>
          <w:sz w:val="18"/>
          <w:szCs w:val="18"/>
          <w:color w:val="auto"/>
        </w:rPr>
        <w:t>33.5</w:t>
        <w:tab/>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0" w:right="459" w:bottom="1440" w:gutter="0" w:footer="0" w:header="0"/>
        </w:sectPr>
      </w:pPr>
    </w:p>
    <w:bookmarkStart w:id="249" w:name="page250"/>
    <w:bookmarkEnd w:id="249"/>
    <w:p>
      <w:pPr>
        <w:ind w:left="544" w:hanging="544"/>
        <w:spacing w:after="0"/>
        <w:tabs>
          <w:tab w:leader="none" w:pos="544"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Minutes</w:t>
      </w:r>
    </w:p>
    <w:p>
      <w:pPr>
        <w:spacing w:after="0" w:line="121" w:lineRule="exact"/>
        <w:rPr>
          <w:rFonts w:ascii="Arial" w:cs="Arial" w:eastAsia="Arial" w:hAnsi="Arial"/>
          <w:sz w:val="18"/>
          <w:szCs w:val="18"/>
          <w:b w:val="1"/>
          <w:bCs w:val="1"/>
          <w:color w:val="auto"/>
        </w:rPr>
      </w:pPr>
    </w:p>
    <w:p>
      <w:pPr>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35.1</w:t>
        <w:tab/>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98" w:lineRule="exact"/>
        <w:rPr>
          <w:sz w:val="20"/>
          <w:szCs w:val="20"/>
          <w:color w:val="auto"/>
        </w:rPr>
      </w:pPr>
    </w:p>
    <w:p>
      <w:pPr>
        <w:ind w:left="544" w:right="20" w:hanging="539"/>
        <w:spacing w:after="0" w:line="275" w:lineRule="auto"/>
        <w:tabs>
          <w:tab w:leader="none" w:pos="524"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82" w:lineRule="exact"/>
        <w:rPr>
          <w:sz w:val="20"/>
          <w:szCs w:val="20"/>
          <w:color w:val="auto"/>
        </w:rPr>
      </w:pPr>
    </w:p>
    <w:p>
      <w:pPr>
        <w:ind w:left="544" w:right="60" w:hanging="539"/>
        <w:spacing w:after="0" w:line="269" w:lineRule="auto"/>
        <w:tabs>
          <w:tab w:leader="none" w:pos="524"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7"/>
          <w:szCs w:val="17"/>
          <w:color w:val="auto"/>
        </w:rPr>
        <w:t>The Directors may adopt formal written charters for committees. Each of these committees shall be empowered to do all things necessary to exercise the rights of such committee set forth in the Articles and its charter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0" w:right="479" w:bottom="1440" w:gutter="0" w:footer="0" w:header="0"/>
        </w:sectPr>
      </w:pPr>
    </w:p>
    <w:bookmarkStart w:id="250" w:name="page251"/>
    <w:bookmarkEnd w:id="250"/>
    <w:p>
      <w:pPr>
        <w:ind w:left="544" w:right="280"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35.4</w:t>
      </w:r>
      <w:r>
        <w:rPr>
          <w:sz w:val="20"/>
          <w:szCs w:val="20"/>
          <w:color w:val="auto"/>
        </w:rPr>
        <w:tab/>
      </w:r>
      <w:r>
        <w:rPr>
          <w:rFonts w:ascii="Arial" w:cs="Arial" w:eastAsia="Arial" w:hAnsi="Arial"/>
          <w:sz w:val="16"/>
          <w:szCs w:val="16"/>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29" w:lineRule="exact"/>
        <w:rPr>
          <w:sz w:val="20"/>
          <w:szCs w:val="20"/>
          <w:color w:val="auto"/>
        </w:rPr>
      </w:pPr>
    </w:p>
    <w:p>
      <w:pPr>
        <w:ind w:left="544" w:right="100" w:hanging="539"/>
        <w:spacing w:after="0" w:line="293" w:lineRule="auto"/>
        <w:tabs>
          <w:tab w:leader="none" w:pos="524"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6"/>
          <w:szCs w:val="16"/>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70"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35.6</w:t>
        <w:tab/>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331" w:lineRule="exact"/>
        <w:rPr>
          <w:sz w:val="20"/>
          <w:szCs w:val="20"/>
          <w:color w:val="auto"/>
        </w:rPr>
      </w:pPr>
    </w:p>
    <w:p>
      <w:pPr>
        <w:ind w:left="544" w:hanging="544"/>
        <w:spacing w:after="0"/>
        <w:tabs>
          <w:tab w:leader="none" w:pos="54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121" w:lineRule="exact"/>
        <w:rPr>
          <w:rFonts w:ascii="Arial" w:cs="Arial" w:eastAsia="Arial" w:hAnsi="Arial"/>
          <w:sz w:val="18"/>
          <w:szCs w:val="18"/>
          <w:b w:val="1"/>
          <w:bCs w:val="1"/>
          <w:color w:val="auto"/>
        </w:rPr>
      </w:pPr>
    </w:p>
    <w:p>
      <w:pPr>
        <w:ind w:left="544"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135" w:lineRule="exact"/>
        <w:rPr>
          <w:sz w:val="20"/>
          <w:szCs w:val="20"/>
          <w:color w:val="auto"/>
        </w:rPr>
      </w:pPr>
    </w:p>
    <w:p>
      <w:pPr>
        <w:ind w:left="544" w:right="40" w:hanging="539"/>
        <w:spacing w:after="0" w:line="272" w:lineRule="auto"/>
        <w:tabs>
          <w:tab w:leader="none" w:pos="524"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7"/>
          <w:szCs w:val="17"/>
          <w:color w:val="auto"/>
        </w:rPr>
        <w:t>The remuneration to be paid to the Directors, if any, shall be such remuneration as the Directors shall determine, provided that no cash remuneration shall be paid to any Director by the Company prior to the consummation of a Business Combination. The Directors shall also, whether prior to or after the consummation of a Business Combination,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83" w:lineRule="exact"/>
        <w:rPr>
          <w:sz w:val="20"/>
          <w:szCs w:val="20"/>
          <w:color w:val="auto"/>
        </w:rPr>
      </w:pPr>
    </w:p>
    <w:p>
      <w:pPr>
        <w:ind w:left="544" w:right="420" w:hanging="539"/>
        <w:spacing w:after="0" w:line="286" w:lineRule="auto"/>
        <w:tabs>
          <w:tab w:leader="none" w:pos="524"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7"/>
          <w:szCs w:val="17"/>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4"/>
          </w:cols>
          <w:pgMar w:left="436" w:top="274" w:right="519" w:bottom="1440" w:gutter="0" w:footer="0" w:header="0"/>
        </w:sectPr>
      </w:pPr>
    </w:p>
    <w:bookmarkStart w:id="251" w:name="page252"/>
    <w:bookmarkEnd w:id="251"/>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38</w:t>
      </w:r>
      <w:r>
        <w:rPr>
          <w:sz w:val="20"/>
          <w:szCs w:val="20"/>
          <w:color w:val="auto"/>
        </w:rPr>
        <w:tab/>
      </w:r>
      <w:r>
        <w:rPr>
          <w:rFonts w:ascii="Arial" w:cs="Arial" w:eastAsia="Arial" w:hAnsi="Arial"/>
          <w:sz w:val="18"/>
          <w:szCs w:val="18"/>
          <w:b w:val="1"/>
          <w:bCs w:val="1"/>
          <w:color w:val="auto"/>
        </w:rPr>
        <w:t>Seal</w:t>
      </w:r>
    </w:p>
    <w:p>
      <w:pPr>
        <w:spacing w:after="0" w:line="135" w:lineRule="exact"/>
        <w:rPr>
          <w:sz w:val="20"/>
          <w:szCs w:val="20"/>
          <w:color w:val="auto"/>
        </w:rPr>
      </w:pPr>
    </w:p>
    <w:p>
      <w:pPr>
        <w:jc w:val="both"/>
        <w:ind w:left="540" w:hanging="539"/>
        <w:spacing w:after="0" w:line="263" w:lineRule="auto"/>
        <w:tabs>
          <w:tab w:leader="none" w:pos="520" w:val="left"/>
        </w:tabs>
        <w:rPr>
          <w:sz w:val="20"/>
          <w:szCs w:val="20"/>
          <w:color w:val="auto"/>
        </w:rPr>
      </w:pPr>
      <w:r>
        <w:rPr>
          <w:rFonts w:ascii="Arial" w:cs="Arial" w:eastAsia="Arial" w:hAnsi="Arial"/>
          <w:sz w:val="18"/>
          <w:szCs w:val="18"/>
          <w:color w:val="auto"/>
        </w:rPr>
        <w:t>38.1</w:t>
        <w:tab/>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89"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38.2</w:t>
        <w:tab/>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89"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38.3</w:t>
        <w:tab/>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Dividends, Distributions and Reserve</w:t>
      </w:r>
    </w:p>
    <w:p>
      <w:pPr>
        <w:spacing w:after="0" w:line="135" w:lineRule="exact"/>
        <w:rPr>
          <w:sz w:val="20"/>
          <w:szCs w:val="20"/>
          <w:color w:val="auto"/>
        </w:rPr>
      </w:pPr>
    </w:p>
    <w:p>
      <w:pPr>
        <w:ind w:left="540" w:hanging="539"/>
        <w:spacing w:after="0" w:line="296" w:lineRule="auto"/>
        <w:tabs>
          <w:tab w:leader="none" w:pos="52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67" w:lineRule="exact"/>
        <w:rPr>
          <w:sz w:val="20"/>
          <w:szCs w:val="20"/>
          <w:color w:val="auto"/>
        </w:rPr>
      </w:pPr>
    </w:p>
    <w:p>
      <w:pPr>
        <w:jc w:val="both"/>
        <w:ind w:left="540" w:right="140" w:hanging="539"/>
        <w:spacing w:after="0" w:line="263" w:lineRule="auto"/>
        <w:tabs>
          <w:tab w:leader="none" w:pos="520" w:val="left"/>
        </w:tabs>
        <w:rPr>
          <w:sz w:val="20"/>
          <w:szCs w:val="20"/>
          <w:color w:val="auto"/>
        </w:rPr>
      </w:pPr>
      <w:r>
        <w:rPr>
          <w:rFonts w:ascii="Arial" w:cs="Arial" w:eastAsia="Arial" w:hAnsi="Arial"/>
          <w:sz w:val="18"/>
          <w:szCs w:val="18"/>
          <w:color w:val="auto"/>
        </w:rPr>
        <w:t>39.2</w:t>
        <w:tab/>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89"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39.3</w:t>
        <w:tab/>
        <w:t>The Directors may deduct from any Dividend or other distribution payable to any Member all sums of money (if any) then payable by him to the Company on account of calls or otherwise.</w:t>
      </w:r>
    </w:p>
    <w:p>
      <w:pPr>
        <w:spacing w:after="0" w:line="76" w:lineRule="exact"/>
        <w:rPr>
          <w:sz w:val="20"/>
          <w:szCs w:val="20"/>
          <w:color w:val="auto"/>
        </w:rPr>
      </w:pPr>
    </w:p>
    <w:p>
      <w:pPr>
        <w:ind w:left="540" w:right="40" w:hanging="539"/>
        <w:spacing w:after="0" w:line="273" w:lineRule="auto"/>
        <w:tabs>
          <w:tab w:leader="none" w:pos="52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7"/>
          <w:szCs w:val="17"/>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0" w:right="479" w:bottom="1440" w:gutter="0" w:footer="0" w:header="0"/>
        </w:sectPr>
      </w:pPr>
    </w:p>
    <w:bookmarkStart w:id="252" w:name="page253"/>
    <w:bookmarkEnd w:id="252"/>
    <w:p>
      <w:pPr>
        <w:ind w:left="544" w:right="60"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39.5</w:t>
      </w:r>
      <w:r>
        <w:rPr>
          <w:sz w:val="20"/>
          <w:szCs w:val="20"/>
          <w:color w:val="auto"/>
        </w:rPr>
        <w:tab/>
      </w:r>
      <w:r>
        <w:rPr>
          <w:rFonts w:ascii="Arial" w:cs="Arial" w:eastAsia="Arial" w:hAnsi="Arial"/>
          <w:sz w:val="16"/>
          <w:szCs w:val="16"/>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29"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39.6</w:t>
        <w:tab/>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89"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39.7</w:t>
        <w:tab/>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9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39.8</w:t>
      </w:r>
      <w:r>
        <w:rPr>
          <w:sz w:val="20"/>
          <w:szCs w:val="20"/>
          <w:color w:val="auto"/>
        </w:rPr>
        <w:tab/>
      </w:r>
      <w:r>
        <w:rPr>
          <w:rFonts w:ascii="Arial" w:cs="Arial" w:eastAsia="Arial" w:hAnsi="Arial"/>
          <w:sz w:val="16"/>
          <w:szCs w:val="16"/>
          <w:color w:val="auto"/>
        </w:rPr>
        <w:t>No Dividend or other distribution shall bear interest against the Company.</w:t>
      </w:r>
    </w:p>
    <w:p>
      <w:pPr>
        <w:spacing w:after="0" w:line="131" w:lineRule="exact"/>
        <w:rPr>
          <w:sz w:val="20"/>
          <w:szCs w:val="20"/>
          <w:color w:val="auto"/>
        </w:rPr>
      </w:pPr>
    </w:p>
    <w:p>
      <w:pPr>
        <w:ind w:left="544" w:right="80" w:hanging="539"/>
        <w:spacing w:after="0" w:line="275" w:lineRule="auto"/>
        <w:tabs>
          <w:tab w:leader="none" w:pos="524" w:val="left"/>
        </w:tabs>
        <w:rPr>
          <w:sz w:val="20"/>
          <w:szCs w:val="20"/>
          <w:color w:val="auto"/>
        </w:rPr>
      </w:pPr>
      <w:r>
        <w:rPr>
          <w:rFonts w:ascii="Arial" w:cs="Arial" w:eastAsia="Arial" w:hAnsi="Arial"/>
          <w:sz w:val="18"/>
          <w:szCs w:val="18"/>
          <w:color w:val="auto"/>
        </w:rPr>
        <w:t>39.9</w:t>
      </w:r>
      <w:r>
        <w:rPr>
          <w:sz w:val="20"/>
          <w:szCs w:val="20"/>
          <w:color w:val="auto"/>
        </w:rPr>
        <w:tab/>
      </w:r>
      <w:r>
        <w:rPr>
          <w:rFonts w:ascii="Arial" w:cs="Arial" w:eastAsia="Arial" w:hAnsi="Arial"/>
          <w:sz w:val="17"/>
          <w:szCs w:val="17"/>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321" w:lineRule="exact"/>
        <w:rPr>
          <w:sz w:val="20"/>
          <w:szCs w:val="20"/>
          <w:color w:val="auto"/>
        </w:rPr>
      </w:pPr>
    </w:p>
    <w:p>
      <w:pPr>
        <w:ind w:left="544" w:hanging="544"/>
        <w:spacing w:after="0"/>
        <w:tabs>
          <w:tab w:leader="none" w:pos="54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121" w:lineRule="exact"/>
        <w:rPr>
          <w:rFonts w:ascii="Arial" w:cs="Arial" w:eastAsia="Arial" w:hAnsi="Arial"/>
          <w:sz w:val="18"/>
          <w:szCs w:val="18"/>
          <w:b w:val="1"/>
          <w:bCs w:val="1"/>
          <w:color w:val="auto"/>
        </w:rPr>
      </w:pPr>
    </w:p>
    <w:p>
      <w:pPr>
        <w:ind w:left="544"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253" w:name="page254"/>
    <w:bookmarkEnd w:id="253"/>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41</w:t>
      </w:r>
      <w:r>
        <w:rPr>
          <w:sz w:val="20"/>
          <w:szCs w:val="20"/>
          <w:color w:val="auto"/>
        </w:rPr>
        <w:tab/>
      </w:r>
      <w:r>
        <w:rPr>
          <w:rFonts w:ascii="Arial" w:cs="Arial" w:eastAsia="Arial" w:hAnsi="Arial"/>
          <w:sz w:val="18"/>
          <w:szCs w:val="18"/>
          <w:b w:val="1"/>
          <w:bCs w:val="1"/>
          <w:color w:val="auto"/>
        </w:rPr>
        <w:t>Books of Account</w:t>
      </w:r>
    </w:p>
    <w:p>
      <w:pPr>
        <w:spacing w:after="0" w:line="135" w:lineRule="exact"/>
        <w:rPr>
          <w:sz w:val="20"/>
          <w:szCs w:val="20"/>
          <w:color w:val="auto"/>
        </w:rPr>
      </w:pPr>
    </w:p>
    <w:p>
      <w:pPr>
        <w:ind w:left="540" w:right="100" w:hanging="539"/>
        <w:spacing w:after="0" w:line="255" w:lineRule="auto"/>
        <w:tabs>
          <w:tab w:leader="none" w:pos="520" w:val="left"/>
        </w:tabs>
        <w:rPr>
          <w:sz w:val="20"/>
          <w:szCs w:val="20"/>
          <w:color w:val="auto"/>
        </w:rPr>
      </w:pPr>
      <w:r>
        <w:rPr>
          <w:rFonts w:ascii="Arial" w:cs="Arial" w:eastAsia="Arial" w:hAnsi="Arial"/>
          <w:sz w:val="18"/>
          <w:szCs w:val="18"/>
          <w:color w:val="auto"/>
        </w:rPr>
        <w:t>41.1</w:t>
        <w:tab/>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98"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41.2</w:t>
        <w:tab/>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92" w:lineRule="exact"/>
        <w:rPr>
          <w:sz w:val="20"/>
          <w:szCs w:val="20"/>
          <w:color w:val="auto"/>
        </w:rPr>
      </w:pPr>
    </w:p>
    <w:p>
      <w:pPr>
        <w:ind w:left="540" w:right="300" w:hanging="539"/>
        <w:spacing w:after="0" w:line="277" w:lineRule="auto"/>
        <w:tabs>
          <w:tab w:leader="none" w:pos="520" w:val="left"/>
        </w:tabs>
        <w:rPr>
          <w:sz w:val="20"/>
          <w:szCs w:val="20"/>
          <w:color w:val="auto"/>
        </w:rPr>
      </w:pPr>
      <w:r>
        <w:rPr>
          <w:rFonts w:ascii="Arial" w:cs="Arial" w:eastAsia="Arial" w:hAnsi="Arial"/>
          <w:sz w:val="18"/>
          <w:szCs w:val="18"/>
          <w:color w:val="auto"/>
        </w:rPr>
        <w:t>41.3</w:t>
        <w:tab/>
        <w:t>The Directors may cause to be prepared and to be laid before the Company in general meeting profit and loss accounts, balance sheets, group accounts (if any) and such other reports and accounts as may be required by law.</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Audit</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131" w:lineRule="exact"/>
        <w:rPr>
          <w:sz w:val="20"/>
          <w:szCs w:val="20"/>
          <w:color w:val="auto"/>
        </w:rPr>
      </w:pPr>
    </w:p>
    <w:p>
      <w:pPr>
        <w:ind w:left="540" w:right="220" w:hanging="539"/>
        <w:spacing w:after="0" w:line="272" w:lineRule="auto"/>
        <w:tabs>
          <w:tab w:leader="none" w:pos="5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7"/>
          <w:szCs w:val="17"/>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83"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42.3</w:t>
        <w:tab/>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The remuneration of the Auditor shall be fixed by the Audit Committee (if one exists).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254" w:name="page255"/>
    <w:bookmarkEnd w:id="254"/>
    <w:p>
      <w:pPr>
        <w:jc w:val="right"/>
        <w:ind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42.5   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29"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42.6</w:t>
        <w:tab/>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89" w:lineRule="exact"/>
        <w:rPr>
          <w:sz w:val="20"/>
          <w:szCs w:val="20"/>
          <w:color w:val="auto"/>
        </w:rPr>
      </w:pPr>
    </w:p>
    <w:p>
      <w:pPr>
        <w:ind w:left="540" w:right="100" w:hanging="539"/>
        <w:spacing w:after="0" w:line="257" w:lineRule="auto"/>
        <w:tabs>
          <w:tab w:leader="none" w:pos="520" w:val="left"/>
        </w:tabs>
        <w:rPr>
          <w:sz w:val="20"/>
          <w:szCs w:val="20"/>
          <w:color w:val="auto"/>
        </w:rPr>
      </w:pPr>
      <w:r>
        <w:rPr>
          <w:rFonts w:ascii="Arial" w:cs="Arial" w:eastAsia="Arial" w:hAnsi="Arial"/>
          <w:sz w:val="18"/>
          <w:szCs w:val="18"/>
          <w:color w:val="auto"/>
        </w:rPr>
        <w:t>42.7</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Notices</w:t>
      </w:r>
    </w:p>
    <w:p>
      <w:pPr>
        <w:spacing w:after="0" w:line="135"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43.1</w:t>
        <w:tab/>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Where a notice is sent by:</w:t>
      </w:r>
    </w:p>
    <w:p>
      <w:pPr>
        <w:spacing w:after="0" w:line="131" w:lineRule="exact"/>
        <w:rPr>
          <w:sz w:val="20"/>
          <w:szCs w:val="20"/>
          <w:color w:val="auto"/>
        </w:rPr>
      </w:pPr>
    </w:p>
    <w:p>
      <w:pPr>
        <w:ind w:left="1080" w:right="140" w:hanging="54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89" w:lineRule="exact"/>
        <w:rPr>
          <w:rFonts w:ascii="Arial" w:cs="Arial" w:eastAsia="Arial" w:hAnsi="Arial"/>
          <w:sz w:val="18"/>
          <w:szCs w:val="18"/>
          <w:color w:val="auto"/>
        </w:rPr>
      </w:pPr>
    </w:p>
    <w:p>
      <w:pPr>
        <w:ind w:left="1080" w:right="260" w:hanging="54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89" w:lineRule="exact"/>
        <w:rPr>
          <w:rFonts w:ascii="Arial" w:cs="Arial" w:eastAsia="Arial" w:hAnsi="Arial"/>
          <w:sz w:val="18"/>
          <w:szCs w:val="18"/>
          <w:color w:val="auto"/>
        </w:rPr>
      </w:pPr>
    </w:p>
    <w:p>
      <w:pPr>
        <w:ind w:left="1080" w:right="480" w:hanging="544"/>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75" w:lineRule="exact"/>
        <w:rPr>
          <w:rFonts w:ascii="Arial" w:cs="Arial" w:eastAsia="Arial" w:hAnsi="Arial"/>
          <w:sz w:val="18"/>
          <w:szCs w:val="18"/>
          <w:color w:val="auto"/>
        </w:rPr>
      </w:pPr>
    </w:p>
    <w:p>
      <w:pPr>
        <w:ind w:left="1080" w:right="40" w:hanging="54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255" w:name="page256"/>
    <w:bookmarkEnd w:id="255"/>
    <w:p>
      <w:pPr>
        <w:ind w:left="1080" w:right="200" w:hanging="54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placing it on the Company’s Website; service of the notice shall be deemed to have been effected one hour after the notice or document was placed on the Company’s Website.</w:t>
      </w:r>
    </w:p>
    <w:p>
      <w:pPr>
        <w:spacing w:after="0" w:line="76" w:lineRule="exact"/>
        <w:rPr>
          <w:sz w:val="20"/>
          <w:szCs w:val="20"/>
          <w:color w:val="auto"/>
        </w:rPr>
      </w:pPr>
    </w:p>
    <w:p>
      <w:pPr>
        <w:ind w:left="540" w:right="20" w:hanging="539"/>
        <w:spacing w:after="0" w:line="275" w:lineRule="auto"/>
        <w:tabs>
          <w:tab w:leader="none" w:pos="52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7"/>
          <w:szCs w:val="17"/>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2" w:lineRule="exact"/>
        <w:rPr>
          <w:sz w:val="20"/>
          <w:szCs w:val="20"/>
          <w:color w:val="auto"/>
        </w:rPr>
      </w:pPr>
    </w:p>
    <w:p>
      <w:pPr>
        <w:ind w:left="540" w:right="220" w:hanging="539"/>
        <w:spacing w:after="0" w:line="296" w:lineRule="auto"/>
        <w:tabs>
          <w:tab w:leader="none" w:pos="52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30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Winding Up</w:t>
      </w:r>
    </w:p>
    <w:p>
      <w:pPr>
        <w:spacing w:after="0" w:line="135" w:lineRule="exact"/>
        <w:rPr>
          <w:sz w:val="20"/>
          <w:szCs w:val="20"/>
          <w:color w:val="auto"/>
        </w:rPr>
      </w:pPr>
    </w:p>
    <w:p>
      <w:pPr>
        <w:ind w:left="540" w:right="220" w:hanging="539"/>
        <w:spacing w:after="0" w:line="277" w:lineRule="auto"/>
        <w:tabs>
          <w:tab w:leader="none" w:pos="520" w:val="left"/>
        </w:tabs>
        <w:rPr>
          <w:sz w:val="20"/>
          <w:szCs w:val="20"/>
          <w:color w:val="auto"/>
        </w:rPr>
      </w:pPr>
      <w:r>
        <w:rPr>
          <w:rFonts w:ascii="Arial" w:cs="Arial" w:eastAsia="Arial" w:hAnsi="Arial"/>
          <w:sz w:val="18"/>
          <w:szCs w:val="18"/>
          <w:color w:val="auto"/>
        </w:rPr>
        <w:t>44.1</w:t>
        <w:tab/>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76" w:lineRule="exact"/>
        <w:rPr>
          <w:sz w:val="20"/>
          <w:szCs w:val="20"/>
          <w:color w:val="auto"/>
        </w:rPr>
      </w:pPr>
    </w:p>
    <w:p>
      <w:pPr>
        <w:ind w:left="1080" w:right="360" w:hanging="544"/>
        <w:spacing w:after="0" w:line="263"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89" w:lineRule="exact"/>
        <w:rPr>
          <w:rFonts w:ascii="Arial" w:cs="Arial" w:eastAsia="Arial" w:hAnsi="Arial"/>
          <w:sz w:val="18"/>
          <w:szCs w:val="18"/>
          <w:color w:val="auto"/>
        </w:rPr>
      </w:pPr>
    </w:p>
    <w:p>
      <w:pPr>
        <w:ind w:left="1080" w:hanging="544"/>
        <w:spacing w:after="0" w:line="279" w:lineRule="auto"/>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77" w:lineRule="exact"/>
        <w:rPr>
          <w:sz w:val="20"/>
          <w:szCs w:val="20"/>
          <w:color w:val="auto"/>
        </w:rPr>
      </w:pPr>
    </w:p>
    <w:p>
      <w:pPr>
        <w:ind w:left="540" w:right="80" w:hanging="539"/>
        <w:spacing w:after="0" w:line="293" w:lineRule="auto"/>
        <w:tabs>
          <w:tab w:leader="none" w:pos="52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56" w:name="page257"/>
    <w:bookmarkEnd w:id="256"/>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w:t>
      </w:r>
      <w:r>
        <w:rPr>
          <w:sz w:val="20"/>
          <w:szCs w:val="20"/>
          <w:color w:val="auto"/>
        </w:rPr>
        <w:tab/>
      </w:r>
      <w:r>
        <w:rPr>
          <w:rFonts w:ascii="Arial" w:cs="Arial" w:eastAsia="Arial" w:hAnsi="Arial"/>
          <w:sz w:val="18"/>
          <w:szCs w:val="18"/>
          <w:b w:val="1"/>
          <w:bCs w:val="1"/>
          <w:color w:val="auto"/>
        </w:rPr>
        <w:t>Indemnity and Insurance</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Every Director and Officer (which for the avoidance of doubt, shall not include auditors of the Company), together with every former Director</w:t>
      </w:r>
    </w:p>
    <w:p>
      <w:pPr>
        <w:spacing w:after="0" w:line="23" w:lineRule="exact"/>
        <w:rPr>
          <w:sz w:val="20"/>
          <w:szCs w:val="20"/>
          <w:color w:val="auto"/>
        </w:rPr>
      </w:pPr>
    </w:p>
    <w:p>
      <w:pPr>
        <w:ind w:left="544"/>
        <w:spacing w:after="0" w:line="269" w:lineRule="auto"/>
        <w:rPr>
          <w:sz w:val="20"/>
          <w:szCs w:val="20"/>
          <w:color w:val="auto"/>
        </w:rPr>
      </w:pPr>
      <w:r>
        <w:rPr>
          <w:rFonts w:ascii="Arial" w:cs="Arial" w:eastAsia="Arial" w:hAnsi="Arial"/>
          <w:sz w:val="17"/>
          <w:szCs w:val="17"/>
          <w:color w:val="auto"/>
        </w:rPr>
        <w:t>and former Officer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86" w:lineRule="exact"/>
        <w:rPr>
          <w:sz w:val="20"/>
          <w:szCs w:val="20"/>
          <w:color w:val="auto"/>
        </w:rPr>
      </w:pPr>
    </w:p>
    <w:p>
      <w:pPr>
        <w:ind w:left="544" w:right="60" w:hanging="539"/>
        <w:spacing w:after="0" w:line="291" w:lineRule="auto"/>
        <w:tabs>
          <w:tab w:leader="none" w:pos="524"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72"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45.3</w:t>
        <w:tab/>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328" w:lineRule="exact"/>
        <w:rPr>
          <w:sz w:val="20"/>
          <w:szCs w:val="20"/>
          <w:color w:val="auto"/>
        </w:rPr>
      </w:pPr>
    </w:p>
    <w:p>
      <w:pPr>
        <w:ind w:left="544" w:hanging="544"/>
        <w:spacing w:after="0"/>
        <w:tabs>
          <w:tab w:leader="none" w:pos="544"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21" w:lineRule="exact"/>
        <w:rPr>
          <w:rFonts w:ascii="Arial" w:cs="Arial" w:eastAsia="Arial" w:hAnsi="Arial"/>
          <w:sz w:val="18"/>
          <w:szCs w:val="18"/>
          <w:b w:val="1"/>
          <w:bCs w:val="1"/>
          <w:color w:val="auto"/>
        </w:rPr>
      </w:pPr>
    </w:p>
    <w:p>
      <w:pPr>
        <w:ind w:left="5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121" w:lineRule="exact"/>
        <w:rPr>
          <w:rFonts w:ascii="Arial" w:cs="Arial" w:eastAsia="Arial" w:hAnsi="Arial"/>
          <w:sz w:val="18"/>
          <w:szCs w:val="18"/>
          <w:b w:val="1"/>
          <w:bCs w:val="1"/>
          <w:color w:val="auto"/>
        </w:rPr>
      </w:pPr>
    </w:p>
    <w:p>
      <w:pPr>
        <w:ind w:left="544"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0" w:right="479" w:bottom="1440" w:gutter="0" w:footer="0" w:header="0"/>
        </w:sectPr>
      </w:pPr>
    </w:p>
    <w:bookmarkStart w:id="257" w:name="page258"/>
    <w:bookmarkEnd w:id="257"/>
    <w:p>
      <w:pPr>
        <w:ind w:left="544" w:hanging="544"/>
        <w:spacing w:after="0"/>
        <w:tabs>
          <w:tab w:leader="none" w:pos="544"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Mergers and Consolidations</w:t>
      </w:r>
    </w:p>
    <w:p>
      <w:pPr>
        <w:spacing w:after="0" w:line="121" w:lineRule="exact"/>
        <w:rPr>
          <w:rFonts w:ascii="Arial" w:cs="Arial" w:eastAsia="Arial" w:hAnsi="Arial"/>
          <w:sz w:val="18"/>
          <w:szCs w:val="18"/>
          <w:b w:val="1"/>
          <w:bCs w:val="1"/>
          <w:color w:val="auto"/>
        </w:rPr>
      </w:pPr>
    </w:p>
    <w:p>
      <w:pPr>
        <w:ind w:left="544"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290" w:lineRule="exact"/>
        <w:rPr>
          <w:rFonts w:ascii="Arial" w:cs="Arial" w:eastAsia="Arial" w:hAnsi="Arial"/>
          <w:sz w:val="18"/>
          <w:szCs w:val="18"/>
          <w:b w:val="1"/>
          <w:bCs w:val="1"/>
          <w:color w:val="auto"/>
        </w:rPr>
      </w:pPr>
    </w:p>
    <w:p>
      <w:pPr>
        <w:ind w:left="544" w:hanging="544"/>
        <w:spacing w:after="0"/>
        <w:tabs>
          <w:tab w:leader="none" w:pos="544"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35" w:lineRule="exact"/>
        <w:rPr>
          <w:sz w:val="20"/>
          <w:szCs w:val="20"/>
          <w:color w:val="auto"/>
        </w:rPr>
      </w:pPr>
    </w:p>
    <w:p>
      <w:pPr>
        <w:jc w:val="both"/>
        <w:ind w:left="544" w:hanging="539"/>
        <w:spacing w:after="0" w:line="286" w:lineRule="auto"/>
        <w:tabs>
          <w:tab w:leader="none" w:pos="524"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7"/>
          <w:szCs w:val="17"/>
          <w:color w:val="auto"/>
        </w:rPr>
        <w:t>Notwithstanding any other provision of the Articles, this Article shall apply during the period commencing upon the adoption of the Articles and terminating upon the first to occur of the consummation of a Business Combination and the full distribution of the Trust Account pursuant to this Article. In the event of a conflict between this Article and any other Articles, the provisions of this Article shall prevail.</w:t>
      </w:r>
    </w:p>
    <w:p>
      <w:pPr>
        <w:spacing w:after="0" w:line="7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6"/>
          <w:szCs w:val="16"/>
          <w:color w:val="auto"/>
        </w:rPr>
        <w:t>Prior to the consummation of a Business Combination, the Company shall either:</w:t>
      </w:r>
    </w:p>
    <w:p>
      <w:pPr>
        <w:spacing w:after="0" w:line="131" w:lineRule="exact"/>
        <w:rPr>
          <w:sz w:val="20"/>
          <w:szCs w:val="20"/>
          <w:color w:val="auto"/>
        </w:rPr>
      </w:pPr>
    </w:p>
    <w:p>
      <w:pPr>
        <w:ind w:left="1084" w:hanging="544"/>
        <w:spacing w:after="0"/>
        <w:tabs>
          <w:tab w:leader="none" w:pos="108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submit such Business Combination to its Members for approval; or</w:t>
      </w:r>
    </w:p>
    <w:p>
      <w:pPr>
        <w:spacing w:after="0" w:line="130" w:lineRule="exact"/>
        <w:rPr>
          <w:rFonts w:ascii="Arial" w:cs="Arial" w:eastAsia="Arial" w:hAnsi="Arial"/>
          <w:sz w:val="18"/>
          <w:szCs w:val="18"/>
          <w:color w:val="auto"/>
        </w:rPr>
      </w:pPr>
    </w:p>
    <w:p>
      <w:pPr>
        <w:ind w:left="1084" w:right="20" w:hanging="544"/>
        <w:spacing w:after="0" w:line="293" w:lineRule="auto"/>
        <w:tabs>
          <w:tab w:leader="none" w:pos="108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provide Members with the opportunity to have their Shares repurchased by means of a tender offer for a per-share repurchase price payable in cash, equal to the aggregate amount then on deposit in the Trust Account, calculated as of two business days prior to the consummation of such Business Combination, including interest earned on the Trust Account (which interest shall be net of taxes paid or payable, if any), divided by the number of then-issued Public Shares, provided that the Company shall not repurchase Public Shares in an amount that would cause the Company’s net tangible assets to be less than US$5,000,001 following such repurchases. Such obligation to repurchase Shares is subject to the completion of the proposed Business Combination to which it relates.</w:t>
      </w:r>
    </w:p>
    <w:p>
      <w:pPr>
        <w:spacing w:after="0" w:line="70" w:lineRule="exact"/>
        <w:rPr>
          <w:sz w:val="20"/>
          <w:szCs w:val="20"/>
          <w:color w:val="auto"/>
        </w:rPr>
      </w:pPr>
    </w:p>
    <w:p>
      <w:pPr>
        <w:ind w:left="544" w:hanging="539"/>
        <w:spacing w:after="0" w:line="293" w:lineRule="auto"/>
        <w:tabs>
          <w:tab w:leader="none" w:pos="524"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6"/>
          <w:szCs w:val="16"/>
          <w:color w:val="auto"/>
        </w:rPr>
        <w:t>If the Company initiates any tender offer in accordance with Rule 13e-4 and Regulation 14E of the Exchange Act in connection with a proposed Business Combination, it shall file tender offer documents with the Securities and Exchange Commission prior to completing such Business Combination which contain substantially the same financial and other information about such Business Combination and the redemption rights as is required under Regulation 14A of the Exchange Act. If, alternatively, the Company holds a general meeting to approve a proposed Business Combination, the Company will conduct any redemptions in conjunction with a proxy solicitation pursuant to Regulation 14A of the Exchange Act, and not pursuant to the tender offer rules, and file proxy materials with the Securities and Exchange Commission.</w:t>
      </w:r>
    </w:p>
    <w:p>
      <w:pPr>
        <w:spacing w:after="0" w:line="70" w:lineRule="exact"/>
        <w:rPr>
          <w:sz w:val="20"/>
          <w:szCs w:val="20"/>
          <w:color w:val="auto"/>
        </w:rPr>
      </w:pPr>
    </w:p>
    <w:p>
      <w:pPr>
        <w:ind w:left="544" w:right="500" w:hanging="539"/>
        <w:spacing w:after="0" w:line="342" w:lineRule="auto"/>
        <w:tabs>
          <w:tab w:leader="none" w:pos="524"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6"/>
          <w:szCs w:val="16"/>
          <w:color w:val="auto"/>
        </w:rPr>
        <w:t>At a general meeting called for the purposes of approving a Business Combination pursuant to this Article, in the event that such Business Combination is approved by Ordinary Resolution, the Company shall be authorised to consummate such Business Combination.</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4"/>
          </w:cols>
          <w:pgMar w:left="436" w:top="270" w:right="479" w:bottom="1440" w:gutter="0" w:footer="0" w:header="0"/>
        </w:sectPr>
      </w:pPr>
    </w:p>
    <w:bookmarkStart w:id="258" w:name="page259"/>
    <w:bookmarkEnd w:id="258"/>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49.5</w:t>
      </w:r>
      <w:r>
        <w:rPr>
          <w:sz w:val="20"/>
          <w:szCs w:val="20"/>
          <w:color w:val="auto"/>
        </w:rPr>
        <w:tab/>
      </w:r>
      <w:r>
        <w:rPr>
          <w:rFonts w:ascii="Arial" w:cs="Arial" w:eastAsia="Arial" w:hAnsi="Arial"/>
          <w:sz w:val="16"/>
          <w:szCs w:val="16"/>
          <w:color w:val="auto"/>
        </w:rPr>
        <w:t>Any Member holding Public Shares who is not the Sponsor, Officer or Director may, at least two business days’ prior to any vote on a Business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Combination, elect to have their Public Shares redeemed for cash, in accordance with any applicable requirements provided for in the related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proxy materials (the “</w:t>
      </w:r>
      <w:r>
        <w:rPr>
          <w:rFonts w:ascii="Arial" w:cs="Arial" w:eastAsia="Arial" w:hAnsi="Arial"/>
          <w:sz w:val="17"/>
          <w:szCs w:val="17"/>
          <w:b w:val="1"/>
          <w:bCs w:val="1"/>
          <w:color w:val="auto"/>
        </w:rPr>
        <w:t>IPO Redemption</w:t>
      </w:r>
      <w:r>
        <w:rPr>
          <w:rFonts w:ascii="Arial" w:cs="Arial" w:eastAsia="Arial" w:hAnsi="Arial"/>
          <w:sz w:val="17"/>
          <w:szCs w:val="17"/>
          <w:color w:val="auto"/>
        </w:rPr>
        <w:t>”), provided that no such Member acting together with any Affiliate of his or any other person with</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whom he is acting in concert or as a partnership, limited partnership, syndicate, or other group for the purposes of acquiring, holding, or</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disposing of Shares may exercise this redemption right with respect to more than 15 per cent of the Public Shares in the aggregate without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prior consent of the Company and provided further that any beneficial holder of Public Shares on whose behalf a redemption right is being</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exercised must identify itself to the Company in connection with any redemption election in order to validly redeem such Public Shares. If so</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demanded, the Company shall pay any such redeeming Member, regardless of whether he votes on such proposed Business Combination and, if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he does vote, regardless of whether he is voting for or against such proposed Business Combination, a per-Share redemption price payable in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cash, equal to the aggregate amount then on deposit in the Trust Account calculated as of two business days prior to the consummation of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Business Combination, including interest earned on the Trust Account (such interest shall be net of taxes payable) and not previously released to</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Company to pay its taxes, divided by the number of then issued Public Shares (such redemption price being referred to herein as the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but only in the event that the applicable proposed Business Combination is approved and consummated. The Company</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shall not redeem Public Shares in an amount that would cause the Company’s net tangible assets to be less than US$5,000,001 following such</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redemptions (the “</w:t>
      </w:r>
      <w:r>
        <w:rPr>
          <w:rFonts w:ascii="Arial" w:cs="Arial" w:eastAsia="Arial" w:hAnsi="Arial"/>
          <w:sz w:val="18"/>
          <w:szCs w:val="18"/>
          <w:b w:val="1"/>
          <w:bCs w:val="1"/>
          <w:color w:val="auto"/>
        </w:rPr>
        <w:t>Redemption Limitation</w:t>
      </w:r>
      <w:r>
        <w:rPr>
          <w:rFonts w:ascii="Arial" w:cs="Arial" w:eastAsia="Arial" w:hAnsi="Arial"/>
          <w:sz w:val="18"/>
          <w:szCs w:val="18"/>
          <w:color w:val="auto"/>
        </w:rPr>
        <w:t>”).</w:t>
      </w:r>
    </w:p>
    <w:p>
      <w:pPr>
        <w:spacing w:after="0" w:line="116" w:lineRule="exact"/>
        <w:rPr>
          <w:sz w:val="20"/>
          <w:szCs w:val="20"/>
          <w:color w:val="auto"/>
        </w:rPr>
      </w:pPr>
    </w:p>
    <w:p>
      <w:pPr>
        <w:ind w:left="540" w:right="180" w:hanging="539"/>
        <w:spacing w:after="0" w:line="277" w:lineRule="auto"/>
        <w:tabs>
          <w:tab w:leader="none" w:pos="520" w:val="left"/>
        </w:tabs>
        <w:rPr>
          <w:sz w:val="20"/>
          <w:szCs w:val="20"/>
          <w:color w:val="auto"/>
        </w:rPr>
      </w:pPr>
      <w:r>
        <w:rPr>
          <w:rFonts w:ascii="Arial" w:cs="Arial" w:eastAsia="Arial" w:hAnsi="Arial"/>
          <w:sz w:val="18"/>
          <w:szCs w:val="18"/>
          <w:color w:val="auto"/>
        </w:rPr>
        <w:t>49.6</w:t>
        <w:tab/>
        <w:t>A Member may not withdraw a Redemption Notice once submitted to the Company unless the Directors determine (in their sole discretion) to permit the withdrawal of such redemption request (which they may do in whole or in part).</w:t>
      </w:r>
    </w:p>
    <w:p>
      <w:pPr>
        <w:spacing w:after="0" w:line="76"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49.7</w:t>
        <w:tab/>
        <w:t>In the event that the Company does not consummate a Business Combination within 24 months from the consummation of the IPO, or such later time as the Members may approve in accordance with the Articles, the Company shall:</w:t>
      </w:r>
    </w:p>
    <w:p>
      <w:pPr>
        <w:spacing w:after="0" w:line="76" w:lineRule="exact"/>
        <w:rPr>
          <w:sz w:val="20"/>
          <w:szCs w:val="20"/>
          <w:color w:val="auto"/>
        </w:rPr>
      </w:pPr>
    </w:p>
    <w:p>
      <w:pPr>
        <w:ind w:left="1080" w:hanging="54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w:t>
      </w:r>
    </w:p>
    <w:p>
      <w:pPr>
        <w:spacing w:after="0" w:line="130" w:lineRule="exact"/>
        <w:rPr>
          <w:rFonts w:ascii="Arial" w:cs="Arial" w:eastAsia="Arial" w:hAnsi="Arial"/>
          <w:sz w:val="18"/>
          <w:szCs w:val="18"/>
          <w:color w:val="auto"/>
        </w:rPr>
      </w:pPr>
    </w:p>
    <w:p>
      <w:pPr>
        <w:ind w:left="1080" w:right="20" w:hanging="544"/>
        <w:spacing w:after="0" w:line="275" w:lineRule="auto"/>
        <w:tabs>
          <w:tab w:leader="none" w:pos="10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10 business days thereafter, redeem the Public Shares, at a per-Share price, payable in cash, equal to the aggregate amount then on deposit in the Trust Account, including interest earned on the funds held in the Trust Account and not previously released to the Company (less taxes payable on such interest and excluding up to US$100,000 of interest to pay dissolution expenses), divided by the number of then Public Shares in issue, which redemption will completely extinguish public Members’ rights as Members (including the right to receive further liquidation distributions, if any); and</w:t>
      </w:r>
    </w:p>
    <w:p>
      <w:pPr>
        <w:spacing w:after="0" w:line="81" w:lineRule="exact"/>
        <w:rPr>
          <w:rFonts w:ascii="Arial" w:cs="Arial" w:eastAsia="Arial" w:hAnsi="Arial"/>
          <w:sz w:val="17"/>
          <w:szCs w:val="17"/>
          <w:color w:val="auto"/>
        </w:rPr>
      </w:pPr>
    </w:p>
    <w:p>
      <w:pPr>
        <w:ind w:left="1080" w:right="280" w:hanging="544"/>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the Company’s remaining Members and the Directors, liquidate and dissolve,</w:t>
      </w:r>
    </w:p>
    <w:p>
      <w:pPr>
        <w:spacing w:after="0" w:line="76" w:lineRule="exact"/>
        <w:rPr>
          <w:sz w:val="20"/>
          <w:szCs w:val="20"/>
          <w:color w:val="auto"/>
        </w:rPr>
      </w:pPr>
    </w:p>
    <w:p>
      <w:pPr>
        <w:jc w:val="center"/>
        <w:ind w:left="740" w:right="240"/>
        <w:spacing w:after="0" w:line="449" w:lineRule="auto"/>
        <w:rPr>
          <w:sz w:val="20"/>
          <w:szCs w:val="20"/>
          <w:color w:val="auto"/>
        </w:rPr>
      </w:pPr>
      <w:r>
        <w:rPr>
          <w:rFonts w:ascii="Arial" w:cs="Arial" w:eastAsia="Arial" w:hAnsi="Arial"/>
          <w:sz w:val="18"/>
          <w:szCs w:val="18"/>
          <w:color w:val="auto"/>
        </w:rPr>
        <w:t>subject in each case to its obligations under Cayman Islands law to provide for claims of creditors and other requirements of Applicable Law. 36</w:t>
      </w:r>
    </w:p>
    <w:p>
      <w:pPr>
        <w:sectPr>
          <w:pgSz w:w="11900" w:h="16838" w:orient="portrait"/>
          <w:cols w:equalWidth="0" w:num="1">
            <w:col w:w="10960"/>
          </w:cols>
          <w:pgMar w:left="440" w:top="274" w:right="499" w:bottom="1440" w:gutter="0" w:footer="0" w:header="0"/>
        </w:sectPr>
      </w:pPr>
    </w:p>
    <w:bookmarkStart w:id="259" w:name="page260"/>
    <w:bookmarkEnd w:id="259"/>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49.8</w:t>
      </w:r>
      <w:r>
        <w:rPr>
          <w:sz w:val="20"/>
          <w:szCs w:val="20"/>
          <w:color w:val="auto"/>
        </w:rPr>
        <w:tab/>
      </w:r>
      <w:r>
        <w:rPr>
          <w:rFonts w:ascii="Arial" w:cs="Arial" w:eastAsia="Arial" w:hAnsi="Arial"/>
          <w:sz w:val="16"/>
          <w:szCs w:val="16"/>
          <w:color w:val="auto"/>
        </w:rPr>
        <w:t>In the event that any amendment is made to the Articles:</w:t>
      </w:r>
    </w:p>
    <w:p>
      <w:pPr>
        <w:spacing w:after="0" w:line="131" w:lineRule="exact"/>
        <w:rPr>
          <w:sz w:val="20"/>
          <w:szCs w:val="20"/>
          <w:color w:val="auto"/>
        </w:rPr>
      </w:pPr>
    </w:p>
    <w:p>
      <w:pPr>
        <w:ind w:left="1080" w:right="460" w:hanging="544"/>
        <w:spacing w:after="0" w:line="286" w:lineRule="auto"/>
        <w:tabs>
          <w:tab w:leader="none" w:pos="1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a Business Combination or redeem 100 per cent of the Public Shares if the Company does not consummate a Business Combination within 24 months from the consummation of the IPO, or such later time as the Members may approve in accordance with the Articles; or</w:t>
      </w:r>
    </w:p>
    <w:p>
      <w:pPr>
        <w:spacing w:after="0" w:line="192" w:lineRule="exact"/>
        <w:rPr>
          <w:rFonts w:ascii="Arial" w:cs="Arial" w:eastAsia="Arial" w:hAnsi="Arial"/>
          <w:sz w:val="17"/>
          <w:szCs w:val="17"/>
          <w:color w:val="auto"/>
        </w:rPr>
      </w:pPr>
    </w:p>
    <w:p>
      <w:pPr>
        <w:ind w:left="1080" w:hanging="54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with respect to any other material provisions relating to Members’ rights or pre-Business Combination activity,</w:t>
      </w:r>
    </w:p>
    <w:p>
      <w:pPr>
        <w:spacing w:after="0" w:line="117" w:lineRule="exact"/>
        <w:rPr>
          <w:sz w:val="20"/>
          <w:szCs w:val="20"/>
          <w:color w:val="auto"/>
        </w:rPr>
      </w:pPr>
    </w:p>
    <w:p>
      <w:pPr>
        <w:ind w:left="540"/>
        <w:spacing w:after="0" w:line="257" w:lineRule="auto"/>
        <w:rPr>
          <w:sz w:val="20"/>
          <w:szCs w:val="20"/>
          <w:color w:val="auto"/>
        </w:rPr>
      </w:pPr>
      <w:r>
        <w:rPr>
          <w:rFonts w:ascii="Arial" w:cs="Arial" w:eastAsia="Arial" w:hAnsi="Arial"/>
          <w:sz w:val="18"/>
          <w:szCs w:val="18"/>
          <w:color w:val="auto"/>
        </w:rPr>
        <w:t>each holder of Public Shares who is not the Sponsor, an Officer or Director shall be provided with the opportunity to redeem their Public Shares upon the approval or effectiveness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Public Shares. The Company’s ability to provide such redemption in this Article is subject to the Redemption Limitation.</w:t>
      </w:r>
    </w:p>
    <w:p>
      <w:pPr>
        <w:spacing w:after="0" w:line="93" w:lineRule="exact"/>
        <w:rPr>
          <w:sz w:val="20"/>
          <w:szCs w:val="20"/>
          <w:color w:val="auto"/>
        </w:rPr>
      </w:pPr>
    </w:p>
    <w:p>
      <w:pPr>
        <w:ind w:left="540" w:right="100" w:hanging="539"/>
        <w:spacing w:after="0" w:line="263" w:lineRule="auto"/>
        <w:tabs>
          <w:tab w:leader="none" w:pos="520" w:val="left"/>
        </w:tabs>
        <w:rPr>
          <w:sz w:val="20"/>
          <w:szCs w:val="20"/>
          <w:color w:val="auto"/>
        </w:rPr>
      </w:pPr>
      <w:r>
        <w:rPr>
          <w:rFonts w:ascii="Arial" w:cs="Arial" w:eastAsia="Arial" w:hAnsi="Arial"/>
          <w:sz w:val="18"/>
          <w:szCs w:val="18"/>
          <w:color w:val="auto"/>
        </w:rPr>
        <w:t>49.9</w:t>
        <w:tab/>
        <w:t>A holder of Public Shares shall be entitled to receive distributions from the Trust Account only in the event of an IPO Redemption, a repurchase of Shares by means of a tender offer pursuant to this Article, or a distribution of the Trust Account pursuant to this Article. In no other circumstance shall a holder of Public Shares have any right or interest of any kind in the Trust Account.</w:t>
      </w:r>
    </w:p>
    <w:p>
      <w:pPr>
        <w:spacing w:after="0" w:line="89" w:lineRule="exact"/>
        <w:rPr>
          <w:sz w:val="20"/>
          <w:szCs w:val="20"/>
          <w:color w:val="auto"/>
        </w:rPr>
      </w:pPr>
    </w:p>
    <w:p>
      <w:pPr>
        <w:ind w:left="540" w:right="20" w:hanging="539"/>
        <w:spacing w:after="0" w:line="277" w:lineRule="auto"/>
        <w:rPr>
          <w:sz w:val="20"/>
          <w:szCs w:val="20"/>
          <w:color w:val="auto"/>
        </w:rPr>
      </w:pPr>
      <w:r>
        <w:rPr>
          <w:rFonts w:ascii="Arial" w:cs="Arial" w:eastAsia="Arial" w:hAnsi="Arial"/>
          <w:sz w:val="18"/>
          <w:szCs w:val="18"/>
          <w:color w:val="auto"/>
        </w:rPr>
        <w:t>49.10 After the issue of Public Shares, and prior to the consummation of a Business Combination, the Company shall not issue additional Shares or any other securities that would entitle the holders thereof to:</w:t>
      </w:r>
    </w:p>
    <w:p>
      <w:pPr>
        <w:spacing w:after="0" w:line="76" w:lineRule="exact"/>
        <w:rPr>
          <w:sz w:val="20"/>
          <w:szCs w:val="20"/>
          <w:color w:val="auto"/>
        </w:rPr>
      </w:pPr>
    </w:p>
    <w:p>
      <w:pPr>
        <w:ind w:left="1080" w:hanging="54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receive funds from the Trust Account; or</w:t>
      </w:r>
    </w:p>
    <w:p>
      <w:pPr>
        <w:spacing w:after="0" w:line="130" w:lineRule="exact"/>
        <w:rPr>
          <w:rFonts w:ascii="Arial" w:cs="Arial" w:eastAsia="Arial" w:hAnsi="Arial"/>
          <w:sz w:val="18"/>
          <w:szCs w:val="18"/>
          <w:color w:val="auto"/>
        </w:rPr>
      </w:pPr>
    </w:p>
    <w:p>
      <w:pPr>
        <w:ind w:left="1080" w:hanging="54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vote as a class with Public Shares on a Business Combination.</w:t>
      </w:r>
    </w:p>
    <w:p>
      <w:pPr>
        <w:spacing w:after="0" w:line="131" w:lineRule="exact"/>
        <w:rPr>
          <w:sz w:val="20"/>
          <w:szCs w:val="20"/>
          <w:color w:val="auto"/>
        </w:rPr>
      </w:pPr>
    </w:p>
    <w:p>
      <w:pPr>
        <w:ind w:left="540" w:right="80" w:hanging="539"/>
        <w:spacing w:after="0" w:line="277" w:lineRule="auto"/>
        <w:rPr>
          <w:sz w:val="20"/>
          <w:szCs w:val="20"/>
          <w:color w:val="auto"/>
        </w:rPr>
      </w:pPr>
      <w:r>
        <w:rPr>
          <w:rFonts w:ascii="Arial" w:cs="Arial" w:eastAsia="Arial" w:hAnsi="Arial"/>
          <w:sz w:val="18"/>
          <w:szCs w:val="18"/>
          <w:color w:val="auto"/>
        </w:rPr>
        <w:t>49.11 A Director may vote in respect of a Business Combination in which such Director has a conflict of interest with respect to the evaluation of such Business Combination. Such Director must disclose such interest or conflict to the other Directors.</w:t>
      </w:r>
    </w:p>
    <w:p>
      <w:pPr>
        <w:spacing w:after="0" w:line="76" w:lineRule="exact"/>
        <w:rPr>
          <w:sz w:val="20"/>
          <w:szCs w:val="20"/>
          <w:color w:val="auto"/>
        </w:rPr>
      </w:pPr>
    </w:p>
    <w:p>
      <w:pPr>
        <w:ind w:left="540" w:right="480" w:hanging="539"/>
        <w:spacing w:after="0" w:line="257" w:lineRule="auto"/>
        <w:rPr>
          <w:sz w:val="20"/>
          <w:szCs w:val="20"/>
          <w:color w:val="auto"/>
        </w:rPr>
      </w:pPr>
      <w:r>
        <w:rPr>
          <w:rFonts w:ascii="Arial" w:cs="Arial" w:eastAsia="Arial" w:hAnsi="Arial"/>
          <w:sz w:val="18"/>
          <w:szCs w:val="18"/>
          <w:color w:val="auto"/>
        </w:rPr>
        <w:t>49.12 As long as the securities of the Company are listed on The Nasdaq Capital Market, the Company must complete one or more Business Combinations having an aggregate fair market value of at least 80 per cent of the assets held in the Trust Account (net of any deferred underwriting commissions and taxes payable on the interest earned on the Trust Account) at the time of the Company’s signing a definitive agreement in connection with a Business Combination. A Business Combination must not be solely effectuated with another blank cheque company or a similar company with nominal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260" w:name="page261"/>
    <w:bookmarkEnd w:id="260"/>
    <w:p>
      <w:pPr>
        <w:ind w:left="544" w:right="40" w:hanging="539"/>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49.13 The Company may enter into a Business Combination with a target business that is Affiliated with the Sponsor, a Director or an Officer. In the event the Company seeks to consummate a Business Combination with a target that is Affiliated with the Sponsor, a Director or an Officer, the Company, or a committee of Independent Directors, will obtain an opinion from an independent investment banking firm that is a member of the United States Financial Industry Regulatory Authority or another valuation or appraisal firm that regularly renders fairness opinions on the type of target business the Company is seeking to acquire that such a Business Combination is fair to the Company from a financial point of view.</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7"/>
          <w:szCs w:val="17"/>
          <w:color w:val="auto"/>
        </w:rPr>
        <w:t>49.14  A committee of Independent Directors shall approve any transaction or transactions between the Company and any of the following parties:</w:t>
      </w:r>
    </w:p>
    <w:p>
      <w:pPr>
        <w:spacing w:after="0" w:line="142" w:lineRule="exact"/>
        <w:rPr>
          <w:sz w:val="20"/>
          <w:szCs w:val="20"/>
          <w:color w:val="auto"/>
        </w:rPr>
      </w:pPr>
    </w:p>
    <w:p>
      <w:pPr>
        <w:ind w:left="1084" w:right="140" w:hanging="544"/>
        <w:spacing w:after="0" w:line="277" w:lineRule="auto"/>
        <w:tabs>
          <w:tab w:leader="none" w:pos="108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Member owning an interest in the voting power of the Company that gives such Member a significant influence over the Company; and</w:t>
      </w:r>
    </w:p>
    <w:p>
      <w:pPr>
        <w:spacing w:after="0" w:line="75" w:lineRule="exact"/>
        <w:rPr>
          <w:rFonts w:ascii="Arial" w:cs="Arial" w:eastAsia="Arial" w:hAnsi="Arial"/>
          <w:sz w:val="18"/>
          <w:szCs w:val="18"/>
          <w:color w:val="auto"/>
        </w:rPr>
      </w:pPr>
    </w:p>
    <w:p>
      <w:pPr>
        <w:ind w:left="1084" w:hanging="544"/>
        <w:spacing w:after="0"/>
        <w:tabs>
          <w:tab w:leader="none" w:pos="108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Director or Officer and any Affiliate of such Director or Officer.</w:t>
      </w:r>
    </w:p>
    <w:p>
      <w:pPr>
        <w:spacing w:after="0" w:line="370" w:lineRule="exact"/>
        <w:rPr>
          <w:sz w:val="20"/>
          <w:szCs w:val="20"/>
          <w:color w:val="auto"/>
        </w:rPr>
      </w:pPr>
    </w:p>
    <w:p>
      <w:pPr>
        <w:ind w:left="544" w:hanging="544"/>
        <w:spacing w:after="0"/>
        <w:tabs>
          <w:tab w:leader="none" w:pos="544"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Certain Tax Filings</w:t>
      </w:r>
    </w:p>
    <w:p>
      <w:pPr>
        <w:spacing w:after="0" w:line="121" w:lineRule="exact"/>
        <w:rPr>
          <w:rFonts w:ascii="Arial" w:cs="Arial" w:eastAsia="Arial" w:hAnsi="Arial"/>
          <w:sz w:val="18"/>
          <w:szCs w:val="18"/>
          <w:b w:val="1"/>
          <w:bCs w:val="1"/>
          <w:color w:val="auto"/>
        </w:rPr>
      </w:pPr>
    </w:p>
    <w:p>
      <w:pPr>
        <w:ind w:left="544"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The Company further ratifies and approves any such filing made by any Tax Filing Authorised Person or such other person prior to the date of the Articles.</w:t>
      </w:r>
    </w:p>
    <w:p>
      <w:pPr>
        <w:spacing w:after="0" w:line="320" w:lineRule="exact"/>
        <w:rPr>
          <w:rFonts w:ascii="Arial" w:cs="Arial" w:eastAsia="Arial" w:hAnsi="Arial"/>
          <w:sz w:val="18"/>
          <w:szCs w:val="18"/>
          <w:b w:val="1"/>
          <w:bCs w:val="1"/>
          <w:color w:val="auto"/>
        </w:rPr>
      </w:pPr>
    </w:p>
    <w:p>
      <w:pPr>
        <w:ind w:left="544" w:hanging="544"/>
        <w:spacing w:after="0"/>
        <w:tabs>
          <w:tab w:leader="none" w:pos="544"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Opportunities</w:t>
      </w:r>
    </w:p>
    <w:p>
      <w:pPr>
        <w:spacing w:after="0" w:line="131" w:lineRule="exact"/>
        <w:rPr>
          <w:sz w:val="20"/>
          <w:szCs w:val="20"/>
          <w:color w:val="auto"/>
        </w:rPr>
      </w:pPr>
    </w:p>
    <w:p>
      <w:pPr>
        <w:ind w:left="544" w:hanging="539"/>
        <w:spacing w:after="0" w:line="289" w:lineRule="auto"/>
        <w:tabs>
          <w:tab w:leader="none" w:pos="524"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To the fullest extent permitted by Applicable Law, no individual serving as a Director or an Officer (“</w:t>
      </w:r>
      <w:r>
        <w:rPr>
          <w:rFonts w:ascii="Arial" w:cs="Arial" w:eastAsia="Arial" w:hAnsi="Arial"/>
          <w:sz w:val="16"/>
          <w:szCs w:val="16"/>
          <w:b w:val="1"/>
          <w:bCs w:val="1"/>
          <w:color w:val="auto"/>
        </w:rPr>
        <w:t>Management</w:t>
      </w:r>
      <w:r>
        <w:rPr>
          <w:rFonts w:ascii="Arial" w:cs="Arial" w:eastAsia="Arial" w:hAnsi="Arial"/>
          <w:sz w:val="16"/>
          <w:szCs w:val="16"/>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261" w:name="page262"/>
    <w:bookmarkEnd w:id="261"/>
    <w:p>
      <w:pPr>
        <w:ind w:left="420" w:right="80" w:hanging="539"/>
        <w:spacing w:after="0" w:line="286"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51.2</w:t>
      </w:r>
      <w:r>
        <w:rPr>
          <w:sz w:val="20"/>
          <w:szCs w:val="20"/>
          <w:color w:val="auto"/>
        </w:rPr>
        <w:tab/>
      </w:r>
      <w:r>
        <w:rPr>
          <w:rFonts w:ascii="Arial" w:cs="Arial" w:eastAsia="Arial" w:hAnsi="Arial"/>
          <w:sz w:val="17"/>
          <w:szCs w:val="17"/>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71" w:lineRule="exact"/>
        <w:rPr>
          <w:sz w:val="20"/>
          <w:szCs w:val="20"/>
          <w:color w:val="auto"/>
        </w:rPr>
      </w:pPr>
    </w:p>
    <w:p>
      <w:pPr>
        <w:ind w:left="420" w:hanging="539"/>
        <w:spacing w:after="0" w:line="279" w:lineRule="auto"/>
        <w:tabs>
          <w:tab w:leader="none" w:pos="40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To the extent a court might hold that the conduct of any activity related to a corporate opportunity that is renounced in this Article is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80"/>
          </w:cols>
          <w:pgMar w:left="560" w:top="274" w:right="559" w:bottom="1440" w:gutter="0" w:footer="0" w:header="0"/>
        </w:sectPr>
      </w:pPr>
    </w:p>
    <w:bookmarkStart w:id="262" w:name="page263"/>
    <w:bookmarkEnd w:id="262"/>
    <w:p>
      <w:pPr>
        <w:ind w:left="10180"/>
        <w:spacing w:after="0"/>
        <w:rPr>
          <w:sz w:val="20"/>
          <w:szCs w:val="20"/>
          <w:color w:val="auto"/>
        </w:rPr>
      </w:pPr>
      <w:r>
        <w:rPr>
          <w:rFonts w:ascii="Arial" w:cs="Arial" w:eastAsia="Arial" w:hAnsi="Arial"/>
          <w:sz w:val="16"/>
          <w:szCs w:val="16"/>
          <w:b w:val="1"/>
          <w:bCs w:val="1"/>
          <w:color w:val="auto"/>
        </w:rPr>
        <w:t>Exhibit 4.1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SPECIMEN CLASS A ORDINARY SHARE CERTIFICATE</w:t>
      </w:r>
    </w:p>
    <w:p>
      <w:pPr>
        <w:sectPr>
          <w:pgSz w:w="11900" w:h="16838" w:orient="portrait"/>
          <w:cols w:equalWidth="0" w:num="1">
            <w:col w:w="11020"/>
          </w:cols>
          <w:pgMar w:left="440" w:top="121"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NUMBER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ectPr>
          <w:pgSz w:w="11900" w:h="16838" w:orient="portrait"/>
          <w:cols w:equalWidth="0" w:num="2">
            <w:col w:w="9600" w:space="720"/>
            <w:col w:w="700"/>
          </w:cols>
          <w:pgMar w:left="440" w:top="121" w:right="439" w:bottom="1440" w:gutter="0" w:footer="0" w:header="0"/>
          <w:type w:val="continuous"/>
        </w:sectPr>
      </w:pPr>
    </w:p>
    <w:p>
      <w:pPr>
        <w:spacing w:after="0" w:line="33"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SOCIAL CAPITAL SUVRETTA HOLDINGS CORP. III INCORPORATED UNDER THE LAWS OF THE CAYMAN ISLANDS CLASS A ORDINARY SHARES</w:t>
      </w:r>
    </w:p>
    <w:p>
      <w:pPr>
        <w:spacing w:after="0" w:line="176" w:lineRule="exact"/>
        <w:rPr>
          <w:sz w:val="20"/>
          <w:szCs w:val="20"/>
          <w:color w:val="auto"/>
        </w:rPr>
      </w:pPr>
    </w:p>
    <w:p>
      <w:pPr>
        <w:ind w:left="9360"/>
        <w:spacing w:after="0"/>
        <w:rPr>
          <w:sz w:val="20"/>
          <w:szCs w:val="20"/>
          <w:color w:val="auto"/>
        </w:rPr>
      </w:pPr>
      <w:r>
        <w:rPr>
          <w:rFonts w:ascii="Arial" w:cs="Arial" w:eastAsia="Arial" w:hAnsi="Arial"/>
          <w:sz w:val="17"/>
          <w:szCs w:val="17"/>
          <w:b w:val="1"/>
          <w:bCs w:val="1"/>
          <w:color w:val="auto"/>
        </w:rPr>
        <w:t>SEE REVERSE FOR</w:t>
      </w:r>
    </w:p>
    <w:p>
      <w:pPr>
        <w:spacing w:after="0" w:line="39"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ind w:left="10480"/>
        <w:spacing w:after="0"/>
        <w:rPr>
          <w:sz w:val="20"/>
          <w:szCs w:val="20"/>
          <w:color w:val="auto"/>
        </w:rPr>
      </w:pPr>
      <w:r>
        <w:rPr>
          <w:rFonts w:ascii="Arial" w:cs="Arial" w:eastAsia="Arial" w:hAnsi="Arial"/>
          <w:sz w:val="17"/>
          <w:szCs w:val="17"/>
          <w:b w:val="1"/>
          <w:bCs w:val="1"/>
          <w:color w:val="auto"/>
        </w:rPr>
        <w:t>CUSIP</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Certifies that _______________________ is the owner of ________________.</w:t>
      </w:r>
    </w:p>
    <w:p>
      <w:pPr>
        <w:sectPr>
          <w:pgSz w:w="11900" w:h="16838" w:orient="portrait"/>
          <w:cols w:equalWidth="0" w:num="1">
            <w:col w:w="11020"/>
          </w:cols>
          <w:pgMar w:left="440" w:top="121" w:right="4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FULLY PAID AND NON-ASSESSABLE CLASS A ORDINARY SHARES OF THE PAR VALUE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$0.0001 EACH OF SOCIAL CAPITAL SUVRETTA HOLDINGS CORP. III (THE “COMPANY”)</w:t>
      </w:r>
    </w:p>
    <w:p>
      <w:pPr>
        <w:spacing w:after="0" w:line="211" w:lineRule="exact"/>
        <w:rPr>
          <w:sz w:val="20"/>
          <w:szCs w:val="20"/>
          <w:color w:val="auto"/>
        </w:rPr>
      </w:pPr>
    </w:p>
    <w:p>
      <w:pPr>
        <w:jc w:val="center"/>
        <w:spacing w:after="0" w:line="286" w:lineRule="auto"/>
        <w:rPr>
          <w:sz w:val="20"/>
          <w:szCs w:val="20"/>
          <w:color w:val="auto"/>
        </w:rPr>
      </w:pPr>
      <w:r>
        <w:rPr>
          <w:rFonts w:ascii="Arial" w:cs="Arial" w:eastAsia="Arial" w:hAnsi="Arial"/>
          <w:sz w:val="16"/>
          <w:szCs w:val="16"/>
          <w:i w:val="1"/>
          <w:iCs w:val="1"/>
          <w:color w:val="auto"/>
        </w:rPr>
        <w:t>subject to the Company’s amended and restated memorandum and articles of association, as the same may be amended from time to time, and transferable on the books of the Company in person or by duly authorized attorney upon surrender of this certificate properly endorsed. The Company will redeem all of its Class A ordinary shares if it is unable to complete a business combination within the period set forth in the Company’s amended and restated memorandum and articles of association, as the same may be amended from time to time, all as more fully described</w:t>
      </w: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4940" w:type="dxa"/>
            <w:vAlign w:val="bottom"/>
            <w:gridSpan w:val="3"/>
          </w:tcPr>
          <w:p>
            <w:pPr>
              <w:ind w:left="1740"/>
              <w:spacing w:after="0" w:line="203" w:lineRule="exact"/>
              <w:rPr>
                <w:sz w:val="20"/>
                <w:szCs w:val="20"/>
                <w:color w:val="auto"/>
              </w:rPr>
            </w:pPr>
            <w:r>
              <w:rPr>
                <w:rFonts w:ascii="Arial" w:cs="Arial" w:eastAsia="Arial" w:hAnsi="Arial"/>
                <w:sz w:val="18"/>
                <w:szCs w:val="18"/>
                <w:i w:val="1"/>
                <w:iCs w:val="1"/>
                <w:color w:val="auto"/>
                <w:w w:val="99"/>
              </w:rPr>
              <w:t>in the Company’s final prospectus dated</w:t>
            </w:r>
          </w:p>
        </w:tc>
        <w:tc>
          <w:tcPr>
            <w:tcW w:w="4320" w:type="dxa"/>
            <w:vAlign w:val="bottom"/>
          </w:tcPr>
          <w:p>
            <w:pPr>
              <w:jc w:val="right"/>
              <w:ind w:right="3430"/>
              <w:spacing w:after="0" w:line="203" w:lineRule="exact"/>
              <w:rPr>
                <w:sz w:val="20"/>
                <w:szCs w:val="20"/>
                <w:color w:val="auto"/>
              </w:rPr>
            </w:pPr>
            <w:r>
              <w:rPr>
                <w:rFonts w:ascii="Arial" w:cs="Arial" w:eastAsia="Arial" w:hAnsi="Arial"/>
                <w:sz w:val="18"/>
                <w:szCs w:val="18"/>
                <w:i w:val="1"/>
                <w:iCs w:val="1"/>
                <w:color w:val="auto"/>
              </w:rPr>
              <w:t>, 2021.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260" w:type="dxa"/>
            <w:vAlign w:val="bottom"/>
            <w:gridSpan w:val="4"/>
          </w:tcPr>
          <w:p>
            <w:pPr>
              <w:jc w:val="center"/>
              <w:ind w:right="1690"/>
              <w:spacing w:after="0"/>
              <w:rPr>
                <w:sz w:val="20"/>
                <w:szCs w:val="20"/>
                <w:color w:val="auto"/>
              </w:rPr>
            </w:pPr>
            <w:r>
              <w:rPr>
                <w:rFonts w:ascii="Arial" w:cs="Arial" w:eastAsia="Arial" w:hAnsi="Arial"/>
                <w:sz w:val="18"/>
                <w:szCs w:val="18"/>
                <w:i w:val="1"/>
                <w:iCs w:val="1"/>
                <w:color w:val="auto"/>
                <w:w w:val="90"/>
              </w:rPr>
              <w:t>This certificate is not valid unless countersigned by the Transfer Agent and registered by the Registrar.</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9260" w:type="dxa"/>
            <w:vAlign w:val="bottom"/>
            <w:gridSpan w:val="4"/>
          </w:tcPr>
          <w:p>
            <w:pPr>
              <w:jc w:val="center"/>
              <w:ind w:right="1670"/>
              <w:spacing w:after="0"/>
              <w:rPr>
                <w:sz w:val="20"/>
                <w:szCs w:val="20"/>
                <w:color w:val="auto"/>
              </w:rPr>
            </w:pPr>
            <w:r>
              <w:rPr>
                <w:rFonts w:ascii="Arial" w:cs="Arial" w:eastAsia="Arial" w:hAnsi="Arial"/>
                <w:sz w:val="18"/>
                <w:szCs w:val="18"/>
                <w:i w:val="1"/>
                <w:iCs w:val="1"/>
                <w:color w:val="auto"/>
                <w:w w:val="90"/>
              </w:rPr>
              <w:t>Witness the facsimile signatures of its duly authorized officers.</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18"/>
                <w:szCs w:val="18"/>
                <w:color w:val="auto"/>
              </w:rPr>
              <w:t>Dated:</w:t>
            </w:r>
          </w:p>
        </w:tc>
        <w:tc>
          <w:tcPr>
            <w:tcW w:w="4940" w:type="dxa"/>
            <w:vAlign w:val="bottom"/>
            <w:gridSpan w:val="3"/>
            <w:vMerge w:val="restart"/>
          </w:tcPr>
          <w:p>
            <w:pPr>
              <w:jc w:val="center"/>
              <w:ind w:left="2450"/>
              <w:spacing w:after="0"/>
              <w:rPr>
                <w:sz w:val="20"/>
                <w:szCs w:val="20"/>
                <w:color w:val="auto"/>
              </w:rPr>
            </w:pPr>
            <w:r>
              <w:rPr>
                <w:rFonts w:ascii="Arial" w:cs="Arial" w:eastAsia="Arial" w:hAnsi="Arial"/>
                <w:sz w:val="18"/>
                <w:szCs w:val="18"/>
                <w:color w:val="auto"/>
                <w:w w:val="89"/>
              </w:rPr>
              <w:t>Cayman Islands</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40" w:type="dxa"/>
            <w:vAlign w:val="bottom"/>
            <w:gridSpan w:val="3"/>
            <w:vMerge w:val="continue"/>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17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tcPr>
          <w:p>
            <w:pPr>
              <w:spacing w:after="0"/>
              <w:rPr>
                <w:sz w:val="20"/>
                <w:szCs w:val="20"/>
                <w:color w:val="auto"/>
              </w:rPr>
            </w:pPr>
            <w:r>
              <w:rPr>
                <w:rFonts w:ascii="Arial" w:cs="Arial" w:eastAsia="Arial" w:hAnsi="Arial"/>
                <w:sz w:val="18"/>
                <w:szCs w:val="18"/>
                <w:color w:val="auto"/>
                <w:w w:val="95"/>
              </w:rPr>
              <w:t>Chief Executive Officer</w:t>
            </w: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80" w:type="dxa"/>
            <w:vAlign w:val="bottom"/>
            <w:gridSpan w:val="2"/>
          </w:tcPr>
          <w:p>
            <w:pPr>
              <w:jc w:val="right"/>
              <w:ind w:right="3410"/>
              <w:spacing w:after="0"/>
              <w:rPr>
                <w:sz w:val="20"/>
                <w:szCs w:val="20"/>
                <w:color w:val="auto"/>
              </w:rPr>
            </w:pPr>
            <w:r>
              <w:rPr>
                <w:rFonts w:ascii="Arial" w:cs="Arial" w:eastAsia="Arial" w:hAnsi="Arial"/>
                <w:sz w:val="18"/>
                <w:szCs w:val="18"/>
                <w:color w:val="auto"/>
                <w:w w:val="99"/>
              </w:rPr>
              <w:t>Chief Financial Officer</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type w:val="continuous"/>
        </w:sectPr>
      </w:pPr>
    </w:p>
    <w:bookmarkStart w:id="263" w:name="page264"/>
    <w:bookmarkEnd w:id="26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SOCIAL CAPITAL SUVRETTA HOLDINGS CORP. III</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will furnish without charge to each shareholder who so requests a statement of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Company’s amended and restated memorandum and articles of association, as the same may be amended from time to time, and resolutions of the Company’s board of directors providing for the issue of Class A ordinary shares (copies of which may be obtained from the secretary of the Company),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TEN COM</w:t>
            </w:r>
          </w:p>
        </w:tc>
        <w:tc>
          <w:tcPr>
            <w:tcW w:w="4140" w:type="dxa"/>
            <w:vAlign w:val="bottom"/>
          </w:tcPr>
          <w:p>
            <w:pPr>
              <w:ind w:left="160"/>
              <w:spacing w:after="0"/>
              <w:rPr>
                <w:sz w:val="20"/>
                <w:szCs w:val="20"/>
                <w:color w:val="auto"/>
              </w:rPr>
            </w:pPr>
            <w:r>
              <w:rPr>
                <w:rFonts w:ascii="Arial" w:cs="Arial" w:eastAsia="Arial" w:hAnsi="Arial"/>
                <w:sz w:val="18"/>
                <w:szCs w:val="18"/>
                <w:color w:val="auto"/>
              </w:rPr>
              <w:t>-   as tenants in common</w:t>
            </w:r>
          </w:p>
        </w:tc>
        <w:tc>
          <w:tcPr>
            <w:tcW w:w="1960" w:type="dxa"/>
            <w:vAlign w:val="bottom"/>
          </w:tcPr>
          <w:p>
            <w:pPr>
              <w:ind w:left="100"/>
              <w:spacing w:after="0"/>
              <w:rPr>
                <w:sz w:val="20"/>
                <w:szCs w:val="20"/>
                <w:color w:val="auto"/>
              </w:rPr>
            </w:pPr>
            <w:r>
              <w:rPr>
                <w:rFonts w:ascii="Arial" w:cs="Arial" w:eastAsia="Arial" w:hAnsi="Arial"/>
                <w:sz w:val="18"/>
                <w:szCs w:val="18"/>
                <w:color w:val="auto"/>
              </w:rPr>
              <w:t>UNIF GIFT MIN ACT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660" w:type="dxa"/>
            <w:vAlign w:val="bottom"/>
          </w:tcPr>
          <w:p>
            <w:pPr>
              <w:jc w:val="center"/>
              <w:ind w:right="790"/>
              <w:spacing w:after="0"/>
              <w:rPr>
                <w:sz w:val="20"/>
                <w:szCs w:val="20"/>
                <w:color w:val="auto"/>
              </w:rPr>
            </w:pPr>
            <w:r>
              <w:rPr>
                <w:rFonts w:ascii="Arial" w:cs="Arial" w:eastAsia="Arial" w:hAnsi="Arial"/>
                <w:sz w:val="18"/>
                <w:szCs w:val="18"/>
                <w:color w:val="auto"/>
                <w:w w:val="91"/>
              </w:rPr>
              <w:t>Custodian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ind w:left="720"/>
              <w:spacing w:after="0"/>
              <w:rPr>
                <w:sz w:val="20"/>
                <w:szCs w:val="20"/>
                <w:color w:val="auto"/>
              </w:rPr>
            </w:pPr>
            <w:r>
              <w:rPr>
                <w:rFonts w:ascii="Arial" w:cs="Arial" w:eastAsia="Arial" w:hAnsi="Arial"/>
                <w:sz w:val="18"/>
                <w:szCs w:val="18"/>
                <w:color w:val="auto"/>
                <w:w w:val="93"/>
              </w:rPr>
              <w:t>(Cust)</w:t>
            </w:r>
          </w:p>
        </w:tc>
        <w:tc>
          <w:tcPr>
            <w:tcW w:w="1660" w:type="dxa"/>
            <w:vAlign w:val="bottom"/>
          </w:tcPr>
          <w:p>
            <w:pPr>
              <w:ind w:left="70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TEN ENT</w:t>
            </w:r>
          </w:p>
        </w:tc>
        <w:tc>
          <w:tcPr>
            <w:tcW w:w="4140" w:type="dxa"/>
            <w:vAlign w:val="bottom"/>
          </w:tcPr>
          <w:p>
            <w:pPr>
              <w:ind w:left="160"/>
              <w:spacing w:after="0"/>
              <w:rPr>
                <w:sz w:val="20"/>
                <w:szCs w:val="20"/>
                <w:color w:val="auto"/>
              </w:rPr>
            </w:pPr>
            <w:r>
              <w:rPr>
                <w:rFonts w:ascii="Arial" w:cs="Arial" w:eastAsia="Arial" w:hAnsi="Arial"/>
                <w:sz w:val="18"/>
                <w:szCs w:val="18"/>
                <w:color w:val="auto"/>
              </w:rPr>
              <w:t>-   as tenants by the entireties</w:t>
            </w:r>
          </w:p>
        </w:tc>
        <w:tc>
          <w:tcPr>
            <w:tcW w:w="1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gridSpan w:val="2"/>
          </w:tcPr>
          <w:p>
            <w:pPr>
              <w:jc w:val="center"/>
              <w:ind w:left="230"/>
              <w:spacing w:after="0"/>
              <w:rPr>
                <w:sz w:val="20"/>
                <w:szCs w:val="20"/>
                <w:color w:val="auto"/>
              </w:rPr>
            </w:pPr>
            <w:r>
              <w:rPr>
                <w:rFonts w:ascii="Arial" w:cs="Arial" w:eastAsia="Arial" w:hAnsi="Arial"/>
                <w:sz w:val="18"/>
                <w:szCs w:val="18"/>
                <w:color w:val="auto"/>
                <w:w w:val="95"/>
              </w:rPr>
              <w:t>under Uniform Gifts to Minors Act</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JT TEN</w:t>
            </w:r>
          </w:p>
        </w:tc>
        <w:tc>
          <w:tcPr>
            <w:tcW w:w="4140" w:type="dxa"/>
            <w:vAlign w:val="bottom"/>
            <w:vMerge w:val="restart"/>
          </w:tcPr>
          <w:p>
            <w:pPr>
              <w:ind w:left="160"/>
              <w:spacing w:after="0"/>
              <w:rPr>
                <w:sz w:val="20"/>
                <w:szCs w:val="20"/>
                <w:color w:val="auto"/>
              </w:rPr>
            </w:pPr>
            <w:r>
              <w:rPr>
                <w:rFonts w:ascii="Arial" w:cs="Arial" w:eastAsia="Arial" w:hAnsi="Arial"/>
                <w:sz w:val="18"/>
                <w:szCs w:val="18"/>
                <w:color w:val="auto"/>
                <w:w w:val="97"/>
              </w:rPr>
              <w:t>-   as joint tenants with right of survivorship and not</w:t>
            </w:r>
          </w:p>
        </w:tc>
        <w:tc>
          <w:tcPr>
            <w:tcW w:w="1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Pr>
          <w:p>
            <w:pPr>
              <w:ind w:left="24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202"/>
        </w:trPr>
        <w:tc>
          <w:tcPr>
            <w:tcW w:w="960" w:type="dxa"/>
            <w:vAlign w:val="bottom"/>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140" w:type="dxa"/>
            <w:vAlign w:val="bottom"/>
          </w:tcPr>
          <w:p>
            <w:pPr>
              <w:ind w:left="500"/>
              <w:spacing w:after="0"/>
              <w:rPr>
                <w:sz w:val="20"/>
                <w:szCs w:val="20"/>
                <w:color w:val="auto"/>
              </w:rPr>
            </w:pPr>
            <w:r>
              <w:rPr>
                <w:rFonts w:ascii="Arial" w:cs="Arial" w:eastAsia="Arial" w:hAnsi="Arial"/>
                <w:sz w:val="18"/>
                <w:szCs w:val="18"/>
                <w:color w:val="auto"/>
              </w:rPr>
              <w:t>as tenants in common</w:t>
            </w:r>
          </w:p>
        </w:tc>
        <w:tc>
          <w:tcPr>
            <w:tcW w:w="1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value received,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Shares represented by the within certificate, and hereby irrevocably constitutes and appoints Attorney to transfer the said shares on the books of the within named Company with full power of substitution in the premises.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67208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Shareholder</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7"/>
          <w:szCs w:val="17"/>
          <w:color w:val="auto"/>
        </w:rPr>
        <w:t>NOTICE: THE SIGNATURE(S) TO THIS ASSIGNMENT MUST</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CORRESPOND WITH THE NAME AS WRITTEN UPON THE</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FACE OF THE CERTIFICATE IN EVERY PARTICULAR,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WITHOUT ALTERATION OR ENLARGEMENT OR ANY</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CHANGE WHATEVER.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342011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more fully described in, and subject to the terms and conditions described in, the Company’s final prospectus for its initial public offering</w:t>
      </w:r>
    </w:p>
    <w:p>
      <w:pPr>
        <w:spacing w:after="0" w:line="3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dated , 2021, the holder(s) of this certificate shall be entitled to receive a pro rata portion of certain funds held in the trust account established in connection with its initial public offering only in the event that (i) the Company redeems the Class A ordinary shares sold in its initial public offering and liquidates because it does not consummate an initial business combination within the period of time set forth in the Company’s amended and restated memorandum and articles of association, as the same may be amended from time to time, (ii) the Company redeems the Class A ordinary shares sold in its initial public offering in connection with a shareholder vote to amend the Company’s amended and restated memorandum and articles of association (A) that would modify the substance or timing of the Company’s obligation to provide holders of the Class A ordinary shares the right to have their shares redeemed in connection with the Company’s initial business combination or to redeem 100% of the Class A ordinary shares if the Company does not complete its initial business combination within the time period set forth therein or (B) with respect to any other material provision relating to the rights of holders of the Class A ordinary shares, or (iii) if the holder(s) seek(s) to redeem for cash his, her or its respective Class A ordinary shares in connection with a tender offer (or proxy solicitation, solely in the event the Company seeks shareholder approval of the proposed initial business combination) setting forth the details of a proposed initial business combination. In no other circumstances shall the holder(s) have any right or interest of any kind in or to the trust account.</w:t>
      </w:r>
    </w:p>
    <w:p>
      <w:pPr>
        <w:sectPr>
          <w:pgSz w:w="11900" w:h="16838" w:orient="portrait"/>
          <w:cols w:equalWidth="0" w:num="1">
            <w:col w:w="11020"/>
          </w:cols>
          <w:pgMar w:left="440" w:top="274" w:right="439" w:bottom="1440" w:gutter="0" w:footer="0" w:header="0"/>
        </w:sectPr>
      </w:pPr>
    </w:p>
    <w:bookmarkStart w:id="265" w:name="page266"/>
    <w:bookmarkEnd w:id="265"/>
    <w:p>
      <w:pPr>
        <w:ind w:left="10120"/>
        <w:spacing w:after="0"/>
        <w:rPr>
          <w:sz w:val="20"/>
          <w:szCs w:val="20"/>
          <w:color w:val="auto"/>
        </w:rPr>
      </w:pPr>
      <w:r>
        <w:rPr>
          <w:rFonts w:ascii="Arial" w:cs="Arial" w:eastAsia="Arial" w:hAnsi="Arial"/>
          <w:sz w:val="17"/>
          <w:szCs w:val="17"/>
          <w:color w:val="auto"/>
        </w:rPr>
        <w:t>Exhibit 10.1</w:t>
      </w:r>
    </w:p>
    <w:p>
      <w:pPr>
        <w:spacing w:after="0" w:line="233"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THIS AMENDED AND RESTATED PROMISSORY NOTE (THIS “</w:t>
      </w:r>
      <w:r>
        <w:rPr>
          <w:rFonts w:ascii="Arial" w:cs="Arial" w:eastAsia="Arial" w:hAnsi="Arial"/>
          <w:sz w:val="17"/>
          <w:szCs w:val="17"/>
          <w:b w:val="1"/>
          <w:bCs w:val="1"/>
          <w:color w:val="auto"/>
        </w:rPr>
        <w:t>NOTE</w:t>
      </w:r>
      <w:r>
        <w:rPr>
          <w:rFonts w:ascii="Arial" w:cs="Arial" w:eastAsia="Arial" w:hAnsi="Arial"/>
          <w:sz w:val="17"/>
          <w:szCs w:val="17"/>
          <w:color w:val="auto"/>
        </w:rPr>
        <w:t>”) HAS NOT BEEN REGISTERED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THIS NOTE HAS BEEN ACQUIRED FOR INVESTMENT ONLY AND MAY NOT BE SOLD, TRANSFERRED OR ASSIGNED IN THE ABSENCE OF REGISTRATION OF THE RESALE THEREOF UNDER THE SECURITIES ACT OR AN OPINION OF COUNSEL REASONABLY SATISFACTORY TO THE COMPANY THAT SUCH REGISTRATION IS NOT REQUIRED.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PROMISSORY NOTE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360" w:type="dxa"/>
            <w:vAlign w:val="bottom"/>
          </w:tcPr>
          <w:p>
            <w:pPr>
              <w:spacing w:after="0"/>
              <w:rPr>
                <w:sz w:val="20"/>
                <w:szCs w:val="20"/>
                <w:color w:val="auto"/>
              </w:rPr>
            </w:pPr>
            <w:r>
              <w:rPr>
                <w:rFonts w:ascii="Arial" w:cs="Arial" w:eastAsia="Arial" w:hAnsi="Arial"/>
                <w:sz w:val="18"/>
                <w:szCs w:val="18"/>
                <w:color w:val="auto"/>
              </w:rPr>
              <w:t>Principal Amount: Up to U.S.$300,000</w:t>
            </w:r>
          </w:p>
        </w:tc>
        <w:tc>
          <w:tcPr>
            <w:tcW w:w="4660" w:type="dxa"/>
            <w:vAlign w:val="bottom"/>
          </w:tcPr>
          <w:p>
            <w:pPr>
              <w:ind w:left="3540"/>
              <w:spacing w:after="0"/>
              <w:rPr>
                <w:sz w:val="20"/>
                <w:szCs w:val="20"/>
                <w:color w:val="auto"/>
              </w:rPr>
            </w:pPr>
            <w:r>
              <w:rPr>
                <w:rFonts w:ascii="Arial" w:cs="Arial" w:eastAsia="Arial" w:hAnsi="Arial"/>
                <w:sz w:val="20"/>
                <w:szCs w:val="20"/>
                <w:color w:val="auto"/>
                <w:w w:val="90"/>
              </w:rPr>
              <w:t>May 24, 2021</w:t>
            </w:r>
          </w:p>
        </w:tc>
      </w:tr>
    </w:tbl>
    <w:p>
      <w:pPr>
        <w:spacing w:after="0" w:line="194"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WHEREAS, on March 2, 2021, Social Capital Suvretta Holdings Corp. III, a Cayman Islands exempted company (“</w:t>
      </w:r>
      <w:r>
        <w:rPr>
          <w:rFonts w:ascii="Arial" w:cs="Arial" w:eastAsia="Arial" w:hAnsi="Arial"/>
          <w:sz w:val="18"/>
          <w:szCs w:val="18"/>
          <w:b w:val="1"/>
          <w:bCs w:val="1"/>
          <w:color w:val="auto"/>
        </w:rPr>
        <w:t>Maker</w:t>
      </w:r>
      <w:r>
        <w:rPr>
          <w:rFonts w:ascii="Arial" w:cs="Arial" w:eastAsia="Arial" w:hAnsi="Arial"/>
          <w:sz w:val="18"/>
          <w:szCs w:val="18"/>
          <w:color w:val="auto"/>
        </w:rPr>
        <w:t>”), issued that certain promissory note (the “</w:t>
      </w:r>
      <w:r>
        <w:rPr>
          <w:rFonts w:ascii="Arial" w:cs="Arial" w:eastAsia="Arial" w:hAnsi="Arial"/>
          <w:sz w:val="18"/>
          <w:szCs w:val="18"/>
          <w:b w:val="1"/>
          <w:bCs w:val="1"/>
          <w:color w:val="auto"/>
        </w:rPr>
        <w:t>Original Promissory Note</w:t>
      </w:r>
      <w:r>
        <w:rPr>
          <w:rFonts w:ascii="Arial" w:cs="Arial" w:eastAsia="Arial" w:hAnsi="Arial"/>
          <w:sz w:val="18"/>
          <w:szCs w:val="18"/>
          <w:color w:val="auto"/>
        </w:rPr>
        <w:t>”) to SCS Suvretta III LLC, a Cayman Islands limited liability company (including its registered assigns and successors in interest, “</w:t>
      </w:r>
      <w:r>
        <w:rPr>
          <w:rFonts w:ascii="Arial" w:cs="Arial" w:eastAsia="Arial" w:hAnsi="Arial"/>
          <w:sz w:val="18"/>
          <w:szCs w:val="18"/>
          <w:b w:val="1"/>
          <w:bCs w:val="1"/>
          <w:color w:val="auto"/>
        </w:rPr>
        <w:t>Payee</w:t>
      </w:r>
      <w:r>
        <w:rPr>
          <w:rFonts w:ascii="Arial" w:cs="Arial" w:eastAsia="Arial" w:hAnsi="Arial"/>
          <w:sz w:val="18"/>
          <w:szCs w:val="18"/>
          <w:color w:val="auto"/>
        </w:rPr>
        <w:t>”), in the amount of up to $300,000; and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Maker and Payee desire to amend and restate the Original Promissory Note in its entirety as set forth herein.</w:t>
      </w:r>
    </w:p>
    <w:p>
      <w:pPr>
        <w:spacing w:after="0" w:line="22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NOW, THEREFORE, for value received and subject to the terms and conditions set forth herein, Maker promises to pay to the order of Payee, the principal sum of Three Hundred Thousand U.S. Dollars (U.S.$300,000) or such lesser amount as shall have been advanced by Payee to Maker and shall remain unpaid under this Note on the Maturity Date (as defined below) in lawful money of the United States of America, on the terms and conditions described below. All payments on this Note shall be made by check or wire transfer of immediately available funds or as otherwise determined by Maker to such account as Payee may from time to time designate by written notice in accordance with the provisions of this Note.</w:t>
      </w:r>
    </w:p>
    <w:p>
      <w:pPr>
        <w:spacing w:after="0" w:line="157" w:lineRule="exact"/>
        <w:rPr>
          <w:sz w:val="20"/>
          <w:szCs w:val="20"/>
          <w:color w:val="auto"/>
        </w:rPr>
      </w:pPr>
    </w:p>
    <w:p>
      <w:pPr>
        <w:ind w:right="180" w:firstLine="436"/>
        <w:spacing w:after="0" w:line="277" w:lineRule="auto"/>
        <w:tabs>
          <w:tab w:leader="none" w:pos="620"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Principal</w:t>
      </w:r>
      <w:r>
        <w:rPr>
          <w:rFonts w:ascii="Arial" w:cs="Arial" w:eastAsia="Arial" w:hAnsi="Arial"/>
          <w:sz w:val="17"/>
          <w:szCs w:val="17"/>
          <w:color w:val="auto"/>
        </w:rPr>
        <w:t>. The entire unpaid principal balance of this Note shall be due and payable in full on the earlier of (i) December 31, 2021 and (ii)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on which Maker consummates an IPO (as defined below) (such earlier date of (i) and (ii), the “</w:t>
      </w:r>
      <w:r>
        <w:rPr>
          <w:rFonts w:ascii="Arial" w:cs="Arial" w:eastAsia="Arial" w:hAnsi="Arial"/>
          <w:sz w:val="17"/>
          <w:szCs w:val="17"/>
          <w:b w:val="1"/>
          <w:bCs w:val="1"/>
          <w:color w:val="auto"/>
        </w:rPr>
        <w:t>Maturity Date</w:t>
      </w:r>
      <w:r>
        <w:rPr>
          <w:rFonts w:ascii="Arial" w:cs="Arial" w:eastAsia="Arial" w:hAnsi="Arial"/>
          <w:sz w:val="17"/>
          <w:szCs w:val="17"/>
          <w:color w:val="auto"/>
        </w:rPr>
        <w:t>”), unless accelerated upon the occurrence of an Event of Default (as defined below). The outstanding principal balance may be prepaid at any time by Maker, at its election and without penalty. Under no circumstances shall any individual, including but not limited to any member, manager, officer, director, employee or equity holder of Maker, be obligated personally for any obligations or liabilities of Maker hereunder.</w:t>
      </w:r>
    </w:p>
    <w:p>
      <w:pPr>
        <w:spacing w:after="0" w:line="167" w:lineRule="exact"/>
        <w:rPr>
          <w:rFonts w:ascii="Arial" w:cs="Arial" w:eastAsia="Arial" w:hAnsi="Arial"/>
          <w:sz w:val="17"/>
          <w:szCs w:val="17"/>
          <w:b w:val="1"/>
          <w:bCs w:val="1"/>
          <w:color w:val="auto"/>
        </w:rPr>
      </w:pPr>
    </w:p>
    <w:p>
      <w:pPr>
        <w:ind w:left="620" w:hanging="184"/>
        <w:spacing w:after="0"/>
        <w:tabs>
          <w:tab w:leader="none" w:pos="620"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Drawdown Requests. </w:t>
      </w:r>
      <w:r>
        <w:rPr>
          <w:rFonts w:ascii="Arial" w:cs="Arial" w:eastAsia="Arial" w:hAnsi="Arial"/>
          <w:sz w:val="17"/>
          <w:szCs w:val="17"/>
          <w:color w:val="auto"/>
        </w:rPr>
        <w:t>Maker and Payee agree that Maker may request, from time to time, up to Three Hundred Thousand U.S. Dollars</w:t>
      </w:r>
    </w:p>
    <w:p>
      <w:pPr>
        <w:spacing w:after="0" w:line="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(U.S.$300,000) in drawdowns under this Note to be used to pay costs and expenses related to Maker’s proposed initial public offering of its securities (the “</w:t>
      </w:r>
      <w:r>
        <w:rPr>
          <w:rFonts w:ascii="Arial" w:cs="Arial" w:eastAsia="Arial" w:hAnsi="Arial"/>
          <w:sz w:val="17"/>
          <w:szCs w:val="17"/>
          <w:b w:val="1"/>
          <w:bCs w:val="1"/>
          <w:color w:val="auto"/>
        </w:rPr>
        <w:t>IPO</w:t>
      </w:r>
      <w:r>
        <w:rPr>
          <w:rFonts w:ascii="Arial" w:cs="Arial" w:eastAsia="Arial" w:hAnsi="Arial"/>
          <w:sz w:val="17"/>
          <w:szCs w:val="17"/>
          <w:color w:val="auto"/>
        </w:rPr>
        <w:t>”), including its formation. The principal of this Note may be drawn down from time to time prior to the Maturity Date upon written request from Maker to Payee (each, a “</w:t>
      </w:r>
      <w:r>
        <w:rPr>
          <w:rFonts w:ascii="Arial" w:cs="Arial" w:eastAsia="Arial" w:hAnsi="Arial"/>
          <w:sz w:val="17"/>
          <w:szCs w:val="17"/>
          <w:b w:val="1"/>
          <w:bCs w:val="1"/>
          <w:color w:val="auto"/>
        </w:rPr>
        <w:t>Drawdown Request</w:t>
      </w:r>
      <w:r>
        <w:rPr>
          <w:rFonts w:ascii="Arial" w:cs="Arial" w:eastAsia="Arial" w:hAnsi="Arial"/>
          <w:sz w:val="17"/>
          <w:szCs w:val="17"/>
          <w:color w:val="auto"/>
        </w:rPr>
        <w:t xml:space="preserve">”). Each Drawdown Request must state the amount to be drawn down and must not be an amount less than Ten Thousand U.S. Dollars (U.S.$10,000) unless mutually agreed by Maker and Payee. Payee shall fund each Drawdown Request no later than three (3) business days after receipt of a Drawdown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maximum amount of drawdowns outstanding under this Note at any time may not exceed Three Hundred Thousand U.S. Dollars (U.S.$300,000). No fees, payments or other amounts shall be due to Payee in connection with, or as a result of, any Drawdown Request by Maker, except as expressly set forth herein.</w:t>
      </w:r>
    </w:p>
    <w:p>
      <w:pPr>
        <w:spacing w:after="0" w:line="176" w:lineRule="exact"/>
        <w:rPr>
          <w:sz w:val="20"/>
          <w:szCs w:val="20"/>
          <w:color w:val="auto"/>
        </w:rPr>
      </w:pPr>
    </w:p>
    <w:p>
      <w:pPr>
        <w:ind w:left="620" w:hanging="184"/>
        <w:spacing w:after="0"/>
        <w:tabs>
          <w:tab w:leader="none" w:pos="62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b w:val="1"/>
          <w:bCs w:val="1"/>
          <w:color w:val="auto"/>
        </w:rPr>
      </w:pPr>
    </w:p>
    <w:p>
      <w:pPr>
        <w:jc w:val="both"/>
        <w:ind w:right="160" w:firstLine="436"/>
        <w:spacing w:after="0" w:line="266" w:lineRule="auto"/>
        <w:tabs>
          <w:tab w:leader="none" w:pos="62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by Maker hereunder shall be applied first to payment in full of any costs incurred in the collection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sum due under this Note, including (without limitation) reasonable attorney’s fees, then to the payment in full of any late charges and finally to the reduction of the unpaid principal balance of this Note.</w:t>
      </w:r>
    </w:p>
    <w:p>
      <w:pPr>
        <w:sectPr>
          <w:pgSz w:w="11900" w:h="16838" w:orient="portrait"/>
          <w:cols w:equalWidth="0" w:num="1">
            <w:col w:w="11020"/>
          </w:cols>
          <w:pgMar w:left="440" w:top="125" w:right="439" w:bottom="1440" w:gutter="0" w:footer="0" w:header="0"/>
        </w:sectPr>
      </w:pPr>
    </w:p>
    <w:bookmarkStart w:id="266" w:name="page267"/>
    <w:bookmarkEnd w:id="266"/>
    <w:p>
      <w:pPr>
        <w:ind w:left="620" w:hanging="184"/>
        <w:spacing w:after="0"/>
        <w:tabs>
          <w:tab w:leader="none" w:pos="62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Events of Default. </w:t>
      </w:r>
      <w:r>
        <w:rPr>
          <w:rFonts w:ascii="Arial" w:cs="Arial" w:eastAsia="Arial" w:hAnsi="Arial"/>
          <w:sz w:val="18"/>
          <w:szCs w:val="18"/>
          <w:color w:val="auto"/>
        </w:rPr>
        <w:t>Each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177"/>
        </w:numPr>
        <w:rPr>
          <w:rFonts w:ascii="Arial" w:cs="Arial" w:eastAsia="Arial" w:hAnsi="Arial"/>
          <w:sz w:val="16"/>
          <w:szCs w:val="16"/>
          <w:color w:val="auto"/>
        </w:rPr>
      </w:pPr>
      <w:r>
        <w:rPr>
          <w:rFonts w:ascii="Arial" w:cs="Arial" w:eastAsia="Arial" w:hAnsi="Arial"/>
          <w:sz w:val="16"/>
          <w:szCs w:val="16"/>
          <w:u w:val="single" w:color="auto"/>
          <w:color w:val="auto"/>
        </w:rPr>
        <w:t>Failure to Make Required Payments</w:t>
      </w:r>
      <w:r>
        <w:rPr>
          <w:rFonts w:ascii="Arial" w:cs="Arial" w:eastAsia="Arial" w:hAnsi="Arial"/>
          <w:sz w:val="16"/>
          <w:szCs w:val="16"/>
          <w:color w:val="auto"/>
        </w:rPr>
        <w:t>. Failure by Maker to pay the unpaid principal amount due pursuant to this Note on the Maturity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20" w:firstLine="987"/>
        <w:spacing w:after="0" w:line="257" w:lineRule="auto"/>
        <w:tabs>
          <w:tab w:leader="none" w:pos="1246"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xml:space="preserve">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any substantial part of its property, or the making by it of any assignment for the benefit of its creditors, or the failure of Maker generally to pay its debts as such debts become due, or the taking of corporate action by Maker in furtherance of any of the foregoing.</w:t>
      </w:r>
    </w:p>
    <w:p>
      <w:pPr>
        <w:spacing w:after="0" w:line="187" w:lineRule="exact"/>
        <w:rPr>
          <w:rFonts w:ascii="Arial" w:cs="Arial" w:eastAsia="Arial" w:hAnsi="Arial"/>
          <w:sz w:val="18"/>
          <w:szCs w:val="18"/>
          <w:color w:val="auto"/>
        </w:rPr>
      </w:pPr>
    </w:p>
    <w:p>
      <w:pPr>
        <w:ind w:right="60" w:firstLine="987"/>
        <w:spacing w:after="0" w:line="279" w:lineRule="auto"/>
        <w:tabs>
          <w:tab w:leader="none" w:pos="1236" w:val="left"/>
        </w:tabs>
        <w:numPr>
          <w:ilvl w:val="1"/>
          <w:numId w:val="178"/>
        </w:numPr>
        <w:rPr>
          <w:rFonts w:ascii="Arial" w:cs="Arial" w:eastAsia="Arial" w:hAnsi="Arial"/>
          <w:sz w:val="17"/>
          <w:szCs w:val="17"/>
          <w:color w:val="auto"/>
        </w:rPr>
      </w:pPr>
      <w:r>
        <w:rPr>
          <w:rFonts w:ascii="Arial" w:cs="Arial" w:eastAsia="Arial" w:hAnsi="Arial"/>
          <w:sz w:val="17"/>
          <w:szCs w:val="17"/>
          <w:u w:val="single" w:color="auto"/>
          <w:color w:val="auto"/>
        </w:rPr>
        <w:t>Involuntary Bankruptcy, Etc.</w:t>
      </w:r>
      <w:r>
        <w:rPr>
          <w:rFonts w:ascii="Arial" w:cs="Arial" w:eastAsia="Arial" w:hAnsi="Arial"/>
          <w:sz w:val="17"/>
          <w:szCs w:val="17"/>
          <w:color w:val="auto"/>
        </w:rPr>
        <w:t xml:space="preserve"> The entry of a decree or order for relief by a court having jurisdiction over Maker in an involuntary case under any applicable bankruptcy, insolvency or other similar law, or appointing a receiver, liquidator, assignee, custodian, trustee, sequestrator (or similar official) of Maker or in respect of any substantial part of its property, or ordering the winding-up or liquidation of its affairs, and the continuance of any such decree or order unstayed and in effect for a period of sixty (60) consecutive days.</w:t>
      </w:r>
    </w:p>
    <w:p>
      <w:pPr>
        <w:spacing w:after="0" w:line="167" w:lineRule="exact"/>
        <w:rPr>
          <w:rFonts w:ascii="Arial" w:cs="Arial" w:eastAsia="Arial" w:hAnsi="Arial"/>
          <w:sz w:val="17"/>
          <w:szCs w:val="17"/>
          <w:color w:val="auto"/>
        </w:rPr>
      </w:pPr>
    </w:p>
    <w:p>
      <w:pPr>
        <w:ind w:left="620" w:hanging="184"/>
        <w:spacing w:after="0"/>
        <w:tabs>
          <w:tab w:leader="none" w:pos="62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00" w:firstLine="987"/>
        <w:spacing w:after="0" w:line="279" w:lineRule="auto"/>
        <w:tabs>
          <w:tab w:leader="none" w:pos="1236" w:val="left"/>
        </w:tabs>
        <w:numPr>
          <w:ilvl w:val="1"/>
          <w:numId w:val="179"/>
        </w:numPr>
        <w:rPr>
          <w:rFonts w:ascii="Arial" w:cs="Arial" w:eastAsia="Arial" w:hAnsi="Arial"/>
          <w:sz w:val="17"/>
          <w:szCs w:val="17"/>
          <w:color w:val="auto"/>
        </w:rPr>
      </w:pPr>
      <w:r>
        <w:rPr>
          <w:rFonts w:ascii="Arial" w:cs="Arial" w:eastAsia="Arial" w:hAnsi="Arial"/>
          <w:sz w:val="17"/>
          <w:szCs w:val="17"/>
          <w:color w:val="auto"/>
        </w:rPr>
        <w:t>Upon the occurrence of an Event of Default specified in Section 5(a), Payee may, by written notice to Maker, declare the unpaid principal amount of this Note to be immediately due and payable, whereupon such unpaid principal amount,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auto"/>
        </w:rPr>
      </w:pPr>
    </w:p>
    <w:p>
      <w:pPr>
        <w:ind w:right="260" w:firstLine="987"/>
        <w:spacing w:after="0" w:line="263" w:lineRule="auto"/>
        <w:tabs>
          <w:tab w:leader="none" w:pos="124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5(b) or 5(c), the unpaid principal amount of this Note, and all other sums payable with regard to this Note, shall automatically and immediately become due and payable, in all cases without any action on the part of Payee.</w:t>
      </w:r>
    </w:p>
    <w:p>
      <w:pPr>
        <w:spacing w:after="0" w:line="179" w:lineRule="exact"/>
        <w:rPr>
          <w:rFonts w:ascii="Arial" w:cs="Arial" w:eastAsia="Arial" w:hAnsi="Arial"/>
          <w:sz w:val="18"/>
          <w:szCs w:val="18"/>
          <w:color w:val="auto"/>
        </w:rPr>
      </w:pPr>
    </w:p>
    <w:p>
      <w:pPr>
        <w:ind w:firstLine="436"/>
        <w:spacing w:after="0" w:line="294" w:lineRule="auto"/>
        <w:tabs>
          <w:tab w:leader="none" w:pos="620"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w:t>
      </w:r>
      <w:r>
        <w:rPr>
          <w:rFonts w:ascii="Arial" w:cs="Arial" w:eastAsia="Arial" w:hAnsi="Arial"/>
          <w:sz w:val="16"/>
          <w:szCs w:val="16"/>
          <w:b w:val="1"/>
          <w:bCs w:val="1"/>
          <w:color w:val="auto"/>
        </w:rPr>
        <w:t xml:space="preserve"> </w:t>
      </w:r>
      <w:r>
        <w:rPr>
          <w:rFonts w:ascii="Arial" w:cs="Arial" w:eastAsia="Arial" w:hAnsi="Arial"/>
          <w:sz w:val="16"/>
          <w:szCs w:val="16"/>
          <w:color w:val="auto"/>
        </w:rPr>
        <w:t>protest and notice of protest with regard to this Note, all errors, defects and imperfections in any proceedings instituted by Payee under the terms of this Note, and all benefits that might accrue to Maker by virtue of any laws exempting any property, real or personal, or any part of the proceeds arising from any sale of any such property, from attachment, levy or sale under execution, or providing for any stay of execution, exemption from civil process, or extension of time for payment. Maker further agrees that any real estate that may be levied upon pursuant to a judgment obtained by virtue hereof, on any writ of execution issued hereon, may be sold upon any such writ in whole or in part in any order desired by Payee.</w:t>
      </w:r>
    </w:p>
    <w:p>
      <w:pPr>
        <w:spacing w:after="0" w:line="159" w:lineRule="exact"/>
        <w:rPr>
          <w:rFonts w:ascii="Arial" w:cs="Arial" w:eastAsia="Arial" w:hAnsi="Arial"/>
          <w:sz w:val="16"/>
          <w:szCs w:val="16"/>
          <w:b w:val="1"/>
          <w:bCs w:val="1"/>
          <w:color w:val="auto"/>
        </w:rPr>
      </w:pPr>
    </w:p>
    <w:p>
      <w:pPr>
        <w:ind w:right="60" w:firstLine="436"/>
        <w:spacing w:after="0" w:line="256" w:lineRule="auto"/>
        <w:tabs>
          <w:tab w:leader="none" w:pos="62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87" w:lineRule="exact"/>
        <w:rPr>
          <w:rFonts w:ascii="Arial" w:cs="Arial" w:eastAsia="Arial" w:hAnsi="Arial"/>
          <w:sz w:val="18"/>
          <w:szCs w:val="18"/>
          <w:b w:val="1"/>
          <w:bCs w:val="1"/>
          <w:color w:val="auto"/>
        </w:rPr>
      </w:pPr>
    </w:p>
    <w:p>
      <w:pPr>
        <w:ind w:firstLine="436"/>
        <w:spacing w:after="0" w:line="256" w:lineRule="auto"/>
        <w:tabs>
          <w:tab w:leader="none" w:pos="62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statements or other documents which are required or contemplated by this Note shall be in writing and (i)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sent by first class registered or certified mail or overnight courier service to the address designated in writing, or (ii) sent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or if sent by electronic transmission, one (1) business day after delivery to an overnight courier service if sent by overnight courier service or five (5) days after mailing if sent by mail.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67" w:name="page268"/>
    <w:bookmarkEnd w:id="267"/>
    <w:p>
      <w:pPr>
        <w:ind w:right="60" w:firstLine="436"/>
        <w:spacing w:after="0" w:line="282" w:lineRule="auto"/>
        <w:tabs>
          <w:tab w:leader="none" w:pos="71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Governing Law. </w:t>
      </w:r>
      <w:r>
        <w:rPr>
          <w:rFonts w:ascii="Arial" w:cs="Arial" w:eastAsia="Arial" w:hAnsi="Arial"/>
          <w:sz w:val="18"/>
          <w:szCs w:val="18"/>
          <w:color w:val="auto"/>
        </w:rPr>
        <w:t>THIS NOTE SHALL BE CONSTRUED AND ENFORCED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w:t>
      </w:r>
    </w:p>
    <w:p>
      <w:pPr>
        <w:spacing w:after="0" w:line="161" w:lineRule="exact"/>
        <w:rPr>
          <w:rFonts w:ascii="Arial" w:cs="Arial" w:eastAsia="Arial" w:hAnsi="Arial"/>
          <w:sz w:val="18"/>
          <w:szCs w:val="18"/>
          <w:b w:val="1"/>
          <w:bCs w:val="1"/>
          <w:color w:val="auto"/>
        </w:rPr>
      </w:pPr>
    </w:p>
    <w:p>
      <w:pPr>
        <w:ind w:right="200" w:firstLine="436"/>
        <w:spacing w:after="0" w:line="289" w:lineRule="auto"/>
        <w:tabs>
          <w:tab w:leader="none" w:pos="70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rFonts w:ascii="Arial" w:cs="Arial" w:eastAsia="Arial" w:hAnsi="Arial"/>
          <w:sz w:val="17"/>
          <w:szCs w:val="17"/>
          <w:b w:val="1"/>
          <w:bCs w:val="1"/>
          <w:color w:val="auto"/>
        </w:rPr>
      </w:pPr>
    </w:p>
    <w:p>
      <w:pPr>
        <w:ind w:left="700" w:hanging="264"/>
        <w:spacing w:after="0"/>
        <w:tabs>
          <w:tab w:leader="none" w:pos="70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Payee hereby waives any and all right, title, interest or claim of any kind</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or from the trust account to be established in which proceeds of the IPO (including the deferred underwriting discounts and commissions) and proceeds of the sale of the Class A ordinary shares issued in a private placement to occur in connection with the IPO are to be deposited, as described in greater detail in the registration statement and prospectus to be filed by Maker with the Securities and Exchange Commission in connection with the IPO, and hereby agrees not to seek recourse, reimbursement, payment or satisfaction for any Claim against the trust account for any reason whatsoever.</w:t>
      </w:r>
    </w:p>
    <w:p>
      <w:pPr>
        <w:spacing w:after="0" w:line="187" w:lineRule="exact"/>
        <w:rPr>
          <w:sz w:val="20"/>
          <w:szCs w:val="20"/>
          <w:color w:val="auto"/>
        </w:rPr>
      </w:pPr>
    </w:p>
    <w:p>
      <w:pPr>
        <w:ind w:right="20" w:firstLine="436"/>
        <w:spacing w:after="0" w:line="258" w:lineRule="auto"/>
        <w:tabs>
          <w:tab w:leader="none" w:pos="71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Maker and Payee (in the case of an amendment) or the written consent of the party entitled to the benefit of such provision (in the case of a waiver). No such waiver or consent shall be deemed to be or shall constitute a waiver or consent with respect to any other provision hereof, whether or not similar. Each such waiver or consent shall be effective only in the specific instance and for the purpose for which it was given, and shall not constitute a continuing waiver or consent.</w:t>
      </w:r>
    </w:p>
    <w:p>
      <w:pPr>
        <w:spacing w:after="0" w:line="183" w:lineRule="exact"/>
        <w:rPr>
          <w:rFonts w:ascii="Arial" w:cs="Arial" w:eastAsia="Arial" w:hAnsi="Arial"/>
          <w:sz w:val="18"/>
          <w:szCs w:val="18"/>
          <w:b w:val="1"/>
          <w:bCs w:val="1"/>
          <w:color w:val="auto"/>
        </w:rPr>
      </w:pPr>
    </w:p>
    <w:p>
      <w:pPr>
        <w:ind w:right="60" w:firstLine="436"/>
        <w:spacing w:after="0" w:line="347" w:lineRule="auto"/>
        <w:tabs>
          <w:tab w:leader="none" w:pos="710"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law or otherwise) without the prior written consent of the other party hereto and any attempted assignment without the required consent shall be void.</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0" w:right="539" w:bottom="1440" w:gutter="0" w:footer="0" w:header="0"/>
        </w:sectPr>
      </w:pPr>
    </w:p>
    <w:bookmarkStart w:id="268" w:name="page269"/>
    <w:bookmarkEnd w:id="26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SOCIAL CAPITAL SUVRETTA HOLDINGS CORP. III</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Chamath Palihapitiya</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ACKNOWLEDGED: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SCS SPONSOR III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Chamath Palihapitiya</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Chamath Palihapitiya</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Promissory Note</w:t>
      </w:r>
      <w:r>
        <w:rPr>
          <w:rFonts w:ascii="Arial" w:cs="Arial" w:eastAsia="Arial" w:hAnsi="Arial"/>
          <w:sz w:val="18"/>
          <w:szCs w:val="18"/>
          <w:color w:val="auto"/>
        </w:rPr>
        <w:t>]</w:t>
      </w:r>
    </w:p>
    <w:p>
      <w:pPr>
        <w:sectPr>
          <w:pgSz w:w="11900" w:h="16838" w:orient="portrait"/>
          <w:cols w:equalWidth="0" w:num="1">
            <w:col w:w="10840"/>
          </w:cols>
          <w:pgMar w:left="440" w:top="270" w:right="61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Social Capital Suvretta Holdings Corp.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2850 W. Horizon Ridge Parkway,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Henderson, NV 89052</w:t>
      </w:r>
    </w:p>
    <w:p>
      <w:pPr>
        <w:spacing w:after="0" w:line="21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letter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is being delivered to you in accordance with the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entered into or proposed to be entered into by and between Social Capital Suvretta Holdings Corp. III, a Cayman Islands exempted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Morgan Stanley &amp; Co. LLC, as the representative of the underwriters named therein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relating to an underwritten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initial public offering (the “</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 of 23,000,000 of the Company’s Class A ordinary shares, par value $0.0001 per share (the “</w:t>
      </w:r>
      <w:r>
        <w:rPr>
          <w:rFonts w:ascii="Arial" w:cs="Arial" w:eastAsia="Arial" w:hAnsi="Arial"/>
          <w:sz w:val="17"/>
          <w:szCs w:val="17"/>
          <w:b w:val="1"/>
          <w:bCs w:val="1"/>
          <w:i w:val="1"/>
          <w:iCs w:val="1"/>
          <w:color w:val="auto"/>
        </w:rPr>
        <w:t>Ordinary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Shares</w:t>
      </w:r>
      <w:r>
        <w:rPr>
          <w:rFonts w:ascii="Arial" w:cs="Arial" w:eastAsia="Arial" w:hAnsi="Arial"/>
          <w:sz w:val="16"/>
          <w:szCs w:val="16"/>
          <w:color w:val="auto"/>
        </w:rPr>
        <w:t>”) (including up to 3,000,000 Ordinary Shares that may be purchased to cover over-allotments, if any). The Ordinary Shares shall be sold in the</w:t>
      </w:r>
    </w:p>
    <w:p>
      <w:pPr>
        <w:spacing w:after="0" w:line="32"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Public Offering pursuant to a registration statement on Form S-1 (File No. 333- ) and a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xml:space="preserve">”). Certain capitalized terms used herein are defined in </w:t>
      </w:r>
      <w:r>
        <w:rPr>
          <w:rFonts w:ascii="Arial" w:cs="Arial" w:eastAsia="Arial" w:hAnsi="Arial"/>
          <w:sz w:val="17"/>
          <w:szCs w:val="17"/>
          <w:u w:val="single" w:color="auto"/>
          <w:color w:val="auto"/>
        </w:rPr>
        <w:t>paragraph 11</w:t>
      </w:r>
      <w:r>
        <w:rPr>
          <w:rFonts w:ascii="Arial" w:cs="Arial" w:eastAsia="Arial" w:hAnsi="Arial"/>
          <w:sz w:val="17"/>
          <w:szCs w:val="17"/>
          <w:color w:val="auto"/>
        </w:rPr>
        <w:t xml:space="preserve"> hereof.</w:t>
      </w:r>
    </w:p>
    <w:p>
      <w:pPr>
        <w:spacing w:after="0" w:line="161"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Public Offering and for other good and valuable consideration, the receipt and sufficiency of which are hereby acknowledged, SCS Sponsor III LLC, a Cayman Islands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and the other undersigned persons (each, an “</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each hereby agrees with the Company as follows:</w:t>
      </w:r>
    </w:p>
    <w:p>
      <w:pPr>
        <w:spacing w:after="0" w:line="79" w:lineRule="exact"/>
        <w:rPr>
          <w:sz w:val="20"/>
          <w:szCs w:val="20"/>
          <w:color w:val="auto"/>
        </w:rPr>
      </w:pPr>
    </w:p>
    <w:p>
      <w:pPr>
        <w:ind w:right="280" w:firstLine="436"/>
        <w:spacing w:after="0" w:line="301" w:lineRule="auto"/>
        <w:tabs>
          <w:tab w:leader="none" w:pos="6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Sponsor and each Insider agrees with the Company that if the Company seeks shareholder approval of a proposed initial Business Combination, then in connection with such proposed initial Business Combination, it, he or she shall (a) vote any Shares owned by it, him or her in favor of such proposed initial Business Combination (including any proposals recommended by the Company’s board of directors in connection with such proposed initial Business Combination) and (b) not redeem any Shares owned by it, him or her in connection with such shareholder approval.</w:t>
      </w:r>
    </w:p>
    <w:p>
      <w:pPr>
        <w:spacing w:after="0" w:line="157" w:lineRule="exact"/>
        <w:rPr>
          <w:rFonts w:ascii="Arial" w:cs="Arial" w:eastAsia="Arial" w:hAnsi="Arial"/>
          <w:sz w:val="16"/>
          <w:szCs w:val="16"/>
          <w:color w:val="auto"/>
        </w:rPr>
      </w:pPr>
    </w:p>
    <w:p>
      <w:pPr>
        <w:ind w:right="20" w:firstLine="436"/>
        <w:spacing w:after="0" w:line="285" w:lineRule="auto"/>
        <w:tabs>
          <w:tab w:leader="none" w:pos="6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Sponsor and each Insider hereby agrees with the Company that in the event that the Company fails to consummate its initial Business Combination within 24 months from the closing of the Public Offering, or such later period approved by the Company’s shareholders in accordance with the Company’s amended and restated memorandum and articles of association, as they may be amended from time to time, the Sponsor and each Insider shall take all reasonable steps to cause the Company to (a) cease all operations except for the purpose of winding up, (b) as promptly as reasonably possible but not more than ten (10) business days thereafter, redeem 100% of the Ordinary Shares sold in the Public Offering (the “</w:t>
      </w:r>
      <w:r>
        <w:rPr>
          <w:rFonts w:ascii="Arial" w:cs="Arial" w:eastAsia="Arial" w:hAnsi="Arial"/>
          <w:sz w:val="16"/>
          <w:szCs w:val="16"/>
          <w:b w:val="1"/>
          <w:bCs w:val="1"/>
          <w:i w:val="1"/>
          <w:iCs w:val="1"/>
          <w:color w:val="auto"/>
        </w:rPr>
        <w:t>Public Shares</w:t>
      </w:r>
      <w:r>
        <w:rPr>
          <w:rFonts w:ascii="Arial" w:cs="Arial" w:eastAsia="Arial" w:hAnsi="Arial"/>
          <w:sz w:val="16"/>
          <w:szCs w:val="16"/>
          <w:color w:val="auto"/>
        </w:rPr>
        <w:t>”), at a per 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all Public Shareholders’ rights as shareholders (including the right to receive further liquidation distributions, if any), and (c) as promptly as reasonably possible following such redemption, subject to the approval of the Company’s remaining shareholders and the Company’s board of directors, liquidate and dissolve, subject in each case to the Company’s obligations under Cayman Islands law to provide for claims of creditors and the other requirements of applicable law. The Sponsor and each Insider agrees not to propose any amendment to the Company’s amended and restated memorandum and articles of association (i) to modify the substance or timing of the Company’s obligation to allow redemption in connection with the Company’s initial Business Combination or to redeem 100% of the Public Shares if the Company does not complete its initial Business Combination within 24 months from the closing of the Public Offering, or (ii) with respect to any other material provisions relating to shareholders’ rights or pre-initial Business Combination activity, unless the Company provides its Public Shareholders with the opportunity to redeem their Public Shares upon approval of any such amendment at a per share price, payable in cash, equal to the aggregate amount then on deposit in the Trust Account, including interest (which interest shall be net of taxes payable), divided by the number of then issued and outstanding Public Shares.</w:t>
      </w:r>
    </w:p>
    <w:p>
      <w:pPr>
        <w:sectPr>
          <w:pgSz w:w="11900" w:h="16838" w:orient="portrait"/>
          <w:cols w:equalWidth="0" w:num="1">
            <w:col w:w="11020"/>
          </w:cols>
          <w:pgMar w:left="440" w:top="125" w:right="439" w:bottom="1440" w:gutter="0" w:footer="0" w:header="0"/>
        </w:sectPr>
      </w:pPr>
    </w:p>
    <w:bookmarkStart w:id="270" w:name="page271"/>
    <w:bookmarkEnd w:id="270"/>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Sponsor and each Insider acknowledges that it, he or she has no right, title, interest or claim of any kind in or to any monies held in the Trust Account or any other asset of the Company as a result of any liquidation of the Company with respect to the Founder Shares or Private Placement Shares held by it. The Sponsor and each Insider hereby further waives, with respect to any Shares held by it, him or her, if any, any redemption rights it, he or she may have in connection with (x) the consummation of an initial Business Combination, including, without limitation, any such rights available in the context of a shareholder vote to approve such initial Business Combination or in the context of a tender offer made by the Company to purchase Ordinary Shares and (y) a shareholder vote to amend the Company’s amended and restated memorandum and articles of association (i) to modify the substance or timing of the Company’s obligation to allow redemption in connection with the Company’s initial Business Combination or to redeem 100% of the Public Shares if the Company does not complete its initial Business Combination within 24 months from the closing of the Public Offering, or (ii) with respect to any other material provisions relating to shareholders’ rights or pre-initial Business Combination activity (although the Sponsor and the Insiders shall be entitled to redemption and liquidation rights with respect to any Public Shares it or they hold if the Company fails to consummate its initial Business Combination within 24 months from the closing of the Public Offering).</w:t>
      </w:r>
    </w:p>
    <w:p>
      <w:pPr>
        <w:spacing w:after="0" w:line="172" w:lineRule="exact"/>
        <w:rPr>
          <w:sz w:val="20"/>
          <w:szCs w:val="20"/>
          <w:color w:val="auto"/>
        </w:rPr>
      </w:pPr>
    </w:p>
    <w:p>
      <w:pPr>
        <w:ind w:right="60" w:firstLine="436"/>
        <w:spacing w:after="0" w:line="286" w:lineRule="auto"/>
        <w:tabs>
          <w:tab w:leader="none" w:pos="6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w:t>
      </w:r>
      <w:r>
        <w:rPr>
          <w:rFonts w:ascii="Arial" w:cs="Arial" w:eastAsia="Arial" w:hAnsi="Arial"/>
          <w:sz w:val="16"/>
          <w:szCs w:val="16"/>
          <w:u w:val="single" w:color="auto"/>
          <w:color w:val="auto"/>
        </w:rPr>
        <w:t>paragraphs 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below, during the period commencing on the effective date of the Underwriting Agreement and ending 180 days after such date, the Sponsor and each Insider shall not, without the prior written consent of the Underwriters, offer, sell, contract to sell, pledge or otherwise dispose of (or enter into any transaction that is designed to, or might reasonably be expected to, result in the disposition (whether by actual disposition or effective economic disposition due to cash settlement or otherwise)), directly or indirectly, or establish or increase a put equivalent position or liquidate or decrease a call equivalent position within the meaning of Section 16 (“</w:t>
      </w:r>
      <w:r>
        <w:rPr>
          <w:rFonts w:ascii="Arial" w:cs="Arial" w:eastAsia="Arial" w:hAnsi="Arial"/>
          <w:sz w:val="16"/>
          <w:szCs w:val="16"/>
          <w:b w:val="1"/>
          <w:bCs w:val="1"/>
          <w:i w:val="1"/>
          <w:iCs w:val="1"/>
          <w:color w:val="auto"/>
        </w:rPr>
        <w:t>Section 16</w:t>
      </w:r>
      <w:r>
        <w:rPr>
          <w:rFonts w:ascii="Arial" w:cs="Arial" w:eastAsia="Arial" w:hAnsi="Arial"/>
          <w:sz w:val="16"/>
          <w:szCs w:val="16"/>
          <w:color w:val="auto"/>
        </w:rPr>
        <w:t xml:space="preserve">”) of the Securities Exchange Act of 1934, as amended, and the rules and regulations of the Commission promulgated thereunder, with respect to, any Shares or any securities convertible into, or exercisable or exchangeable for, Shares, or publicly announce an intention to effect any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does not apply to the forfeiture of any Founder Shares pursuant to their terms or any transfer of Founder Shares to any current or future independent director of the company (as long as such current or future independent director transferee is subject to this Letter Agreement or executes an agreement substantially identical to the terms of this Letter Agreement, as applicable to directors and officers at the time of such transfer; and as long as, to the extent any Section 16 reporting obligation is triggered as a result of such transfer, any related Section 16 filing includes a practical explanation as to the nature of the transfer). The restrictions of this </w:t>
      </w:r>
      <w:r>
        <w:rPr>
          <w:rFonts w:ascii="Arial" w:cs="Arial" w:eastAsia="Arial" w:hAnsi="Arial"/>
          <w:sz w:val="16"/>
          <w:szCs w:val="16"/>
          <w:u w:val="single" w:color="auto"/>
          <w:color w:val="auto"/>
        </w:rPr>
        <w:t>paragraph 3</w:t>
      </w:r>
      <w:r>
        <w:rPr>
          <w:rFonts w:ascii="Arial" w:cs="Arial" w:eastAsia="Arial" w:hAnsi="Arial"/>
          <w:sz w:val="16"/>
          <w:szCs w:val="16"/>
          <w:color w:val="auto"/>
        </w:rPr>
        <w:t xml:space="preserve">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170" w:lineRule="exact"/>
        <w:rPr>
          <w:rFonts w:ascii="Arial" w:cs="Arial" w:eastAsia="Arial" w:hAnsi="Arial"/>
          <w:sz w:val="16"/>
          <w:szCs w:val="16"/>
          <w:color w:val="auto"/>
        </w:rPr>
      </w:pPr>
    </w:p>
    <w:p>
      <w:pPr>
        <w:ind w:firstLine="436"/>
        <w:spacing w:after="0" w:line="285" w:lineRule="auto"/>
        <w:tabs>
          <w:tab w:leader="none" w:pos="6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 the event of the liquidation of the Trust Account, the Sponsor (which for purposes of clarification shall not extend to any other shareholders, members or managers of the Sponsor)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or any claim whatsoever) to which the Company may become subject as a result of any claim by (a) any third party for services rendered (other than the Company’s independent registered public accountants) or products sold to the Company or (b) a prospective target business with which the Company has discussed entering into a transaction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 xml:space="preserve">”), except as to any claims by a third party who executed a waiver of any and all rights to seek access to the Trust Account and except as to any claims under the Company’s indemnity of the Underwriters against certain liabilities, including liabilities under the Securities Act of 1933, as amended;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indemnification of the Company by the Sponsor shall apply only to the extent necessary to ensure that such claims by a third party for services rendered (other than the Company’s independent registered public accountants) or products sold to the Company or a Target do not reduce the amount of funds in the Trust Account to below (i) $10.00 per Public Share or (ii) such lesser amount per Public Share held in the Trust Account as of the date of the liquidation of the Trust Account due to reductions in the value of the trust assets, in each case, net of the amount of interest earned on the property in the Trust Account which may be withdrawn to pay taxes. In the event that any such executed waiver is deemed to be unenforceable against such third party, the Sponsor shall not be responsible to the extent of any liability for such third party claims. The Sponsor shall have the right to defend against any such claim with counsel of its choice reasonably satisfactory to the Company if, within 15 days following written receipt of notice of the claim to the Sponsor, the Sponsor notifies the Company in writing that it shall undertake such defense.</w:t>
      </w:r>
    </w:p>
    <w:p>
      <w:pPr>
        <w:sectPr>
          <w:pgSz w:w="11900" w:h="16838" w:orient="portrait"/>
          <w:cols w:equalWidth="0" w:num="1">
            <w:col w:w="11000"/>
          </w:cols>
          <w:pgMar w:left="440" w:top="274" w:right="459" w:bottom="1440" w:gutter="0" w:footer="0" w:header="0"/>
        </w:sectPr>
      </w:pPr>
    </w:p>
    <w:bookmarkStart w:id="271" w:name="page272"/>
    <w:bookmarkEnd w:id="271"/>
    <w:p>
      <w:pPr>
        <w:ind w:left="4" w:firstLine="436"/>
        <w:spacing w:after="0" w:line="286" w:lineRule="auto"/>
        <w:tabs>
          <w:tab w:leader="none" w:pos="624" w:val="left"/>
        </w:tabs>
        <w:numPr>
          <w:ilvl w:val="1"/>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that the Underwriters do not exercise in full their over-allotment option to purchase up to an additional 3,000,000 Ordinary Shares within 45 days from the date of the Prospectus (and as further described in the Prospectus), the Sponsor agrees that it shall forfeit, at no cost, a number of Founder Shares in the aggregate equal to 750,000 multiplied by a fraction, (a) the numerator of which is 3,000,000 minus the number of Ordinary Shares purchased by the Underwriters upon the exercise of their over-allotment option, and (b) the denominator of which is 3,000,000. All references in this Letter Agreement to Founder Shares of the Company being forfeited shall take effect as surrenders for no consideration of such Founder Shares as a matter of Cayman Islands law. The Initial Shareholders further agree that to the extent that the size of the Public Offering is increased or decreased, the Company will effect a capitalization or share repurchase or redemption, as applicable, immediately prior to the consummation of the Public Offering in such amount as to maintain the number of Founder Shares at 25.0% of the number of Ordinary Shares issued in the Public Offering. In connection with such increase or decrease in the size of the Public Offering, then (i) the references to 3,000,000 in the numerator and denominator of the formula in the first sentence of this paragraph 5 shall be changed to a number equal to 15% of the number of Ordinary Shares issued in the Public Offering and (ii) the reference to 750,000 in the formula set forth in the first sentence of this </w:t>
      </w:r>
      <w:r>
        <w:rPr>
          <w:rFonts w:ascii="Arial" w:cs="Arial" w:eastAsia="Arial" w:hAnsi="Arial"/>
          <w:sz w:val="16"/>
          <w:szCs w:val="16"/>
          <w:u w:val="single" w:color="auto"/>
          <w:color w:val="auto"/>
        </w:rPr>
        <w:t>paragraph 5</w:t>
      </w:r>
      <w:r>
        <w:rPr>
          <w:rFonts w:ascii="Arial" w:cs="Arial" w:eastAsia="Arial" w:hAnsi="Arial"/>
          <w:sz w:val="16"/>
          <w:szCs w:val="16"/>
          <w:color w:val="auto"/>
        </w:rPr>
        <w:t xml:space="preserve"> shall be adjusted to such number of Founder Shares that the Sponsor would have to return to the Company in order for the number of Founder Shares to equal 25.0% of the number of Ordinary Shares issued in the Public Offering (assuming no exercise of the Underwriters’ over-allotment option to purchase additional Ordinary Shares in the Public Offering).</w:t>
      </w:r>
    </w:p>
    <w:p>
      <w:pPr>
        <w:spacing w:after="0" w:line="173" w:lineRule="exact"/>
        <w:rPr>
          <w:rFonts w:ascii="Arial" w:cs="Arial" w:eastAsia="Arial" w:hAnsi="Arial"/>
          <w:sz w:val="16"/>
          <w:szCs w:val="16"/>
          <w:color w:val="auto"/>
        </w:rPr>
      </w:pPr>
    </w:p>
    <w:p>
      <w:pPr>
        <w:ind w:left="4" w:right="100" w:firstLine="436"/>
        <w:spacing w:after="0" w:line="291" w:lineRule="auto"/>
        <w:tabs>
          <w:tab w:leader="none" w:pos="62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The Sponsor and each Insider hereby agrees and acknowledges that: (a) the Underwriters and the Company would be irreparably injured in the event of a breach by the Sponsor or such Insider of its, his or her obligations under </w:t>
      </w:r>
      <w:r>
        <w:rPr>
          <w:rFonts w:ascii="Arial" w:cs="Arial" w:eastAsia="Arial" w:hAnsi="Arial"/>
          <w:sz w:val="16"/>
          <w:szCs w:val="16"/>
          <w:u w:val="single" w:color="auto"/>
          <w:color w:val="auto"/>
        </w:rPr>
        <w:t>paragraphs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t>
      </w:r>
      <w:r>
        <w:rPr>
          <w:rFonts w:ascii="Arial" w:cs="Arial" w:eastAsia="Arial" w:hAnsi="Arial"/>
          <w:sz w:val="16"/>
          <w:szCs w:val="16"/>
          <w:u w:val="single" w:color="auto"/>
          <w:color w:val="auto"/>
        </w:rPr>
        <w:t>7(a)</w:t>
      </w:r>
      <w:r>
        <w:rPr>
          <w:rFonts w:ascii="Arial" w:cs="Arial" w:eastAsia="Arial" w:hAnsi="Arial"/>
          <w:sz w:val="16"/>
          <w:szCs w:val="16"/>
          <w:color w:val="auto"/>
        </w:rPr>
        <w:t xml:space="preserve">, </w:t>
      </w:r>
      <w:r>
        <w:rPr>
          <w:rFonts w:ascii="Arial" w:cs="Arial" w:eastAsia="Arial" w:hAnsi="Arial"/>
          <w:sz w:val="16"/>
          <w:szCs w:val="16"/>
          <w:u w:val="single" w:color="auto"/>
          <w:color w:val="auto"/>
        </w:rPr>
        <w:t>7(b)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of this Letter Agreement;</w:t>
      </w:r>
    </w:p>
    <w:p>
      <w:pPr>
        <w:ind w:left="4" w:right="400" w:hanging="4"/>
        <w:spacing w:after="0" w:line="260" w:lineRule="auto"/>
        <w:tabs>
          <w:tab w:leader="none" w:pos="25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monetary damages may not be an adequate remedy for such breach; and (c) the non-breaching party shall be entitled to seek injunctive relief, in addition to any other remedy that such party may have in law or in equity, in the event of such breach.</w:t>
      </w:r>
    </w:p>
    <w:p>
      <w:pPr>
        <w:spacing w:after="0" w:line="185" w:lineRule="exact"/>
        <w:rPr>
          <w:rFonts w:ascii="Arial" w:cs="Arial" w:eastAsia="Arial" w:hAnsi="Arial"/>
          <w:sz w:val="18"/>
          <w:szCs w:val="18"/>
          <w:color w:val="auto"/>
        </w:rPr>
      </w:pPr>
    </w:p>
    <w:p>
      <w:pPr>
        <w:ind w:left="4" w:right="20" w:firstLine="436"/>
        <w:spacing w:after="0" w:line="254" w:lineRule="auto"/>
        <w:tabs>
          <w:tab w:leader="none" w:pos="62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 The Sponsor and each Insider agrees that it, he or she shall not Transfer (as defined below) any Founder Shares (or Ordinary Shares issuable upon conversion thereof) until the earlier of (i) one year after the completion of the Company’s initial Business Combination and (ii) subsequent to the initial Business Combination, (x) if the last reported sale price of the Ordinary Shares equals or exceeds $12.00 per share (as adjusted for share sub-divisions, share dividends, rights issuances, reorganizations, recapitalizations and the like) for any 20 trading days within any 30-trading day period commencing at least 150 days after the Company’s initial Business Combination or (y) the date following the completion of the Company’s initial Business Combination on which the Company completes a liquidation, merger, share exchange, reorganization or other similar transaction that results in all of the Company’s shareholders having the right to exchange their Ordinary Shares for cash, securities or other property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4" w:right="60" w:firstLine="987"/>
        <w:spacing w:after="0" w:line="263" w:lineRule="auto"/>
        <w:tabs>
          <w:tab w:leader="none" w:pos="125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The Sponsor and each Insider agrees that it, he or she shall not Transfer any Private Placement Shares until 30 days after the completion of an initial Business Combination (the “</w:t>
      </w:r>
      <w:r>
        <w:rPr>
          <w:rFonts w:ascii="Arial" w:cs="Arial" w:eastAsia="Arial" w:hAnsi="Arial"/>
          <w:sz w:val="18"/>
          <w:szCs w:val="18"/>
          <w:b w:val="1"/>
          <w:bCs w:val="1"/>
          <w:i w:val="1"/>
          <w:iCs w:val="1"/>
          <w:color w:val="auto"/>
        </w:rPr>
        <w:t>Private Placement Shares Lock-up Period</w:t>
      </w:r>
      <w:r>
        <w:rPr>
          <w:rFonts w:ascii="Arial" w:cs="Arial" w:eastAsia="Arial" w:hAnsi="Arial"/>
          <w:sz w:val="18"/>
          <w:szCs w:val="18"/>
          <w:color w:val="auto"/>
        </w:rPr>
        <w:t>”, together with the Founder Shares Lock-up Period, the “</w:t>
      </w:r>
      <w:r>
        <w:rPr>
          <w:rFonts w:ascii="Arial" w:cs="Arial" w:eastAsia="Arial" w:hAnsi="Arial"/>
          <w:sz w:val="18"/>
          <w:szCs w:val="18"/>
          <w:b w:val="1"/>
          <w:bCs w:val="1"/>
          <w:i w:val="1"/>
          <w:iCs w:val="1"/>
          <w:color w:val="auto"/>
        </w:rPr>
        <w:t>Lock-up Periods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120" w:firstLine="987"/>
        <w:spacing w:after="0" w:line="289" w:lineRule="auto"/>
        <w:tabs>
          <w:tab w:leader="none" w:pos="1240" w:val="left"/>
        </w:tabs>
        <w:numPr>
          <w:ilvl w:val="2"/>
          <w:numId w:val="185"/>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w:t>
      </w:r>
      <w:r>
        <w:rPr>
          <w:rFonts w:ascii="Arial" w:cs="Arial" w:eastAsia="Arial" w:hAnsi="Arial"/>
          <w:sz w:val="16"/>
          <w:szCs w:val="16"/>
          <w:u w:val="single" w:color="auto"/>
          <w:color w:val="auto"/>
        </w:rPr>
        <w:t>paragraphs 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transfers of the Founder Shares, Private Placement Shares and Ordinary Shares issued or issuable upon the conversion of the Founder Shares are permitted: (i) to the Company’s directors or officers, any affiliates or family members of the Company’s directors or officers, the Sponsor, any members of the Sponsor or any affiliates of the Sponsor; (ii) in the case of an individual, by gift to a member of the individual’s immediate family, or to a trust, the beneficiary of which is a member of the individual’s immediate family or an affiliate of such person, or to a charitable organization; (iii) in the case of an individual, by virtue of laws of descent and distribution upon death of the individual; (iv) in the case of an individual, pursuant to a qualified domestic relations order; (v) by private sales or transfers made in connection with the consummation of a Business Combination at prices no greater than the price at which the securities were originally purchased; (vi) in the event of the Company’s liquidation prior to the Company’s completion of an initial Business Combination; (vii) in the case of an entity, by virtue of the laws of its jurisdiction or its organizational documents or operating agreement; and (viii) in the event of the Company’s</w:t>
      </w:r>
    </w:p>
    <w:p>
      <w:pPr>
        <w:sectPr>
          <w:pgSz w:w="11900" w:h="16838" w:orient="portrait"/>
          <w:cols w:equalWidth="0" w:num="1">
            <w:col w:w="11004"/>
          </w:cols>
          <w:pgMar w:left="436" w:top="274" w:right="459" w:bottom="1440" w:gutter="0" w:footer="0" w:header="0"/>
        </w:sectPr>
      </w:pPr>
    </w:p>
    <w:bookmarkStart w:id="272" w:name="page273"/>
    <w:bookmarkEnd w:id="27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completion of a liquidation, merger, share exchange, reorganization or other similar transaction which results in all of the Company’s shareholders having the right to exchange their Ordinary Shares for cash, securities or other property subsequent to the completion of the Company’s initial Business Combination;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clauses (i) through (v), these permitted transferees must enter into a written agreement with the Company agreeing to be bound by the transfer restrictions in this Letter Agreement.</w:t>
      </w:r>
    </w:p>
    <w:p>
      <w:pPr>
        <w:spacing w:after="0" w:line="187" w:lineRule="exact"/>
        <w:rPr>
          <w:sz w:val="20"/>
          <w:szCs w:val="20"/>
          <w:color w:val="auto"/>
        </w:rPr>
      </w:pPr>
    </w:p>
    <w:p>
      <w:pPr>
        <w:ind w:firstLine="436"/>
        <w:spacing w:after="0" w:line="253" w:lineRule="auto"/>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if any (including any such information included in the Prospectus), is true and accurate in all respects and does not omit any material information with respect to such Insider’s background. Each Insider’s questionnaire furnished to the Company, if any, is true and accurate in all respects. Each Insider represents and warrants that: (a) it is not subject to, or a respondent in any legal action for, any injunction, cease-and-desist order or order or stipulation to desist or refrain from any act or practice relating to the offering of securities in any jurisdiction; and (b) it has never been convicted of, or pleaded guilty to, any crime (i) involving fraud, (ii) relating to any financial transaction or handling of funds of another person or (iii) pertaining to any dealings in any securities and it is not currently a defendant in any such criminal proceeding.</w:t>
      </w:r>
    </w:p>
    <w:p>
      <w:pPr>
        <w:spacing w:after="0" w:line="196" w:lineRule="exact"/>
        <w:rPr>
          <w:rFonts w:ascii="Arial" w:cs="Arial" w:eastAsia="Arial" w:hAnsi="Arial"/>
          <w:sz w:val="18"/>
          <w:szCs w:val="18"/>
          <w:color w:val="auto"/>
        </w:rPr>
      </w:pPr>
    </w:p>
    <w:p>
      <w:pPr>
        <w:ind w:right="100" w:firstLine="436"/>
        <w:spacing w:after="0" w:line="259" w:lineRule="auto"/>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Except as disclosed in, or as expressly contemplated by, the Prospectus, neither the Sponsor nor any Insider nor any affiliate of the Sponsor or any Insider, nor any director or officer of the Company, shall receive from the Company any finder’s fee, reimbursement, consulting fee, monies in respect of any repayment of a loan or other compensation prior to, or in connection with any services rendered in order to effectuate, the consummation of the Company’s initial Business Combination (regardless of the type of transaction that it is).</w:t>
      </w:r>
    </w:p>
    <w:p>
      <w:pPr>
        <w:spacing w:after="0" w:line="186" w:lineRule="exact"/>
        <w:rPr>
          <w:rFonts w:ascii="Arial" w:cs="Arial" w:eastAsia="Arial" w:hAnsi="Arial"/>
          <w:sz w:val="18"/>
          <w:szCs w:val="18"/>
          <w:color w:val="auto"/>
        </w:rPr>
      </w:pPr>
    </w:p>
    <w:p>
      <w:pPr>
        <w:jc w:val="both"/>
        <w:ind w:right="280" w:firstLine="436"/>
        <w:spacing w:after="0" w:line="311" w:lineRule="auto"/>
        <w:tabs>
          <w:tab w:leader="none" w:pos="71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 director on the board of directors of the Company and hereby consents to being named in the Prospectus as a director of the Company.</w:t>
      </w:r>
    </w:p>
    <w:p>
      <w:pPr>
        <w:spacing w:after="0" w:line="148" w:lineRule="exact"/>
        <w:rPr>
          <w:rFonts w:ascii="Arial" w:cs="Arial" w:eastAsia="Arial" w:hAnsi="Arial"/>
          <w:sz w:val="16"/>
          <w:szCs w:val="16"/>
          <w:color w:val="auto"/>
        </w:rPr>
      </w:pPr>
    </w:p>
    <w:p>
      <w:pPr>
        <w:ind w:firstLine="436"/>
        <w:spacing w:after="0" w:line="268" w:lineRule="auto"/>
        <w:tabs>
          <w:tab w:leader="none" w:pos="704"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As used herein,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shall mean a merger, share exchange, asset acquisition, share purchase, reorganization or similar business combination, involving the Company and one or more businesses; (b)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shall mean, collectively, the Ordinary Shares, the Founder Shares and the Private Placement Shares; (c) “</w:t>
      </w:r>
      <w:r>
        <w:rPr>
          <w:rFonts w:ascii="Arial" w:cs="Arial" w:eastAsia="Arial" w:hAnsi="Arial"/>
          <w:sz w:val="17"/>
          <w:szCs w:val="17"/>
          <w:b w:val="1"/>
          <w:bCs w:val="1"/>
          <w:i w:val="1"/>
          <w:iCs w:val="1"/>
          <w:color w:val="auto"/>
        </w:rPr>
        <w:t>Founder Shares</w:t>
      </w:r>
      <w:r>
        <w:rPr>
          <w:rFonts w:ascii="Arial" w:cs="Arial" w:eastAsia="Arial" w:hAnsi="Arial"/>
          <w:sz w:val="17"/>
          <w:szCs w:val="17"/>
          <w:color w:val="auto"/>
        </w:rPr>
        <w:t>” shall mean the 5,750,000 Class B ordinary shares, par value $0.0001 per share, of the Company issued and outstanding immediately prior to the consummation of the Public Offering; (d) “</w:t>
      </w:r>
      <w:r>
        <w:rPr>
          <w:rFonts w:ascii="Arial" w:cs="Arial" w:eastAsia="Arial" w:hAnsi="Arial"/>
          <w:sz w:val="17"/>
          <w:szCs w:val="17"/>
          <w:b w:val="1"/>
          <w:bCs w:val="1"/>
          <w:i w:val="1"/>
          <w:iCs w:val="1"/>
          <w:color w:val="auto"/>
        </w:rPr>
        <w:t>Initial Shareholders</w:t>
      </w:r>
      <w:r>
        <w:rPr>
          <w:rFonts w:ascii="Arial" w:cs="Arial" w:eastAsia="Arial" w:hAnsi="Arial"/>
          <w:sz w:val="17"/>
          <w:szCs w:val="17"/>
          <w:color w:val="auto"/>
        </w:rPr>
        <w:t>” shall mean the Sponsor and any other person that holds Founder Shares; (e) “</w:t>
      </w:r>
      <w:r>
        <w:rPr>
          <w:rFonts w:ascii="Arial" w:cs="Arial" w:eastAsia="Arial" w:hAnsi="Arial"/>
          <w:sz w:val="17"/>
          <w:szCs w:val="17"/>
          <w:b w:val="1"/>
          <w:bCs w:val="1"/>
          <w:i w:val="1"/>
          <w:iCs w:val="1"/>
          <w:color w:val="auto"/>
        </w:rPr>
        <w:t>Private Placement Shares</w:t>
      </w:r>
      <w:r>
        <w:rPr>
          <w:rFonts w:ascii="Arial" w:cs="Arial" w:eastAsia="Arial" w:hAnsi="Arial"/>
          <w:sz w:val="17"/>
          <w:szCs w:val="17"/>
          <w:color w:val="auto"/>
        </w:rPr>
        <w:t>” shall mean the Ordinary Shares that will be acquired by the Sponsor for an aggregate purchase price of $6,000,000, or $10.00 per Ordinary Share, in a private placement to occur concurrently with the consummation of the Public Offering; (f) “</w:t>
      </w:r>
      <w:r>
        <w:rPr>
          <w:rFonts w:ascii="Arial" w:cs="Arial" w:eastAsia="Arial" w:hAnsi="Arial"/>
          <w:sz w:val="17"/>
          <w:szCs w:val="17"/>
          <w:b w:val="1"/>
          <w:bCs w:val="1"/>
          <w:i w:val="1"/>
          <w:iCs w:val="1"/>
          <w:color w:val="auto"/>
        </w:rPr>
        <w:t>Public Shareholders</w:t>
      </w:r>
      <w:r>
        <w:rPr>
          <w:rFonts w:ascii="Arial" w:cs="Arial" w:eastAsia="Arial" w:hAnsi="Arial"/>
          <w:sz w:val="17"/>
          <w:szCs w:val="17"/>
          <w:color w:val="auto"/>
        </w:rPr>
        <w:t>” shall mean the holders of Public Shares; (g)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shall mean the trust fund into which a portion of the net proceeds of the Public Offering shall be deposited; and (h)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shall mean the (i)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clause (i) or (ii).</w:t>
      </w:r>
    </w:p>
    <w:p>
      <w:pPr>
        <w:spacing w:after="0" w:line="186" w:lineRule="exact"/>
        <w:rPr>
          <w:rFonts w:ascii="Arial" w:cs="Arial" w:eastAsia="Arial" w:hAnsi="Arial"/>
          <w:sz w:val="17"/>
          <w:szCs w:val="17"/>
          <w:color w:val="auto"/>
        </w:rPr>
      </w:pPr>
    </w:p>
    <w:p>
      <w:pPr>
        <w:ind w:right="40" w:firstLine="436"/>
        <w:spacing w:after="0" w:line="257" w:lineRule="auto"/>
        <w:tabs>
          <w:tab w:leader="none" w:pos="71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 each Insider that is the subject of any such change, amendment, modification or waiver and (b) the Sponsor.</w:t>
      </w:r>
    </w:p>
    <w:p>
      <w:pPr>
        <w:sectPr>
          <w:pgSz w:w="11900" w:h="16838" w:orient="portrait"/>
          <w:cols w:equalWidth="0" w:num="1">
            <w:col w:w="11000"/>
          </w:cols>
          <w:pgMar w:left="440" w:top="274" w:right="459" w:bottom="1440" w:gutter="0" w:footer="0" w:header="0"/>
        </w:sectPr>
      </w:pPr>
    </w:p>
    <w:bookmarkStart w:id="273" w:name="page274"/>
    <w:bookmarkEnd w:id="273"/>
    <w:p>
      <w:pPr>
        <w:ind w:left="-20" w:right="80" w:firstLine="436"/>
        <w:spacing w:after="0" w:line="259" w:lineRule="auto"/>
        <w:tabs>
          <w:tab w:leader="none" w:pos="6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party hereto may assign either this Letter Agreement or any of its rights, interests, or obligations hereunder without the prior written consent of the Company and the Sponsor. Any purported assignment in violation of this </w:t>
      </w:r>
      <w:r>
        <w:rPr>
          <w:rFonts w:ascii="Arial" w:cs="Arial" w:eastAsia="Arial" w:hAnsi="Arial"/>
          <w:sz w:val="18"/>
          <w:szCs w:val="18"/>
          <w:u w:val="single" w:color="auto"/>
          <w:color w:val="auto"/>
        </w:rPr>
        <w:t>paragraph 13</w:t>
      </w:r>
      <w:r>
        <w:rPr>
          <w:rFonts w:ascii="Arial" w:cs="Arial" w:eastAsia="Arial" w:hAnsi="Arial"/>
          <w:sz w:val="18"/>
          <w:szCs w:val="18"/>
          <w:color w:val="auto"/>
        </w:rPr>
        <w:t xml:space="preserve">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86" w:lineRule="exact"/>
        <w:rPr>
          <w:rFonts w:ascii="Arial" w:cs="Arial" w:eastAsia="Arial" w:hAnsi="Arial"/>
          <w:sz w:val="18"/>
          <w:szCs w:val="18"/>
          <w:color w:val="auto"/>
        </w:rPr>
      </w:pPr>
    </w:p>
    <w:p>
      <w:pPr>
        <w:ind w:left="-20" w:firstLine="436"/>
        <w:spacing w:after="0" w:line="301" w:lineRule="auto"/>
        <w:tabs>
          <w:tab w:leader="none" w:pos="69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This Letter Agreement shall be governed by and construed and enforced in accordance with the laws of the State of New York. Each of the parties hereto (a) agrees that any action, proceeding, claim or dispute arising out of, or relating in any way to, this Letter Agreement shall be brought and enforced in the courts of New York City, in the State of New York, and irrevocably submits to such jurisdiction and venue, which jurisdiction and venue shall be exclusive, and (b) waives any objection to such exclusive jurisdiction and venue or that such courts represent an inconvenient forum.</w:t>
      </w:r>
    </w:p>
    <w:p>
      <w:pPr>
        <w:spacing w:after="0" w:line="157" w:lineRule="exact"/>
        <w:rPr>
          <w:rFonts w:ascii="Arial" w:cs="Arial" w:eastAsia="Arial" w:hAnsi="Arial"/>
          <w:sz w:val="16"/>
          <w:szCs w:val="16"/>
          <w:color w:val="auto"/>
        </w:rPr>
      </w:pPr>
    </w:p>
    <w:p>
      <w:pPr>
        <w:jc w:val="both"/>
        <w:ind w:left="-20" w:right="160" w:firstLine="436"/>
        <w:spacing w:after="0" w:line="259" w:lineRule="auto"/>
        <w:tabs>
          <w:tab w:leader="none" w:pos="6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86" w:lineRule="exact"/>
        <w:rPr>
          <w:rFonts w:ascii="Arial" w:cs="Arial" w:eastAsia="Arial" w:hAnsi="Arial"/>
          <w:sz w:val="18"/>
          <w:szCs w:val="18"/>
          <w:color w:val="auto"/>
        </w:rPr>
      </w:pPr>
    </w:p>
    <w:p>
      <w:pPr>
        <w:ind w:left="-20" w:right="200" w:firstLine="436"/>
        <w:spacing w:after="0" w:line="263" w:lineRule="auto"/>
        <w:tabs>
          <w:tab w:leader="none" w:pos="6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by electronic transmission.</w:t>
      </w:r>
    </w:p>
    <w:p>
      <w:pPr>
        <w:spacing w:after="0" w:line="183" w:lineRule="exact"/>
        <w:rPr>
          <w:rFonts w:ascii="Arial" w:cs="Arial" w:eastAsia="Arial" w:hAnsi="Arial"/>
          <w:sz w:val="18"/>
          <w:szCs w:val="18"/>
          <w:color w:val="auto"/>
        </w:rPr>
      </w:pPr>
    </w:p>
    <w:p>
      <w:pPr>
        <w:ind w:left="-20" w:firstLine="436"/>
        <w:spacing w:after="0" w:line="263" w:lineRule="auto"/>
        <w:tabs>
          <w:tab w:leader="none" w:pos="6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party hereto shall not be liable for any breaches or misrepresentations contained in this Letter Agreement by any other party to this Letter Agreement (including, for the avoidance of doubt, any Insider with respect to any other Insider), and no party shall be liable or responsible for the obligations of another party, including, without limitation, indemnification obligations and notice obligations.</w:t>
      </w:r>
    </w:p>
    <w:p>
      <w:pPr>
        <w:spacing w:after="0" w:line="183" w:lineRule="exact"/>
        <w:rPr>
          <w:rFonts w:ascii="Arial" w:cs="Arial" w:eastAsia="Arial" w:hAnsi="Arial"/>
          <w:sz w:val="18"/>
          <w:szCs w:val="18"/>
          <w:color w:val="auto"/>
        </w:rPr>
      </w:pPr>
    </w:p>
    <w:p>
      <w:pPr>
        <w:ind w:left="-20" w:right="480" w:firstLine="436"/>
        <w:spacing w:after="0" w:line="286" w:lineRule="auto"/>
        <w:tabs>
          <w:tab w:leader="none" w:pos="69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This Letter Agreement shall terminate on the earlier of (a) the expiration of the Lock-up Periods and (b) the liquidation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Letter Agreement shall earlier terminate in the event that the Public Offering is not consummated and closed by December 31, 2021;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paragraph 4</w:t>
      </w:r>
      <w:r>
        <w:rPr>
          <w:rFonts w:ascii="Arial" w:cs="Arial" w:eastAsia="Arial" w:hAnsi="Arial"/>
          <w:sz w:val="17"/>
          <w:szCs w:val="17"/>
          <w:color w:val="auto"/>
        </w:rPr>
        <w:t xml:space="preserve"> of this Letter Agreement shall survive such liquidation.</w:t>
      </w:r>
    </w:p>
    <w:p>
      <w:pPr>
        <w:spacing w:after="0" w:line="165" w:lineRule="exact"/>
        <w:rPr>
          <w:rFonts w:ascii="Arial" w:cs="Arial" w:eastAsia="Arial" w:hAnsi="Arial"/>
          <w:sz w:val="17"/>
          <w:szCs w:val="17"/>
          <w:color w:val="auto"/>
        </w:rPr>
      </w:pPr>
    </w:p>
    <w:p>
      <w:pPr>
        <w:ind w:left="-20" w:right="580" w:firstLine="436"/>
        <w:spacing w:after="0" w:line="308" w:lineRule="auto"/>
        <w:tabs>
          <w:tab w:leader="none" w:pos="69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This Letter Agreement may be executed in any number of original or electronic counterparts and each of such counterparts shall for all purposes be deemed to be an original, and all such counterparts shall together constitute but one and the same instrument.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80"/>
          </w:cols>
          <w:pgMar w:left="460" w:top="274" w:right="459" w:bottom="1440" w:gutter="0" w:footer="0" w:header="0"/>
        </w:sectPr>
      </w:pPr>
    </w:p>
    <w:bookmarkStart w:id="274" w:name="page275"/>
    <w:bookmarkEnd w:id="27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SCS SPONSOR III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Chamath Palihapitiya</w:t>
      </w:r>
    </w:p>
    <w:p>
      <w:pPr>
        <w:spacing w:after="0" w:line="34"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275" w:name="page276"/>
    <w:bookmarkEnd w:id="275"/>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-115570</wp:posOffset>
            </wp:positionV>
            <wp:extent cx="27946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ectPr>
          <w:pgSz w:w="11900" w:h="16838" w:orient="portrait"/>
          <w:cols w:equalWidth="0" w:num="1">
            <w:col w:w="9019"/>
          </w:cols>
          <w:pgMar w:left="1440" w:top="287" w:right="1440" w:bottom="1440" w:gutter="0" w:footer="0" w:header="0"/>
        </w:sectPr>
      </w:pPr>
    </w:p>
    <w:bookmarkStart w:id="276" w:name="page277"/>
    <w:bookmarkEnd w:id="27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Kishen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-115570</wp:posOffset>
            </wp:positionV>
            <wp:extent cx="27946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ectPr>
          <w:pgSz w:w="11900" w:h="16838" w:orient="portrait"/>
          <w:cols w:equalWidth="0" w:num="1">
            <w:col w:w="9019"/>
          </w:cols>
          <w:pgMar w:left="1440" w:top="287" w:right="1440" w:bottom="1440" w:gutter="0" w:footer="0" w:header="0"/>
        </w:sectPr>
      </w:pPr>
    </w:p>
    <w:bookmarkStart w:id="277" w:name="page278"/>
    <w:bookmarkEnd w:id="277"/>
    <w:p>
      <w:pPr>
        <w:ind w:left="56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James Ryans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-108585</wp:posOffset>
            </wp:positionV>
            <wp:extent cx="27946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ectPr>
          <w:pgSz w:w="11900" w:h="16838" w:orient="portrait"/>
          <w:cols w:equalWidth="0" w:num="1">
            <w:col w:w="9019"/>
          </w:cols>
          <w:pgMar w:left="1440" w:top="287" w:right="1440" w:bottom="1440" w:gutter="0" w:footer="0" w:header="0"/>
        </w:sectPr>
      </w:pPr>
    </w:p>
    <w:bookmarkStart w:id="278" w:name="page279"/>
    <w:bookmarkEnd w:id="278"/>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Shoney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-115570</wp:posOffset>
            </wp:positionV>
            <wp:extent cx="27946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ectPr>
          <w:pgSz w:w="11900" w:h="16838" w:orient="portrait"/>
          <w:cols w:equalWidth="0" w:num="1">
            <w:col w:w="9019"/>
          </w:cols>
          <w:pgMar w:left="1440" w:top="287" w:right="1440" w:bottom="1440" w:gutter="0" w:footer="0" w:header="0"/>
        </w:sectPr>
      </w:pPr>
    </w:p>
    <w:bookmarkStart w:id="279" w:name="page280"/>
    <w:bookmarkEnd w:id="27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-115570</wp:posOffset>
            </wp:positionV>
            <wp:extent cx="27946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ectPr>
          <w:pgSz w:w="11900" w:h="16838" w:orient="portrait"/>
          <w:cols w:equalWidth="0" w:num="1">
            <w:col w:w="9019"/>
          </w:cols>
          <w:pgMar w:left="1440" w:top="287" w:right="1440"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Social Capital Suvretta Holdings Corp.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Chamath Palihapitiya</w:t>
      </w:r>
    </w:p>
    <w:p>
      <w:pPr>
        <w:spacing w:after="0" w:line="2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81" w:name="page282"/>
    <w:bookmarkEnd w:id="281"/>
    <w:p>
      <w:pPr>
        <w:ind w:left="10120"/>
        <w:spacing w:after="0"/>
        <w:rPr>
          <w:sz w:val="20"/>
          <w:szCs w:val="20"/>
          <w:color w:val="auto"/>
        </w:rPr>
      </w:pPr>
      <w:r>
        <w:rPr>
          <w:rFonts w:ascii="Arial" w:cs="Arial" w:eastAsia="Arial" w:hAnsi="Arial"/>
          <w:sz w:val="17"/>
          <w:szCs w:val="17"/>
          <w:color w:val="auto"/>
        </w:rPr>
        <w:t>Exhibit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left="440"/>
        <w:spacing w:after="0"/>
        <w:tabs>
          <w:tab w:leader="none" w:pos="7640" w:val="left"/>
        </w:tabs>
        <w:rPr>
          <w:sz w:val="20"/>
          <w:szCs w:val="20"/>
          <w:color w:val="auto"/>
        </w:rPr>
      </w:pPr>
      <w:r>
        <w:rPr>
          <w:rFonts w:ascii="Arial" w:cs="Arial" w:eastAsia="Arial" w:hAnsi="Arial"/>
          <w:sz w:val="18"/>
          <w:szCs w:val="18"/>
          <w:color w:val="auto"/>
        </w:rPr>
        <w:t>This Investment Management Trust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as of</w:t>
      </w:r>
      <w:r>
        <w:rPr>
          <w:sz w:val="20"/>
          <w:szCs w:val="20"/>
          <w:color w:val="auto"/>
        </w:rPr>
        <w:tab/>
      </w:r>
      <w:r>
        <w:rPr>
          <w:rFonts w:ascii="Arial" w:cs="Arial" w:eastAsia="Arial" w:hAnsi="Arial"/>
          <w:sz w:val="16"/>
          <w:szCs w:val="16"/>
          <w:color w:val="auto"/>
        </w:rPr>
        <w:t>, 2021, by and between Social Capital</w:t>
      </w:r>
    </w:p>
    <w:p>
      <w:pPr>
        <w:spacing w:after="0" w:line="2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Suvretta Holdings Corp. III,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81" w:lineRule="exact"/>
        <w:rPr>
          <w:sz w:val="20"/>
          <w:szCs w:val="20"/>
          <w:color w:val="auto"/>
        </w:rPr>
      </w:pPr>
    </w:p>
    <w:p>
      <w:pPr>
        <w:ind w:left="440"/>
        <w:spacing w:after="0"/>
        <w:tabs>
          <w:tab w:leader="none" w:pos="654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registration statement on Form S-1 (File No. 333-</w:t>
      </w:r>
      <w:r>
        <w:rPr>
          <w:sz w:val="20"/>
          <w:szCs w:val="20"/>
          <w:color w:val="auto"/>
        </w:rPr>
        <w:tab/>
      </w:r>
      <w:r>
        <w:rPr>
          <w:rFonts w:ascii="Arial" w:cs="Arial" w:eastAsia="Arial" w:hAnsi="Arial"/>
          <w:sz w:val="15"/>
          <w:szCs w:val="15"/>
          <w:color w:val="auto"/>
        </w:rPr>
        <w:t>)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and prospectus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for the initial public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the Company’s Class A ordinary shares, par value $0.0001 per share (the “</w:t>
      </w:r>
      <w:r>
        <w:rPr>
          <w:rFonts w:ascii="Arial" w:cs="Arial" w:eastAsia="Arial" w:hAnsi="Arial"/>
          <w:sz w:val="17"/>
          <w:szCs w:val="17"/>
          <w:b w:val="1"/>
          <w:bCs w:val="1"/>
          <w:i w:val="1"/>
          <w:iCs w:val="1"/>
          <w:color w:val="auto"/>
        </w:rPr>
        <w:t>Ordinary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color w:val="auto"/>
        </w:rPr>
        <w:t>”), has been declared effective as of the date hereof by the U.S. Securities and Exchange Commission; and</w:t>
      </w:r>
    </w:p>
    <w:p>
      <w:pPr>
        <w:spacing w:after="0" w:line="207"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Morgan Stanley &amp; Co. LLC, as</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representative to the underwriters named therein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and</w:t>
      </w:r>
    </w:p>
    <w:p>
      <w:pPr>
        <w:spacing w:after="0" w:line="162"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described in the Prospectus, $200,000,000 of the gross proceeds of the Offering and sale of the Private Placement Shares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Underwriting Agreement) (or $230,000,000 if the Underwriters’ over-allotment option is exercised in full) will be delivered to the Trustee to be deposited and held in a segregated trust account located at all times in the United States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for the benefit of the Company and the holders of the Ordinary Shares issued in the Offering as hereinafter provided (the amount to be delivered to the Trustee, together with any interest subsequently earned thereon, the “</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the shareholders for whose benefit the Trustee shall hold the Property, the “</w:t>
      </w:r>
      <w:r>
        <w:rPr>
          <w:rFonts w:ascii="Arial" w:cs="Arial" w:eastAsia="Arial" w:hAnsi="Arial"/>
          <w:sz w:val="17"/>
          <w:szCs w:val="17"/>
          <w:b w:val="1"/>
          <w:bCs w:val="1"/>
          <w:i w:val="1"/>
          <w:iCs w:val="1"/>
          <w:color w:val="auto"/>
        </w:rPr>
        <w:t>Public Shareholders</w:t>
      </w:r>
      <w:r>
        <w:rPr>
          <w:rFonts w:ascii="Arial" w:cs="Arial" w:eastAsia="Arial" w:hAnsi="Arial"/>
          <w:sz w:val="17"/>
          <w:szCs w:val="17"/>
          <w:color w:val="auto"/>
        </w:rPr>
        <w:t>,” and the Public Shareholders together with the Company, the “</w:t>
      </w:r>
      <w:r>
        <w:rPr>
          <w:rFonts w:ascii="Arial" w:cs="Arial" w:eastAsia="Arial" w:hAnsi="Arial"/>
          <w:sz w:val="17"/>
          <w:szCs w:val="17"/>
          <w:b w:val="1"/>
          <w:bCs w:val="1"/>
          <w:i w:val="1"/>
          <w:iCs w:val="1"/>
          <w:color w:val="auto"/>
        </w:rPr>
        <w:t>Beneficiaries</w:t>
      </w:r>
      <w:r>
        <w:rPr>
          <w:rFonts w:ascii="Arial" w:cs="Arial" w:eastAsia="Arial" w:hAnsi="Arial"/>
          <w:sz w:val="17"/>
          <w:szCs w:val="17"/>
          <w:color w:val="auto"/>
        </w:rPr>
        <w:t>”); and</w:t>
      </w:r>
    </w:p>
    <w:p>
      <w:pPr>
        <w:spacing w:after="0" w:line="173"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Underwriting Agreement, a portion of the Property equal to $7,000,000 is attributable to deferred underwriting</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discounts and commissions that may be payable by the Company to the Underwriters upon the consummation of the Business Combination (as defined below) (the “</w:t>
      </w:r>
      <w:r>
        <w:rPr>
          <w:rFonts w:ascii="Arial" w:cs="Arial" w:eastAsia="Arial" w:hAnsi="Arial"/>
          <w:sz w:val="18"/>
          <w:szCs w:val="18"/>
          <w:b w:val="1"/>
          <w:bCs w:val="1"/>
          <w:i w:val="1"/>
          <w:iCs w:val="1"/>
          <w:color w:val="auto"/>
        </w:rPr>
        <w:t>Deferred Discount</w:t>
      </w:r>
      <w:r>
        <w:rPr>
          <w:rFonts w:ascii="Arial" w:cs="Arial" w:eastAsia="Arial" w:hAnsi="Arial"/>
          <w:sz w:val="18"/>
          <w:szCs w:val="18"/>
          <w:color w:val="auto"/>
        </w:rPr>
        <w:t>”); and</w:t>
      </w:r>
    </w:p>
    <w:p>
      <w:pPr>
        <w:spacing w:after="0" w:line="17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Trustee desire to enter into this Agreement to set forth the terms and conditions pursuant to which 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hold the Property.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IT IS AGREED:</w:t>
      </w:r>
    </w:p>
    <w:p>
      <w:pPr>
        <w:spacing w:after="0" w:line="229" w:lineRule="exact"/>
        <w:rPr>
          <w:sz w:val="20"/>
          <w:szCs w:val="20"/>
          <w:color w:val="auto"/>
        </w:rPr>
      </w:pPr>
    </w:p>
    <w:p>
      <w:pPr>
        <w:ind w:left="620" w:hanging="184"/>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117" w:lineRule="exact"/>
        <w:rPr>
          <w:rFonts w:ascii="Arial" w:cs="Arial" w:eastAsia="Arial" w:hAnsi="Arial"/>
          <w:sz w:val="18"/>
          <w:szCs w:val="18"/>
          <w:color w:val="auto"/>
        </w:rPr>
      </w:pPr>
    </w:p>
    <w:p>
      <w:pPr>
        <w:ind w:right="120" w:firstLine="987"/>
        <w:spacing w:after="0" w:line="286" w:lineRule="auto"/>
        <w:tabs>
          <w:tab w:leader="none" w:pos="1236" w:val="left"/>
        </w:tabs>
        <w:numPr>
          <w:ilvl w:val="1"/>
          <w:numId w:val="188"/>
        </w:numPr>
        <w:rPr>
          <w:rFonts w:ascii="Arial" w:cs="Arial" w:eastAsia="Arial" w:hAnsi="Arial"/>
          <w:sz w:val="17"/>
          <w:szCs w:val="17"/>
          <w:color w:val="auto"/>
        </w:rPr>
      </w:pPr>
      <w:r>
        <w:rPr>
          <w:rFonts w:ascii="Arial" w:cs="Arial" w:eastAsia="Arial" w:hAnsi="Arial"/>
          <w:sz w:val="17"/>
          <w:szCs w:val="17"/>
          <w:color w:val="auto"/>
        </w:rPr>
        <w:t>Hold the Property in trust for the Beneficiaries in accordance with the terms of this Agreement in the Trust Account established by the Trustee located in the United States at J.P. Morgan Chase Bank, N.A. (or at another U.S. chartered commercial bank with consolidated assets of $100 billion or more) and at a brokerage institution selected by the Trustee that is reasonably satisfactory to the Company;</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ind w:right="100" w:firstLine="987"/>
        <w:spacing w:after="0" w:line="273" w:lineRule="auto"/>
        <w:tabs>
          <w:tab w:leader="none" w:pos="1236" w:val="left"/>
        </w:tabs>
        <w:numPr>
          <w:ilvl w:val="1"/>
          <w:numId w:val="188"/>
        </w:numPr>
        <w:rPr>
          <w:rFonts w:ascii="Arial" w:cs="Arial" w:eastAsia="Arial" w:hAnsi="Arial"/>
          <w:sz w:val="17"/>
          <w:szCs w:val="17"/>
          <w:color w:val="auto"/>
        </w:rPr>
      </w:pPr>
      <w:r>
        <w:rPr>
          <w:rFonts w:ascii="Arial" w:cs="Arial" w:eastAsia="Arial" w:hAnsi="Arial"/>
          <w:sz w:val="17"/>
          <w:szCs w:val="17"/>
          <w:color w:val="auto"/>
        </w:rPr>
        <w:t>In a timely manner, and upon the written instruction of the Company, invest and reinvest the Property in United States government securities within the meaning of Section 2(a)(16) of the Investment Company Act of 1940, as amended, having a maturity of one hundred and eighty five (185) days or less, or in money market funds meeting the conditions of paragraphs (d)(1), (d)(2), (d)(3) and (d)(4) of Rule 2a-7 promulgated under the Investment Company Act of 1940, as amended, which invest only in direct U.S. government treasury obligations, as determined by the Company; it being understood that the Trust Account will earn no interest while account funds are uninvested awaiting the Company’s instructions hereunder; while on deposit, the Trustee may earn bank credits or other consideration;</w:t>
      </w:r>
    </w:p>
    <w:p>
      <w:pPr>
        <w:spacing w:after="0" w:line="177" w:lineRule="exact"/>
        <w:rPr>
          <w:rFonts w:ascii="Arial" w:cs="Arial" w:eastAsia="Arial" w:hAnsi="Arial"/>
          <w:sz w:val="17"/>
          <w:szCs w:val="17"/>
          <w:color w:val="auto"/>
        </w:rPr>
      </w:pPr>
    </w:p>
    <w:p>
      <w:pPr>
        <w:ind w:right="380" w:firstLine="987"/>
        <w:spacing w:after="0" w:line="277" w:lineRule="auto"/>
        <w:tabs>
          <w:tab w:leader="none" w:pos="124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Collect and receive, when due, all interest or other income arising from the Property, which shall become part of the “Property,” as such term is defined herein;</w:t>
      </w:r>
    </w:p>
    <w:p>
      <w:pPr>
        <w:sectPr>
          <w:pgSz w:w="11900" w:h="16838" w:orient="portrait"/>
          <w:cols w:equalWidth="0" w:num="1">
            <w:col w:w="11020"/>
          </w:cols>
          <w:pgMar w:left="440" w:top="125" w:right="439" w:bottom="1440" w:gutter="0" w:footer="0" w:header="0"/>
        </w:sectPr>
      </w:pPr>
    </w:p>
    <w:bookmarkStart w:id="282" w:name="page283"/>
    <w:bookmarkEnd w:id="282"/>
    <w:p>
      <w:pPr>
        <w:ind w:right="600" w:firstLine="987"/>
        <w:spacing w:after="0" w:line="277" w:lineRule="auto"/>
        <w:tabs>
          <w:tab w:leader="none" w:pos="1236"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notify the Company and the Underwriters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jc w:val="both"/>
        <w:ind w:right="100" w:firstLine="987"/>
        <w:spacing w:after="0" w:line="263" w:lineRule="auto"/>
        <w:tabs>
          <w:tab w:leader="none" w:pos="121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tax returns relating to assets held in the Trust Account or in connection with the preparation or completion of the audit of the Company’s financial statements by the Company’s auditors;</w:t>
      </w:r>
    </w:p>
    <w:p>
      <w:pPr>
        <w:spacing w:after="0" w:line="183" w:lineRule="exact"/>
        <w:rPr>
          <w:rFonts w:ascii="Arial" w:cs="Arial" w:eastAsia="Arial" w:hAnsi="Arial"/>
          <w:sz w:val="18"/>
          <w:szCs w:val="18"/>
          <w:color w:val="auto"/>
        </w:rPr>
      </w:pPr>
    </w:p>
    <w:p>
      <w:pPr>
        <w:ind w:right="700" w:firstLine="987"/>
        <w:spacing w:after="0" w:line="277" w:lineRule="auto"/>
        <w:tabs>
          <w:tab w:leader="none" w:pos="124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ind w:firstLine="987"/>
        <w:spacing w:after="0" w:line="286" w:lineRule="auto"/>
        <w:tabs>
          <w:tab w:leader="none" w:pos="120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(x) receipt of, and only in accordance with, the terms of a letter from the Company (a “</w:t>
      </w:r>
      <w:r>
        <w:rPr>
          <w:rFonts w:ascii="Arial" w:cs="Arial" w:eastAsia="Arial" w:hAnsi="Arial"/>
          <w:sz w:val="16"/>
          <w:szCs w:val="16"/>
          <w:b w:val="1"/>
          <w:bCs w:val="1"/>
          <w:i w:val="1"/>
          <w:iCs w:val="1"/>
          <w:color w:val="auto"/>
        </w:rPr>
        <w:t>Termination Letter</w:t>
      </w:r>
      <w:r>
        <w:rPr>
          <w:rFonts w:ascii="Arial" w:cs="Arial" w:eastAsia="Arial" w:hAnsi="Arial"/>
          <w:sz w:val="16"/>
          <w:szCs w:val="16"/>
          <w:color w:val="auto"/>
        </w:rPr>
        <w:t>”) in a form substantially similar to that attached hereto as either Exhibit A or Exhibit B, as applicable, signed on behalf of the Company by its Chief Executive Officer, President, Chief Financial Officer, Chief Operating Officer, Director of Research, General Counsel, Secretary or Chairman of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or other authorized officer of the Company, and complete the liquidation of the Trust Account and distribute the Property in the Trust Account, including interest (less up to $100,000 of interest that may be released to the Company to pay dissolution expenses and which interest shall be net of any taxes payable, it being understood that the Trustee has no obligation to monitor or question the Company’s position that an allocation has been made for taxes payable), only as directed in the Termination Letter and the other documents referred to therein, or (y) upon the date which is twenty-four (24) months after the closing of the Offering, or such later date as may be approved by the Company’s shareholders in accordance with the Company’s amended and restated memorandum and articles of association, as may be amended from time to time, if a Termination Letter has not been received by the Trustee prior to such date, in which case the Trust Account shall be liquidated in accordance with the procedures set forth in the Termination Letter attached hereto as Exhibit B and the Property in the Trust Account, including interest (less up to $100,000 of interest that may be released to the Company to pay dissolution expenses and which interest shall be net of any taxes payable), shall be distributed to the Public Shareholders of record as of such date;</w:t>
      </w:r>
    </w:p>
    <w:p>
      <w:pPr>
        <w:spacing w:after="0" w:line="173" w:lineRule="exact"/>
        <w:rPr>
          <w:rFonts w:ascii="Arial" w:cs="Arial" w:eastAsia="Arial" w:hAnsi="Arial"/>
          <w:sz w:val="16"/>
          <w:szCs w:val="16"/>
          <w:color w:val="auto"/>
        </w:rPr>
      </w:pPr>
    </w:p>
    <w:p>
      <w:pPr>
        <w:ind w:firstLine="987"/>
        <w:spacing w:after="0" w:line="287" w:lineRule="auto"/>
        <w:tabs>
          <w:tab w:leader="none" w:pos="120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Upon written request from the Company, which may be given from time to time in a form substantially similar to that attached hereto as Exhibit C (a “</w:t>
      </w:r>
      <w:r>
        <w:rPr>
          <w:rFonts w:ascii="Arial" w:cs="Arial" w:eastAsia="Arial" w:hAnsi="Arial"/>
          <w:sz w:val="16"/>
          <w:szCs w:val="16"/>
          <w:b w:val="1"/>
          <w:bCs w:val="1"/>
          <w:i w:val="1"/>
          <w:iCs w:val="1"/>
          <w:color w:val="auto"/>
        </w:rPr>
        <w:t>Tax Payment Withdrawal Instruction</w:t>
      </w:r>
      <w:r>
        <w:rPr>
          <w:rFonts w:ascii="Arial" w:cs="Arial" w:eastAsia="Arial" w:hAnsi="Arial"/>
          <w:sz w:val="16"/>
          <w:szCs w:val="16"/>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there is not sufficient cash in the Trust Account to pay such tax obligation, the Trustee shall liquidate such assets held in the Trust Account as shall be designated by the Company in writing to make such distribution so long as there is no reduction in the principal amount per share initially deposited in the Trust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tax to be paid is a franchise tax, the written request by the Company to make such distribution shall be accompanied by a copy of the franchise tax bill for the Company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171" w:lineRule="exact"/>
        <w:rPr>
          <w:rFonts w:ascii="Arial" w:cs="Arial" w:eastAsia="Arial" w:hAnsi="Arial"/>
          <w:sz w:val="16"/>
          <w:szCs w:val="16"/>
          <w:color w:val="auto"/>
        </w:rPr>
      </w:pPr>
    </w:p>
    <w:p>
      <w:pPr>
        <w:ind w:right="20" w:firstLine="987"/>
        <w:spacing w:after="0" w:line="293" w:lineRule="auto"/>
        <w:tabs>
          <w:tab w:leader="none" w:pos="124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Upon written request from the Company, which may be given from time to time in a form substantially similar to that attached hereto as Exhibit D (a “</w:t>
      </w:r>
      <w:r>
        <w:rPr>
          <w:rFonts w:ascii="Arial" w:cs="Arial" w:eastAsia="Arial" w:hAnsi="Arial"/>
          <w:sz w:val="16"/>
          <w:szCs w:val="16"/>
          <w:b w:val="1"/>
          <w:bCs w:val="1"/>
          <w:i w:val="1"/>
          <w:iCs w:val="1"/>
          <w:color w:val="auto"/>
        </w:rPr>
        <w:t>Shareholder Redemption Withdrawal Instruction</w:t>
      </w:r>
      <w:r>
        <w:rPr>
          <w:rFonts w:ascii="Arial" w:cs="Arial" w:eastAsia="Arial" w:hAnsi="Arial"/>
          <w:sz w:val="16"/>
          <w:szCs w:val="16"/>
          <w:color w:val="auto"/>
        </w:rPr>
        <w:t>”), the Trustee shall distribute on behalf of the Company the amount requested by the Company to be used to redeem Ordinary Shares from Public Shareholders properly submitted in connection with a shareholder vote to approve an amendment to the Company’s amended and restated memorandum and articles of association (A) to modify the substance or timing of the Company’s obligation to allow redemption in connection with the Company’s initial merger, share exchange, asset acquisition, share purchase, reorganization or similar business combination involving the Company and one or more businesses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or to redeem 100% of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83" w:name="page284"/>
    <w:bookmarkEnd w:id="28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public shares if it does not complete its initial Business Combination within such time as is described in the Company’s amended and restated certificate of memorandum and articles of association, or (B) with respect to any other material provisions relating to shareholders’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71" w:lineRule="exact"/>
        <w:rPr>
          <w:sz w:val="20"/>
          <w:szCs w:val="20"/>
          <w:color w:val="auto"/>
        </w:rPr>
      </w:pPr>
    </w:p>
    <w:p>
      <w:pPr>
        <w:ind w:left="1200" w:hanging="213"/>
        <w:spacing w:after="0"/>
        <w:tabs>
          <w:tab w:leader="none" w:pos="12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Not make any withdrawals or distributions from the Trust Account other than pursuant to Section 1(i), (j) or (k) above.</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117" w:lineRule="exact"/>
        <w:rPr>
          <w:rFonts w:ascii="Arial" w:cs="Arial" w:eastAsia="Arial" w:hAnsi="Arial"/>
          <w:sz w:val="18"/>
          <w:szCs w:val="18"/>
          <w:color w:val="auto"/>
        </w:rPr>
      </w:pPr>
    </w:p>
    <w:p>
      <w:pPr>
        <w:ind w:right="80" w:firstLine="987"/>
        <w:spacing w:after="0" w:line="255" w:lineRule="auto"/>
        <w:tabs>
          <w:tab w:leader="none" w:pos="123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Give all instructions to the Trustee hereunder in writing, signed by the Company’s Chairman of the Board, President, Chief Executive Officer, Chief Financial Officer, Chief Operating Officer, Director of Research, General Counsel, Secretary or other authorized officer of the Company. In addition, except with respect to the Company’s duties under Sections 1(i), 1(j) and 1(k) hereof, the Trustee shall be entitled to rely on, and shall be protected in relying on, any verbal or telephonic advice or instruction from the Company which the Trustee, in good faith and with reasonable care, believes to be given by any one of the persons authorized above to give written instructions on behalf of the Company, provided that the Company shall promptly confirm such instructions in writing;</w:t>
      </w:r>
    </w:p>
    <w:p>
      <w:pPr>
        <w:spacing w:after="0" w:line="192" w:lineRule="exact"/>
        <w:rPr>
          <w:rFonts w:ascii="Arial" w:cs="Arial" w:eastAsia="Arial" w:hAnsi="Arial"/>
          <w:sz w:val="18"/>
          <w:szCs w:val="18"/>
          <w:color w:val="auto"/>
        </w:rPr>
      </w:pPr>
    </w:p>
    <w:p>
      <w:pPr>
        <w:ind w:right="100" w:firstLine="987"/>
        <w:spacing w:after="0" w:line="269" w:lineRule="auto"/>
        <w:tabs>
          <w:tab w:leader="none" w:pos="1246" w:val="left"/>
        </w:tabs>
        <w:numPr>
          <w:ilvl w:val="1"/>
          <w:numId w:val="191"/>
        </w:numPr>
        <w:rPr>
          <w:rFonts w:ascii="Arial" w:cs="Arial" w:eastAsia="Arial" w:hAnsi="Arial"/>
          <w:sz w:val="17"/>
          <w:szCs w:val="17"/>
          <w:color w:val="auto"/>
        </w:rPr>
      </w:pPr>
      <w:r>
        <w:rPr>
          <w:rFonts w:ascii="Arial" w:cs="Arial" w:eastAsia="Arial" w:hAnsi="Arial"/>
          <w:sz w:val="17"/>
          <w:szCs w:val="17"/>
          <w:color w:val="auto"/>
        </w:rPr>
        <w:t>Subject to Section 4 hereof, hold the Trustee harmless and indemnify the Trustee from and against any and all reasonable and documented expenses, including reasonable outside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Section 2(b), the Trustee shall notify the Company in writing of such claim (hereinafter referred to as the “</w:t>
      </w:r>
      <w:r>
        <w:rPr>
          <w:rFonts w:ascii="Arial" w:cs="Arial" w:eastAsia="Arial" w:hAnsi="Arial"/>
          <w:sz w:val="17"/>
          <w:szCs w:val="17"/>
          <w:b w:val="1"/>
          <w:bCs w:val="1"/>
          <w:i w:val="1"/>
          <w:i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The Trustee shall have the right to conduct and manage the defense against such Indemnified Claim;</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 Trustee shall obtain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81" w:lineRule="exact"/>
        <w:rPr>
          <w:rFonts w:ascii="Arial" w:cs="Arial" w:eastAsia="Arial" w:hAnsi="Arial"/>
          <w:sz w:val="17"/>
          <w:szCs w:val="17"/>
          <w:color w:val="auto"/>
        </w:rPr>
      </w:pPr>
    </w:p>
    <w:p>
      <w:pPr>
        <w:ind w:firstLine="987"/>
        <w:spacing w:after="0" w:line="296" w:lineRule="auto"/>
        <w:tabs>
          <w:tab w:leader="none" w:pos="123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Pay the Trustee the fees set forth on Schedule A hereto, including an initial acceptance fee, annual administration fee, and transaction processing fee, which fees shall be subject to modification by mutual agreement of the parties from time to time. It is expressly understood that the Property shall not be used to pay such fees unless and until the Property is distributed to the Company pursuant to Sections 1(i) through 1(j) hereof. The Company shall pay the Trustee the initial acceptance fee and the first annual administration fee at the consummation of the Offering. The Company shall not be responsible for any other fees or charges of the Trustee, except as set forth in this Section 2(c) and as may be provided in Section 2(b) hereof;</w:t>
      </w:r>
    </w:p>
    <w:p>
      <w:pPr>
        <w:spacing w:after="0" w:line="161" w:lineRule="exact"/>
        <w:rPr>
          <w:rFonts w:ascii="Arial" w:cs="Arial" w:eastAsia="Arial" w:hAnsi="Arial"/>
          <w:sz w:val="16"/>
          <w:szCs w:val="16"/>
          <w:color w:val="auto"/>
        </w:rPr>
      </w:pPr>
    </w:p>
    <w:p>
      <w:pPr>
        <w:ind w:right="220" w:firstLine="987"/>
        <w:spacing w:after="0" w:line="342" w:lineRule="auto"/>
        <w:tabs>
          <w:tab w:leader="none" w:pos="124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In connection with any vote of the Company’s shareholders regarding a Business Combination, provide to the Trustee an affidavit or certificate of the inspector of elections for the shareholder meeting verifying the vote of such shareholders regarding such Business Combination;</w:t>
      </w:r>
    </w:p>
    <w:p>
      <w:pPr>
        <w:spacing w:after="0" w:line="123" w:lineRule="exact"/>
        <w:rPr>
          <w:rFonts w:ascii="Arial" w:cs="Arial" w:eastAsia="Arial" w:hAnsi="Arial"/>
          <w:sz w:val="16"/>
          <w:szCs w:val="16"/>
          <w:color w:val="auto"/>
        </w:rPr>
      </w:pPr>
    </w:p>
    <w:p>
      <w:pPr>
        <w:ind w:right="380" w:firstLine="987"/>
        <w:spacing w:after="0" w:line="277" w:lineRule="auto"/>
        <w:tabs>
          <w:tab w:leader="none" w:pos="123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Provide the Underwriters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ind w:right="200" w:firstLine="987"/>
        <w:spacing w:after="0" w:line="277" w:lineRule="auto"/>
        <w:tabs>
          <w:tab w:leader="none" w:pos="121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Expressly provide in any Instruction Letter (as defined in Exhibit A) delivered in connection with a Termination Letter in the form of Exhibit A that the Deferred Discount be paid directly to the account or accounts directed by the Underwriters;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84" w:name="page285"/>
    <w:bookmarkEnd w:id="284"/>
    <w:p>
      <w:pPr>
        <w:ind w:firstLine="987"/>
        <w:spacing w:after="0" w:line="277" w:lineRule="auto"/>
        <w:tabs>
          <w:tab w:leader="none" w:pos="1246" w:val="left"/>
        </w:tabs>
        <w:numPr>
          <w:ilvl w:val="1"/>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 the Trustee to make only those distributions that are permitted under this Agreement, and refrain from instructing the Trustee to make any distributions that are not permitted under this Agreement.</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117" w:lineRule="exact"/>
        <w:rPr>
          <w:rFonts w:ascii="Arial" w:cs="Arial" w:eastAsia="Arial" w:hAnsi="Arial"/>
          <w:sz w:val="18"/>
          <w:szCs w:val="18"/>
          <w:color w:val="auto"/>
        </w:rPr>
      </w:pPr>
    </w:p>
    <w:p>
      <w:pPr>
        <w:ind w:right="480" w:firstLine="987"/>
        <w:spacing w:after="0" w:line="277" w:lineRule="auto"/>
        <w:tabs>
          <w:tab w:leader="none" w:pos="123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right="280" w:firstLine="987"/>
        <w:spacing w:after="0" w:line="277" w:lineRule="auto"/>
        <w:tabs>
          <w:tab w:leader="none" w:pos="124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Section 1 hereof, and the Trustee shall have no liability to any party except for liability arising out of the Trustee’s gross negligence, fraud or willful misconduct;</w:t>
      </w:r>
    </w:p>
    <w:p>
      <w:pPr>
        <w:spacing w:after="0" w:line="170" w:lineRule="exact"/>
        <w:rPr>
          <w:rFonts w:ascii="Arial" w:cs="Arial" w:eastAsia="Arial" w:hAnsi="Arial"/>
          <w:sz w:val="18"/>
          <w:szCs w:val="18"/>
          <w:color w:val="auto"/>
        </w:rPr>
      </w:pPr>
    </w:p>
    <w:p>
      <w:pPr>
        <w:jc w:val="both"/>
        <w:ind w:right="60" w:firstLine="987"/>
        <w:spacing w:after="0" w:line="286" w:lineRule="auto"/>
        <w:tabs>
          <w:tab w:leader="none" w:pos="1236"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Institute any proceeding for the collection of any principal and income arising from, or institute, appear in or defend any proceeding of any kind with respect to, any of the Property unless and until the Trustee shall have received instructions from the Company given as provided herein to do so and the Company shall have advanced or guaranteed to it funds sufficient to pay any expenses incident thereto;</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right="460" w:firstLine="987"/>
        <w:spacing w:after="0" w:line="342" w:lineRule="auto"/>
        <w:tabs>
          <w:tab w:leader="none" w:pos="1236"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23" w:lineRule="exact"/>
        <w:rPr>
          <w:rFonts w:ascii="Arial" w:cs="Arial" w:eastAsia="Arial" w:hAnsi="Arial"/>
          <w:sz w:val="16"/>
          <w:szCs w:val="16"/>
          <w:color w:val="auto"/>
        </w:rPr>
      </w:pPr>
    </w:p>
    <w:p>
      <w:pPr>
        <w:ind w:right="20" w:firstLine="987"/>
        <w:spacing w:after="0" w:line="270" w:lineRule="auto"/>
        <w:tabs>
          <w:tab w:leader="none" w:pos="1216" w:val="left"/>
        </w:tabs>
        <w:numPr>
          <w:ilvl w:val="1"/>
          <w:numId w:val="193"/>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with written notification to the Company,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the Trustee shall have given its prior written consent thereto;</w:t>
      </w:r>
    </w:p>
    <w:p>
      <w:pPr>
        <w:spacing w:after="0" w:line="180" w:lineRule="exact"/>
        <w:rPr>
          <w:rFonts w:ascii="Arial" w:cs="Arial" w:eastAsia="Arial" w:hAnsi="Arial"/>
          <w:sz w:val="17"/>
          <w:szCs w:val="17"/>
          <w:color w:val="auto"/>
        </w:rPr>
      </w:pPr>
    </w:p>
    <w:p>
      <w:pPr>
        <w:ind w:left="1240" w:hanging="253"/>
        <w:spacing w:after="0"/>
        <w:tabs>
          <w:tab w:leader="none" w:pos="12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right="300" w:firstLine="987"/>
        <w:spacing w:after="0" w:line="277" w:lineRule="auto"/>
        <w:tabs>
          <w:tab w:leader="none" w:pos="124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right="240" w:firstLine="987"/>
        <w:spacing w:after="0" w:line="342" w:lineRule="auto"/>
        <w:tabs>
          <w:tab w:leader="none" w:pos="1206" w:val="left"/>
        </w:tabs>
        <w:numPr>
          <w:ilvl w:val="1"/>
          <w:numId w:val="193"/>
        </w:numPr>
        <w:rPr>
          <w:rFonts w:ascii="Arial" w:cs="Arial" w:eastAsia="Arial" w:hAnsi="Arial"/>
          <w:sz w:val="16"/>
          <w:szCs w:val="16"/>
          <w:color w:val="auto"/>
        </w:rPr>
      </w:pPr>
      <w:r>
        <w:rPr>
          <w:rFonts w:ascii="Arial" w:cs="Arial" w:eastAsia="Arial" w:hAnsi="Arial"/>
          <w:sz w:val="16"/>
          <w:szCs w:val="16"/>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23" w:lineRule="exact"/>
        <w:rPr>
          <w:rFonts w:ascii="Arial" w:cs="Arial" w:eastAsia="Arial" w:hAnsi="Arial"/>
          <w:sz w:val="16"/>
          <w:szCs w:val="16"/>
          <w:color w:val="auto"/>
        </w:rPr>
      </w:pPr>
    </w:p>
    <w:p>
      <w:pPr>
        <w:ind w:right="240" w:firstLine="987"/>
        <w:spacing w:after="0" w:line="263" w:lineRule="auto"/>
        <w:tabs>
          <w:tab w:leader="none" w:pos="120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Prepare, execute and file tax reports, income or other tax returns and pay any taxes with respect to any income generated by, and activities relating to, the Trust Account, regardless of whether such tax is payable by the Trust Account or the Company, including, but not limited to, franchise and income tax obligations, except pursuant to Section 1(j) hereof; or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Verify calculations, qualify or otherwise approve the Company’s written requests for distributions pursuant to Section 1(i), 1(j) or 1(k)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85" w:name="page286"/>
    <w:bookmarkEnd w:id="285"/>
    <w:p>
      <w:pPr>
        <w:ind w:firstLine="436"/>
        <w:spacing w:after="0" w:line="257" w:lineRule="auto"/>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 Account Waiver</w:t>
      </w:r>
      <w:r>
        <w:rPr>
          <w:rFonts w:ascii="Arial" w:cs="Arial" w:eastAsia="Arial" w:hAnsi="Arial"/>
          <w:sz w:val="18"/>
          <w:szCs w:val="18"/>
          <w:color w:val="auto"/>
        </w:rPr>
        <w:t>. The Trustee has no right of set-off or any right, title, interest or claim of any kind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to, or to any monies in, the Trust Account, and hereby irrevocably waives any Claim to, or to any monies in, the Trust Account that the Trustee may have now or in the future. In the event the Trustee has any Claim against the Company under this Agreement, including, without limitation, under Section 2(b) or Section 2(c)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620" w:hanging="184"/>
        <w:spacing w:after="0"/>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117" w:lineRule="exact"/>
        <w:rPr>
          <w:rFonts w:ascii="Arial" w:cs="Arial" w:eastAsia="Arial" w:hAnsi="Arial"/>
          <w:sz w:val="18"/>
          <w:szCs w:val="18"/>
          <w:color w:val="auto"/>
        </w:rPr>
      </w:pPr>
    </w:p>
    <w:p>
      <w:pPr>
        <w:ind w:firstLine="987"/>
        <w:spacing w:after="0" w:line="289" w:lineRule="auto"/>
        <w:tabs>
          <w:tab w:leader="none" w:pos="1236"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(whether following the Trustee giving notice that it desires to resign under this Agreement or the Company otherwise electing to replace the Trustee under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w:t>
      </w:r>
    </w:p>
    <w:p>
      <w:pPr>
        <w:spacing w:after="0" w:line="166" w:lineRule="exact"/>
        <w:rPr>
          <w:rFonts w:ascii="Arial" w:cs="Arial" w:eastAsia="Arial" w:hAnsi="Arial"/>
          <w:sz w:val="16"/>
          <w:szCs w:val="16"/>
          <w:color w:val="auto"/>
        </w:rPr>
      </w:pPr>
    </w:p>
    <w:p>
      <w:pPr>
        <w:ind w:right="160" w:firstLine="987"/>
        <w:spacing w:after="0" w:line="263" w:lineRule="auto"/>
        <w:tabs>
          <w:tab w:leader="none" w:pos="124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and its obligations in accordance with the provisions of Section 1(i) hereof and distributed the Property in accordance with the provisions of the Termination Letter, this Agreement shall terminate except with respect to Section 2(b); or</w:t>
      </w:r>
    </w:p>
    <w:p>
      <w:pPr>
        <w:spacing w:after="0" w:line="183" w:lineRule="exact"/>
        <w:rPr>
          <w:rFonts w:ascii="Arial" w:cs="Arial" w:eastAsia="Arial" w:hAnsi="Arial"/>
          <w:sz w:val="18"/>
          <w:szCs w:val="18"/>
          <w:color w:val="auto"/>
        </w:rPr>
      </w:pPr>
    </w:p>
    <w:p>
      <w:pPr>
        <w:jc w:val="both"/>
        <w:ind w:right="220" w:firstLine="987"/>
        <w:spacing w:after="0" w:line="263" w:lineRule="auto"/>
        <w:tabs>
          <w:tab w:leader="none" w:pos="123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the Offering is not consummated within ten (10) business days of the date of this Agreement, in which case any funds received by the Trustee from the Company or SCS Sponsor III LLC for purposes of funding the Trust Account shall be promptly returned to the Company or SCS Sponsor III LLC, as applicable.</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91" w:lineRule="auto"/>
        <w:tabs>
          <w:tab w:leader="none" w:pos="1233"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a Beneficiary’s bank or an intermediary bank. Except for any liability arising out of the Trustee’s gross negligence, fraud or willful misconduct, the Trustee shall not be liable for any loss, liability or out-of-pocket expense resulting from any error in the information or transmission of the funds.</w:t>
      </w:r>
    </w:p>
    <w:p>
      <w:pPr>
        <w:spacing w:after="0" w:line="166" w:lineRule="exact"/>
        <w:rPr>
          <w:rFonts w:ascii="Arial" w:cs="Arial" w:eastAsia="Arial" w:hAnsi="Arial"/>
          <w:sz w:val="16"/>
          <w:szCs w:val="16"/>
          <w:color w:val="auto"/>
        </w:rPr>
      </w:pPr>
    </w:p>
    <w:p>
      <w:pPr>
        <w:ind w:left="1240" w:hanging="253"/>
        <w:spacing w:after="0"/>
        <w:tabs>
          <w:tab w:leader="none" w:pos="1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New York.</w:t>
      </w:r>
    </w:p>
    <w:p>
      <w:pPr>
        <w:spacing w:after="0" w:line="225" w:lineRule="exact"/>
        <w:rPr>
          <w:rFonts w:ascii="Arial" w:cs="Arial" w:eastAsia="Arial" w:hAnsi="Arial"/>
          <w:sz w:val="18"/>
          <w:szCs w:val="18"/>
          <w:color w:val="auto"/>
        </w:rPr>
      </w:pPr>
    </w:p>
    <w:p>
      <w:pPr>
        <w:ind w:right="60" w:firstLine="987"/>
        <w:spacing w:after="0" w:line="293" w:lineRule="auto"/>
        <w:tabs>
          <w:tab w:leader="none" w:pos="1236"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This Agreement contains the entire agreement and understanding of the parties hereto with respect to the subject matter hereof. Except for Sections 1(i), 1(j) and 1(k) hereof (which sections may not be modified, amended or deleted without the affirmative vote of sixty-five percent (65%) of the then-outstanding Ordinary Shares and Class B ordinary shares, par value $0.0001 per share, of the Company voting together as a single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will affect any Public Shareholder who has otherwise indicated his, her or its election to redeem his, her or its Ordinary Shares in connection with a shareholder vote sought to amend this Agreement), this Agreement or any provision hereof may only be changed, amended or modified (other than to correct a typographical error) by a writing signed by each of the parties hereto.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86" w:name="page287"/>
    <w:bookmarkEnd w:id="286"/>
    <w:p>
      <w:pPr>
        <w:ind w:right="220" w:firstLine="987"/>
        <w:spacing w:after="0" w:line="274" w:lineRule="auto"/>
        <w:tabs>
          <w:tab w:leader="none" w:pos="1246" w:val="left"/>
        </w:tabs>
        <w:numPr>
          <w:ilvl w:val="0"/>
          <w:numId w:val="1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parties hereto consent to the jurisdiction and venue of any state or federal court located in the City of New York, State of New York, for purposes of resolving any disputes hereunder. </w:t>
      </w:r>
      <w:r>
        <w:rPr>
          <w:rFonts w:ascii="Arial" w:cs="Arial" w:eastAsia="Arial" w:hAnsi="Arial"/>
          <w:sz w:val="17"/>
          <w:szCs w:val="17"/>
          <w:b w:val="1"/>
          <w:bCs w:val="1"/>
          <w:color w:val="auto"/>
        </w:rPr>
        <w:t>AS TO ANY CLAIM, CROSS-CLAIM OR COUNTERCLAIM IN ANY WAY</w:t>
      </w:r>
    </w:p>
    <w:p>
      <w:pPr>
        <w:spacing w:after="0"/>
        <w:rPr>
          <w:rFonts w:ascii="Arial" w:cs="Arial" w:eastAsia="Arial" w:hAnsi="Arial"/>
          <w:sz w:val="17"/>
          <w:szCs w:val="17"/>
          <w:color w:val="auto"/>
        </w:rPr>
      </w:pPr>
      <w:r>
        <w:rPr>
          <w:rFonts w:ascii="Arial" w:cs="Arial" w:eastAsia="Arial" w:hAnsi="Arial"/>
          <w:sz w:val="18"/>
          <w:szCs w:val="18"/>
          <w:b w:val="1"/>
          <w:bCs w:val="1"/>
          <w:color w:val="auto"/>
        </w:rPr>
        <w:t>RELATING TO THIS AGREEMENT, EACH PARTY WAIVES THE RIGHT TO TRIAL BY JURY.</w:t>
      </w:r>
    </w:p>
    <w:p>
      <w:pPr>
        <w:spacing w:after="0" w:line="210" w:lineRule="exact"/>
        <w:rPr>
          <w:rFonts w:ascii="Arial" w:cs="Arial" w:eastAsia="Arial" w:hAnsi="Arial"/>
          <w:sz w:val="17"/>
          <w:szCs w:val="17"/>
          <w:color w:val="auto"/>
        </w:rPr>
      </w:pPr>
    </w:p>
    <w:p>
      <w:pPr>
        <w:ind w:firstLine="987"/>
        <w:spacing w:after="0" w:line="263" w:lineRule="auto"/>
        <w:tabs>
          <w:tab w:leader="none" w:pos="123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transmission:</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Francis E. Wolf, Jr.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Celeste Gonzalez</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cgonzalez@continentalstock.com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Social Capital Suvretta Holdings Corp. III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2850 W. Horizon Ridge Parkway, Suite 200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Henderson, NV 89052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legal@SocialCapital.com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Suvretta Capital Management,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540 Madison Avenue, 7th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with copies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and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Raaj S. Narayan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Ropes &amp; Gray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1211 Avenue of the Americas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Paul D. Tropp</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440" w:top="274" w:right="599" w:bottom="1440" w:gutter="0" w:footer="0" w:header="0"/>
        </w:sectPr>
      </w:pPr>
    </w:p>
    <w:bookmarkStart w:id="287" w:name="page288"/>
    <w:bookmarkEnd w:id="287"/>
    <w:p>
      <w:pPr>
        <w:ind w:left="1220" w:hanging="233"/>
        <w:spacing w:after="0"/>
        <w:tabs>
          <w:tab w:leader="none" w:pos="12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may not be assigned by the Trustee without the prior consent of the Company.</w:t>
      </w:r>
    </w:p>
    <w:p>
      <w:pPr>
        <w:spacing w:after="0" w:line="225" w:lineRule="exact"/>
        <w:rPr>
          <w:rFonts w:ascii="Arial" w:cs="Arial" w:eastAsia="Arial" w:hAnsi="Arial"/>
          <w:sz w:val="18"/>
          <w:szCs w:val="18"/>
          <w:color w:val="auto"/>
        </w:rPr>
      </w:pPr>
    </w:p>
    <w:p>
      <w:pPr>
        <w:ind w:right="160" w:firstLine="987"/>
        <w:spacing w:after="0" w:line="259" w:lineRule="auto"/>
        <w:tabs>
          <w:tab w:leader="none" w:pos="12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86" w:lineRule="exact"/>
        <w:rPr>
          <w:rFonts w:ascii="Arial" w:cs="Arial" w:eastAsia="Arial" w:hAnsi="Arial"/>
          <w:sz w:val="18"/>
          <w:szCs w:val="18"/>
          <w:color w:val="auto"/>
        </w:rPr>
      </w:pPr>
    </w:p>
    <w:p>
      <w:pPr>
        <w:ind w:right="680" w:firstLine="987"/>
        <w:spacing w:after="0" w:line="277" w:lineRule="auto"/>
        <w:tabs>
          <w:tab w:leader="none" w:pos="12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ind w:right="120" w:firstLine="987"/>
        <w:spacing w:after="0" w:line="263" w:lineRule="auto"/>
        <w:tabs>
          <w:tab w:leader="none" w:pos="120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electronic transmission shall constitute valid and sufficient delivery thereof.</w:t>
      </w:r>
    </w:p>
    <w:p>
      <w:pPr>
        <w:spacing w:after="0" w:line="183" w:lineRule="exact"/>
        <w:rPr>
          <w:rFonts w:ascii="Arial" w:cs="Arial" w:eastAsia="Arial" w:hAnsi="Arial"/>
          <w:sz w:val="18"/>
          <w:szCs w:val="18"/>
          <w:color w:val="auto"/>
        </w:rPr>
      </w:pPr>
    </w:p>
    <w:p>
      <w:pPr>
        <w:ind w:left="1200" w:hanging="213"/>
        <w:spacing w:after="0"/>
        <w:tabs>
          <w:tab w:leader="none" w:pos="12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Each of the Company and the Trustee hereby acknowledges and agrees that Morgan Stanley &amp; Co. LLC is a third party beneficiary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left="1240" w:hanging="253"/>
        <w:spacing w:after="0"/>
        <w:tabs>
          <w:tab w:leader="none" w:pos="12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 person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288" w:name="page289"/>
    <w:bookmarkEnd w:id="28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have duly executed this Investment Management Trust Agreement as of the date first written above.</w:t>
      </w:r>
    </w:p>
    <w:p>
      <w:pPr>
        <w:spacing w:after="0" w:line="27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Continental Stock Transfer &amp; Trust Company, as Trustee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Social Capital Suvretta Holdings Corp. III</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Investment Management Trust Agreement</w:t>
      </w:r>
      <w:r>
        <w:rPr>
          <w:rFonts w:ascii="Arial" w:cs="Arial" w:eastAsia="Arial" w:hAnsi="Arial"/>
          <w:sz w:val="18"/>
          <w:szCs w:val="18"/>
          <w:color w:val="auto"/>
        </w:rPr>
        <w:t>]</w:t>
      </w:r>
    </w:p>
    <w:p>
      <w:pPr>
        <w:sectPr>
          <w:pgSz w:w="11900" w:h="16838" w:orient="portrait"/>
          <w:cols w:equalWidth="0" w:num="1">
            <w:col w:w="10260"/>
          </w:cols>
          <w:pgMar w:left="880" w:top="270" w:right="759" w:bottom="1440" w:gutter="0" w:footer="0" w:header="0"/>
        </w:sectPr>
      </w:pPr>
    </w:p>
    <w:bookmarkStart w:id="289" w:name="page290"/>
    <w:bookmarkEnd w:id="289"/>
    <w:p>
      <w:pPr>
        <w:spacing w:after="0" w:line="200" w:lineRule="exact"/>
        <w:rPr>
          <w:sz w:val="20"/>
          <w:szCs w:val="20"/>
          <w:color w:val="auto"/>
        </w:rPr>
      </w:pPr>
    </w:p>
    <w:p>
      <w:pPr>
        <w:spacing w:after="0" w:line="255"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Fee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4517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Initial acceptance fee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Annual fee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Transaction processing fee for disbursements to Company under Sections 1(i) and 1(j)</w:t>
      </w:r>
    </w:p>
    <w:p>
      <w:pPr>
        <w:spacing w:after="0" w:line="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Paying Agent services as required pursuant to Section 1(i) and 1(k)</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-213360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Time and method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22371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Initial closing of the Offering by wire transfer.</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First year fee payable at initial closing of the Offering by wire transfer, thereafter on the anniversary of the effective date of the Offering by wire transfer or check.</w:t>
      </w:r>
    </w:p>
    <w:p>
      <w:pPr>
        <w:spacing w:after="0" w:line="7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Billed to Company following disbursement made to Company under Sections 1(i) and 1(j).</w:t>
      </w:r>
    </w:p>
    <w:p>
      <w:pPr>
        <w:spacing w:after="0" w:line="1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Billed to Company upon delivery of service pursuant to Section 1(i) and 1(k).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right"/>
        <w:ind w:right="459"/>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$4,500.00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$10,000.00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$250.00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Prevailing rates</w:t>
      </w:r>
    </w:p>
    <w:p>
      <w:pPr>
        <w:sectPr>
          <w:pgSz w:w="11900" w:h="16838" w:orient="portrait"/>
          <w:cols w:equalWidth="0" w:num="3">
            <w:col w:w="3440" w:space="540"/>
            <w:col w:w="3440" w:space="200"/>
            <w:col w:w="2399"/>
          </w:cols>
          <w:pgMar w:left="440" w:top="270" w:right="1440"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Section 1(i) of the Investment Management Trust Agreement between Social Capital Suvretta Holdings Corp. III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p>
    <w:p>
      <w:pPr>
        <w:spacing w:after="0" w:line="46"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color w:val="auto"/>
        </w:rPr>
        <w:t>and Continental Stock Transfer &amp; Trust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dated as of , 2021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this is to advise you that the Company has entered into an agreement with (the “</w:t>
      </w:r>
      <w:r>
        <w:rPr>
          <w:rFonts w:ascii="Arial" w:cs="Arial" w:eastAsia="Arial" w:hAnsi="Arial"/>
          <w:sz w:val="17"/>
          <w:szCs w:val="17"/>
          <w:b w:val="1"/>
          <w:bCs w:val="1"/>
          <w:i w:val="1"/>
          <w:iCs w:val="1"/>
          <w:color w:val="auto"/>
        </w:rPr>
        <w:t>Target Business</w:t>
      </w:r>
      <w:r>
        <w:rPr>
          <w:rFonts w:ascii="Arial" w:cs="Arial" w:eastAsia="Arial" w:hAnsi="Arial"/>
          <w:sz w:val="17"/>
          <w:szCs w:val="17"/>
          <w:color w:val="auto"/>
        </w:rPr>
        <w:t>”) to consummate a merger, share exchange, asset acquisition, share</w:t>
      </w:r>
    </w:p>
    <w:p>
      <w:pPr>
        <w:ind w:right="20"/>
        <w:spacing w:after="0" w:line="253" w:lineRule="auto"/>
        <w:rPr>
          <w:sz w:val="20"/>
          <w:szCs w:val="20"/>
          <w:color w:val="auto"/>
        </w:rPr>
      </w:pPr>
      <w:r>
        <w:rPr>
          <w:rFonts w:ascii="Arial" w:cs="Arial" w:eastAsia="Arial" w:hAnsi="Arial"/>
          <w:sz w:val="18"/>
          <w:szCs w:val="18"/>
          <w:color w:val="auto"/>
        </w:rPr>
        <w:t>purchase, reorganization or similar business combination with the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on or about [</w:t>
      </w:r>
      <w:r>
        <w:rPr>
          <w:rFonts w:ascii="Arial" w:cs="Arial" w:eastAsia="Arial" w:hAnsi="Arial"/>
          <w:sz w:val="18"/>
          <w:szCs w:val="18"/>
          <w:b w:val="1"/>
          <w:bCs w:val="1"/>
          <w:color w:val="auto"/>
        </w:rPr>
        <w:t>insert date</w:t>
      </w:r>
      <w:r>
        <w:rPr>
          <w:rFonts w:ascii="Arial" w:cs="Arial" w:eastAsia="Arial" w:hAnsi="Arial"/>
          <w:sz w:val="18"/>
          <w:szCs w:val="18"/>
          <w:color w:val="auto"/>
        </w:rPr>
        <w:t>]. The Company shall notify you at least seventy-two (72) hours in advance of the actual date (or such shorter time period as you may agree) of the consummation of the Business Combination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accordance with the terms of the Trust Agreement, we hereby authorize you to commence to liquidate all of the assets of the Trust Account and</w:t>
      </w:r>
    </w:p>
    <w:p>
      <w:pPr>
        <w:spacing w:after="0" w:line="46"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to transfer the proceeds into the trust operating account at to the effect that, on the Consummation Date, all of the funds held in the Trust Account will be immediately available for transfer to the account or accounts that Morgan Stanley &amp; Co. LLC (the “</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(with respect to the Deferred Discount) and the Company shall direct on the Consummation Date. It is acknowledged and agreed that while the funds are on deposit in the</w:t>
      </w:r>
    </w:p>
    <w:p>
      <w:pPr>
        <w:spacing w:after="0" w:line="2"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trust operating account at</w:t>
      </w:r>
      <w:r>
        <w:rPr>
          <w:sz w:val="20"/>
          <w:szCs w:val="20"/>
          <w:color w:val="auto"/>
        </w:rPr>
        <w:tab/>
      </w:r>
      <w:r>
        <w:rPr>
          <w:rFonts w:ascii="Arial" w:cs="Arial" w:eastAsia="Arial" w:hAnsi="Arial"/>
          <w:sz w:val="16"/>
          <w:szCs w:val="16"/>
          <w:color w:val="auto"/>
        </w:rPr>
        <w:t>awaiting distribution, neither the Company nor the Representative will earn any interest.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consummated, or will be consummated substantially, concurrently with your transfer of funds to the accounts as directed by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Notification</w:t>
      </w:r>
      <w:r>
        <w:rPr>
          <w:rFonts w:ascii="Arial" w:cs="Arial" w:eastAsia="Arial" w:hAnsi="Arial"/>
          <w:sz w:val="16"/>
          <w:szCs w:val="16"/>
          <w:color w:val="auto"/>
        </w:rPr>
        <w:t>”) and (ii) the Company shall deliver to you (a) a certificate of the Chief Executive Officer, which verifies that the Business Combination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has been approved by a vote of the Company’s shareholders, if a vote is held, and (b) joint written instructions signed by the Company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with respect to the transfer of the funds held in the Trust Account, including payment of the Deferred Discount from the Trust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Instruction Letter</w:t>
      </w:r>
      <w:r>
        <w:rPr>
          <w:rFonts w:ascii="Arial" w:cs="Arial" w:eastAsia="Arial" w:hAnsi="Arial"/>
          <w:sz w:val="16"/>
          <w:szCs w:val="16"/>
          <w:color w:val="auto"/>
        </w:rPr>
        <w:t>”). You are hereby directed and authorized to transfer the funds held in the Trust Account immediately upon your receipt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Notification and the Instruction Letter, in accordance with the terms of the Instruction Letter. In the event that certain deposits held in the Trust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not be liquidated by the Consummation Date without penalty, you will notify the Company in writing of the same and the Company shall direct you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to whether such funds should remain in the Trust Account and be distributed after the Consummation Date to the Company. Upon the distribution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the funds, net of any payments necessary for reasonable unreimbursed expenses related to liquidating the Trust Account, your obligations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Trust Agreement shall be terminated.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291" w:name="page292"/>
    <w:bookmarkEnd w:id="291"/>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Business Combination is not consummated on the Consummation Date described in Notification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the Notification as soon thereafter as possible.</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Capital Suvretta Holdings Corp. III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Morgan Stanley &amp; Co.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Pursuant to Section 1(i) of the Investment Management Trust Agreement between Social Capital Suvretta Holdings Corp. III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dated as of [insert date], 2021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this is to advise you that the Company has been unable to effect a merger, share exchange, asset acquisition, share purchase, reorganization or similar business combination with a target business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within the time frame specified in the Company’s amended and restated memorandum and articles of association, as described in the Company’s Prospectus relating to the Offering. Capitalized terms used but not defined herein shall have the meanings set forth in the Trust Agreement.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Account and to transfer the</w:t>
      </w:r>
    </w:p>
    <w:p>
      <w:pPr>
        <w:spacing w:after="0" w:line="4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total proceeds into the trust operating account at to await distribution to the Public Shareholders. The Company has selected as the effective date for the purpose of determining when the Public Shareholders will be entitled to receive their share of the liquidation proceeds. You agree to be the Paying Agent of record and, in your separate capacity as Paying Agent, agree to distribute said funds directly to the Company’s Public Shareholders in accordance with the terms of the Trust Agreement and the amended and restated memorandum and articles of association of the Company. Upon the distribution of all the funds, your obligations under the Trust Agreement shall be terminated, except to the extent otherwise provided in Section 1(j) of the Trust Agreement.</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Capital Suvretta Holdings Corp. III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Morgan Stanley &amp; Co.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Tax Payment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Mr.Wolf and Ms. Gonzalez:</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Section 1(j) of the Investment Management Trust Agreement between Social Capital Suvretta Holdings Corp. III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p>
    <w:p>
      <w:pPr>
        <w:spacing w:after="0" w:line="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and Continental 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dated as of , 2021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the Company hereby requests that you deliver to the Company $ of the interest income earned on the Property as of the date hereof. Capitalized terms used but not defined herein shall have the meanings set forth in the Trust Agreement.</w:t>
      </w:r>
    </w:p>
    <w:p>
      <w:pPr>
        <w:spacing w:after="0" w:line="19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Capital Suvretta Holdings Corp. III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Morgan Stanley &amp; Co.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294" w:name="page295"/>
    <w:bookmarkEnd w:id="29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[Letterhead of Company]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Mr. Wolf and Ms. Gonzalez:</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Shareholder Redemption Withdrawal Instruction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Pursuant to Section 1(k) of the Investment Management Trust Agreement between Social Capital Suvretta Holdings Corp. III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p>
    <w:p>
      <w:pPr>
        <w:spacing w:after="0" w:line="46" w:lineRule="exact"/>
        <w:rPr>
          <w:sz w:val="20"/>
          <w:szCs w:val="20"/>
          <w:color w:val="auto"/>
        </w:rPr>
      </w:pPr>
    </w:p>
    <w:p>
      <w:pPr>
        <w:ind w:left="4" w:right="100"/>
        <w:spacing w:after="0" w:line="265" w:lineRule="auto"/>
        <w:rPr>
          <w:sz w:val="20"/>
          <w:szCs w:val="20"/>
          <w:color w:val="auto"/>
        </w:rPr>
      </w:pPr>
      <w:r>
        <w:rPr>
          <w:rFonts w:ascii="Arial" w:cs="Arial" w:eastAsia="Arial" w:hAnsi="Arial"/>
          <w:sz w:val="17"/>
          <w:szCs w:val="17"/>
          <w:color w:val="auto"/>
        </w:rPr>
        <w:t>and Continental Stock Transfer &amp; Trust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dated as of , 2021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the Company hereby requests that you deliver to the redeeming Public Shareholders on behalf of the Company $ of the principal and interest income earned on the Property</w:t>
      </w:r>
    </w:p>
    <w:p>
      <w:pPr>
        <w:ind w:left="4"/>
        <w:spacing w:after="0"/>
        <w:rPr>
          <w:sz w:val="20"/>
          <w:szCs w:val="20"/>
          <w:color w:val="auto"/>
        </w:rPr>
      </w:pPr>
      <w:r>
        <w:rPr>
          <w:rFonts w:ascii="Arial" w:cs="Arial" w:eastAsia="Arial" w:hAnsi="Arial"/>
          <w:sz w:val="18"/>
          <w:szCs w:val="18"/>
          <w:color w:val="auto"/>
        </w:rPr>
        <w:t>as of the date hereof. Capitalized terms used but not defined herein shall have the meanings set forth in the Trust Agreement.</w:t>
      </w:r>
    </w:p>
    <w:p>
      <w:pPr>
        <w:spacing w:after="0" w:line="21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 Company needs such funds to pay its Public Shareholders who have properly elected to have their Ordinary Shares redeemed by the Company in connection with a shareholder vote to approve an amendment to the Company’s amended and restated memorandum and articles of association (A) to modify the substance or timing of the Company’s obligation to allow redemption in connection with the Company’s initial Business Combination or to redeem 100% of the Company’s public shares if it does not complete its initial Business Combination within such time as is described in the Company’s amended and restated certificate of memorandum and articles of association or (B) with respect to any other material provisions relating to shareholders’ rights or pre-initial Business Combination activity. As such, you are hereby directed and authorized to transfer (via wire transfer) such funds promptly upon your receipt of this letter to the redeeming Public Shareholders in accordance with your customary procedures.</w:t>
      </w:r>
    </w:p>
    <w:p>
      <w:pPr>
        <w:spacing w:after="0" w:line="19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Social Capital Suvretta Holdings Corp. III</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24" w:hanging="424"/>
        <w:spacing w:after="0"/>
        <w:tabs>
          <w:tab w:leader="none" w:pos="42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Morgan Stanley &amp; Co. LLC</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4"/>
          </w:cols>
          <w:pgMar w:left="436" w:top="270" w:right="439" w:bottom="1440" w:gutter="0" w:footer="0" w:header="0"/>
        </w:sectPr>
      </w:pPr>
    </w:p>
    <w:bookmarkStart w:id="295" w:name="page296"/>
    <w:bookmarkEnd w:id="295"/>
    <w:p>
      <w:pPr>
        <w:ind w:left="10120"/>
        <w:spacing w:after="0"/>
        <w:rPr>
          <w:sz w:val="20"/>
          <w:szCs w:val="20"/>
          <w:color w:val="auto"/>
        </w:rPr>
      </w:pPr>
      <w:r>
        <w:rPr>
          <w:rFonts w:ascii="Arial" w:cs="Arial" w:eastAsia="Arial" w:hAnsi="Arial"/>
          <w:sz w:val="17"/>
          <w:szCs w:val="17"/>
          <w:color w:val="auto"/>
        </w:rPr>
        <w:t>Exhibit 10.4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440"/>
        <w:spacing w:after="0"/>
        <w:tabs>
          <w:tab w:leader="none" w:pos="6940" w:val="left"/>
        </w:tabs>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w:t>
      </w:r>
      <w:r>
        <w:rPr>
          <w:sz w:val="20"/>
          <w:szCs w:val="20"/>
          <w:color w:val="auto"/>
        </w:rPr>
        <w:tab/>
      </w:r>
      <w:r>
        <w:rPr>
          <w:rFonts w:ascii="Arial" w:cs="Arial" w:eastAsia="Arial" w:hAnsi="Arial"/>
          <w:sz w:val="16"/>
          <w:szCs w:val="16"/>
          <w:color w:val="auto"/>
        </w:rPr>
        <w:t>, 2021, is made and entered into by and among Social</w:t>
      </w:r>
    </w:p>
    <w:p>
      <w:pPr>
        <w:spacing w:after="0" w:line="2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Capital Suvretta Holdings Corp. III,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SCS Sponsor III LLC, a Cayman Islands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xml:space="preserve">”), and any other parties listed on the signature pages hereto (together with the Sponsor and any person or entity who hereafter becomes a party to this Agreement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Agreement, the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42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Sponsor have entered into that certain Securities Subscription Agreement, dated as of March 2, 2021,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restated on May 24, 2021, pursuant to which the Sponsor subscribed for an aggregate of 5,750,000 Class B ordinary shares, par value $0.0001 per share, of the Company (the “</w:t>
      </w:r>
      <w:r>
        <w:rPr>
          <w:rFonts w:ascii="Arial" w:cs="Arial" w:eastAsia="Arial" w:hAnsi="Arial"/>
          <w:sz w:val="17"/>
          <w:szCs w:val="17"/>
          <w:b w:val="1"/>
          <w:bCs w:val="1"/>
          <w:i w:val="1"/>
          <w:iCs w:val="1"/>
          <w:color w:val="auto"/>
        </w:rPr>
        <w:t>Founder Shares</w:t>
      </w:r>
      <w:r>
        <w:rPr>
          <w:rFonts w:ascii="Arial" w:cs="Arial" w:eastAsia="Arial" w:hAnsi="Arial"/>
          <w:sz w:val="17"/>
          <w:szCs w:val="17"/>
          <w:color w:val="auto"/>
        </w:rPr>
        <w:t>”), up to 750,000 of which are subject to forfeiture depending on the extent to which the underwriter’s over-allotment option in connection with the Company’s initial public offering is exercised;</w:t>
      </w:r>
    </w:p>
    <w:p>
      <w:pPr>
        <w:sectPr>
          <w:pgSz w:w="11900" w:h="16838" w:orient="portrait"/>
          <w:cols w:equalWidth="0" w:num="1">
            <w:col w:w="11020"/>
          </w:cols>
          <w:pgMar w:left="440" w:top="125" w:right="439" w:bottom="1440" w:gutter="0" w:footer="0" w:header="0"/>
        </w:sectPr>
      </w:pPr>
    </w:p>
    <w:p>
      <w:pPr>
        <w:spacing w:after="0" w:line="16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w:t>
      </w:r>
      <w:r>
        <w:rPr>
          <w:rFonts w:ascii="Arial" w:cs="Arial" w:eastAsia="Arial" w:hAnsi="Arial"/>
          <w:sz w:val="18"/>
          <w:szCs w:val="18"/>
          <w:b w:val="1"/>
          <w:bCs w:val="1"/>
          <w:color w:val="auto"/>
        </w:rPr>
        <w:t xml:space="preserve"> </w:t>
      </w:r>
      <w:r>
        <w:rPr>
          <w:rFonts w:ascii="Arial" w:cs="Arial" w:eastAsia="Arial" w:hAnsi="Arial"/>
          <w:sz w:val="18"/>
          <w:szCs w:val="18"/>
          <w:color w:val="auto"/>
        </w:rPr>
        <w:t>an aggregate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80" w:firstLine="521"/>
        <w:spacing w:after="0" w:line="277" w:lineRule="auto"/>
        <w:rPr>
          <w:sz w:val="20"/>
          <w:szCs w:val="20"/>
          <w:color w:val="auto"/>
        </w:rPr>
      </w:pPr>
      <w:r>
        <w:rPr>
          <w:rFonts w:ascii="Arial" w:cs="Arial" w:eastAsia="Arial" w:hAnsi="Arial"/>
          <w:sz w:val="18"/>
          <w:szCs w:val="18"/>
          <w:color w:val="auto"/>
        </w:rPr>
        <w:t>, 2021, the Sponsor entered into that certain Securities Assignment Agreement, pursuant to which the Sponsor assigned of its Founder Shares to ;</w:t>
      </w:r>
    </w:p>
    <w:p>
      <w:pPr>
        <w:spacing w:after="0" w:line="166" w:lineRule="exact"/>
        <w:rPr>
          <w:sz w:val="20"/>
          <w:szCs w:val="20"/>
          <w:color w:val="auto"/>
        </w:rPr>
      </w:pPr>
    </w:p>
    <w:p>
      <w:pPr>
        <w:sectPr>
          <w:pgSz w:w="11900" w:h="16838" w:orient="portrait"/>
          <w:cols w:equalWidth="0" w:num="2">
            <w:col w:w="1620" w:space="200"/>
            <w:col w:w="9200"/>
          </w:cols>
          <w:pgMar w:left="440" w:top="125" w:right="439" w:bottom="1440" w:gutter="0" w:footer="0" w:header="0"/>
          <w:type w:val="continuous"/>
        </w:sectPr>
      </w:pPr>
    </w:p>
    <w:p>
      <w:pPr>
        <w:ind w:right="10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Founder Shares are convertible into the Company’s Class A ordinary shares, par value $0.0001 per share (the “</w:t>
      </w:r>
      <w:r>
        <w:rPr>
          <w:rFonts w:ascii="Arial" w:cs="Arial" w:eastAsia="Arial" w:hAnsi="Arial"/>
          <w:sz w:val="16"/>
          <w:szCs w:val="16"/>
          <w:b w:val="1"/>
          <w:bCs w:val="1"/>
          <w:i w:val="1"/>
          <w:iCs w:val="1"/>
          <w:color w:val="auto"/>
        </w:rPr>
        <w:t>Ordinary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at the time of the initial Business Combination, or earlier at the option of the holder, on a one-for-one basis, subject to adjustment,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terms and conditions provided in the Company’s amended and restated memorandum and articles of association, as may be amended from time to time;</w:t>
      </w:r>
    </w:p>
    <w:p>
      <w:pPr>
        <w:sectPr>
          <w:pgSz w:w="11900" w:h="16838" w:orient="portrait"/>
          <w:cols w:equalWidth="0" w:num="1">
            <w:col w:w="11020"/>
          </w:cols>
          <w:pgMar w:left="440" w:top="125" w:right="439" w:bottom="1440" w:gutter="0" w:footer="0" w:header="0"/>
          <w:type w:val="continuous"/>
        </w:sectPr>
      </w:pPr>
    </w:p>
    <w:p>
      <w:pPr>
        <w:spacing w:after="0" w:line="142"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Sponsor have entered into that certain Private Placement Shares Purchase Agreement, dated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2021, pursuant to which the Sponsor agreed to purchase an aggregate of 600,000 Ordinary Shares (the “</w:t>
      </w:r>
      <w:r>
        <w:rPr>
          <w:rFonts w:ascii="Arial" w:cs="Arial" w:eastAsia="Arial" w:hAnsi="Arial"/>
          <w:sz w:val="17"/>
          <w:szCs w:val="17"/>
          <w:b w:val="1"/>
          <w:bCs w:val="1"/>
          <w:i w:val="1"/>
          <w:iCs w:val="1"/>
          <w:color w:val="auto"/>
        </w:rPr>
        <w:t>Private Placement Shares</w:t>
      </w:r>
      <w:r>
        <w:rPr>
          <w:rFonts w:ascii="Arial" w:cs="Arial" w:eastAsia="Arial" w:hAnsi="Arial"/>
          <w:sz w:val="17"/>
          <w:szCs w:val="17"/>
          <w:color w:val="auto"/>
        </w:rPr>
        <w:t>”), in a private placement transaction to occur concurrently with the closing of the Company’s initial public offering;</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53" w:lineRule="exact"/>
        <w:rPr>
          <w:sz w:val="20"/>
          <w:szCs w:val="20"/>
          <w:color w:val="auto"/>
        </w:rPr>
      </w:pPr>
    </w:p>
    <w:p>
      <w:pPr>
        <w:sectPr>
          <w:pgSz w:w="11900" w:h="16838" w:orient="portrait"/>
          <w:cols w:equalWidth="0" w:num="2">
            <w:col w:w="10420" w:space="320"/>
            <w:col w:w="280"/>
          </w:cols>
          <w:pgMar w:left="440" w:top="125" w:right="439" w:bottom="1440" w:gutter="0" w:footer="0" w:header="0"/>
          <w:type w:val="continuous"/>
        </w:sectPr>
      </w:pPr>
    </w:p>
    <w:p>
      <w:pPr>
        <w:jc w:val="both"/>
        <w:ind w:right="14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finance the Company’s transaction costs in connection with an intended Business Combination, the Sponsor,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Sponsor or certain of the Company’s officers or directors may, but are not obligated to, loan the Company funds as the Company may require, of which up to $1,500,000 of such loans may be convertible into shares of the post-Business Combination company, at a price of $10.00 per share, at the option of the lender (the “</w:t>
      </w:r>
      <w:r>
        <w:rPr>
          <w:rFonts w:ascii="Arial" w:cs="Arial" w:eastAsia="Arial" w:hAnsi="Arial"/>
          <w:sz w:val="18"/>
          <w:szCs w:val="18"/>
          <w:b w:val="1"/>
          <w:bCs w:val="1"/>
          <w:i w:val="1"/>
          <w:iCs w:val="1"/>
          <w:color w:val="auto"/>
        </w:rPr>
        <w:t>Working Capital Shares</w:t>
      </w:r>
      <w:r>
        <w:rPr>
          <w:rFonts w:ascii="Arial" w:cs="Arial" w:eastAsia="Arial" w:hAnsi="Arial"/>
          <w:sz w:val="18"/>
          <w:szCs w:val="18"/>
          <w:color w:val="auto"/>
        </w:rPr>
        <w:t>”); and</w:t>
      </w:r>
    </w:p>
    <w:p>
      <w:pPr>
        <w:spacing w:after="0" w:line="180"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right="140" w:firstLine="440"/>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The terms defined in this Article I shall, for all purposes of this Agreement, have the respective meanings set forth below:</w:t>
      </w:r>
    </w:p>
    <w:p>
      <w:pPr>
        <w:spacing w:after="0" w:line="237"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Adverse Disclosure</w:t>
      </w:r>
      <w:r>
        <w:rPr>
          <w:rFonts w:ascii="Arial" w:cs="Arial" w:eastAsia="Arial" w:hAnsi="Arial"/>
          <w:sz w:val="18"/>
          <w:szCs w:val="18"/>
          <w:color w:val="auto"/>
        </w:rPr>
        <w:t>” shall mean any public disclosure of material non-public information, which disclosure, in the good faith judgment of the Chief Executive Officer, the President or the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the information contained therein public.</w:t>
      </w:r>
    </w:p>
    <w:p>
      <w:pPr>
        <w:sectPr>
          <w:pgSz w:w="11900" w:h="16838" w:orient="portrait"/>
          <w:cols w:equalWidth="0" w:num="1">
            <w:col w:w="11020"/>
          </w:cols>
          <w:pgMar w:left="440" w:top="125" w:right="439" w:bottom="1440" w:gutter="0" w:footer="0" w:header="0"/>
          <w:type w:val="continuous"/>
        </w:sectPr>
      </w:pPr>
    </w:p>
    <w:bookmarkStart w:id="296" w:name="page297"/>
    <w:bookmarkEnd w:id="2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share exchange, asset acquisition, share purchase, reorganization or other similar business combination with one or more businesses, involving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 and shall be deemed to include the Ordinary Shares issuable upon conversion thereof.</w:t>
      </w:r>
    </w:p>
    <w:p>
      <w:pPr>
        <w:spacing w:after="0" w:line="17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 Lock-up Period</w:t>
      </w:r>
      <w:r>
        <w:rPr>
          <w:rFonts w:ascii="Arial" w:cs="Arial" w:eastAsia="Arial" w:hAnsi="Arial"/>
          <w:sz w:val="18"/>
          <w:szCs w:val="18"/>
          <w:color w:val="auto"/>
        </w:rPr>
        <w:t>” shall mean, with respect to the Founder Shares, the period ending on the earlier of (A) one year after the completion of the Company’s initial Business Combination and (B) subsequent to the Company’s initial Business Combination, (x) if the last reported sale price of the Ordinary Shares equals or exceeds $12.00 per share (as adjusted for share sub-divisions, share dividends, rights issuances, reorganizations, recapitalizations and the like) for any twenty (20) trading days within any thirty (30)-trading day period commencing at least one hundred and fifty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shall mean that certain letter agreement, dated as of the date hereof, by and among the Company, the Sponsor and each of the Company’s officers, directors and director nominees.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shall have the meaning given in the Recitals.</w:t>
      </w:r>
    </w:p>
    <w:p>
      <w:pPr>
        <w:spacing w:after="0" w:line="225" w:lineRule="exact"/>
        <w:rPr>
          <w:sz w:val="20"/>
          <w:szCs w:val="20"/>
          <w:color w:val="auto"/>
        </w:rPr>
      </w:pPr>
    </w:p>
    <w:p>
      <w:pPr>
        <w:jc w:val="both"/>
        <w:ind w:right="4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Transferees</w:t>
      </w:r>
      <w:r>
        <w:rPr>
          <w:rFonts w:ascii="Arial" w:cs="Arial" w:eastAsia="Arial" w:hAnsi="Arial"/>
          <w:sz w:val="16"/>
          <w:szCs w:val="16"/>
          <w:color w:val="auto"/>
        </w:rPr>
        <w:t>” shall mean a person or entity to whom a Holder of Registrable Securities is permitted to transfer such Registrable Securities prior to the expiration of the Founder Shares Lock-up Period or Private Placement Lock-up Period, as the case may be, under the Letter Agreement and any other applicable agreement between such Holder and the Company and to any transferee thereafter.</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297" w:name="page298"/>
    <w:bookmarkEnd w:id="2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 Placement Lock-up Period</w:t>
      </w:r>
      <w:r>
        <w:rPr>
          <w:rFonts w:ascii="Arial" w:cs="Arial" w:eastAsia="Arial" w:hAnsi="Arial"/>
          <w:sz w:val="16"/>
          <w:szCs w:val="16"/>
          <w:color w:val="auto"/>
        </w:rPr>
        <w:t>” shall mean, with respect to Private Placement Shares that are held by the initial purchasers of such Private Placement Shares or their Permitted Transferees, the period ending thirty (30) days after the completion of the Company’s initial Business Combination.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Shares</w:t>
      </w:r>
      <w:r>
        <w:rPr>
          <w:rFonts w:ascii="Arial" w:cs="Arial" w:eastAsia="Arial" w:hAnsi="Arial"/>
          <w:sz w:val="18"/>
          <w:szCs w:val="18"/>
          <w:color w:val="auto"/>
        </w:rPr>
        <w:t>” shall have the meaning given in the Recitals.</w:t>
      </w:r>
    </w:p>
    <w:p>
      <w:pPr>
        <w:spacing w:after="0" w:line="225"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2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Security</w:t>
      </w:r>
      <w:r>
        <w:rPr>
          <w:rFonts w:ascii="Arial" w:cs="Arial" w:eastAsia="Arial" w:hAnsi="Arial"/>
          <w:sz w:val="17"/>
          <w:szCs w:val="17"/>
          <w:color w:val="auto"/>
        </w:rPr>
        <w:t xml:space="preserve">” shall mean (a) the Ordinary Shares issued or issuable upon the conversion of any Founder Shares, (b) the Private Placement Shares, (c) the Working Capital Shares, (d) any outstanding Ordinary Shares or any other equity security (including the Ordinary Shares issued or issuable upon the exercise of any other equity security) of the Company held by a Holder as of the date of this Agreement, and (e) any other equity security of the Company issued or issuable with respect to any such Ordinary Shares by way of a share dividend or share sub-division or in connection with a combination of shares, recapitalization, merger, consolidation, spin-off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(but with no volume or other restrictions or limitations); or (E) such securities have been sold to, or through, a broker, dealer or underwriter in a public distribution or other public securities transaction.</w:t>
      </w:r>
    </w:p>
    <w:p>
      <w:pPr>
        <w:spacing w:after="0" w:line="179" w:lineRule="exact"/>
        <w:rPr>
          <w:sz w:val="20"/>
          <w:szCs w:val="20"/>
          <w:color w:val="auto"/>
        </w:rPr>
      </w:pPr>
    </w:p>
    <w:p>
      <w:pPr>
        <w:jc w:val="center"/>
        <w:ind w:right="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17" w:lineRule="exact"/>
        <w:rPr>
          <w:sz w:val="20"/>
          <w:szCs w:val="20"/>
          <w:color w:val="auto"/>
        </w:rPr>
      </w:pPr>
    </w:p>
    <w:p>
      <w:pPr>
        <w:ind w:right="360" w:firstLine="436"/>
        <w:spacing w:after="0" w:line="277" w:lineRule="auto"/>
        <w:tabs>
          <w:tab w:leader="none" w:pos="73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Ordinary Shares are then listed;</w:t>
      </w:r>
    </w:p>
    <w:p>
      <w:pPr>
        <w:spacing w:after="0" w:line="170" w:lineRule="exact"/>
        <w:rPr>
          <w:rFonts w:ascii="Arial" w:cs="Arial" w:eastAsia="Arial" w:hAnsi="Arial"/>
          <w:sz w:val="18"/>
          <w:szCs w:val="18"/>
          <w:color w:val="auto"/>
        </w:rPr>
      </w:pPr>
    </w:p>
    <w:p>
      <w:pPr>
        <w:ind w:right="440" w:firstLine="436"/>
        <w:spacing w:after="0" w:line="277" w:lineRule="auto"/>
        <w:tabs>
          <w:tab w:leader="none" w:pos="72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720" w:hanging="284"/>
        <w:spacing w:after="0"/>
        <w:tabs>
          <w:tab w:leader="none" w:pos="7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740" w:hanging="304"/>
        <w:spacing w:after="0"/>
        <w:tabs>
          <w:tab w:leader="none" w:pos="7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right="240" w:firstLine="436"/>
        <w:spacing w:after="0" w:line="277" w:lineRule="auto"/>
        <w:tabs>
          <w:tab w:leader="none" w:pos="71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98" w:name="page299"/>
    <w:bookmarkEnd w:id="298"/>
    <w:p>
      <w:pPr>
        <w:ind w:right="460" w:firstLine="436"/>
        <w:spacing w:after="0" w:line="277" w:lineRule="auto"/>
        <w:tabs>
          <w:tab w:leader="none" w:pos="705"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shall mean any registration statement under the Securities Act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Shares</w:t>
      </w:r>
      <w:r>
        <w:rPr>
          <w:rFonts w:ascii="Arial" w:cs="Arial" w:eastAsia="Arial" w:hAnsi="Arial"/>
          <w:sz w:val="18"/>
          <w:szCs w:val="18"/>
          <w:color w:val="auto"/>
        </w:rPr>
        <w:t>” shall have the meaning given in the Recitals hereto.</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at any time and from time to time on or after the date the Company consummates the initial Business Combination, the Holders of at least thirty percent (30%) in interest of the then outstanding number of Registrable Securities (the “</w:t>
      </w:r>
      <w:r>
        <w:rPr>
          <w:rFonts w:ascii="Arial" w:cs="Arial" w:eastAsia="Arial" w:hAnsi="Arial"/>
          <w:sz w:val="17"/>
          <w:szCs w:val="17"/>
          <w:b w:val="1"/>
          <w:bCs w:val="1"/>
          <w:i w:val="1"/>
          <w:iCs w:val="1"/>
          <w:color w:val="auto"/>
        </w:rPr>
        <w:t>Demanding Holders</w:t>
      </w:r>
      <w:r>
        <w:rPr>
          <w:rFonts w:ascii="Arial" w:cs="Arial" w:eastAsia="Arial" w:hAnsi="Arial"/>
          <w:sz w:val="17"/>
          <w:szCs w:val="17"/>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7"/>
          <w:szCs w:val="17"/>
          <w:b w:val="1"/>
          <w:bCs w:val="1"/>
          <w:i w:val="1"/>
          <w:iCs w:val="1"/>
          <w:color w:val="auto"/>
        </w:rPr>
        <w:t>Demand Registration</w:t>
      </w:r>
      <w:r>
        <w:rPr>
          <w:rFonts w:ascii="Arial" w:cs="Arial" w:eastAsia="Arial" w:hAnsi="Arial"/>
          <w:sz w:val="17"/>
          <w:szCs w:val="17"/>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7"/>
          <w:szCs w:val="17"/>
          <w:b w:val="1"/>
          <w:bCs w:val="1"/>
          <w:i w:val="1"/>
          <w:iCs w:val="1"/>
          <w:color w:val="auto"/>
        </w:rPr>
        <w:t>Requesting Holder</w:t>
      </w:r>
      <w:r>
        <w:rPr>
          <w:rFonts w:ascii="Arial" w:cs="Arial" w:eastAsia="Arial" w:hAnsi="Arial"/>
          <w:sz w:val="17"/>
          <w:szCs w:val="17"/>
          <w:color w:val="auto"/>
        </w:rPr>
        <w:t xml:space="preserve">”) shall so notify the Company, in writing, within five (5) days after the receipt by the Holder of the notice from the Company. Upon receipt by the Company of any such written notification from a Requesting Holder(s), such Requesting Holder(s) shall be entitled to have their Registrable Securities included in a Registration pursuant to a Demand Registration and the Company shall effect, as soon thereafter as practicable, the Registration of all Registrable Securities requested by the Demanding Holder(s) and Requesting Holder(s) pursuant to such Demand Registration, including by filing a Registration Statement relating thereto as soon as practicable, but not more than forty-five (45) days immediately after the Company’s receipt of the Demand Registration. Under no circumstances shall the Company be obligated to effect more than an aggregate of three (3) Registrations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with respect to any or all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Registration shall not be counted for such purposes unless a Form S-1 or any similar long-form registration statement that may be available at such time (“</w:t>
      </w:r>
      <w:r>
        <w:rPr>
          <w:rFonts w:ascii="Arial" w:cs="Arial" w:eastAsia="Arial" w:hAnsi="Arial"/>
          <w:sz w:val="17"/>
          <w:szCs w:val="17"/>
          <w:b w:val="1"/>
          <w:bCs w:val="1"/>
          <w:i w:val="1"/>
          <w:iCs w:val="1"/>
          <w:color w:val="auto"/>
        </w:rPr>
        <w:t>Form S-1</w:t>
      </w:r>
      <w:r>
        <w:rPr>
          <w:rFonts w:ascii="Arial" w:cs="Arial" w:eastAsia="Arial" w:hAnsi="Arial"/>
          <w:sz w:val="17"/>
          <w:szCs w:val="17"/>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Agreement.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99" w:name="page300"/>
    <w:bookmarkEnd w:id="299"/>
    <w:p>
      <w:pPr>
        <w:ind w:right="8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2.1.2 </w:t>
      </w:r>
      <w:r>
        <w:rPr>
          <w:rFonts w:ascii="Arial" w:cs="Arial" w:eastAsia="Arial" w:hAnsi="Arial"/>
          <w:sz w:val="16"/>
          <w:szCs w:val="16"/>
          <w:u w:val="single" w:color="auto"/>
          <w:color w:val="auto"/>
        </w:rPr>
        <w:t>Effective Registration</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(A) such stop order or injunction is removed, rescinded or otherwise terminated, and (B)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72"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166"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 Demand Registration, in good faith, advise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 then the Company shall include in such Underwritten Offering, as follows: (i) first, the Registrable Securities of the Demanding Holders and the Requesting Holders (if any) (pro rata based on the respective number of Registrable Securities that each such Holder has requested be included in such Underwritten Registration and the aggregate number of Registrable Securities that such Holders have requested be included in such Underwritten Registration (such proportion is referred to herein as “</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other persons or entities that the Company is obligated to register in a Registration pursuant to separate written contractual piggy-back registration rights held by such persons or entities and that can be sold without exceeding the Maximum Number of Securities.</w:t>
      </w:r>
    </w:p>
    <w:p>
      <w:pPr>
        <w:spacing w:after="0" w:line="191"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Demand Registration Withdrawal</w:t>
      </w:r>
      <w:r>
        <w:rPr>
          <w:rFonts w:ascii="Arial" w:cs="Arial" w:eastAsia="Arial" w:hAnsi="Arial"/>
          <w:sz w:val="17"/>
          <w:szCs w:val="17"/>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(i) the Company may effect any Underwritten Registration pursuant to any then effective Registration Statement, including a Form S-3, that is then available for such offering and (ii) the Company shall be responsible for the Registration Expenses incurred in connection with a Registration pursuant to a Demand Registration prior to its withdrawal under this </w:t>
      </w:r>
      <w:r>
        <w:rPr>
          <w:rFonts w:ascii="Arial" w:cs="Arial" w:eastAsia="Arial" w:hAnsi="Arial"/>
          <w:sz w:val="17"/>
          <w:szCs w:val="17"/>
          <w:u w:val="single" w:color="auto"/>
          <w:color w:val="auto"/>
        </w:rPr>
        <w:t>subsection 2.1.5</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00" w:name="page301"/>
    <w:bookmarkEnd w:id="30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left="4" w:right="100" w:firstLine="991"/>
        <w:spacing w:after="0" w:line="283"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an initial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other than a Registration Statement (i) filed in connection with any employee share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w:t>
      </w:r>
    </w:p>
    <w:p>
      <w:pPr>
        <w:spacing w:after="0" w:line="5" w:lineRule="exact"/>
        <w:rPr>
          <w:sz w:val="20"/>
          <w:szCs w:val="20"/>
          <w:color w:val="auto"/>
        </w:rPr>
      </w:pPr>
    </w:p>
    <w:p>
      <w:pPr>
        <w:ind w:left="4" w:right="120" w:hanging="4"/>
        <w:spacing w:after="0" w:line="269" w:lineRule="auto"/>
        <w:tabs>
          <w:tab w:leader="none" w:pos="25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days after receipt of such written notice (such Registration a “</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shall enter into an underwriting agreement in customary form with the Underwriter(s) selected for such Underwritten Offering by the Company.</w:t>
      </w:r>
    </w:p>
    <w:p>
      <w:pPr>
        <w:spacing w:after="0" w:line="180" w:lineRule="exact"/>
        <w:rPr>
          <w:sz w:val="20"/>
          <w:szCs w:val="20"/>
          <w:color w:val="auto"/>
        </w:rPr>
      </w:pPr>
    </w:p>
    <w:p>
      <w:pPr>
        <w:ind w:left="4" w:right="220" w:firstLine="991"/>
        <w:spacing w:after="0" w:line="293"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Ordinary Shares or other securities that the Company desires to sell, taken together with (i) the Registrable Securities as to which registration has been requested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and (ii) the Ordinary Shares or other equity securities, if any, of other persons or entities that the Company is obligated to register in a Registration pursuant to separate written contractual piggy-back registration rights held by such persons or entities, exceeds the Maximum Number of Securities, then:</w:t>
      </w:r>
    </w:p>
    <w:p>
      <w:pPr>
        <w:spacing w:after="0" w:line="56" w:lineRule="exact"/>
        <w:rPr>
          <w:sz w:val="20"/>
          <w:szCs w:val="20"/>
          <w:color w:val="auto"/>
        </w:rPr>
      </w:pPr>
    </w:p>
    <w:p>
      <w:pPr>
        <w:ind w:left="4" w:right="200" w:firstLine="1428"/>
        <w:spacing w:after="0" w:line="291" w:lineRule="auto"/>
        <w:tabs>
          <w:tab w:leader="none" w:pos="1681"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If the Registration is undertaken for the Company’s account, the Company shall include in any such Registration (A) first, the Ordinary Shares or other equity securities that the Company desires to sell, which can be sold without exceeding the Maximum Number of Securities;</w:t>
      </w:r>
    </w:p>
    <w:p>
      <w:pPr>
        <w:ind w:left="4" w:right="120" w:hanging="4"/>
        <w:spacing w:after="0" w:line="288" w:lineRule="auto"/>
        <w:tabs>
          <w:tab w:leader="none" w:pos="28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based on the respective number of Registrable Securities that each Holder has requested be included in such Registration and the aggregate number of Registrable Securities that the Holders have requested to be included in such Registration, which can be sold without exceeding the Maximum Number of Securities; and (C) third, to the extent that the Maximum Number of Securities has not been reached under the foregoing clauses (A) and (B), the Ordinary Shares or other equity securities, if any, of other persons or entities that the Company is obligated to register in a Registration pursuant to separate written contractual piggy-back registration rights held by such persons or entities, which can be sold without exceeding the Maximum Number of Securities;</w:t>
      </w:r>
    </w:p>
    <w:p>
      <w:pPr>
        <w:spacing w:after="0" w:line="168" w:lineRule="exact"/>
        <w:rPr>
          <w:rFonts w:ascii="Arial" w:cs="Arial" w:eastAsia="Arial" w:hAnsi="Arial"/>
          <w:sz w:val="16"/>
          <w:szCs w:val="16"/>
          <w:color w:val="auto"/>
        </w:rPr>
      </w:pPr>
    </w:p>
    <w:p>
      <w:pPr>
        <w:ind w:left="4" w:firstLine="1428"/>
        <w:spacing w:after="0" w:line="257" w:lineRule="auto"/>
        <w:tabs>
          <w:tab w:leader="none" w:pos="169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If the Registration is pursuant to a request by persons or entities other than the Holders of Registrable Securities (and not undertaken for the Company’s account),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01" w:name="page302"/>
    <w:bookmarkEnd w:id="301"/>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pursuant to </w:t>
      </w:r>
      <w:r>
        <w:rPr>
          <w:rFonts w:ascii="Arial" w:cs="Arial" w:eastAsia="Arial" w:hAnsi="Arial"/>
          <w:sz w:val="17"/>
          <w:szCs w:val="17"/>
          <w:u w:val="single" w:color="auto"/>
          <w:color w:val="auto"/>
        </w:rPr>
        <w:t>subsection 2.2.</w:t>
      </w:r>
      <w:r>
        <w:rPr>
          <w:rFonts w:ascii="Arial" w:cs="Arial" w:eastAsia="Arial" w:hAnsi="Arial"/>
          <w:sz w:val="17"/>
          <w:szCs w:val="17"/>
          <w:color w:val="auto"/>
        </w:rPr>
        <w:t>1 hereof, pro rata, based on the respective number of Registrable Securities that each Holder has requested be included in such Registration and the aggregate number of Registrable Securities that the Holders have requested to be included in such Registration,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if any, of other persons or entities that the Company is obligated to register in a Registration pursuant to separate written contractual piggy-back registration rights held by such persons or entities, which can be sold without exceeding the Maximum Number of Securities.</w:t>
      </w:r>
    </w:p>
    <w:p>
      <w:pPr>
        <w:spacing w:after="0" w:line="178"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Piggyback Registration Withdrawal</w:t>
      </w:r>
      <w:r>
        <w:rPr>
          <w:rFonts w:ascii="Arial" w:cs="Arial" w:eastAsia="Arial" w:hAnsi="Arial"/>
          <w:sz w:val="17"/>
          <w:szCs w:val="17"/>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an Underwritten Registration pursuant to Rule 415 under the Securities Act, at least two (2)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7"/>
          <w:szCs w:val="17"/>
          <w:u w:val="single" w:color="auto"/>
          <w:color w:val="auto"/>
        </w:rPr>
        <w:t>subsection 2.2.3</w:t>
      </w:r>
      <w:r>
        <w:rPr>
          <w:rFonts w:ascii="Arial" w:cs="Arial" w:eastAsia="Arial" w:hAnsi="Arial"/>
          <w:sz w:val="17"/>
          <w:szCs w:val="17"/>
          <w:color w:val="auto"/>
        </w:rPr>
        <w:t>.</w:t>
      </w:r>
    </w:p>
    <w:p>
      <w:pPr>
        <w:spacing w:after="0" w:line="18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Any Holder of Registrable Securities may at any time, and from time to time, request in writing that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pursuant to Rule 415 under the Securities Act (or any successor rule promulgated thereafter by the Commission), register the resale of any or all of their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Registrable Securities on Form S-3 or any similar short-form registration statement that may be available at such time pursuant to this </w:t>
      </w:r>
      <w:r>
        <w:rPr>
          <w:rFonts w:ascii="Arial" w:cs="Arial" w:eastAsia="Arial" w:hAnsi="Arial"/>
          <w:sz w:val="17"/>
          <w:szCs w:val="17"/>
          <w:u w:val="single" w:color="auto"/>
          <w:color w:val="auto"/>
        </w:rPr>
        <w:t>Section 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effect such request through an Underwritten Offering. Within five (5)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receipt of a written request from a Holder or Holders of Registrable Securities for a Registration on Form S-3, the Company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promptly give written notice of the proposed Registration on Form S-3 to all other Holders of Registrable Securities, and each Holder of Registrable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who thereafter wishes to include all or a portion of such Holder’s Registrable Securities in such Registration on Form S-3 shall so notify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in writing, within five (5) days after the receipt by the Holder of the notice from the Company. As soon as practicable thereafter, but not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twelve (12) days after the Company’s initial receipt of such written request for a Registration on Form S-3, the Company shall file a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relating to all or such portion of such Holder’s Registrable Securities as are specified in such written request, together with all or such portion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Registrable Securities of any other Holder or Holders joining in such request as are specified in the written notification given by such Holder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if (i) a Form S-3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available for such offering; or (ii) the Holders of Registrable Securities, together with the Holders of any other equity securities of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entitled to inclusion in such Registration, propose to sell the Registrable Securities and such other equity securities (if any) at any aggregate price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of less than $5,000,000.</w:t>
      </w:r>
    </w:p>
    <w:p>
      <w:pPr>
        <w:spacing w:after="0" w:line="211"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the Company’s good faith estimate of the date of the filing of, and ending on a date one hundred and twenty (120) days after the effective date of, a Company-initiated Registration and provided that the Company has delivered written notice to the Holders of such filing prior to receipt of a Demand Registration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and the Company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a Registration Statement for such Registration at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02" w:name="page303"/>
    <w:bookmarkEnd w:id="302"/>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time, then in each case, the Company shall furnish to such Holders a certificate signed by the Chairman of the Board or Chief Executive Officer of the Company stating that in the good faith judgment of the Board it would be seriously detrimental to the Company for the Registration Statement for such Registration to be filed in the near future and that it is therefore essential to defer the filing of such Registration Statement. In such event, the Company shall have the right to defer the filing of such Registration Statement for a period of not more than thirty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defer its obligation in this manner more than once in any 12-month period. Notwithstanding anything to the contrary contained in this Agreement, the Company shall not be required to effect or permit any Registration or cause any Registration Statement to become effective, with respect to any Registrable Securities held by any Holder, until after the expiration of the Founder Shares Lock-Up Period or the Private Placement Lock-Up Period, as the case may 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an initial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41"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reasonably requested by the majority-in-interest of the Holders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92" w:lineRule="exact"/>
        <w:rPr>
          <w:sz w:val="20"/>
          <w:szCs w:val="20"/>
          <w:color w:val="auto"/>
        </w:rPr>
      </w:pPr>
    </w:p>
    <w:p>
      <w:pPr>
        <w:ind w:right="160" w:firstLine="991"/>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1"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03" w:name="page304"/>
    <w:bookmarkEnd w:id="303"/>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3.1.6 provide a transfer agent and registrar for all such Registrable Securities no later than the effective date of such Registration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Statement;</w:t>
      </w:r>
    </w:p>
    <w:p>
      <w:pPr>
        <w:spacing w:after="0" w:line="211"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7" w:lineRule="exact"/>
        <w:rPr>
          <w:sz w:val="20"/>
          <w:szCs w:val="20"/>
          <w:color w:val="auto"/>
        </w:rPr>
      </w:pPr>
    </w:p>
    <w:p>
      <w:pPr>
        <w:ind w:left="4" w:right="660" w:firstLine="991"/>
        <w:spacing w:after="0" w:line="308" w:lineRule="auto"/>
        <w:rPr>
          <w:sz w:val="20"/>
          <w:szCs w:val="20"/>
          <w:color w:val="auto"/>
        </w:rPr>
      </w:pPr>
      <w:r>
        <w:rPr>
          <w:rFonts w:ascii="Arial" w:cs="Arial" w:eastAsia="Arial" w:hAnsi="Arial"/>
          <w:sz w:val="17"/>
          <w:szCs w:val="17"/>
          <w:color w:val="auto"/>
        </w:rPr>
        <w:t>3.1.8 at least five (5) days prior to the filing of any Registration Statement or Prospectus or any amendment or supplement to such Registration Statement or Prospectus furnish a copy thereof to each seller of such Registrable Securities or its counsel;</w:t>
      </w:r>
    </w:p>
    <w:p>
      <w:pPr>
        <w:spacing w:after="0" w:line="146" w:lineRule="exact"/>
        <w:rPr>
          <w:sz w:val="20"/>
          <w:szCs w:val="20"/>
          <w:color w:val="auto"/>
        </w:rPr>
      </w:pPr>
    </w:p>
    <w:p>
      <w:pPr>
        <w:ind w:left="4" w:right="280" w:firstLine="991"/>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84" w:lineRule="exact"/>
        <w:rPr>
          <w:sz w:val="20"/>
          <w:szCs w:val="20"/>
          <w:color w:val="auto"/>
        </w:rPr>
      </w:pPr>
    </w:p>
    <w:p>
      <w:pPr>
        <w:ind w:left="4" w:right="240" w:firstLine="991"/>
        <w:spacing w:after="0" w:line="275"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76"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4" w:lineRule="exact"/>
        <w:rPr>
          <w:sz w:val="20"/>
          <w:szCs w:val="20"/>
          <w:color w:val="auto"/>
        </w:rPr>
      </w:pPr>
    </w:p>
    <w:p>
      <w:pPr>
        <w:ind w:left="4" w:firstLine="991"/>
        <w:spacing w:after="0" w:line="296" w:lineRule="auto"/>
        <w:rPr>
          <w:sz w:val="20"/>
          <w:szCs w:val="20"/>
          <w:color w:val="auto"/>
        </w:rPr>
      </w:pPr>
      <w:r>
        <w:rPr>
          <w:rFonts w:ascii="Arial" w:cs="Arial" w:eastAsia="Arial" w:hAnsi="Arial"/>
          <w:sz w:val="16"/>
          <w:szCs w:val="16"/>
          <w:color w:val="auto"/>
        </w:rPr>
        <w:t>3.1.12 on the date the Registrable Securities are delivered for sale pursuant to such Registration, obtain an opinion and negative assurance letter, dated as of such date, of counsel representing the Company for the purposes of such Registration, addressed to the Holders, the placement agent or sales agent, if any, and the Underwriters, if any, covering such legal matters with respect to the Registration in respect of which such opinion and negative assurance letter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61"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w:t>
      </w:r>
    </w:p>
    <w:p>
      <w:pPr>
        <w:spacing w:after="0" w:line="46" w:lineRule="exact"/>
        <w:rPr>
          <w:sz w:val="20"/>
          <w:szCs w:val="20"/>
          <w:color w:val="auto"/>
        </w:rPr>
      </w:pPr>
    </w:p>
    <w:p>
      <w:pPr>
        <w:ind w:left="4" w:right="40" w:hanging="4"/>
        <w:spacing w:after="0" w:line="260" w:lineRule="auto"/>
        <w:tabs>
          <w:tab w:leader="none" w:pos="34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months beginning with the first day of the Company’s first full calendar quarter after the effective date of the Registration Statement which satisfies the provisions of Section 11(a) of the Securities Act and Rule 158 thereunder;</w:t>
      </w:r>
    </w:p>
    <w:p>
      <w:pPr>
        <w:spacing w:after="0" w:line="185" w:lineRule="exact"/>
        <w:rPr>
          <w:sz w:val="20"/>
          <w:szCs w:val="20"/>
          <w:color w:val="auto"/>
        </w:rPr>
      </w:pPr>
    </w:p>
    <w:p>
      <w:pPr>
        <w:jc w:val="both"/>
        <w:ind w:left="4" w:right="320" w:firstLine="991"/>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ind w:left="4" w:right="620" w:firstLine="991"/>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304" w:name="page305"/>
    <w:bookmarkEnd w:id="304"/>
    <w:p>
      <w:pPr>
        <w:jc w:val="both"/>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w:t>
      </w:r>
      <w:r>
        <w:rPr>
          <w:rFonts w:ascii="Arial" w:cs="Arial" w:eastAsia="Arial" w:hAnsi="Arial"/>
          <w:sz w:val="18"/>
          <w:szCs w:val="18"/>
          <w:b w:val="1"/>
          <w:bCs w:val="1"/>
          <w:i w:val="1"/>
          <w:iCs w:val="1"/>
          <w:color w:val="auto"/>
        </w:rPr>
        <w:t>Registration Expenses</w:t>
      </w:r>
      <w:r>
        <w:rPr>
          <w:rFonts w:ascii="Arial" w:cs="Arial" w:eastAsia="Arial" w:hAnsi="Arial"/>
          <w:sz w:val="18"/>
          <w:szCs w:val="18"/>
          <w:i w:val="1"/>
          <w:iCs w:val="1"/>
          <w:color w:val="auto"/>
        </w:rPr>
        <w:t>,</w:t>
      </w:r>
      <w:r>
        <w:rPr>
          <w:rFonts w:ascii="Arial" w:cs="Arial" w:eastAsia="Arial" w:hAnsi="Arial"/>
          <w:sz w:val="18"/>
          <w:szCs w:val="18"/>
          <w:color w:val="auto"/>
        </w:rPr>
        <w:t>” all reasonable fees and expenses of any legal counsel representing the Holders.</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including providing any legal opinions.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4.1.1 The Company agrees to indemnify, to the extent permitted by law, each Holder of Registrable Securities, its officers, directors and agents and each person who controls such Holder (within the meaning of the Securities Act) against all losses, claims, damages, liabilities and out-of-pocket expenses (including without limitation reasonable outside attorneys’ fees)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05" w:name="page306"/>
    <w:bookmarkEnd w:id="305"/>
    <w:p>
      <w:pPr>
        <w:ind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officers and agents and each person who controls the Company (within the meaning of the Securities Act) against all losses, claims, damages, liabilities and out-of-pocket expenses (including without limitation reasonable outside attorneys’ fees)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86"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jc w:val="both"/>
        <w:ind w:right="100" w:firstLine="991"/>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7"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4.1.5 If the indemnification provided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hereof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liability of any Holder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06" w:name="page307"/>
    <w:bookmarkEnd w:id="306"/>
    <w:p>
      <w:pPr>
        <w:ind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8"/>
          <w:szCs w:val="18"/>
          <w:u w:val="single" w:color="auto"/>
          <w:color w:val="auto"/>
        </w:rPr>
        <w:t>subsections 4.1.1</w:t>
      </w:r>
      <w:r>
        <w:rPr>
          <w:rFonts w:ascii="Arial" w:cs="Arial" w:eastAsia="Arial" w:hAnsi="Arial"/>
          <w:sz w:val="18"/>
          <w:szCs w:val="18"/>
          <w:color w:val="auto"/>
        </w:rPr>
        <w:t xml:space="preserve">, </w:t>
      </w:r>
      <w:r>
        <w:rPr>
          <w:rFonts w:ascii="Arial" w:cs="Arial" w:eastAsia="Arial" w:hAnsi="Arial"/>
          <w:sz w:val="18"/>
          <w:szCs w:val="18"/>
          <w:u w:val="single" w:color="auto"/>
          <w:color w:val="auto"/>
        </w:rPr>
        <w:t>4.1.2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4.1.3</w:t>
      </w:r>
      <w:r>
        <w:rPr>
          <w:rFonts w:ascii="Arial" w:cs="Arial" w:eastAsia="Arial" w:hAnsi="Arial"/>
          <w:sz w:val="18"/>
          <w:szCs w:val="18"/>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were determined by pro rata allocation or by any other method of allocation, which does not take account of the equitable considerations referred to in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No person guilty of fraudulent misrepresentation (within the meaning of Section 11(f) of the Securities Act) shall be entitled to contribution pursuant to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from any person who was not guilty of such fraudulent misrepresentation.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or electronic mail.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or electronic mail, at such time as it is delivered to the addressee (with the delivery receipt or the affidavit of messenger) or at such time as delivery is refused by the addressee upon presentation. Any notice or communication under this Agreement must be addressed, if to the Company, to: 2850 W. Horizon Ridge Parkway, Suite 200, Henderson, NV 89052, Attention: Chief Financial Officer, and, if to any Holder, at such Holder’s address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70"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PDF counterparts), each of which shall be deemed an original, and all of which together shall constitute the same instrument, but only one of which need be produced.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7" w:name="page308"/>
    <w:bookmarkEnd w:id="307"/>
    <w:p>
      <w:pPr>
        <w:ind w:right="10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 AND THE VENUE FOR ANY ACTION TAKEN WITH RESPECT TO THE AGREEMENT SHALL BE ANY STATE OR FEDERAL COURT IN NEW YORK COUNTY IN THE STATE OF NEW YORK.</w:t>
      </w:r>
    </w:p>
    <w:p>
      <w:pPr>
        <w:spacing w:after="0" w:line="192"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76"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amendment hereto or waiver hereof that adversely affects one Holder, solely in his, her or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with respect to any Holder on the date that such Holder no longer holds any Registrable Securities. The provisions of Section 3.5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SOCIAL CAPITAL SUVRETTA HOLDINGS</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CORP. III,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exempted company</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SCS SPONSOR III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limited liability company</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9720"/>
          </w:cols>
          <w:pgMar w:left="880" w:top="274" w:right="1299" w:bottom="1440" w:gutter="0" w:footer="0" w:header="0"/>
        </w:sectPr>
      </w:pPr>
    </w:p>
    <w:bookmarkStart w:id="309" w:name="page310"/>
    <w:bookmarkEnd w:id="30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ectPr>
          <w:pgSz w:w="11900" w:h="16838" w:orient="portrait"/>
          <w:cols w:equalWidth="0" w:num="1">
            <w:col w:w="9019"/>
          </w:cols>
          <w:pgMar w:left="1440" w:top="719" w:right="1440" w:bottom="1440" w:gutter="0" w:footer="0" w:header="0"/>
        </w:sectPr>
      </w:pPr>
    </w:p>
    <w:bookmarkStart w:id="310" w:name="page311"/>
    <w:bookmarkEnd w:id="31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ectPr>
          <w:pgSz w:w="11900" w:h="16838" w:orient="portrait"/>
          <w:cols w:equalWidth="0" w:num="1">
            <w:col w:w="9019"/>
          </w:cols>
          <w:pgMar w:left="1440" w:top="719" w:right="1440"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color w:val="auto"/>
        </w:rPr>
        <w:t>Exhibit 10.5</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2850 W. Horizon Ridge Parkway, Suite 200, Henderson, NV 89052</w:t>
      </w:r>
    </w:p>
    <w:p>
      <w:pPr>
        <w:spacing w:after="0" w:line="211" w:lineRule="exact"/>
        <w:rPr>
          <w:sz w:val="20"/>
          <w:szCs w:val="20"/>
          <w:color w:val="auto"/>
        </w:rPr>
      </w:pPr>
    </w:p>
    <w:p>
      <w:pPr>
        <w:ind w:left="10004"/>
        <w:spacing w:after="0"/>
        <w:rPr>
          <w:sz w:val="20"/>
          <w:szCs w:val="20"/>
          <w:color w:val="auto"/>
        </w:rPr>
      </w:pPr>
      <w:r>
        <w:rPr>
          <w:rFonts w:ascii="Arial" w:cs="Arial" w:eastAsia="Arial" w:hAnsi="Arial"/>
          <w:sz w:val="16"/>
          <w:szCs w:val="16"/>
          <w:color w:val="auto"/>
        </w:rPr>
        <w:t>May 24, 2021</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SCS Sponsor III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2850 W. Horizon Ridge Parkway,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Henderson, NV 89052</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Amended and Restated Securities Subscription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 w:right="100" w:firstLine="440"/>
        <w:spacing w:after="0" w:line="274" w:lineRule="auto"/>
        <w:rPr>
          <w:sz w:val="20"/>
          <w:szCs w:val="20"/>
          <w:color w:val="auto"/>
        </w:rPr>
      </w:pPr>
      <w:r>
        <w:rPr>
          <w:rFonts w:ascii="Arial" w:cs="Arial" w:eastAsia="Arial" w:hAnsi="Arial"/>
          <w:sz w:val="17"/>
          <w:szCs w:val="17"/>
          <w:color w:val="auto"/>
        </w:rPr>
        <w:t>Pursuant to that certain securities subscription agreement, dated as of March 2, 2021 (the “</w:t>
      </w:r>
      <w:r>
        <w:rPr>
          <w:rFonts w:ascii="Arial" w:cs="Arial" w:eastAsia="Arial" w:hAnsi="Arial"/>
          <w:sz w:val="17"/>
          <w:szCs w:val="17"/>
          <w:b w:val="1"/>
          <w:bCs w:val="1"/>
          <w:color w:val="auto"/>
        </w:rPr>
        <w:t>Original Agreement</w:t>
      </w:r>
      <w:r>
        <w:rPr>
          <w:rFonts w:ascii="Arial" w:cs="Arial" w:eastAsia="Arial" w:hAnsi="Arial"/>
          <w:sz w:val="17"/>
          <w:szCs w:val="17"/>
          <w:color w:val="auto"/>
        </w:rPr>
        <w:t>”), by and between Social Capital Suvretta Holdings Corp. III, a Cayman Islands exempted company (the “</w:t>
      </w:r>
      <w:r>
        <w:rPr>
          <w:rFonts w:ascii="Arial" w:cs="Arial" w:eastAsia="Arial" w:hAnsi="Arial"/>
          <w:sz w:val="17"/>
          <w:szCs w:val="17"/>
          <w:b w:val="1"/>
          <w:bCs w:val="1"/>
          <w:color w:val="auto"/>
        </w:rPr>
        <w:t>Company</w:t>
      </w:r>
      <w:r>
        <w:rPr>
          <w:rFonts w:ascii="Arial" w:cs="Arial" w:eastAsia="Arial" w:hAnsi="Arial"/>
          <w:sz w:val="17"/>
          <w:szCs w:val="17"/>
          <w:color w:val="auto"/>
        </w:rPr>
        <w:t>”), and SCS Sponsor III LLC, a Cayman Islands limited liability company (the “</w:t>
      </w:r>
      <w:r>
        <w:rPr>
          <w:rFonts w:ascii="Arial" w:cs="Arial" w:eastAsia="Arial" w:hAnsi="Arial"/>
          <w:sz w:val="17"/>
          <w:szCs w:val="17"/>
          <w:b w:val="1"/>
          <w:bCs w:val="1"/>
          <w:color w:val="auto"/>
        </w:rPr>
        <w:t>Subscriber</w:t>
      </w:r>
      <w:r>
        <w:rPr>
          <w:rFonts w:ascii="Arial" w:cs="Arial" w:eastAsia="Arial" w:hAnsi="Arial"/>
          <w:sz w:val="17"/>
          <w:szCs w:val="17"/>
          <w:color w:val="auto"/>
        </w:rPr>
        <w:t>” or “</w:t>
      </w:r>
      <w:r>
        <w:rPr>
          <w:rFonts w:ascii="Arial" w:cs="Arial" w:eastAsia="Arial" w:hAnsi="Arial"/>
          <w:sz w:val="17"/>
          <w:szCs w:val="17"/>
          <w:b w:val="1"/>
          <w:bCs w:val="1"/>
          <w:color w:val="auto"/>
        </w:rPr>
        <w:t>you</w:t>
      </w:r>
      <w:r>
        <w:rPr>
          <w:rFonts w:ascii="Arial" w:cs="Arial" w:eastAsia="Arial" w:hAnsi="Arial"/>
          <w:sz w:val="17"/>
          <w:szCs w:val="17"/>
          <w:color w:val="auto"/>
        </w:rPr>
        <w:t>”), you subscribed for and purchased from the Company 5,750,000 Class B ordinary shares of the Company (the “</w:t>
      </w:r>
      <w:r>
        <w:rPr>
          <w:rFonts w:ascii="Arial" w:cs="Arial" w:eastAsia="Arial" w:hAnsi="Arial"/>
          <w:sz w:val="17"/>
          <w:szCs w:val="17"/>
          <w:b w:val="1"/>
          <w:bCs w:val="1"/>
          <w:color w:val="auto"/>
        </w:rPr>
        <w:t>Shares</w:t>
      </w:r>
      <w:r>
        <w:rPr>
          <w:rFonts w:ascii="Arial" w:cs="Arial" w:eastAsia="Arial" w:hAnsi="Arial"/>
          <w:sz w:val="17"/>
          <w:szCs w:val="17"/>
          <w:color w:val="auto"/>
        </w:rPr>
        <w:t>”), of US$0.0001 par value per share (the “</w:t>
      </w:r>
      <w:r>
        <w:rPr>
          <w:rFonts w:ascii="Arial" w:cs="Arial" w:eastAsia="Arial" w:hAnsi="Arial"/>
          <w:sz w:val="17"/>
          <w:szCs w:val="17"/>
          <w:b w:val="1"/>
          <w:bCs w:val="1"/>
          <w:color w:val="auto"/>
        </w:rPr>
        <w:t>Class B Shares</w:t>
      </w:r>
      <w:r>
        <w:rPr>
          <w:rFonts w:ascii="Arial" w:cs="Arial" w:eastAsia="Arial" w:hAnsi="Arial"/>
          <w:sz w:val="17"/>
          <w:szCs w:val="17"/>
          <w:color w:val="auto"/>
        </w:rPr>
        <w:t>”), up to 750,000 of which are subject to forfeiture if the underwriter of the Company’s initial public offering of its securities (“</w:t>
      </w:r>
      <w:r>
        <w:rPr>
          <w:rFonts w:ascii="Arial" w:cs="Arial" w:eastAsia="Arial" w:hAnsi="Arial"/>
          <w:sz w:val="17"/>
          <w:szCs w:val="17"/>
          <w:b w:val="1"/>
          <w:bCs w:val="1"/>
          <w:color w:val="auto"/>
        </w:rPr>
        <w:t>IPO</w:t>
      </w:r>
      <w:r>
        <w:rPr>
          <w:rFonts w:ascii="Arial" w:cs="Arial" w:eastAsia="Arial" w:hAnsi="Arial"/>
          <w:sz w:val="17"/>
          <w:szCs w:val="17"/>
          <w:color w:val="auto"/>
        </w:rPr>
        <w:t>”) do not fully exercise their over-allotment option (the “</w:t>
      </w:r>
      <w:r>
        <w:rPr>
          <w:rFonts w:ascii="Arial" w:cs="Arial" w:eastAsia="Arial" w:hAnsi="Arial"/>
          <w:sz w:val="17"/>
          <w:szCs w:val="17"/>
          <w:b w:val="1"/>
          <w:bCs w:val="1"/>
          <w:color w:val="auto"/>
        </w:rPr>
        <w:t>Over-allotment Option</w:t>
      </w:r>
      <w:r>
        <w:rPr>
          <w:rFonts w:ascii="Arial" w:cs="Arial" w:eastAsia="Arial" w:hAnsi="Arial"/>
          <w:sz w:val="17"/>
          <w:szCs w:val="17"/>
          <w:color w:val="auto"/>
        </w:rPr>
        <w:t>”). The Company and the Subscriber now desire to amend and restate the Original Agreement in its entirety as set forth herein.</w:t>
      </w:r>
    </w:p>
    <w:p>
      <w:pPr>
        <w:spacing w:after="0" w:line="173"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color w:val="auto"/>
        </w:rPr>
        <w:t>For the purposes of this amended and restated securities subscription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references to “</w:t>
      </w:r>
      <w:r>
        <w:rPr>
          <w:rFonts w:ascii="Arial" w:cs="Arial" w:eastAsia="Arial" w:hAnsi="Arial"/>
          <w:sz w:val="18"/>
          <w:szCs w:val="18"/>
          <w:b w:val="1"/>
          <w:bCs w:val="1"/>
          <w:color w:val="auto"/>
        </w:rPr>
        <w:t>Ordinary Shares</w:t>
      </w:r>
      <w:r>
        <w:rPr>
          <w:rFonts w:ascii="Arial" w:cs="Arial" w:eastAsia="Arial" w:hAnsi="Arial"/>
          <w:sz w:val="18"/>
          <w:szCs w:val="18"/>
          <w:color w:val="auto"/>
        </w:rPr>
        <w:t>” are to, collectively, the Class B Shares and the Company’s Class A ordinary shares, of US$0.0001 par value per share (the “</w:t>
      </w:r>
      <w:r>
        <w:rPr>
          <w:rFonts w:ascii="Arial" w:cs="Arial" w:eastAsia="Arial" w:hAnsi="Arial"/>
          <w:sz w:val="18"/>
          <w:szCs w:val="18"/>
          <w:b w:val="1"/>
          <w:bCs w:val="1"/>
          <w:color w:val="auto"/>
        </w:rPr>
        <w:t>Class A Shares</w:t>
      </w:r>
      <w:r>
        <w:rPr>
          <w:rFonts w:ascii="Arial" w:cs="Arial" w:eastAsia="Arial" w:hAnsi="Arial"/>
          <w:sz w:val="18"/>
          <w:szCs w:val="18"/>
          <w:color w:val="auto"/>
        </w:rPr>
        <w:t>”). Upon certain terms and conditions, the Class B Shares will automatically convert into Class A Shares on a one-for-one basis, subject to adjustment. Unless the context otherwise requires, as used herein “</w:t>
      </w:r>
      <w:r>
        <w:rPr>
          <w:rFonts w:ascii="Arial" w:cs="Arial" w:eastAsia="Arial" w:hAnsi="Arial"/>
          <w:sz w:val="18"/>
          <w:szCs w:val="18"/>
          <w:b w:val="1"/>
          <w:bCs w:val="1"/>
          <w:color w:val="auto"/>
        </w:rPr>
        <w:t>Shares</w:t>
      </w:r>
      <w:r>
        <w:rPr>
          <w:rFonts w:ascii="Arial" w:cs="Arial" w:eastAsia="Arial" w:hAnsi="Arial"/>
          <w:sz w:val="18"/>
          <w:szCs w:val="18"/>
          <w:color w:val="auto"/>
        </w:rPr>
        <w:t>” shall be deemed to include any Class A Shares issued upon conversion of the Class B Shares comprising the Shares.</w:t>
      </w:r>
    </w:p>
    <w:p>
      <w:pPr>
        <w:spacing w:after="0" w:line="187"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The terms of the issuance of the Shares to the Subscriber, and the Company and the Subscriber’s agreements regarding such Shares, are as follows:</w:t>
      </w:r>
    </w:p>
    <w:p>
      <w:pPr>
        <w:spacing w:after="0" w:line="76" w:lineRule="exact"/>
        <w:rPr>
          <w:sz w:val="20"/>
          <w:szCs w:val="20"/>
          <w:color w:val="auto"/>
        </w:rPr>
      </w:pPr>
    </w:p>
    <w:p>
      <w:pPr>
        <w:ind w:left="544" w:hanging="544"/>
        <w:spacing w:after="0"/>
        <w:tabs>
          <w:tab w:leader="none" w:pos="544"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Subscription and Surrender of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4" w:right="60" w:hanging="648"/>
        <w:spacing w:after="0" w:line="255"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Subscription for Shares</w:t>
      </w:r>
      <w:r>
        <w:rPr>
          <w:rFonts w:ascii="Arial" w:cs="Arial" w:eastAsia="Arial" w:hAnsi="Arial"/>
          <w:sz w:val="18"/>
          <w:szCs w:val="18"/>
          <w:color w:val="auto"/>
        </w:rPr>
        <w:t>. On March 2, 2021, for the sum of US$25,000, which the Company acknowledges receiving in cash,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issued the Shares to the Subscriber, and the Subscriber subscribed for and purchased the Shares from the Company, 750,000 of which are subject to forfeiture, on the terms and subject to the conditions set forth in this Agreement. Concurrently with the Subscriber’s execution of the Original Agreement, the Company registered the Shares in the name of the Subscriber on the register of members of the Company. All references in this Agreement to Shares being forfeited shall take effect as surrenders for no consideration of such Shares as a matter of Cayman Islands law.</w:t>
      </w:r>
    </w:p>
    <w:p>
      <w:pPr>
        <w:spacing w:after="0" w:line="97" w:lineRule="exact"/>
        <w:rPr>
          <w:rFonts w:ascii="Arial" w:cs="Arial" w:eastAsia="Arial" w:hAnsi="Arial"/>
          <w:sz w:val="18"/>
          <w:szCs w:val="18"/>
          <w:color w:val="auto"/>
        </w:rPr>
      </w:pPr>
    </w:p>
    <w:p>
      <w:pPr>
        <w:ind w:left="1184" w:right="560" w:hanging="648"/>
        <w:spacing w:after="0" w:line="308"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7"/>
          <w:szCs w:val="17"/>
          <w:u w:val="single" w:color="auto"/>
          <w:color w:val="auto"/>
        </w:rPr>
        <w:t>Surrender of Class B Share</w:t>
      </w:r>
      <w:r>
        <w:rPr>
          <w:rFonts w:ascii="Arial" w:cs="Arial" w:eastAsia="Arial" w:hAnsi="Arial"/>
          <w:sz w:val="17"/>
          <w:szCs w:val="17"/>
          <w:color w:val="auto"/>
        </w:rPr>
        <w:t>. Upon the issue of the Shares, the Subscriber surrendered to the Company for cancellation and for no</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consideration one (1) Class B Share standing in its name in the register of members of the Company.</w:t>
      </w:r>
    </w:p>
    <w:p>
      <w:pPr>
        <w:spacing w:after="0" w:line="51" w:lineRule="exact"/>
        <w:rPr>
          <w:rFonts w:ascii="Arial" w:cs="Arial" w:eastAsia="Arial" w:hAnsi="Arial"/>
          <w:sz w:val="18"/>
          <w:szCs w:val="18"/>
          <w:color w:val="auto"/>
        </w:rPr>
      </w:pPr>
    </w:p>
    <w:p>
      <w:pPr>
        <w:ind w:left="544" w:hanging="544"/>
        <w:spacing w:after="0"/>
        <w:tabs>
          <w:tab w:leader="none" w:pos="544"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131" w:lineRule="exact"/>
        <w:rPr>
          <w:sz w:val="20"/>
          <w:szCs w:val="20"/>
          <w:color w:val="auto"/>
        </w:rPr>
      </w:pPr>
    </w:p>
    <w:p>
      <w:pPr>
        <w:ind w:left="1184" w:right="80" w:hanging="647"/>
        <w:spacing w:after="0" w:line="263" w:lineRule="auto"/>
        <w:tabs>
          <w:tab w:leader="none" w:pos="116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To induce the Company to issue the Shares to the Subscriber, the Subscriber</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hereby represents and warrants to the Company and agrees with the Company as follows as of the date of the Original Agreement and the date of this Agreement:</w:t>
      </w:r>
    </w:p>
    <w:p>
      <w:pPr>
        <w:spacing w:after="0" w:line="89" w:lineRule="exact"/>
        <w:rPr>
          <w:sz w:val="20"/>
          <w:szCs w:val="20"/>
          <w:color w:val="auto"/>
        </w:rPr>
      </w:pPr>
    </w:p>
    <w:p>
      <w:pPr>
        <w:ind w:left="1744" w:right="180" w:hanging="539"/>
        <w:spacing w:after="0" w:line="277" w:lineRule="auto"/>
        <w:tabs>
          <w:tab w:leader="none" w:pos="1724"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The Subscriber understands that no federal or state agency has passed upon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made any recommendation or endorsement of the offering of the Shares.</w:t>
      </w:r>
    </w:p>
    <w:p>
      <w:pPr>
        <w:sectPr>
          <w:pgSz w:w="11900" w:h="16838" w:orient="portrait"/>
          <w:cols w:equalWidth="0" w:num="1">
            <w:col w:w="11024"/>
          </w:cols>
          <w:pgMar w:left="436" w:top="125" w:right="439" w:bottom="1440" w:gutter="0" w:footer="0" w:header="0"/>
        </w:sectPr>
      </w:pPr>
    </w:p>
    <w:bookmarkStart w:id="312" w:name="page313"/>
    <w:bookmarkEnd w:id="312"/>
    <w:p>
      <w:pPr>
        <w:ind w:left="740" w:right="420" w:hanging="539"/>
        <w:spacing w:after="0" w:line="257" w:lineRule="auto"/>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2.1.2</w:t>
      </w:r>
      <w:r>
        <w:rPr>
          <w:sz w:val="20"/>
          <w:szCs w:val="20"/>
          <w:color w:val="auto"/>
        </w:rPr>
        <w:tab/>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Subscriber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transactions contemplated hereby do not violate, conflict with or constitute a default under (i) the formation and governing documents of the Subscriber, (ii) any agreement, indenture or instrument to which the Subscriber is a party or (iii) any law, statute, rule or regulation to which the Subscriber is subject, or any agreement, order, judgment or decree to which the Subscriber is subject.</w:t>
      </w:r>
    </w:p>
    <w:p>
      <w:pPr>
        <w:spacing w:after="0" w:line="93" w:lineRule="exact"/>
        <w:rPr>
          <w:sz w:val="20"/>
          <w:szCs w:val="20"/>
          <w:color w:val="auto"/>
        </w:rPr>
      </w:pPr>
    </w:p>
    <w:p>
      <w:pPr>
        <w:ind w:left="740" w:right="100" w:hanging="539"/>
        <w:spacing w:after="0" w:line="272" w:lineRule="auto"/>
        <w:tabs>
          <w:tab w:leader="none" w:pos="7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u w:val="single" w:color="auto"/>
          <w:color w:val="auto"/>
        </w:rPr>
        <w:t>Registration and Authority</w:t>
      </w:r>
      <w:r>
        <w:rPr>
          <w:rFonts w:ascii="Arial" w:cs="Arial" w:eastAsia="Arial" w:hAnsi="Arial"/>
          <w:sz w:val="17"/>
          <w:szCs w:val="17"/>
          <w:color w:val="auto"/>
        </w:rPr>
        <w:t>. The Subscriber is a Cayman Islands limited liability company, validly formed, registered and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good standing under the laws of the Cayman Islands and possesses all requisite power and authority necessary to execute and deliver this Agreement and to carry out the transactions contemplated by this Agreement. Upon execution and delivery by you, this Agreement is a legal, valid and binding agreement of the Subscriber, enforceable against the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83" w:lineRule="exact"/>
        <w:rPr>
          <w:sz w:val="20"/>
          <w:szCs w:val="20"/>
          <w:color w:val="auto"/>
        </w:rPr>
      </w:pPr>
    </w:p>
    <w:p>
      <w:pPr>
        <w:ind w:left="740" w:right="20" w:hanging="539"/>
        <w:spacing w:after="0" w:line="270" w:lineRule="auto"/>
        <w:tabs>
          <w:tab w:leader="none" w:pos="7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u w:val="single" w:color="auto"/>
          <w:color w:val="auto"/>
        </w:rPr>
        <w:t>Experience, Financial Capability and Suitability</w:t>
      </w:r>
      <w:r>
        <w:rPr>
          <w:rFonts w:ascii="Arial" w:cs="Arial" w:eastAsia="Arial" w:hAnsi="Arial"/>
          <w:sz w:val="17"/>
          <w:szCs w:val="17"/>
          <w:color w:val="auto"/>
        </w:rPr>
        <w:t>. The Subscriber is: (i) sophisticated in financial matters and able to evaluate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risks and benefits of the investment in the Shares and (ii) able to bear the economic risk of its investment in the Shares for an indefinite period of time because the Shares have not been registered under the Securities Act (as defined below) and therefore cannot be sold unless such transaction is registered under the Securities Act or an exemption from such registration is available. The Subscriber is capable of evaluating the merits and risks of its investment in the Company and has the capacity to protect its own interests. The Subscriber must bear the economic risk of this investment until the Shares are sold pursuant to: (i) an effective registration statement under the Securities Act or (ii) an exemption from registration available with respect to such sale. The Subscriber is able to bear the economic risks of an investment in the Shares and to afford a complete loss of the Subscriber’s investment in the Shares.</w:t>
      </w:r>
    </w:p>
    <w:p>
      <w:pPr>
        <w:spacing w:after="0" w:line="86" w:lineRule="exact"/>
        <w:rPr>
          <w:sz w:val="20"/>
          <w:szCs w:val="20"/>
          <w:color w:val="auto"/>
        </w:rPr>
      </w:pPr>
    </w:p>
    <w:p>
      <w:pPr>
        <w:ind w:left="740" w:hanging="539"/>
        <w:spacing w:after="0" w:line="289" w:lineRule="auto"/>
        <w:tabs>
          <w:tab w:leader="none" w:pos="7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Access to Information; Independent Investigation</w:t>
      </w:r>
      <w:r>
        <w:rPr>
          <w:rFonts w:ascii="Arial" w:cs="Arial" w:eastAsia="Arial" w:hAnsi="Arial"/>
          <w:sz w:val="16"/>
          <w:szCs w:val="16"/>
          <w:color w:val="auto"/>
        </w:rPr>
        <w:t>. Prior to the execution of the Original Agreement, the Subscriber had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an investment in the Shares, the Subscriber has relied solely on the Subscriber’s own knowledge and understanding of the Company and its business based upon the Subscriber’s own due diligence investigation and the information furnished pursuant to this Section 2. The Subscriber understands that no person has been authorized to give any information or to make any representations which were not furnished pursuant to this Section 2 and the Subscriber has not relied on any other representations or information in making its investment decision, whether written or oral, relating to the Company, its operations and/or its prospects.</w:t>
      </w:r>
    </w:p>
    <w:p>
      <w:pPr>
        <w:spacing w:after="0" w:line="72" w:lineRule="exact"/>
        <w:rPr>
          <w:sz w:val="20"/>
          <w:szCs w:val="20"/>
          <w:color w:val="auto"/>
        </w:rPr>
      </w:pPr>
    </w:p>
    <w:p>
      <w:pPr>
        <w:ind w:left="740" w:right="120" w:hanging="539"/>
        <w:spacing w:after="0" w:line="279" w:lineRule="auto"/>
        <w:tabs>
          <w:tab w:leader="none" w:pos="7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u w:val="single" w:color="auto"/>
          <w:color w:val="auto"/>
        </w:rPr>
        <w:t>Private Placement</w:t>
      </w:r>
      <w:r>
        <w:rPr>
          <w:rFonts w:ascii="Arial" w:cs="Arial" w:eastAsia="Arial" w:hAnsi="Arial"/>
          <w:sz w:val="17"/>
          <w:szCs w:val="17"/>
          <w:color w:val="auto"/>
        </w:rPr>
        <w:t>. The Subscriber is an “accredited investor” as such term is defined in Rule 501(a) of Regulation D under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acknowledges that the sale contemplated hereby is being made in reliance on a private placement exemption applicable to “accredited investors” within the meaning of Section 501(a) of Regulation D under the Securities Act or similar exemptions under state law.</w:t>
      </w:r>
    </w:p>
    <w:p>
      <w:pPr>
        <w:spacing w:after="0" w:line="10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00"/>
          </w:cols>
          <w:pgMar w:left="1440" w:top="274" w:right="459" w:bottom="1440" w:gutter="0" w:footer="0" w:header="0"/>
        </w:sectPr>
      </w:pPr>
    </w:p>
    <w:bookmarkStart w:id="313" w:name="page314"/>
    <w:bookmarkEnd w:id="313"/>
    <w:p>
      <w:pPr>
        <w:jc w:val="both"/>
        <w:ind w:left="1200" w:hanging="539"/>
        <w:spacing w:after="0" w:line="259" w:lineRule="auto"/>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2.1.7</w:t>
      </w:r>
      <w:r>
        <w:rPr>
          <w:sz w:val="20"/>
          <w:szCs w:val="20"/>
          <w:color w:val="auto"/>
        </w:rPr>
        <w:tab/>
      </w:r>
      <w:r>
        <w:rPr>
          <w:rFonts w:ascii="Arial" w:cs="Arial" w:eastAsia="Arial" w:hAnsi="Arial"/>
          <w:sz w:val="18"/>
          <w:szCs w:val="18"/>
          <w:u w:val="single" w:color="auto"/>
          <w:color w:val="auto"/>
        </w:rPr>
        <w:t>Investment Purposes</w:t>
      </w:r>
      <w:r>
        <w:rPr>
          <w:rFonts w:ascii="Arial" w:cs="Arial" w:eastAsia="Arial" w:hAnsi="Arial"/>
          <w:sz w:val="18"/>
          <w:szCs w:val="18"/>
          <w:color w:val="auto"/>
        </w:rPr>
        <w:t>. The Subscriber is purchasing the Shares solely for investment purposes, for the Subscriber’s own account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not for the account or benefit of any other person, and not with a view towards the distribution or dissemination thereof. The Subscriber is not entering into this Agreement as a result of any general solicitation or general advertising within the meaning of Rule 502 of Regulation D under the Securities Act.</w:t>
      </w:r>
    </w:p>
    <w:p>
      <w:pPr>
        <w:spacing w:after="0" w:line="92" w:lineRule="exact"/>
        <w:rPr>
          <w:sz w:val="20"/>
          <w:szCs w:val="20"/>
          <w:color w:val="auto"/>
        </w:rPr>
      </w:pPr>
    </w:p>
    <w:p>
      <w:pPr>
        <w:ind w:left="1200" w:right="20" w:hanging="539"/>
        <w:spacing w:after="0" w:line="268" w:lineRule="auto"/>
        <w:tabs>
          <w:tab w:leader="none" w:pos="11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7"/>
          <w:szCs w:val="17"/>
          <w:u w:val="single" w:color="auto"/>
          <w:color w:val="auto"/>
        </w:rPr>
        <w:t>Restrictions on Transfer; Shell Company</w:t>
      </w:r>
      <w:r>
        <w:rPr>
          <w:rFonts w:ascii="Arial" w:cs="Arial" w:eastAsia="Arial" w:hAnsi="Arial"/>
          <w:sz w:val="17"/>
          <w:szCs w:val="17"/>
          <w:color w:val="auto"/>
        </w:rPr>
        <w:t>. The Subscriber understands the Shares are being offered in a transaction not involving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a public offering within the meaning of the Securities Act. The Subscriber understands that the Shares will be “restricted securities” within the meaning of Rule 144(a)(3) under the Securities Act and the Subscriber understands that any certificates or book-entries representing the Shares will contain a legend in respect of such restrictions. If in the future the Subscriber decides to offer, resell, pledge or otherwise transfer the Shares, such Shares may be offered, resold, pledged or otherwise transferred only pursuant to: (i) registration under the Securities Act, or (ii) an available exemption from registration. The Subscriber agrees that if any transfer of its Shares or any interest therein is proposed to be made, as a condition precedent to any such transfer, the Subscriber may, at the Company’s option, be required to deliver to the Company an opinion of counsel satisfactory to the Company. Absent registration or an exemption, the Subscriber agrees not to resell the Shares. The Subscriber further acknowledges that because the Company is a shell company, Rule 144 under the Securities Act (“</w:t>
      </w:r>
      <w:r>
        <w:rPr>
          <w:rFonts w:ascii="Arial" w:cs="Arial" w:eastAsia="Arial" w:hAnsi="Arial"/>
          <w:sz w:val="17"/>
          <w:szCs w:val="17"/>
          <w:b w:val="1"/>
          <w:bCs w:val="1"/>
          <w:color w:val="auto"/>
        </w:rPr>
        <w:t>Rule 144</w:t>
      </w:r>
      <w:r>
        <w:rPr>
          <w:rFonts w:ascii="Arial" w:cs="Arial" w:eastAsia="Arial" w:hAnsi="Arial"/>
          <w:sz w:val="17"/>
          <w:szCs w:val="17"/>
          <w:color w:val="auto"/>
        </w:rPr>
        <w:t>”) may not be available to the Subscriber for the resale of the Shares until at least one (1) year following consummation of the initial business combination of the Company (which may not occur), despite technical compliance with the requirements of Rule 144 and the release or waiver of any contractual transfer restrictions.</w:t>
      </w:r>
    </w:p>
    <w:p>
      <w:pPr>
        <w:spacing w:after="0" w:line="92" w:lineRule="exact"/>
        <w:rPr>
          <w:sz w:val="20"/>
          <w:szCs w:val="20"/>
          <w:color w:val="auto"/>
        </w:rPr>
      </w:pPr>
    </w:p>
    <w:p>
      <w:pPr>
        <w:ind w:left="1200" w:right="80" w:hanging="539"/>
        <w:spacing w:after="0" w:line="342" w:lineRule="auto"/>
        <w:tabs>
          <w:tab w:leader="none" w:pos="11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u w:val="single" w:color="auto"/>
          <w:color w:val="auto"/>
        </w:rPr>
        <w:t>No Governmental Consents</w:t>
      </w:r>
      <w:r>
        <w:rPr>
          <w:rFonts w:ascii="Arial" w:cs="Arial" w:eastAsia="Arial" w:hAnsi="Arial"/>
          <w:sz w:val="16"/>
          <w:szCs w:val="16"/>
          <w:color w:val="auto"/>
        </w:rPr>
        <w:t>. No governmental, administrative or other third party consents or approvals are required, necessary</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appropriate on the part of the Subscriber in connection with the transactions contemplated by this Agreement.</w:t>
      </w:r>
    </w:p>
    <w:p>
      <w:pPr>
        <w:spacing w:after="0" w:line="29" w:lineRule="exact"/>
        <w:rPr>
          <w:sz w:val="20"/>
          <w:szCs w:val="20"/>
          <w:color w:val="auto"/>
        </w:rPr>
      </w:pPr>
    </w:p>
    <w:p>
      <w:pPr>
        <w:jc w:val="both"/>
        <w:ind w:left="640" w:right="300" w:hanging="647"/>
        <w:spacing w:after="0" w:line="263"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To induce the Subscriber to subscribe for the Shares, the Company hereby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represents and warrants to the Subscriber and agrees with the Subscriber as follows as of the date of the Original Agreement and the date of this Agreement:</w:t>
      </w:r>
    </w:p>
    <w:p>
      <w:pPr>
        <w:spacing w:after="0" w:line="89" w:lineRule="exact"/>
        <w:rPr>
          <w:sz w:val="20"/>
          <w:szCs w:val="20"/>
          <w:color w:val="auto"/>
        </w:rPr>
      </w:pPr>
    </w:p>
    <w:p>
      <w:pPr>
        <w:ind w:left="1200" w:right="260" w:hanging="539"/>
        <w:spacing w:after="0" w:line="290" w:lineRule="auto"/>
        <w:tabs>
          <w:tab w:leader="none" w:pos="11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auto"/>
        </w:rPr>
        <w:t>Incorporation and Corporate Power</w:t>
      </w:r>
      <w:r>
        <w:rPr>
          <w:rFonts w:ascii="Arial" w:cs="Arial" w:eastAsia="Arial" w:hAnsi="Arial"/>
          <w:sz w:val="16"/>
          <w:szCs w:val="16"/>
          <w:color w:val="auto"/>
        </w:rPr>
        <w:t>. The Company is a Cayman Islands exempted company and is qualified to do business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every jurisdiction in which the failure to so qualify would reasonably be expected to have a material adverse effect on the financial condition, operating results or assets of the Company. The Company possesses all requisite corporate power and authority necessary to execute and deliver this Agreement and to carry out the transactions contemplated by this Agreement. Upon execution and delivery by the Company, this Agreement is a legal, valid and binding agreement of the Company, enforceable against the Company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71" w:lineRule="exact"/>
        <w:rPr>
          <w:sz w:val="20"/>
          <w:szCs w:val="20"/>
          <w:color w:val="auto"/>
        </w:rPr>
      </w:pPr>
    </w:p>
    <w:p>
      <w:pPr>
        <w:ind w:left="1200" w:right="40" w:hanging="539"/>
        <w:spacing w:after="0" w:line="257" w:lineRule="auto"/>
        <w:tabs>
          <w:tab w:leader="none" w:pos="11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Company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transactions contemplated hereby do not violate, conflict with or constitute a default under (i) the Company’s Memorandum and Articles of Association, as amended to the date hereof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 (ii) any agreement, indenture or instrument to which the Company is a party or (iii) any law, statute, rule or regulation to which the Company is subject, or any agreement, order, judgment or decree to which the Company is subject.</w:t>
      </w:r>
    </w:p>
    <w:p>
      <w:pPr>
        <w:spacing w:after="0" w:line="1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0"/>
          </w:cols>
          <w:pgMar w:left="980" w:top="274" w:right="459" w:bottom="1440" w:gutter="0" w:footer="0" w:header="0"/>
        </w:sectPr>
      </w:pPr>
    </w:p>
    <w:bookmarkStart w:id="314" w:name="page315"/>
    <w:bookmarkEnd w:id="314"/>
    <w:p>
      <w:pPr>
        <w:ind w:left="1744" w:hanging="539"/>
        <w:spacing w:after="0" w:line="285" w:lineRule="auto"/>
        <w:tabs>
          <w:tab w:leader="none" w:pos="1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2.2.3</w:t>
      </w:r>
      <w:r>
        <w:rPr>
          <w:sz w:val="20"/>
          <w:szCs w:val="20"/>
          <w:color w:val="auto"/>
        </w:rPr>
        <w:tab/>
      </w:r>
      <w:r>
        <w:rPr>
          <w:rFonts w:ascii="Arial" w:cs="Arial" w:eastAsia="Arial" w:hAnsi="Arial"/>
          <w:sz w:val="16"/>
          <w:szCs w:val="16"/>
          <w:u w:val="single" w:color="auto"/>
          <w:color w:val="auto"/>
        </w:rPr>
        <w:t>Title to Shares</w:t>
      </w:r>
      <w:r>
        <w:rPr>
          <w:rFonts w:ascii="Arial" w:cs="Arial" w:eastAsia="Arial" w:hAnsi="Arial"/>
          <w:sz w:val="16"/>
          <w:szCs w:val="16"/>
          <w:color w:val="auto"/>
        </w:rPr>
        <w:t>. Upon issuance in accordance with, and payment pursuant to, the terms hereof and the Memorandum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Articles, and registration in the register of members of the Company, the Shares will be duly and validly issued as fully paid and nonassessable. Upon issuance in accordance with, and payment pursuant to, the terms hereof and the Memorandum and Articles, the Subscriber will have or receive good title to the Shares, free and clear of all liens, claims and encumbrances of any kind, other than (a) transfer restrictions hereunder and under the other agreements to which the Shares may be subject,</w:t>
      </w:r>
    </w:p>
    <w:p>
      <w:pPr>
        <w:spacing w:after="0" w:line="2" w:lineRule="exact"/>
        <w:rPr>
          <w:sz w:val="20"/>
          <w:szCs w:val="20"/>
          <w:color w:val="auto"/>
        </w:rPr>
      </w:pPr>
    </w:p>
    <w:p>
      <w:pPr>
        <w:ind w:left="1744" w:right="40" w:hanging="3"/>
        <w:spacing w:after="0" w:line="260" w:lineRule="auto"/>
        <w:tabs>
          <w:tab w:leader="none" w:pos="199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transfer restrictions under federal and state securities laws, and (c) liens, claims or encumbrances imposed due to the actions of the Subscriber.</w:t>
      </w:r>
    </w:p>
    <w:p>
      <w:pPr>
        <w:spacing w:after="0" w:line="91" w:lineRule="exact"/>
        <w:rPr>
          <w:sz w:val="20"/>
          <w:szCs w:val="20"/>
          <w:color w:val="auto"/>
        </w:rPr>
      </w:pPr>
    </w:p>
    <w:p>
      <w:pPr>
        <w:ind w:left="1744" w:right="80" w:hanging="539"/>
        <w:spacing w:after="0" w:line="259" w:lineRule="auto"/>
        <w:tabs>
          <w:tab w:leader="none" w:pos="1724"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u w:val="single" w:color="auto"/>
          <w:color w:val="auto"/>
        </w:rPr>
        <w:t>No Adverse Actions</w:t>
      </w:r>
      <w:r>
        <w:rPr>
          <w:rFonts w:ascii="Arial" w:cs="Arial" w:eastAsia="Arial" w:hAnsi="Arial"/>
          <w:sz w:val="18"/>
          <w:szCs w:val="18"/>
          <w:color w:val="auto"/>
        </w:rPr>
        <w:t>. There are no actions, suits, investigations or proceedings pending, threatened against or affecting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which: (i) seek to restrain, enjoin, prevent the consummation of or otherwise affect the transactions contemplated by this Agreement or (ii) question the validity or legality of any transactions or seek to recover damages or to obtain other relief in connection with any transactions.</w:t>
      </w:r>
    </w:p>
    <w:p>
      <w:pPr>
        <w:spacing w:after="0" w:line="92" w:lineRule="exact"/>
        <w:rPr>
          <w:sz w:val="20"/>
          <w:szCs w:val="20"/>
          <w:color w:val="auto"/>
        </w:rPr>
      </w:pPr>
    </w:p>
    <w:p>
      <w:pPr>
        <w:ind w:left="1744" w:right="100" w:hanging="539"/>
        <w:spacing w:after="0" w:line="277" w:lineRule="auto"/>
        <w:tabs>
          <w:tab w:leader="none" w:pos="1724"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u w:val="single" w:color="auto"/>
          <w:color w:val="auto"/>
        </w:rPr>
        <w:t>Authorization</w:t>
      </w:r>
      <w:r>
        <w:rPr>
          <w:rFonts w:ascii="Arial" w:cs="Arial" w:eastAsia="Arial" w:hAnsi="Arial"/>
          <w:sz w:val="18"/>
          <w:szCs w:val="18"/>
          <w:color w:val="auto"/>
        </w:rPr>
        <w:t>. The Class A Shares issuable upon conversion of the Shares have been duly authorized and reserved for issuance</w:t>
      </w:r>
      <w:r>
        <w:rPr>
          <w:rFonts w:ascii="Arial" w:cs="Arial" w:eastAsia="Arial" w:hAnsi="Arial"/>
          <w:sz w:val="18"/>
          <w:szCs w:val="18"/>
          <w:u w:val="single" w:color="auto"/>
          <w:color w:val="auto"/>
        </w:rPr>
        <w:t xml:space="preserve"> </w:t>
      </w:r>
      <w:r>
        <w:rPr>
          <w:rFonts w:ascii="Arial" w:cs="Arial" w:eastAsia="Arial" w:hAnsi="Arial"/>
          <w:sz w:val="18"/>
          <w:szCs w:val="18"/>
          <w:color w:val="auto"/>
        </w:rPr>
        <w:t>upon such conversion.</w:t>
      </w:r>
    </w:p>
    <w:p>
      <w:pPr>
        <w:spacing w:after="0" w:line="76" w:lineRule="exact"/>
        <w:rPr>
          <w:sz w:val="20"/>
          <w:szCs w:val="20"/>
          <w:color w:val="auto"/>
        </w:rPr>
      </w:pPr>
    </w:p>
    <w:p>
      <w:pPr>
        <w:ind w:left="544" w:hanging="544"/>
        <w:spacing w:after="0"/>
        <w:tabs>
          <w:tab w:leader="none" w:pos="54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4" w:right="20" w:hanging="648"/>
        <w:spacing w:after="0" w:line="270" w:lineRule="auto"/>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7"/>
          <w:szCs w:val="17"/>
          <w:u w:val="single" w:color="auto"/>
          <w:color w:val="auto"/>
        </w:rPr>
        <w:t>Partial or No Exercise of the Over-allotment Option</w:t>
      </w:r>
      <w:r>
        <w:rPr>
          <w:rFonts w:ascii="Arial" w:cs="Arial" w:eastAsia="Arial" w:hAnsi="Arial"/>
          <w:sz w:val="17"/>
          <w:szCs w:val="17"/>
          <w:color w:val="auto"/>
        </w:rPr>
        <w:t>. In the event the Over-allotment Option granted to the underwriter of the IPO is not</w:t>
      </w:r>
      <w:r>
        <w:rPr>
          <w:rFonts w:ascii="Arial" w:cs="Arial" w:eastAsia="Arial" w:hAnsi="Arial"/>
          <w:sz w:val="17"/>
          <w:szCs w:val="17"/>
          <w:u w:val="single" w:color="auto"/>
          <w:color w:val="auto"/>
        </w:rPr>
        <w:t xml:space="preserve"> </w:t>
      </w:r>
      <w:r>
        <w:rPr>
          <w:rFonts w:ascii="Arial" w:cs="Arial" w:eastAsia="Arial" w:hAnsi="Arial"/>
          <w:sz w:val="17"/>
          <w:szCs w:val="17"/>
          <w:color w:val="auto"/>
        </w:rPr>
        <w:t>exercised in full, the Subscriber acknowledges and agrees that it (or, if applicable, it and any transferees of Shares) shall, at the time such Over-allotment Option expires (or earlier if the underwriter of the IPO waives its ability to exercise such Over-allotment Option), forfeit any and all rights to such number of Shares (up to an aggregate of 750,000 Shares and pro rata based upon the percentage of the Over-allotment Option exercised) such that immediately following such forfeiture, the Subscriber (and any such transferees) will own an aggregate number of Shares equal to twenty-five percent (25%) of the number of Class A shares issued in the IPO (for the avoidance of doubt, excluding any Class A shares issued pursuant to a private placement to occur concurrently with the closing of the IPO). Such forfeiture shall take effect as a surrender for no consideration as a matter of Cayman Islands law, and shall occur upon the expiration of the Over-allotment Option.</w:t>
      </w:r>
    </w:p>
    <w:p>
      <w:pPr>
        <w:spacing w:after="0" w:line="86" w:lineRule="exact"/>
        <w:rPr>
          <w:rFonts w:ascii="Arial" w:cs="Arial" w:eastAsia="Arial" w:hAnsi="Arial"/>
          <w:sz w:val="18"/>
          <w:szCs w:val="18"/>
          <w:color w:val="auto"/>
        </w:rPr>
      </w:pPr>
    </w:p>
    <w:p>
      <w:pPr>
        <w:ind w:left="1184" w:right="240" w:hanging="648"/>
        <w:spacing w:after="0" w:line="263" w:lineRule="auto"/>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Termination of Rights as Shareholder</w:t>
      </w:r>
      <w:r>
        <w:rPr>
          <w:rFonts w:ascii="Arial" w:cs="Arial" w:eastAsia="Arial" w:hAnsi="Arial"/>
          <w:sz w:val="18"/>
          <w:szCs w:val="18"/>
          <w:color w:val="auto"/>
        </w:rPr>
        <w:t>. If any of the Shares are forfeited in accordance with this Section 3, then after such time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Subscriber (or successor in interest), shall no longer have any rights as a holder of such forfeited Shares, and the Company shall take such action as is appropriate to cancel such forfeited Shares.</w:t>
      </w:r>
    </w:p>
    <w:p>
      <w:pPr>
        <w:spacing w:after="0" w:line="89" w:lineRule="exact"/>
        <w:rPr>
          <w:rFonts w:ascii="Arial" w:cs="Arial" w:eastAsia="Arial" w:hAnsi="Arial"/>
          <w:sz w:val="18"/>
          <w:szCs w:val="18"/>
          <w:color w:val="auto"/>
        </w:rPr>
      </w:pPr>
    </w:p>
    <w:p>
      <w:pPr>
        <w:ind w:left="544" w:hanging="544"/>
        <w:spacing w:after="0" w:line="291" w:lineRule="auto"/>
        <w:tabs>
          <w:tab w:leader="none" w:pos="544"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Waiver of Liquidation Distributions; Redemption Rights</w:t>
      </w:r>
      <w:r>
        <w:rPr>
          <w:rFonts w:ascii="Arial" w:cs="Arial" w:eastAsia="Arial" w:hAnsi="Arial"/>
          <w:sz w:val="16"/>
          <w:szCs w:val="16"/>
          <w:color w:val="auto"/>
        </w:rPr>
        <w:t>. In connection with the purchase of the Shares pursuant to this Agreement, the Subscriber hereby waives any and all right, title, interest or claim of any kind in or to any distributions by the Company from the trust account which will be established for the benefit of the Company’s public shareholders and into which substantially all of the proceeds of the IPO will be deposited (the “</w:t>
      </w:r>
      <w:r>
        <w:rPr>
          <w:rFonts w:ascii="Arial" w:cs="Arial" w:eastAsia="Arial" w:hAnsi="Arial"/>
          <w:sz w:val="16"/>
          <w:szCs w:val="16"/>
          <w:b w:val="1"/>
          <w:bCs w:val="1"/>
          <w:color w:val="auto"/>
        </w:rPr>
        <w:t>Trust Account</w:t>
      </w:r>
      <w:r>
        <w:rPr>
          <w:rFonts w:ascii="Arial" w:cs="Arial" w:eastAsia="Arial" w:hAnsi="Arial"/>
          <w:sz w:val="16"/>
          <w:szCs w:val="16"/>
          <w:color w:val="auto"/>
        </w:rPr>
        <w:t>”), in the event of a liquidation of the Company upon the Company’s failure to timely complete an initial business combination. For purposes of clarity, in the event the Subscriber purchases securities in the IPO or in the aftermarket, any Class A Shares so purchased shall be eligible to receive any liquidating distributions by the Company. However, in no event will the Subscriber have the right to redeem any Ordinary Shares held by it for funds held in the Trust Account upon the successful completion of an initial business combination.</w:t>
      </w:r>
    </w:p>
    <w:p>
      <w:pPr>
        <w:spacing w:after="0" w:line="71" w:lineRule="exact"/>
        <w:rPr>
          <w:rFonts w:ascii="Arial" w:cs="Arial" w:eastAsia="Arial" w:hAnsi="Arial"/>
          <w:sz w:val="16"/>
          <w:szCs w:val="16"/>
          <w:color w:val="auto"/>
        </w:rPr>
      </w:pPr>
    </w:p>
    <w:p>
      <w:pPr>
        <w:ind w:left="544" w:hanging="544"/>
        <w:spacing w:after="0"/>
        <w:tabs>
          <w:tab w:leader="none" w:pos="54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1184" w:right="280" w:hanging="648"/>
        <w:spacing w:after="0" w:line="314" w:lineRule="auto"/>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In addition to any restrictions to be contained in that certain agreement (the “</w:t>
      </w:r>
      <w:r>
        <w:rPr>
          <w:rFonts w:ascii="Arial" w:cs="Arial" w:eastAsia="Arial" w:hAnsi="Arial"/>
          <w:sz w:val="16"/>
          <w:szCs w:val="16"/>
          <w:b w:val="1"/>
          <w:bCs w:val="1"/>
          <w:color w:val="auto"/>
        </w:rPr>
        <w:t>Letter Agreement</w:t>
      </w:r>
      <w:r>
        <w:rPr>
          <w:rFonts w:ascii="Arial" w:cs="Arial" w:eastAsia="Arial" w:hAnsi="Arial"/>
          <w:sz w:val="16"/>
          <w:szCs w:val="16"/>
          <w:color w:val="auto"/>
        </w:rPr>
        <w:t>”) to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entered into on or prior to the closing of the IPO by and among the Subscriber, the Company and the other parties thereto, the Subscriber agrees not to sell, transfer, pledge, hypothecate or otherwise dispose of all or any part of the Shares unless, prior</w:t>
      </w:r>
    </w:p>
    <w:p>
      <w:pPr>
        <w:spacing w:after="0" w:line="7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315" w:name="page316"/>
    <w:bookmarkEnd w:id="315"/>
    <w:p>
      <w:pPr>
        <w:jc w:val="both"/>
        <w:ind w:left="660"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thereto (a) a registration statement on the appropriate form under the Securities Act and applicable state securities laws with respect to the Shares proposed to be transferred shall then be effective or (b) the Company shall have received, if requested by the Company,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89" w:lineRule="exact"/>
        <w:rPr>
          <w:sz w:val="20"/>
          <w:szCs w:val="20"/>
          <w:color w:val="auto"/>
        </w:rPr>
      </w:pPr>
    </w:p>
    <w:p>
      <w:pPr>
        <w:ind w:left="640" w:hanging="647"/>
        <w:spacing w:after="0" w:line="270"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Lock-up</w:t>
      </w:r>
      <w:r>
        <w:rPr>
          <w:rFonts w:ascii="Arial" w:cs="Arial" w:eastAsia="Arial" w:hAnsi="Arial"/>
          <w:sz w:val="17"/>
          <w:szCs w:val="17"/>
          <w:color w:val="auto"/>
        </w:rPr>
        <w:t>. The Subscriber acknowledges that the Shares will be subject to lock-up provisions (the “</w:t>
      </w:r>
      <w:r>
        <w:rPr>
          <w:rFonts w:ascii="Arial" w:cs="Arial" w:eastAsia="Arial" w:hAnsi="Arial"/>
          <w:sz w:val="17"/>
          <w:szCs w:val="17"/>
          <w:b w:val="1"/>
          <w:bCs w:val="1"/>
          <w:color w:val="auto"/>
        </w:rPr>
        <w:t>Lock-up</w:t>
      </w:r>
      <w:r>
        <w:rPr>
          <w:rFonts w:ascii="Arial" w:cs="Arial" w:eastAsia="Arial" w:hAnsi="Arial"/>
          <w:sz w:val="17"/>
          <w:szCs w:val="17"/>
          <w:color w:val="auto"/>
        </w:rPr>
        <w:t>”) contained in the Letter</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Pursuant to the Letter Agreement, the Subscriber will agree (subject to certain customary exceptions) not to sell, transfer, pledge, hypothecate or otherwise dispose of all or any part of the Shares until the earlier to occur of: (A) one year after the completion of the Company’s initial business combination and (B) subsequent to the Company’s initial business combination, (x) if the last reported sale price of the Class A Shares equals or exceeds US$12.00 per share (as adjusted for share sub-divisions, share capitalizations, rights issuances, subdivisions, reorganizations, recapitalizations and the like) for any twenty (20) trading days within any thirty (30)-trading day period commencing at least one hundred and fifty (150) days after the Company’s initial business combination or (y) the date following the completion of the Company’s initial business combination on which the Company completes a liquidation, merger, share exchange, reorganization or other similar transaction that results in all of the Company’s shareholders having the right to exchange their Class A Shares for cash, securities or other property.</w:t>
      </w:r>
    </w:p>
    <w:p>
      <w:pPr>
        <w:spacing w:after="0" w:line="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Restrictive Legends</w:t>
      </w:r>
      <w:r>
        <w:rPr>
          <w:rFonts w:ascii="Arial" w:cs="Arial" w:eastAsia="Arial" w:hAnsi="Arial"/>
          <w:sz w:val="16"/>
          <w:szCs w:val="16"/>
          <w:color w:val="auto"/>
        </w:rPr>
        <w:t>. Any certificates representing the Shares shall have endorsed thereon legends substantially as follows:</w:t>
      </w:r>
    </w:p>
    <w:p>
      <w:pPr>
        <w:spacing w:after="0" w:line="113" w:lineRule="exact"/>
        <w:rPr>
          <w:sz w:val="20"/>
          <w:szCs w:val="20"/>
          <w:color w:val="auto"/>
        </w:rPr>
      </w:pPr>
    </w:p>
    <w:p>
      <w:pPr>
        <w:ind w:left="1100" w:right="20"/>
        <w:spacing w:after="0" w:line="256" w:lineRule="auto"/>
        <w:rPr>
          <w:sz w:val="20"/>
          <w:szCs w:val="20"/>
          <w:color w:val="auto"/>
        </w:rPr>
      </w:pPr>
      <w:r>
        <w:rPr>
          <w:rFonts w:ascii="Arial" w:cs="Arial" w:eastAsia="Arial" w:hAnsi="Arial"/>
          <w:sz w:val="18"/>
          <w:szCs w:val="18"/>
          <w:b w:val="1"/>
          <w:bCs w:val="1"/>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(IF THE COMPANY SO REQUESTS), IS AVAILABLE.”</w:t>
      </w:r>
    </w:p>
    <w:p>
      <w:pPr>
        <w:spacing w:after="0" w:line="79" w:lineRule="exact"/>
        <w:rPr>
          <w:sz w:val="20"/>
          <w:szCs w:val="20"/>
          <w:color w:val="auto"/>
        </w:rPr>
      </w:pPr>
    </w:p>
    <w:p>
      <w:pPr>
        <w:ind w:left="1100" w:right="140"/>
        <w:spacing w:after="0" w:line="266" w:lineRule="auto"/>
        <w:rPr>
          <w:sz w:val="20"/>
          <w:szCs w:val="20"/>
          <w:color w:val="auto"/>
        </w:rPr>
      </w:pPr>
      <w:r>
        <w:rPr>
          <w:rFonts w:ascii="Arial" w:cs="Arial" w:eastAsia="Arial" w:hAnsi="Arial"/>
          <w:sz w:val="18"/>
          <w:szCs w:val="18"/>
          <w:b w:val="1"/>
          <w:bCs w:val="1"/>
          <w:color w:val="auto"/>
        </w:rPr>
        <w:t>“THE SECURITIES REPRESENTED BY THIS CERTIFICATE ARE SUBJECT TO LOCKUP PROVISIONS AND MAY NOT BE OFFERED, SOLD, TRANSFERRED, PLEDGED OR OTHERWISE DISPOSED DURING THE TERM OF THE LOCKUP PERIOD.”</w:t>
      </w:r>
    </w:p>
    <w:p>
      <w:pPr>
        <w:spacing w:after="0" w:line="85" w:lineRule="exact"/>
        <w:rPr>
          <w:sz w:val="20"/>
          <w:szCs w:val="20"/>
          <w:color w:val="auto"/>
        </w:rPr>
      </w:pPr>
    </w:p>
    <w:p>
      <w:pPr>
        <w:ind w:left="640" w:right="20" w:hanging="647"/>
        <w:spacing w:after="0" w:line="272" w:lineRule="auto"/>
        <w:tabs>
          <w:tab w:leader="none" w:pos="6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Additional Shares or Substituted Securities</w:t>
      </w:r>
      <w:r>
        <w:rPr>
          <w:rFonts w:ascii="Arial" w:cs="Arial" w:eastAsia="Arial" w:hAnsi="Arial"/>
          <w:sz w:val="17"/>
          <w:szCs w:val="17"/>
          <w:color w:val="auto"/>
        </w:rPr>
        <w:t>. In the event of the declaration of a share capitalization, the declaration of an extraordinary</w:t>
      </w:r>
      <w:r>
        <w:rPr>
          <w:rFonts w:ascii="Arial" w:cs="Arial" w:eastAsia="Arial" w:hAnsi="Arial"/>
          <w:sz w:val="17"/>
          <w:szCs w:val="17"/>
          <w:u w:val="single" w:color="auto"/>
          <w:color w:val="auto"/>
        </w:rPr>
        <w:t xml:space="preserve"> </w:t>
      </w:r>
      <w:r>
        <w:rPr>
          <w:rFonts w:ascii="Arial" w:cs="Arial" w:eastAsia="Arial" w:hAnsi="Arial"/>
          <w:sz w:val="17"/>
          <w:szCs w:val="17"/>
          <w:color w:val="auto"/>
        </w:rPr>
        <w:t>dividend payable in a form other than Ordinary Shares, a spin-off, a share sub-division, an adjustment in conversion ratio, a recapitalization or a similar transaction affecting the Company’s outstanding Ordinary Shares without receipt of consideration, any new, substituted or additional securities or other property which are by reason of such transaction distributed with respect to any Shares subject to this Section 5.4 or into which such Shares thereby become convertible shall immediately be subject to this Section 5.4 and Section 3. Appropriate adjustments to reflect the distribution of such securities or property shall be made to the number and/or class of Ordinary Shares subject to this Section 5.4 and Section 3.</w:t>
      </w:r>
    </w:p>
    <w:p>
      <w:pPr>
        <w:spacing w:after="0" w:line="83" w:lineRule="exact"/>
        <w:rPr>
          <w:sz w:val="20"/>
          <w:szCs w:val="20"/>
          <w:color w:val="auto"/>
        </w:rPr>
      </w:pPr>
    </w:p>
    <w:p>
      <w:pPr>
        <w:ind w:left="640" w:right="80" w:hanging="647"/>
        <w:spacing w:after="0" w:line="259" w:lineRule="auto"/>
        <w:tabs>
          <w:tab w:leader="none" w:pos="6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u w:val="single" w:color="auto"/>
          <w:color w:val="auto"/>
        </w:rPr>
        <w:t>Registration Rights</w:t>
      </w:r>
      <w:r>
        <w:rPr>
          <w:rFonts w:ascii="Arial" w:cs="Arial" w:eastAsia="Arial" w:hAnsi="Arial"/>
          <w:sz w:val="18"/>
          <w:szCs w:val="18"/>
          <w:color w:val="auto"/>
        </w:rPr>
        <w:t>. The Subscriber acknowledges that the Shares are being purchased pursuant to an exemption from the registration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requirements of the Securities Act and will become freely tradable, subject to the Lock-up, only after certain conditions are met or they are registered pursuant to a registration rights agreement to be entered into with the Company prior to the closing of the IPO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w:t>
      </w:r>
    </w:p>
    <w:p>
      <w:pPr>
        <w:spacing w:after="0" w:line="1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60"/>
          </w:cols>
          <w:pgMar w:left="980" w:top="274" w:right="459" w:bottom="1440" w:gutter="0" w:footer="0" w:header="0"/>
        </w:sectPr>
      </w:pPr>
    </w:p>
    <w:bookmarkStart w:id="316" w:name="page317"/>
    <w:bookmarkEnd w:id="316"/>
    <w:p>
      <w:pPr>
        <w:ind w:left="544" w:right="220" w:hanging="544"/>
        <w:spacing w:after="0" w:line="275" w:lineRule="auto"/>
        <w:tabs>
          <w:tab w:leader="none" w:pos="544"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and Tender of Shares</w:t>
      </w:r>
      <w:r>
        <w:rPr>
          <w:rFonts w:ascii="Arial" w:cs="Arial" w:eastAsia="Arial" w:hAnsi="Arial"/>
          <w:sz w:val="17"/>
          <w:szCs w:val="17"/>
          <w:color w:val="auto"/>
        </w:rPr>
        <w:t>. The Subscriber agrees to vote the Shares in favor of an initial business combination that the Company negotiates and submits for approval to the Company’s shareholders and shall not seek redemption or repurchase with respect to any of the Shares in connection with an initial business combination or any amendment to the Memorandum and Articles, as amended, prior to an initial business combination. Additionally, the Subscriber agrees not to tender any Shares in connection with a tender offer presented to the Company’s shareholders in connection with an initial business combination negotiated by the Company.</w:t>
      </w:r>
    </w:p>
    <w:p>
      <w:pPr>
        <w:spacing w:after="0" w:line="81" w:lineRule="exact"/>
        <w:rPr>
          <w:rFonts w:ascii="Arial" w:cs="Arial" w:eastAsia="Arial" w:hAnsi="Arial"/>
          <w:sz w:val="17"/>
          <w:szCs w:val="17"/>
          <w:color w:val="auto"/>
        </w:rPr>
      </w:pPr>
    </w:p>
    <w:p>
      <w:pPr>
        <w:ind w:left="544" w:right="200" w:hanging="544"/>
        <w:spacing w:after="0" w:line="308" w:lineRule="auto"/>
        <w:tabs>
          <w:tab w:leader="none" w:pos="544"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Each party shall indemnify the other against any losses, costs or damages (including reasonable attorney’s fees and expenses) incurred as a result of such party’s breach of any representation, warranty, covenant or agreement in this Agreement.</w:t>
      </w:r>
    </w:p>
    <w:p>
      <w:pPr>
        <w:spacing w:after="0" w:line="51" w:lineRule="exact"/>
        <w:rPr>
          <w:rFonts w:ascii="Arial" w:cs="Arial" w:eastAsia="Arial" w:hAnsi="Arial"/>
          <w:sz w:val="17"/>
          <w:szCs w:val="17"/>
          <w:color w:val="auto"/>
        </w:rPr>
      </w:pPr>
    </w:p>
    <w:p>
      <w:pPr>
        <w:ind w:left="544" w:hanging="544"/>
        <w:spacing w:after="0"/>
        <w:tabs>
          <w:tab w:leader="none" w:pos="544"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4" w:right="80" w:hanging="648"/>
        <w:spacing w:after="0" w:line="277" w:lineRule="auto"/>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Subscriber and the Company agrees to execute such further instruments and to take such further action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as may reasonably be necessary to carry out the intent of this Agreement.</w:t>
      </w:r>
    </w:p>
    <w:p>
      <w:pPr>
        <w:spacing w:after="0" w:line="75" w:lineRule="exact"/>
        <w:rPr>
          <w:rFonts w:ascii="Arial" w:cs="Arial" w:eastAsia="Arial" w:hAnsi="Arial"/>
          <w:sz w:val="18"/>
          <w:szCs w:val="18"/>
          <w:color w:val="auto"/>
        </w:rPr>
      </w:pPr>
    </w:p>
    <w:p>
      <w:pPr>
        <w:ind w:left="1184" w:hanging="648"/>
        <w:spacing w:after="0" w:line="254" w:lineRule="auto"/>
        <w:rPr>
          <w:rFonts w:ascii="Arial" w:cs="Arial" w:eastAsia="Arial" w:hAnsi="Arial"/>
          <w:sz w:val="18"/>
          <w:szCs w:val="18"/>
          <w:color w:val="auto"/>
        </w:rPr>
      </w:pPr>
      <w:r>
        <w:rPr>
          <w:rFonts w:ascii="Arial" w:cs="Arial" w:eastAsia="Arial" w:hAnsi="Arial"/>
          <w:sz w:val="18"/>
          <w:szCs w:val="18"/>
          <w:color w:val="auto"/>
        </w:rPr>
        <w:t>8.2</w:t>
      </w:r>
      <w:r>
        <w:rPr>
          <w:rFonts w:ascii="Arial" w:cs="Arial" w:eastAsia="Arial" w:hAnsi="Arial"/>
          <w:sz w:val="18"/>
          <w:szCs w:val="18"/>
          <w:u w:val="single" w:color="auto"/>
          <w:color w:val="auto"/>
        </w:rPr>
        <w:t>Notices</w:t>
      </w:r>
      <w:r>
        <w:rPr>
          <w:rFonts w:ascii="Arial" w:cs="Arial" w:eastAsia="Arial" w:hAnsi="Arial"/>
          <w:sz w:val="18"/>
          <w:szCs w:val="18"/>
          <w:color w:val="auto"/>
        </w:rPr>
        <w:t>. All notices, statements or other documents which are required or contemplated by this Agreement shall be in writing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delivered (i) personally or sent by first class registered or certified mail, overnight courier service or electronic transmission to the address designated in writing or (ii)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electronic transmission, one (1) business day after delivery to an overnight courier service or five (5) days after mailing if sent by mail.</w:t>
      </w:r>
    </w:p>
    <w:p>
      <w:pPr>
        <w:spacing w:after="0" w:line="100" w:lineRule="exact"/>
        <w:rPr>
          <w:rFonts w:ascii="Arial" w:cs="Arial" w:eastAsia="Arial" w:hAnsi="Arial"/>
          <w:sz w:val="18"/>
          <w:szCs w:val="18"/>
          <w:color w:val="auto"/>
        </w:rPr>
      </w:pPr>
    </w:p>
    <w:p>
      <w:pPr>
        <w:ind w:left="1184" w:right="180" w:hanging="648"/>
        <w:spacing w:after="0" w:line="255" w:lineRule="auto"/>
        <w:rPr>
          <w:rFonts w:ascii="Arial" w:cs="Arial" w:eastAsia="Arial" w:hAnsi="Arial"/>
          <w:sz w:val="18"/>
          <w:szCs w:val="18"/>
          <w:color w:val="auto"/>
        </w:rPr>
      </w:pPr>
      <w:r>
        <w:rPr>
          <w:rFonts w:ascii="Arial" w:cs="Arial" w:eastAsia="Arial" w:hAnsi="Arial"/>
          <w:sz w:val="18"/>
          <w:szCs w:val="18"/>
          <w:color w:val="auto"/>
        </w:rPr>
        <w:t>8.3</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Letter Agreement and the Registration Rights Agreement, each substantially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form to be filed as an exhibit to the Company’s registration statement on Form S-1 relating to the IPO,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97" w:lineRule="exact"/>
        <w:rPr>
          <w:rFonts w:ascii="Arial" w:cs="Arial" w:eastAsia="Arial" w:hAnsi="Arial"/>
          <w:sz w:val="18"/>
          <w:szCs w:val="18"/>
          <w:color w:val="auto"/>
        </w:rPr>
      </w:pPr>
    </w:p>
    <w:p>
      <w:pPr>
        <w:ind w:left="1184" w:right="140" w:hanging="648"/>
        <w:spacing w:after="0" w:line="277" w:lineRule="auto"/>
        <w:rPr>
          <w:rFonts w:ascii="Arial" w:cs="Arial" w:eastAsia="Arial" w:hAnsi="Arial"/>
          <w:sz w:val="18"/>
          <w:szCs w:val="18"/>
          <w:color w:val="auto"/>
        </w:rPr>
      </w:pPr>
      <w:r>
        <w:rPr>
          <w:rFonts w:ascii="Arial" w:cs="Arial" w:eastAsia="Arial" w:hAnsi="Arial"/>
          <w:sz w:val="18"/>
          <w:szCs w:val="18"/>
          <w:color w:val="auto"/>
        </w:rPr>
        <w:t>8.4</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The terms and provisions of this Agreement may be modified or amended only by written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executed by each party hereto.</w:t>
      </w:r>
    </w:p>
    <w:p>
      <w:pPr>
        <w:spacing w:after="0" w:line="75" w:lineRule="exact"/>
        <w:rPr>
          <w:rFonts w:ascii="Arial" w:cs="Arial" w:eastAsia="Arial" w:hAnsi="Arial"/>
          <w:sz w:val="18"/>
          <w:szCs w:val="18"/>
          <w:color w:val="auto"/>
        </w:rPr>
      </w:pPr>
    </w:p>
    <w:p>
      <w:pPr>
        <w:ind w:left="1184" w:hanging="648"/>
        <w:spacing w:after="0" w:line="257" w:lineRule="auto"/>
        <w:rPr>
          <w:rFonts w:ascii="Arial" w:cs="Arial" w:eastAsia="Arial" w:hAnsi="Arial"/>
          <w:sz w:val="18"/>
          <w:szCs w:val="18"/>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Waivers and Consents</w:t>
      </w:r>
      <w:r>
        <w:rPr>
          <w:rFonts w:ascii="Arial" w:cs="Arial" w:eastAsia="Arial" w:hAnsi="Arial"/>
          <w:sz w:val="18"/>
          <w:szCs w:val="18"/>
          <w:color w:val="auto"/>
        </w:rPr>
        <w:t>. The terms and provisions of this Agreement may be waived, or consent for the departure therefrom granted, only</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written instrument executed by the party entitled to the benefit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93" w:lineRule="exact"/>
        <w:rPr>
          <w:rFonts w:ascii="Arial" w:cs="Arial" w:eastAsia="Arial" w:hAnsi="Arial"/>
          <w:sz w:val="18"/>
          <w:szCs w:val="18"/>
          <w:color w:val="auto"/>
        </w:rPr>
      </w:pPr>
    </w:p>
    <w:p>
      <w:pPr>
        <w:ind w:left="1184" w:right="480" w:hanging="648"/>
        <w:spacing w:after="0" w:line="277" w:lineRule="auto"/>
        <w:rPr>
          <w:rFonts w:ascii="Arial" w:cs="Arial" w:eastAsia="Arial" w:hAnsi="Arial"/>
          <w:sz w:val="18"/>
          <w:szCs w:val="18"/>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under this Agreement may not be assigned by either party hereto without the prior written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consent of the other party.</w:t>
      </w:r>
    </w:p>
    <w:p>
      <w:pPr>
        <w:spacing w:after="0" w:line="75" w:lineRule="exact"/>
        <w:rPr>
          <w:rFonts w:ascii="Arial" w:cs="Arial" w:eastAsia="Arial" w:hAnsi="Arial"/>
          <w:sz w:val="18"/>
          <w:szCs w:val="18"/>
          <w:color w:val="auto"/>
        </w:rPr>
      </w:pPr>
    </w:p>
    <w:p>
      <w:pPr>
        <w:ind w:left="1184" w:right="20" w:hanging="648"/>
        <w:spacing w:after="0" w:line="259" w:lineRule="auto"/>
        <w:rPr>
          <w:rFonts w:ascii="Arial" w:cs="Arial" w:eastAsia="Arial" w:hAnsi="Arial"/>
          <w:sz w:val="18"/>
          <w:szCs w:val="18"/>
          <w:color w:val="auto"/>
        </w:rPr>
      </w:pPr>
      <w:r>
        <w:rPr>
          <w:rFonts w:ascii="Arial" w:cs="Arial" w:eastAsia="Arial" w:hAnsi="Arial"/>
          <w:sz w:val="18"/>
          <w:szCs w:val="18"/>
          <w:color w:val="auto"/>
        </w:rPr>
        <w:t>8.7</w:t>
      </w:r>
      <w:r>
        <w:rPr>
          <w:rFonts w:ascii="Arial" w:cs="Arial" w:eastAsia="Arial" w:hAnsi="Arial"/>
          <w:sz w:val="18"/>
          <w:szCs w:val="18"/>
          <w:u w:val="single" w:color="auto"/>
          <w:color w:val="auto"/>
        </w:rPr>
        <w:t>Benefit</w:t>
      </w:r>
      <w:r>
        <w:rPr>
          <w:rFonts w:ascii="Arial" w:cs="Arial" w:eastAsia="Arial" w:hAnsi="Arial"/>
          <w:sz w:val="18"/>
          <w:szCs w:val="18"/>
          <w:color w:val="auto"/>
        </w:rPr>
        <w:t>. All statements, representations, warranties, covenants and agreements in this Agreement shall be binding on the parties hereto</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17" w:name="page318"/>
    <w:bookmarkEnd w:id="317"/>
    <w:p>
      <w:pPr>
        <w:ind w:left="640" w:right="460" w:hanging="647"/>
        <w:spacing w:after="0" w:line="308"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8.8</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hereunder shall be construed in accordance with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governed by the laws of the State of New York, without giving effect to the conflict of laws principles thereof.</w:t>
      </w:r>
    </w:p>
    <w:p>
      <w:pPr>
        <w:spacing w:after="0" w:line="52" w:lineRule="exact"/>
        <w:rPr>
          <w:sz w:val="20"/>
          <w:szCs w:val="20"/>
          <w:color w:val="auto"/>
        </w:rPr>
      </w:pPr>
    </w:p>
    <w:p>
      <w:pPr>
        <w:ind w:left="640" w:right="100" w:hanging="647"/>
        <w:spacing w:after="0" w:line="257" w:lineRule="auto"/>
        <w:tabs>
          <w:tab w:leader="none" w:pos="62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court of competent jurisdiction shall determine that any provision, or any portion thereof, contained</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93" w:lineRule="exact"/>
        <w:rPr>
          <w:sz w:val="20"/>
          <w:szCs w:val="20"/>
          <w:color w:val="auto"/>
        </w:rPr>
      </w:pPr>
    </w:p>
    <w:p>
      <w:pPr>
        <w:ind w:left="640" w:hanging="647"/>
        <w:spacing w:after="0" w:line="253" w:lineRule="auto"/>
        <w:tabs>
          <w:tab w:leader="none" w:pos="62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u w:val="single" w:color="auto"/>
          <w:color w:val="auto"/>
        </w:rPr>
        <w:t>No Waiver of Rights, Powers and Remedies</w:t>
      </w:r>
      <w:r>
        <w:rPr>
          <w:rFonts w:ascii="Arial" w:cs="Arial" w:eastAsia="Arial" w:hAnsi="Arial"/>
          <w:sz w:val="18"/>
          <w:szCs w:val="18"/>
          <w:color w:val="auto"/>
        </w:rPr>
        <w:t>. No failure or delay by a party hereto in exercising any right, power or remedy under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02" w:lineRule="exact"/>
        <w:rPr>
          <w:sz w:val="20"/>
          <w:szCs w:val="20"/>
          <w:color w:val="auto"/>
        </w:rPr>
      </w:pPr>
    </w:p>
    <w:p>
      <w:pPr>
        <w:jc w:val="both"/>
        <w:ind w:left="640" w:right="40" w:hanging="647"/>
        <w:spacing w:after="0" w:line="263" w:lineRule="auto"/>
        <w:tabs>
          <w:tab w:leader="none" w:pos="62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by the parties hereto and agreements contained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or in any other agreement, certificate or instrument provided for or contemplated hereby shall survive the execution and delivery hereof and any investigations made by or on behalf of the parties.</w:t>
      </w:r>
    </w:p>
    <w:p>
      <w:pPr>
        <w:spacing w:after="0" w:line="89" w:lineRule="exact"/>
        <w:rPr>
          <w:sz w:val="20"/>
          <w:szCs w:val="20"/>
          <w:color w:val="auto"/>
        </w:rPr>
      </w:pPr>
    </w:p>
    <w:p>
      <w:pPr>
        <w:ind w:left="640" w:right="40" w:hanging="647"/>
        <w:spacing w:after="0" w:line="275" w:lineRule="auto"/>
        <w:tabs>
          <w:tab w:leader="none" w:pos="62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7"/>
          <w:szCs w:val="17"/>
          <w:u w:val="single" w:color="auto"/>
          <w:color w:val="auto"/>
        </w:rPr>
        <w:t>No Broker or Finder</w:t>
      </w:r>
      <w:r>
        <w:rPr>
          <w:rFonts w:ascii="Arial" w:cs="Arial" w:eastAsia="Arial" w:hAnsi="Arial"/>
          <w:sz w:val="17"/>
          <w:szCs w:val="17"/>
          <w:color w:val="auto"/>
        </w:rPr>
        <w:t>. Each of the parties hereto represents and warrants to the other that no broker, finder or other financial consultant</w:t>
      </w:r>
      <w:r>
        <w:rPr>
          <w:rFonts w:ascii="Arial" w:cs="Arial" w:eastAsia="Arial" w:hAnsi="Arial"/>
          <w:sz w:val="17"/>
          <w:szCs w:val="17"/>
          <w:u w:val="single" w:color="auto"/>
          <w:color w:val="auto"/>
        </w:rPr>
        <w:t xml:space="preserve"> </w:t>
      </w:r>
      <w:r>
        <w:rPr>
          <w:rFonts w:ascii="Arial" w:cs="Arial" w:eastAsia="Arial" w:hAnsi="Arial"/>
          <w:sz w:val="17"/>
          <w:szCs w:val="17"/>
          <w:color w:val="auto"/>
        </w:rPr>
        <w:t>has acted on its behalf in connection with this Agreement or the transactions contemplated hereby in such a way as to create any liability on the other. Each of the parties hereto agrees to indemnify and hold harmless the other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82"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sections of this Agreement are for convenience of reference only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in no way modify or affect the meaning or construction of any of the terms or provisions hereof.</w:t>
      </w:r>
    </w:p>
    <w:p>
      <w:pPr>
        <w:spacing w:after="0" w:line="76" w:lineRule="exact"/>
        <w:rPr>
          <w:sz w:val="20"/>
          <w:szCs w:val="20"/>
          <w:color w:val="auto"/>
        </w:rPr>
      </w:pPr>
    </w:p>
    <w:p>
      <w:pPr>
        <w:ind w:left="640" w:right="120" w:hanging="647"/>
        <w:spacing w:after="0" w:line="296" w:lineRule="auto"/>
        <w:tabs>
          <w:tab w:leader="none" w:pos="62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when taken together shall be considered one</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67" w:lineRule="exact"/>
        <w:rPr>
          <w:sz w:val="20"/>
          <w:szCs w:val="20"/>
          <w:color w:val="auto"/>
        </w:rPr>
      </w:pPr>
    </w:p>
    <w:p>
      <w:pPr>
        <w:ind w:left="640" w:right="80" w:hanging="647"/>
        <w:spacing w:after="0" w:line="257" w:lineRule="auto"/>
        <w:tabs>
          <w:tab w:leader="none" w:pos="62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8"/>
          <w:szCs w:val="18"/>
          <w:u w:val="single" w:color="auto"/>
          <w:color w:val="auto"/>
        </w:rPr>
        <w:t>Construction</w:t>
      </w:r>
      <w:r>
        <w:rPr>
          <w:rFonts w:ascii="Arial" w:cs="Arial" w:eastAsia="Arial" w:hAnsi="Arial"/>
          <w:sz w:val="18"/>
          <w:szCs w:val="18"/>
          <w:color w:val="auto"/>
        </w:rPr>
        <w:t>. The words “include,” “includes,” and “including” will be deemed to be followed by “without limitation.” Pronouns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masculine, feminine and neuter genders will be construed to include any other gender, and words in the singular form will be construed to include the plural and vice versa, unless the context otherwise requires. The words “this Agreement,” “herein,” “hereof,” “hereby,” “hereunder” and words of similar import refer to this Agreement as a whole and not to any particular section unless expressly so limited. The parties hereto intend that each</w:t>
      </w:r>
    </w:p>
    <w:p>
      <w:pPr>
        <w:spacing w:after="0" w:line="1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0"/>
          </w:cols>
          <w:pgMar w:left="980" w:top="274" w:right="459" w:bottom="1440" w:gutter="0" w:footer="0" w:header="0"/>
        </w:sectPr>
      </w:pPr>
    </w:p>
    <w:bookmarkStart w:id="318" w:name="page319"/>
    <w:bookmarkEnd w:id="318"/>
    <w:p>
      <w:pPr>
        <w:ind w:left="660"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63" w:lineRule="exact"/>
        <w:rPr>
          <w:sz w:val="20"/>
          <w:szCs w:val="20"/>
          <w:color w:val="auto"/>
        </w:rPr>
      </w:pPr>
    </w:p>
    <w:p>
      <w:pPr>
        <w:ind w:left="640" w:hanging="647"/>
        <w:spacing w:after="0" w:line="311" w:lineRule="auto"/>
        <w:tabs>
          <w:tab w:leader="none" w:pos="62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u w:val="single" w:color="auto"/>
          <w:color w:val="auto"/>
        </w:rPr>
        <w:t>Mutual Drafting</w:t>
      </w:r>
      <w:r>
        <w:rPr>
          <w:rFonts w:ascii="Arial" w:cs="Arial" w:eastAsia="Arial" w:hAnsi="Arial"/>
          <w:sz w:val="16"/>
          <w:szCs w:val="16"/>
          <w:color w:val="auto"/>
        </w:rPr>
        <w:t>. The parties hereto have participated jointly in the negotiation and drafting of this Agreement. If an ambiguity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question of intent or interpretation arises, this Agreement will be construed as if drafted jointly by the parties hereto and no presumption or burden of proof will arise favoring or disfavoring any party hereto because of the authorship of any provision of this Agreement.</w:t>
      </w:r>
    </w:p>
    <w:p>
      <w:pPr>
        <w:spacing w:after="0" w:line="14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40"/>
          </w:cols>
          <w:pgMar w:left="980" w:top="274" w:right="479" w:bottom="1440" w:gutter="0" w:footer="0" w:header="0"/>
        </w:sectPr>
      </w:pPr>
    </w:p>
    <w:bookmarkStart w:id="319" w:name="page320"/>
    <w:bookmarkEnd w:id="31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accurately sets forth our understanding and agreement, please sign the enclosed copy of this Agreement and return it to us.</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Chamath Palihapitiya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SCS SPONSOR III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Chamath Palihapitiya</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Chamath Palihapitiya</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Securities Subscription Agreement</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320" w:name="page321"/>
    <w:bookmarkEnd w:id="320"/>
    <w:p>
      <w:pPr>
        <w:ind w:left="10120"/>
        <w:spacing w:after="0"/>
        <w:rPr>
          <w:sz w:val="20"/>
          <w:szCs w:val="20"/>
          <w:color w:val="auto"/>
        </w:rPr>
      </w:pPr>
      <w:r>
        <w:rPr>
          <w:rFonts w:ascii="Arial" w:cs="Arial" w:eastAsia="Arial" w:hAnsi="Arial"/>
          <w:sz w:val="17"/>
          <w:szCs w:val="17"/>
          <w:color w:val="auto"/>
        </w:rPr>
        <w:t>Exhibit 10.6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 SHARES PURCHASE AGREEMENT</w:t>
      </w:r>
    </w:p>
    <w:p>
      <w:pPr>
        <w:spacing w:after="0" w:line="229" w:lineRule="exact"/>
        <w:rPr>
          <w:sz w:val="20"/>
          <w:szCs w:val="20"/>
          <w:color w:val="auto"/>
        </w:rPr>
      </w:pPr>
    </w:p>
    <w:p>
      <w:pPr>
        <w:ind w:left="440"/>
        <w:spacing w:after="0"/>
        <w:tabs>
          <w:tab w:leader="none" w:pos="7020" w:val="left"/>
        </w:tabs>
        <w:rPr>
          <w:sz w:val="20"/>
          <w:szCs w:val="20"/>
          <w:color w:val="auto"/>
        </w:rPr>
      </w:pPr>
      <w:r>
        <w:rPr>
          <w:rFonts w:ascii="Arial" w:cs="Arial" w:eastAsia="Arial" w:hAnsi="Arial"/>
          <w:sz w:val="18"/>
          <w:szCs w:val="18"/>
          <w:color w:val="auto"/>
        </w:rPr>
        <w:t>THIS PRIVATE PLACEMENT SHARES PURCHASE AGREEMENT, dated as of</w:t>
      </w:r>
      <w:r>
        <w:rPr>
          <w:sz w:val="20"/>
          <w:szCs w:val="20"/>
          <w:color w:val="auto"/>
        </w:rPr>
        <w:tab/>
      </w:r>
      <w:r>
        <w:rPr>
          <w:rFonts w:ascii="Arial" w:cs="Arial" w:eastAsia="Arial" w:hAnsi="Arial"/>
          <w:sz w:val="16"/>
          <w:szCs w:val="16"/>
          <w:color w:val="auto"/>
        </w:rPr>
        <w:t>, 2021 (as it may from time to time be amended, this</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between Social Capital Suvretta Holdings Corp. III,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SCS Sponsor III LLC, a Cayman Islands limited liability company (the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intends to consummate an initial public offering (the “</w:t>
      </w:r>
      <w:r>
        <w:rPr>
          <w:rFonts w:ascii="Arial" w:cs="Arial" w:eastAsia="Arial" w:hAnsi="Arial"/>
          <w:sz w:val="16"/>
          <w:szCs w:val="16"/>
          <w:b w:val="1"/>
          <w:bCs w:val="1"/>
          <w:i w:val="1"/>
          <w:iCs w:val="1"/>
          <w:color w:val="auto"/>
        </w:rPr>
        <w:t>Public Offering</w:t>
      </w:r>
      <w:r>
        <w:rPr>
          <w:rFonts w:ascii="Arial" w:cs="Arial" w:eastAsia="Arial" w:hAnsi="Arial"/>
          <w:sz w:val="16"/>
          <w:szCs w:val="16"/>
          <w:color w:val="auto"/>
        </w:rPr>
        <w:t>”) of the Company’s Class A ordinary shares, par</w:t>
      </w:r>
    </w:p>
    <w:p>
      <w:pPr>
        <w:spacing w:after="0" w:line="46"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value $0.0001 per share (each, a “</w:t>
      </w:r>
      <w:r>
        <w:rPr>
          <w:rFonts w:ascii="Arial" w:cs="Arial" w:eastAsia="Arial" w:hAnsi="Arial"/>
          <w:sz w:val="17"/>
          <w:szCs w:val="17"/>
          <w:b w:val="1"/>
          <w:bCs w:val="1"/>
          <w:i w:val="1"/>
          <w:iCs w:val="1"/>
          <w:color w:val="auto"/>
        </w:rPr>
        <w:t>Share</w:t>
      </w:r>
      <w:r>
        <w:rPr>
          <w:rFonts w:ascii="Arial" w:cs="Arial" w:eastAsia="Arial" w:hAnsi="Arial"/>
          <w:sz w:val="17"/>
          <w:szCs w:val="17"/>
          <w:color w:val="auto"/>
        </w:rPr>
        <w:t>”), as set forth in the Company’s Registration Statement on Form S-1 (File Number 333- ), filed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and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Purchaser has agreed to purchase an aggregate of 600,000 Shares (the “</w:t>
      </w:r>
      <w:r>
        <w:rPr>
          <w:rFonts w:ascii="Arial" w:cs="Arial" w:eastAsia="Arial" w:hAnsi="Arial"/>
          <w:sz w:val="18"/>
          <w:szCs w:val="18"/>
          <w:b w:val="1"/>
          <w:bCs w:val="1"/>
          <w:i w:val="1"/>
          <w:iCs w:val="1"/>
          <w:color w:val="auto"/>
        </w:rPr>
        <w:t>Private Placement Shares</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NOW THEREFORE, in consideration of the mutual promises contained in this Agreement and other good and valuable consideration, the receipt and sufficiency of which are hereby acknowledged, the parties to this Agreement, intending legally to be bound, hereby agree as follows: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Authorization, Purchase and Sale; Terms of the Private Placement Shares.</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Authorization of the Private Placement Shares</w:t>
      </w:r>
      <w:r>
        <w:rPr>
          <w:rFonts w:ascii="Arial" w:cs="Arial" w:eastAsia="Arial" w:hAnsi="Arial"/>
          <w:sz w:val="18"/>
          <w:szCs w:val="18"/>
          <w:color w:val="auto"/>
        </w:rPr>
        <w:t>. The Company has duly authorized the issuance and sale of the Private Placement Shares to the Purchaser.</w:t>
      </w:r>
    </w:p>
    <w:p>
      <w:pPr>
        <w:spacing w:after="0" w:line="170" w:lineRule="exact"/>
        <w:rPr>
          <w:sz w:val="20"/>
          <w:szCs w:val="20"/>
          <w:color w:val="auto"/>
        </w:rPr>
      </w:pPr>
    </w:p>
    <w:p>
      <w:pPr>
        <w:ind w:right="220" w:firstLine="440"/>
        <w:spacing w:after="0" w:line="271"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Purchase and Sale of the Private Placement Shares</w:t>
      </w:r>
      <w:r>
        <w:rPr>
          <w:rFonts w:ascii="Arial" w:cs="Arial" w:eastAsia="Arial" w:hAnsi="Arial"/>
          <w:sz w:val="17"/>
          <w:szCs w:val="17"/>
          <w:color w:val="auto"/>
        </w:rPr>
        <w:t>. On the date of the consummation of the Public Offering or on such earlier date as may be mutually agreed by the Purchaser and the Company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the Company shall issue and sell to the Purchaser, and the Purchaser shall purchase from the Company, 600,000 Private Placement Shares at a price of $10.00 per Private Placement Share for an aggregate purchase price of $6,000,000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which shall be paid by wire transfer of immediately available funds to the Company at least one (1) business day prior to the Closing Date in accordance with the Company’s wiring instructions. On the Closing Date, following the payment by the Purchaser of the Purchase Price by wire transfer of immediately available funds to the Company, the Company, at its option, shall deliver a certificate evidencing the Private Placement Shares purchased by the Purchaser on such date duly registered in the Purchaser’s name to the Purchaser or effect such delivery in book-entry form.</w:t>
      </w:r>
    </w:p>
    <w:p>
      <w:pPr>
        <w:sectPr>
          <w:pgSz w:w="11900" w:h="16838" w:orient="portrait"/>
          <w:cols w:equalWidth="0" w:num="1">
            <w:col w:w="11020"/>
          </w:cols>
          <w:pgMar w:left="440" w:top="125" w:right="439" w:bottom="1440" w:gutter="0" w:footer="0" w:header="0"/>
        </w:sectPr>
      </w:pPr>
    </w:p>
    <w:bookmarkStart w:id="321" w:name="page322"/>
    <w:bookmarkEnd w:id="3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Arial" w:cs="Arial" w:eastAsia="Arial" w:hAnsi="Arial"/>
          <w:sz w:val="18"/>
          <w:szCs w:val="18"/>
          <w:u w:val="single" w:color="auto"/>
          <w:color w:val="auto"/>
        </w:rPr>
        <w:t>Terms of the Private Placement Shares</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54" w:lineRule="auto"/>
        <w:tabs>
          <w:tab w:leader="none" w:pos="120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Private Placement Shares are substantially identical to the Shares to be offered in the Public Offering except that (a) the Private Placement Shares will not, except in limited circumstances, be transferable, assignable or salable until 30 days after the Company has completed a merger, share exchange, asset acquisition, share repurchase, reorganization or similar business combination with one or more businesses (the “</w:t>
      </w:r>
      <w:r>
        <w:rPr>
          <w:rFonts w:ascii="Arial" w:cs="Arial" w:eastAsia="Arial" w:hAnsi="Arial"/>
          <w:sz w:val="18"/>
          <w:szCs w:val="18"/>
          <w:b w:val="1"/>
          <w:bCs w:val="1"/>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(consistent with the terms of the letter agreement to be entered into by and among the Company, the Purchaser and the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thereto in connection with the Public Offering (the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and (b) the Private Placement Shares are being purchased pursuant to an exemption from the registration requirements of the Securities Act and will become freely tradable only after (i) the expiration of the lockup described above in clause (a) and (ii) they are registered pursuant to the Registration Rights Agreement (as defined below), or an exemption from registration is available.</w:t>
      </w:r>
    </w:p>
    <w:p>
      <w:pPr>
        <w:spacing w:after="0" w:line="191" w:lineRule="exact"/>
        <w:rPr>
          <w:rFonts w:ascii="Arial" w:cs="Arial" w:eastAsia="Arial" w:hAnsi="Arial"/>
          <w:sz w:val="18"/>
          <w:szCs w:val="18"/>
          <w:color w:val="auto"/>
        </w:rPr>
      </w:pPr>
    </w:p>
    <w:p>
      <w:pPr>
        <w:ind w:right="40" w:firstLine="987"/>
        <w:spacing w:after="0" w:line="263" w:lineRule="auto"/>
        <w:tabs>
          <w:tab w:leader="none" w:pos="125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Prior to or on the date of the consummation of the Public Offering, the Company and the Purchaser shall enter into a registration rights agreement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pursuant to which the Company will grant certain registration rights to the Purchaser relating to the Private Placement Shares.</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Section 2. Representations and Warranties of the Company</w:t>
      </w:r>
      <w:r>
        <w:rPr>
          <w:rFonts w:ascii="Arial" w:cs="Arial" w:eastAsia="Arial" w:hAnsi="Arial"/>
          <w:sz w:val="18"/>
          <w:szCs w:val="18"/>
          <w:color w:val="auto"/>
        </w:rPr>
        <w:t>. As a material inducement to the Purchaser to enter into this Agreement and purchase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Placement Shares, the Company hereby represents and warrants to the Purchaser (which representations and warranties shall survive the Closing Date) that:</w:t>
      </w:r>
    </w:p>
    <w:p>
      <w:pPr>
        <w:spacing w:after="0" w:line="7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and Corporate Power</w:t>
      </w:r>
      <w:r>
        <w:rPr>
          <w:rFonts w:ascii="Arial" w:cs="Arial" w:eastAsia="Arial" w:hAnsi="Arial"/>
          <w:sz w:val="18"/>
          <w:szCs w:val="18"/>
          <w:color w:val="auto"/>
        </w:rPr>
        <w:t>. The Company is an exempted company duly incorporated, validly existing and in good standing under the laws of the 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279" w:lineRule="auto"/>
        <w:tabs>
          <w:tab w:leader="none" w:pos="120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have been duly authorized by the Company as of the Closing Date. This Agreement constitutes the valid and binding obligation of the Company, enforceable in accordance with its terms, except that such enforcement may be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71" w:lineRule="exact"/>
        <w:rPr>
          <w:rFonts w:ascii="Arial" w:cs="Arial" w:eastAsia="Arial" w:hAnsi="Arial"/>
          <w:sz w:val="17"/>
          <w:szCs w:val="17"/>
          <w:color w:val="auto"/>
        </w:rPr>
      </w:pPr>
    </w:p>
    <w:p>
      <w:pPr>
        <w:ind w:right="120" w:firstLine="987"/>
        <w:spacing w:after="0" w:line="271" w:lineRule="auto"/>
        <w:tabs>
          <w:tab w:leader="none" w:pos="125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execution and delivery by the Company of this Agreement, the issuance and sale of the Private Placement Shares and the fulfillment of and compliance with the terms hereof by the Company, do not and will not as of the Closing Date (a) conflict with or result in any violation or breach of the terms, conditions or provisions of, or constitute a default under, any law, statute, rule, regulation, agreement, order, judgment or decree to which the Company is subject, (b) result in or give rise to the creation of any lien, security interest, charge or encumbrance upon the Company’s share capital or assets, (c) conflict with or result in any violation of any provision of the amended and restated memorandum and articles of association of the Company (as in effect on the date hereof or as may be amended on or prior to the Closing Date), or (d) require any authorization, consent, approval, exemption or other action by or notice or declaration to, or filing with, any court or administrative or governmental body or agency, except for any filings required after the date hereof under federal or state securities laws.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22" w:name="page323"/>
    <w:bookmarkEnd w:id="322"/>
    <w:p>
      <w:pPr>
        <w:ind w:right="1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Arial" w:cs="Arial" w:eastAsia="Arial" w:hAnsi="Arial"/>
          <w:sz w:val="18"/>
          <w:szCs w:val="18"/>
          <w:u w:val="single" w:color="auto"/>
          <w:color w:val="auto"/>
        </w:rPr>
        <w:t>Title to Securities</w:t>
      </w:r>
      <w:r>
        <w:rPr>
          <w:rFonts w:ascii="Arial" w:cs="Arial" w:eastAsia="Arial" w:hAnsi="Arial"/>
          <w:sz w:val="18"/>
          <w:szCs w:val="18"/>
          <w:color w:val="auto"/>
        </w:rPr>
        <w:t>. Upon issuance in accordance with, and payment pursuant to, the terms hereof and upon registration in the register of members of the Company, the Private Placement Shares will be duly and validly issued, fully paid and nonassessable. Upon issuance in accordance with, and payment pursuant to, the terms hereof, the Purchaser will have good and valid title to the Private Placement Shares purchased by it, free and clear of all liens, claims and encumbrances of any kind, other than (i) transfer restrictions hereunder and under the other agreements contemplated hereby, including the Letter Agreement, (ii) transfer restrictions under federal and state securities laws, and (iii) liens, claims or encumbrances imposed due to the actions of the Purchaser.</w:t>
      </w:r>
    </w:p>
    <w:p>
      <w:pPr>
        <w:spacing w:after="0" w:line="192"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Governmental Consents</w:t>
      </w:r>
      <w:r>
        <w:rPr>
          <w:rFonts w:ascii="Arial" w:cs="Arial" w:eastAsia="Arial" w:hAnsi="Arial"/>
          <w:sz w:val="17"/>
          <w:szCs w:val="17"/>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 except for any filings required after the date hereof under federal or state securities laws.</w:t>
      </w:r>
    </w:p>
    <w:p>
      <w:pPr>
        <w:spacing w:after="0" w:line="16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Section 3. Representations and Warranties of the Purchaser</w:t>
      </w:r>
      <w:r>
        <w:rPr>
          <w:rFonts w:ascii="Arial" w:cs="Arial" w:eastAsia="Arial" w:hAnsi="Arial"/>
          <w:sz w:val="18"/>
          <w:szCs w:val="18"/>
          <w:color w:val="auto"/>
        </w:rPr>
        <w:t>. The Purchaser hereby represents and warrants to the Company (which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warranties shall survive the Closing Date) that:</w:t>
      </w:r>
    </w:p>
    <w:p>
      <w:pPr>
        <w:spacing w:after="0" w:line="58"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The Purchaser possesses all requisite power and authority necessary to carry out the transactions contemplated by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sz w:val="20"/>
          <w:szCs w:val="20"/>
          <w:color w:val="auto"/>
        </w:rPr>
      </w:pPr>
    </w:p>
    <w:p>
      <w:pPr>
        <w:ind w:right="160" w:firstLine="987"/>
        <w:spacing w:after="0" w:line="286" w:lineRule="auto"/>
        <w:tabs>
          <w:tab w:leader="none" w:pos="1206" w:val="left"/>
        </w:tabs>
        <w:numPr>
          <w:ilvl w:val="1"/>
          <w:numId w:val="210"/>
        </w:numPr>
        <w:rPr>
          <w:rFonts w:ascii="Arial" w:cs="Arial" w:eastAsia="Arial" w:hAnsi="Arial"/>
          <w:sz w:val="17"/>
          <w:szCs w:val="17"/>
          <w:color w:val="auto"/>
        </w:rPr>
      </w:pPr>
      <w:r>
        <w:rPr>
          <w:rFonts w:ascii="Arial" w:cs="Arial" w:eastAsia="Arial" w:hAnsi="Arial"/>
          <w:sz w:val="17"/>
          <w:szCs w:val="17"/>
          <w:color w:val="auto"/>
        </w:rPr>
        <w:t>This Agreement constitutes a valid and binding obligation of the Purchaser, enforceable in accordance with its terms, except that such enforcement may be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65" w:lineRule="exact"/>
        <w:rPr>
          <w:rFonts w:ascii="Arial" w:cs="Arial" w:eastAsia="Arial" w:hAnsi="Arial"/>
          <w:sz w:val="17"/>
          <w:szCs w:val="17"/>
          <w:color w:val="auto"/>
        </w:rPr>
      </w:pPr>
    </w:p>
    <w:p>
      <w:pPr>
        <w:ind w:right="80" w:firstLine="987"/>
        <w:spacing w:after="0" w:line="263" w:lineRule="auto"/>
        <w:tabs>
          <w:tab w:leader="none" w:pos="125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the Closing Date conflict with or result in a breach by the Purchaser of the terms, conditions or provisions of any agreement, instrument, order, judgment or decree to which the Purchaser is subject.</w:t>
      </w:r>
    </w:p>
    <w:p>
      <w:pPr>
        <w:spacing w:after="0" w:line="183" w:lineRule="exact"/>
        <w:rPr>
          <w:rFonts w:ascii="Arial" w:cs="Arial" w:eastAsia="Arial" w:hAnsi="Arial"/>
          <w:sz w:val="18"/>
          <w:szCs w:val="18"/>
          <w:color w:val="auto"/>
        </w:rPr>
      </w:pPr>
    </w:p>
    <w:p>
      <w:pPr>
        <w:ind w:left="640" w:hanging="204"/>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77" w:lineRule="auto"/>
        <w:tabs>
          <w:tab w:leader="none" w:pos="1206"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Purchaser is acquiring the Private Placement Shares for its own account, for investment purposes only and not with a view towards, or for resale in connection with, any public sale or distribution thereof.</w:t>
      </w:r>
    </w:p>
    <w:p>
      <w:pPr>
        <w:spacing w:after="0" w:line="170" w:lineRule="exact"/>
        <w:rPr>
          <w:rFonts w:ascii="Arial" w:cs="Arial" w:eastAsia="Arial" w:hAnsi="Arial"/>
          <w:sz w:val="18"/>
          <w:szCs w:val="18"/>
          <w:color w:val="auto"/>
        </w:rPr>
      </w:pPr>
    </w:p>
    <w:p>
      <w:pPr>
        <w:ind w:right="140" w:firstLine="987"/>
        <w:spacing w:after="0" w:line="308" w:lineRule="auto"/>
        <w:tabs>
          <w:tab w:leader="none" w:pos="1256"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Purchaser is an “</w:t>
      </w:r>
      <w:r>
        <w:rPr>
          <w:rFonts w:ascii="Arial" w:cs="Arial" w:eastAsia="Arial" w:hAnsi="Arial"/>
          <w:sz w:val="17"/>
          <w:szCs w:val="17"/>
          <w:b w:val="1"/>
          <w:bCs w:val="1"/>
          <w:i w:val="1"/>
          <w:iCs w:val="1"/>
          <w:color w:val="auto"/>
        </w:rPr>
        <w:t>accredited investor</w:t>
      </w:r>
      <w:r>
        <w:rPr>
          <w:rFonts w:ascii="Arial" w:cs="Arial" w:eastAsia="Arial" w:hAnsi="Arial"/>
          <w:sz w:val="17"/>
          <w:szCs w:val="17"/>
          <w:color w:val="auto"/>
        </w:rPr>
        <w:t>” as such term is defined in Rule 501(a)(3) of Regulation D under the Securities Act, and the Purchaser has not experienced a disqualifying event as enumerated pursuant to Rule 506(d) of Regulation D under the Securities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23" w:name="page324"/>
    <w:bookmarkEnd w:id="323"/>
    <w:p>
      <w:pPr>
        <w:ind w:left="-20" w:firstLine="987"/>
        <w:spacing w:after="0" w:line="279" w:lineRule="auto"/>
        <w:tabs>
          <w:tab w:leader="none" w:pos="1286" w:val="left"/>
        </w:tabs>
        <w:numPr>
          <w:ilvl w:val="0"/>
          <w:numId w:val="2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Purchaser understands that the Private Placement Shares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Private Placement Shares.</w:t>
      </w:r>
    </w:p>
    <w:p>
      <w:pPr>
        <w:spacing w:after="0" w:line="171" w:lineRule="exact"/>
        <w:rPr>
          <w:rFonts w:ascii="Arial" w:cs="Arial" w:eastAsia="Arial" w:hAnsi="Arial"/>
          <w:sz w:val="17"/>
          <w:szCs w:val="17"/>
          <w:color w:val="auto"/>
        </w:rPr>
      </w:pPr>
    </w:p>
    <w:p>
      <w:pPr>
        <w:ind w:left="-20" w:right="460" w:firstLine="987"/>
        <w:spacing w:after="0" w:line="277" w:lineRule="auto"/>
        <w:tabs>
          <w:tab w:leader="none" w:pos="127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Purchaser did not decide to enter into this Agreement as a result of any general solicitation or general advertising within the meaning of Rule 502(c) of Regulation D under the Securities Act.</w:t>
      </w:r>
    </w:p>
    <w:p>
      <w:pPr>
        <w:spacing w:after="0" w:line="170" w:lineRule="exact"/>
        <w:rPr>
          <w:rFonts w:ascii="Arial" w:cs="Arial" w:eastAsia="Arial" w:hAnsi="Arial"/>
          <w:sz w:val="18"/>
          <w:szCs w:val="18"/>
          <w:color w:val="auto"/>
        </w:rPr>
      </w:pPr>
    </w:p>
    <w:p>
      <w:pPr>
        <w:ind w:left="-20" w:right="320" w:firstLine="987"/>
        <w:spacing w:after="0" w:line="275" w:lineRule="auto"/>
        <w:tabs>
          <w:tab w:leader="none" w:pos="122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Purchaser has been furnished with all materials relating to the business, finances and operations of the Company and materials relating to the offer and sale of the Private Placement Shares which have been requested by the Purchaser. The Purchaser has been afforded the opportunity to ask questions of the executive officers and directors of the Company. The Purchaser understands that its investment in the Private Placement Shares involves a high degree of risk and it has sought such accounting, legal and tax advice as it has considered necessary to make an informed investment decision with respect to the acquisition of the Private Placement Shares.</w:t>
      </w:r>
    </w:p>
    <w:p>
      <w:pPr>
        <w:spacing w:after="0" w:line="176" w:lineRule="exact"/>
        <w:rPr>
          <w:rFonts w:ascii="Arial" w:cs="Arial" w:eastAsia="Arial" w:hAnsi="Arial"/>
          <w:sz w:val="17"/>
          <w:szCs w:val="17"/>
          <w:color w:val="auto"/>
        </w:rPr>
      </w:pPr>
    </w:p>
    <w:p>
      <w:pPr>
        <w:ind w:left="-20" w:firstLine="987"/>
        <w:spacing w:after="0" w:line="311" w:lineRule="auto"/>
        <w:tabs>
          <w:tab w:leader="none" w:pos="127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Purchaser understands that no United States federal or state agency or any other government or governmental agency has passed on or made any recommendation or endorsement of the Private Placement Shares or the fairness or suitability of the investment in the Private Placement Shares by the Purchaser nor have such authorities passed upon or endorsed the merits of the offering of the Private Placement Shares.</w:t>
      </w:r>
    </w:p>
    <w:p>
      <w:pPr>
        <w:spacing w:after="0" w:line="148" w:lineRule="exact"/>
        <w:rPr>
          <w:rFonts w:ascii="Arial" w:cs="Arial" w:eastAsia="Arial" w:hAnsi="Arial"/>
          <w:sz w:val="16"/>
          <w:szCs w:val="16"/>
          <w:color w:val="auto"/>
        </w:rPr>
      </w:pPr>
    </w:p>
    <w:p>
      <w:pPr>
        <w:ind w:left="-20" w:right="80" w:firstLine="987"/>
        <w:spacing w:after="0" w:line="272" w:lineRule="auto"/>
        <w:tabs>
          <w:tab w:leader="none" w:pos="132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Purchaser understands that: (a) the Private Placement Shares have not been and are not being registered under the Securities Act or any state securities laws, and may not be offered for sale, sold, assigned or transferred unless (1) in a registered transaction or (2) in reliance on an exemption therefrom; (b) except as specifically set forth in the Registration Rights Agreement, neither the Company nor any other person is under any obligation to register the Private Placement Shares under the Securities Act or any state securities laws or to comply with the terms and conditions of any exemption thereunder; and (c) Rule 144 adopted pursuant to the Securities Act will not be available for resale transactions of the Private Placement Shares until one (1) year or more after the Initial Business Combination and may not be available for resale transactions of Private Placement Shares after such Initial Business Combination.</w:t>
      </w:r>
    </w:p>
    <w:p>
      <w:pPr>
        <w:spacing w:after="0" w:line="177" w:lineRule="exact"/>
        <w:rPr>
          <w:rFonts w:ascii="Arial" w:cs="Arial" w:eastAsia="Arial" w:hAnsi="Arial"/>
          <w:sz w:val="17"/>
          <w:szCs w:val="17"/>
          <w:color w:val="auto"/>
        </w:rPr>
      </w:pPr>
    </w:p>
    <w:p>
      <w:pPr>
        <w:ind w:left="-20" w:right="20" w:firstLine="987"/>
        <w:spacing w:after="0" w:line="273" w:lineRule="auto"/>
        <w:tabs>
          <w:tab w:leader="none" w:pos="137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Purchaser has knowledge and experience in financial and business matters, knowledge of the high degree of risk associated with investments in the securities of companies in the development stage such as the Company, is capable of evaluating the merits and risks of an investment in the Private Placement Shares and is able to bear the economic risk of an investment in the Private Placement Shares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Private Placement Shares. The Purchaser can afford a complete loss of its investment in the Private Placement Shares.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324" w:name="page325"/>
    <w:bookmarkEnd w:id="324"/>
    <w:p>
      <w:pPr>
        <w:ind w:right="820" w:firstLine="987"/>
        <w:spacing w:after="0" w:line="277" w:lineRule="auto"/>
        <w:tabs>
          <w:tab w:leader="none" w:pos="1296"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Purchaser understands that the Private Placement Shares shall bear a legend and appropriate “stop transfer restrictions” substantially in the form set forth below:</w:t>
      </w:r>
    </w:p>
    <w:p>
      <w:pPr>
        <w:spacing w:after="0" w:line="62"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SECURITIES REPRESENTED BY THIS CERTIFICATE ARE SUBJECT TO LOCKUP PROVISIONS AND MAY NOT BE OFFERED, SOLD, TRANSFERRED, PLEDGED OR OTHERWISE DISPOSED OF DURING THE TERM OF THE LOCKUP.”</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Section 4. Conditions of the Purchaser’s Obligations</w:t>
      </w:r>
      <w:r>
        <w:rPr>
          <w:rFonts w:ascii="Arial" w:cs="Arial" w:eastAsia="Arial" w:hAnsi="Arial"/>
          <w:sz w:val="18"/>
          <w:szCs w:val="18"/>
          <w:color w:val="auto"/>
        </w:rPr>
        <w:t>. The obligations of the Purchaser to purchase and pay for the Private Placement Shares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fulfillment (or to the extent permitted by applicable law, waiver by the Purchaser), on or before the Closing Date, of each of the following conditions:</w:t>
      </w:r>
    </w:p>
    <w:p>
      <w:pPr>
        <w:spacing w:after="0" w:line="72"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Section 2 shall be true and correct at and as of the Closing Date as though then made.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agreements, obligations and conditions contained in this Agreement that are required to be performed or complied with by it on or before the Closing Date.</w:t>
      </w:r>
    </w:p>
    <w:p>
      <w:pPr>
        <w:spacing w:after="0" w:line="170"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No Injunction</w:t>
      </w:r>
      <w:r>
        <w:rPr>
          <w:rFonts w:ascii="Arial" w:cs="Arial" w:eastAsia="Arial" w:hAnsi="Arial"/>
          <w:sz w:val="17"/>
          <w:szCs w:val="17"/>
          <w:color w:val="auto"/>
        </w:rPr>
        <w:t>. No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165"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Company shall have entered into the Registration Rights Agreement on terms satisfactory to the Purchaser. -5-</w:t>
      </w:r>
    </w:p>
    <w:p>
      <w:pPr>
        <w:sectPr>
          <w:pgSz w:w="11900" w:h="16838" w:orient="portrait"/>
          <w:cols w:equalWidth="0" w:num="1">
            <w:col w:w="11000"/>
          </w:cols>
          <w:pgMar w:left="440" w:top="274" w:right="459" w:bottom="1440" w:gutter="0" w:footer="0" w:header="0"/>
        </w:sectPr>
      </w:pPr>
    </w:p>
    <w:bookmarkStart w:id="325" w:name="page326"/>
    <w:bookmarkEnd w:id="325"/>
    <w:p>
      <w:pPr>
        <w:ind w:right="2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Conditions of the Company’s Obligations</w:t>
      </w:r>
      <w:r>
        <w:rPr>
          <w:rFonts w:ascii="Arial" w:cs="Arial" w:eastAsia="Arial" w:hAnsi="Arial"/>
          <w:sz w:val="16"/>
          <w:szCs w:val="16"/>
          <w:color w:val="auto"/>
        </w:rPr>
        <w:t>. The obligations of the Company to the Purchaser under this Agreement are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fulfillment (or to the extent permitted by applicable law, waiver by the Company), on or before the Closing Date, of each of the following conditions:</w:t>
      </w:r>
    </w:p>
    <w:p>
      <w:pPr>
        <w:spacing w:after="0" w:line="12"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Purchaser contained in Section 3 shall be true and correct at and as of the Closing Date as though then made.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agreements, obligations and conditions contained in this Agreement that are required to be performed or complied with by the Purchaser on or before the Closing Date.</w:t>
      </w:r>
    </w:p>
    <w:p>
      <w:pPr>
        <w:spacing w:after="0" w:line="170"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No Injunction</w:t>
      </w:r>
      <w:r>
        <w:rPr>
          <w:rFonts w:ascii="Arial" w:cs="Arial" w:eastAsia="Arial" w:hAnsi="Arial"/>
          <w:sz w:val="17"/>
          <w:szCs w:val="17"/>
          <w:color w:val="auto"/>
        </w:rPr>
        <w:t>. No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The Company shall have entered into the Registration Rights Agreement on terms satisfactory to the Company.</w:t>
      </w:r>
    </w:p>
    <w:p>
      <w:pPr>
        <w:spacing w:after="0" w:line="24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Section 6. Termination</w:t>
      </w:r>
      <w:r>
        <w:rPr>
          <w:rFonts w:ascii="Arial" w:cs="Arial" w:eastAsia="Arial" w:hAnsi="Arial"/>
          <w:sz w:val="18"/>
          <w:szCs w:val="18"/>
          <w:color w:val="auto"/>
        </w:rPr>
        <w:t>. This Agreement may be terminated at any time after December 31, 2021 upon the election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upon written notice to the other party if the Closing Date does not occur prior to such date.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7. Survival of Representations and Warranties</w:t>
      </w:r>
      <w:r>
        <w:rPr>
          <w:rFonts w:ascii="Arial" w:cs="Arial" w:eastAsia="Arial" w:hAnsi="Arial"/>
          <w:sz w:val="16"/>
          <w:szCs w:val="16"/>
          <w:color w:val="auto"/>
        </w:rPr>
        <w:t>. All of the representations and warranties contained herein shall survive the Closing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r>
        <w:rPr>
          <w:rFonts w:ascii="Arial" w:cs="Arial" w:eastAsia="Arial" w:hAnsi="Arial"/>
          <w:sz w:val="18"/>
          <w:szCs w:val="18"/>
          <w:color w:val="auto"/>
        </w:rPr>
        <w:t>.</w:t>
      </w:r>
    </w:p>
    <w:p>
      <w:pPr>
        <w:spacing w:after="0" w:line="229"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no party hereto may assign this Agreement without the prior written consent of the other party, other than assignments by the Purchaser to affiliates thereof.</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none of which need contain the signatures of more than one party, but all such counterparts taken together shall constitute one and the same agreement. Signatures to this Agreement transmitted via electronic transmission shall be valid and effective to bind the party so signing.</w:t>
      </w:r>
    </w:p>
    <w:p>
      <w:pPr>
        <w:spacing w:after="0" w:line="184"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Descriptive Headings; Interpretation</w:t>
      </w:r>
      <w:r>
        <w:rPr>
          <w:rFonts w:ascii="Arial" w:cs="Arial" w:eastAsia="Arial" w:hAnsi="Arial"/>
          <w:sz w:val="16"/>
          <w:szCs w:val="16"/>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26" w:name="page327"/>
    <w:bookmarkEnd w:id="326"/>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deemed to be a contract made under the laws of the State of New York and for all purposes shall be construed in accordance with the internal laws of the State of New York, without giving effect to conflicts of law principles that would result in the application of the laws of another jurisdiction.</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modified or waived as to any particular provision, except by a written instrument executed by all parties hereto.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to be effective as of the date first set forth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SCS SPONSOR III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Private Placement Shares Purchase Agreement</w:t>
      </w:r>
      <w:r>
        <w:rPr>
          <w:rFonts w:ascii="Arial" w:cs="Arial" w:eastAsia="Arial" w:hAnsi="Arial"/>
          <w:sz w:val="18"/>
          <w:szCs w:val="18"/>
          <w:color w:val="auto"/>
        </w:rPr>
        <w:t>]</w:t>
      </w:r>
    </w:p>
    <w:p>
      <w:pPr>
        <w:sectPr>
          <w:pgSz w:w="11900" w:h="16838" w:orient="portrait"/>
          <w:cols w:equalWidth="0" w:num="1">
            <w:col w:w="10560"/>
          </w:cols>
          <w:pgMar w:left="880" w:top="274" w:right="45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color w:val="auto"/>
        </w:rPr>
        <w:t>Exhibit 10.7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ectPr>
          <w:pgSz w:w="11900" w:h="16838" w:orient="portrait"/>
          <w:cols w:equalWidth="0" w:num="1">
            <w:col w:w="11020"/>
          </w:cols>
          <w:pgMar w:left="440" w:top="125" w:right="439" w:bottom="1440" w:gutter="0" w:footer="0" w:header="0"/>
        </w:sectPr>
      </w:pPr>
    </w:p>
    <w:p>
      <w:pPr>
        <w:spacing w:after="0" w:line="225"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b w:val="1"/>
          <w:bCs w:val="1"/>
          <w:color w:val="auto"/>
        </w:rPr>
        <w:t xml:space="preserve">THIS INDEMNITY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made as of</w:t>
      </w:r>
      <w:r>
        <w:rPr>
          <w:rFonts w:ascii="Arial" w:cs="Arial" w:eastAsia="Arial" w:hAnsi="Arial"/>
          <w:sz w:val="17"/>
          <w:szCs w:val="17"/>
          <w:b w:val="1"/>
          <w:bCs w:val="1"/>
          <w:color w:val="auto"/>
        </w:rPr>
        <w:t xml:space="preserve"> </w:t>
      </w:r>
      <w:r>
        <w:rPr>
          <w:rFonts w:ascii="Arial" w:cs="Arial" w:eastAsia="Arial" w:hAnsi="Arial"/>
          <w:sz w:val="17"/>
          <w:szCs w:val="17"/>
          <w:color w:val="auto"/>
        </w:rPr>
        <w:t>III, a Cayman Islands exempted company (the “</w:t>
      </w:r>
      <w:r>
        <w:rPr>
          <w:rFonts w:ascii="Arial" w:cs="Arial" w:eastAsia="Arial" w:hAnsi="Arial"/>
          <w:sz w:val="17"/>
          <w:szCs w:val="17"/>
          <w:b w:val="1"/>
          <w:bCs w:val="1"/>
          <w:color w:val="auto"/>
        </w:rPr>
        <w:t>Company</w:t>
      </w:r>
      <w:r>
        <w:rPr>
          <w:rFonts w:ascii="Arial" w:cs="Arial" w:eastAsia="Arial" w:hAnsi="Arial"/>
          <w:sz w:val="17"/>
          <w:szCs w:val="17"/>
          <w:color w:val="auto"/>
        </w:rPr>
        <w:t>”), and (“</w:t>
      </w:r>
      <w:r>
        <w:rPr>
          <w:rFonts w:ascii="Arial" w:cs="Arial" w:eastAsia="Arial" w:hAnsi="Arial"/>
          <w:sz w:val="17"/>
          <w:szCs w:val="17"/>
          <w:b w:val="1"/>
          <w:bCs w:val="1"/>
          <w:color w:val="auto"/>
        </w:rPr>
        <w:t>Indemnitee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2021, by and between Social Capital Suvretta Holdings Corp.</w:t>
      </w:r>
    </w:p>
    <w:p>
      <w:pPr>
        <w:spacing w:after="0" w:line="460" w:lineRule="exact"/>
        <w:rPr>
          <w:sz w:val="20"/>
          <w:szCs w:val="20"/>
          <w:color w:val="auto"/>
        </w:rPr>
      </w:pPr>
    </w:p>
    <w:p>
      <w:pPr>
        <w:sectPr>
          <w:pgSz w:w="11900" w:h="16838" w:orient="portrait"/>
          <w:cols w:equalWidth="0" w:num="2">
            <w:col w:w="5920" w:space="480"/>
            <w:col w:w="4620"/>
          </w:cols>
          <w:pgMar w:left="440" w:top="125" w:right="439" w:bottom="1440" w:gutter="0" w:footer="0" w:header="0"/>
          <w:type w:val="continuous"/>
        </w:sectPr>
      </w:pPr>
    </w:p>
    <w:p>
      <w:pPr>
        <w:ind w:right="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companies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risks of claims and actions against them arising out of their service to and activities on behalf of such companies;</w:t>
      </w:r>
    </w:p>
    <w:p>
      <w:pPr>
        <w:spacing w:after="0" w:line="176"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has determined that, in order to attract and retain qualified individuals,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attempt to maintain on an ongoing basis, at its sole expense, liability insurance to protect persons serving the Company and any of its subsidiaries from certain liabilities. Although the furnishing of such insurance has been a customary and widespread practice among publicly traded companies and other business enterprises, the Company believes that, given current market conditions and trends, such insurance may be available to it in the future only at higher premiums and with more exclusions. At the same time, directors, officers and other persons in service to companies or business enterprises are being increasingly subjected to expensive and time-consuming litigation relating to, among other things, matters that traditionally would have been brought only against the Company or business enterprise itself. The amended and restated memorandum and articles of association of the Company (the “</w:t>
      </w:r>
      <w:r>
        <w:rPr>
          <w:rFonts w:ascii="Arial" w:cs="Arial" w:eastAsia="Arial" w:hAnsi="Arial"/>
          <w:sz w:val="16"/>
          <w:szCs w:val="16"/>
          <w:b w:val="1"/>
          <w:bCs w:val="1"/>
          <w:color w:val="auto"/>
        </w:rPr>
        <w:t>Articles</w:t>
      </w:r>
      <w:r>
        <w:rPr>
          <w:rFonts w:ascii="Arial" w:cs="Arial" w:eastAsia="Arial" w:hAnsi="Arial"/>
          <w:sz w:val="16"/>
          <w:szCs w:val="16"/>
          <w:color w:val="auto"/>
        </w:rPr>
        <w:t>”) provide for the indemnification of the officers and directors of the Company. Indemnitee may also be entitled to indemnification pursuant to applicable Cayman Islands law. The Articles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3"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uncertainties relating to such insurance and to indemnification have increased the difficulty of attracting and retaining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persons;</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determined that the increased difficulty in attracting and retaining such persons is detrimental to the best interests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shareholders and that the Company should act to assure such persons that there will be increased certainty of such protection in the future;</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and the Articles so that they will serve or continue to serve the Company free from undue concern that they will not be so protected against liabilities;</w:t>
      </w:r>
    </w:p>
    <w:p>
      <w:pPr>
        <w:spacing w:after="0" w:line="17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Articles and any resolutions adopted pursuant thereto,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 substitute therefor, nor to diminish or abrogate any rights of, Indemnitee thereunder; and</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take on additional service for or on behalf of the Company on the condition that Indemnitee be so indemnified.</w:t>
      </w:r>
    </w:p>
    <w:p>
      <w:pPr>
        <w:sectPr>
          <w:pgSz w:w="11900" w:h="16838" w:orient="portrait"/>
          <w:cols w:equalWidth="0" w:num="1">
            <w:col w:w="11020"/>
          </w:cols>
          <w:pgMar w:left="440" w:top="125" w:right="439" w:bottom="1440" w:gutter="0" w:footer="0" w:header="0"/>
          <w:type w:val="continuous"/>
        </w:sectPr>
      </w:pPr>
    </w:p>
    <w:bookmarkStart w:id="329" w:name="page330"/>
    <w:bookmarkEnd w:id="329"/>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premises and the covenants contained herein and subject to the provisions of the letter agreement</w:t>
      </w:r>
    </w:p>
    <w:p>
      <w:pPr>
        <w:spacing w:after="0" w:line="5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dated as of , 2021 between the Company, Indemnitee and other parties thereto, the Company and Indemnitee do hereby covenant and agree as follows:</w:t>
      </w:r>
    </w:p>
    <w:p>
      <w:pPr>
        <w:spacing w:after="0" w:line="87" w:lineRule="exact"/>
        <w:rPr>
          <w:sz w:val="20"/>
          <w:szCs w:val="20"/>
          <w:color w:val="auto"/>
        </w:rPr>
      </w:pPr>
    </w:p>
    <w:p>
      <w:pPr>
        <w:ind w:left="960" w:hanging="532"/>
        <w:spacing w:after="0"/>
        <w:tabs>
          <w:tab w:leader="none" w:pos="9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Indemnitee will serve or continue to serve as an officer, director, advisor, key employee or in any other capacity of the Company, as applicable, for so long as Indemnitee is duly elected,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as provided in </w:t>
      </w:r>
      <w:r>
        <w:rPr>
          <w:rFonts w:ascii="Arial" w:cs="Arial" w:eastAsia="Arial" w:hAnsi="Arial"/>
          <w:sz w:val="18"/>
          <w:szCs w:val="18"/>
          <w:u w:val="single" w:color="auto"/>
          <w:color w:val="auto"/>
        </w:rPr>
        <w:t>Section 17</w:t>
      </w:r>
      <w:r>
        <w:rPr>
          <w:rFonts w:ascii="Arial" w:cs="Arial" w:eastAsia="Arial" w:hAnsi="Arial"/>
          <w:sz w:val="18"/>
          <w:szCs w:val="18"/>
          <w:color w:val="auto"/>
        </w:rPr>
        <w:t>. This Agreement, however, shall not impose any obligation on Indemnitee or the Company to continue Indemnitee’s service to the Company beyond any period otherwise required by law or by other agreements or commitments of the parties, if any.</w:t>
      </w:r>
    </w:p>
    <w:p>
      <w:pPr>
        <w:spacing w:after="0" w:line="337" w:lineRule="exact"/>
        <w:rPr>
          <w:sz w:val="20"/>
          <w:szCs w:val="20"/>
          <w:color w:val="auto"/>
        </w:rPr>
      </w:pPr>
    </w:p>
    <w:p>
      <w:pPr>
        <w:ind w:left="960" w:hanging="532"/>
        <w:spacing w:after="0"/>
        <w:tabs>
          <w:tab w:leader="none" w:pos="9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w:t>
      </w:r>
    </w:p>
    <w:p>
      <w:pPr>
        <w:spacing w:after="0" w:line="127" w:lineRule="exact"/>
        <w:rPr>
          <w:sz w:val="20"/>
          <w:szCs w:val="20"/>
          <w:color w:val="auto"/>
        </w:rPr>
      </w:pPr>
    </w:p>
    <w:p>
      <w:pPr>
        <w:ind w:left="1420" w:right="20" w:hanging="431"/>
        <w:spacing w:after="0" w:line="258" w:lineRule="auto"/>
        <w:tabs>
          <w:tab w:leader="none" w:pos="1400" w:val="left"/>
        </w:tabs>
        <w:rPr>
          <w:sz w:val="20"/>
          <w:szCs w:val="20"/>
          <w:color w:val="auto"/>
        </w:rPr>
      </w:pPr>
      <w:r>
        <w:rPr>
          <w:rFonts w:ascii="Arial" w:cs="Arial" w:eastAsia="Arial" w:hAnsi="Arial"/>
          <w:sz w:val="18"/>
          <w:szCs w:val="18"/>
          <w:color w:val="auto"/>
        </w:rPr>
        <w:t>2.1</w:t>
        <w:tab/>
        <w:t>References to “</w:t>
      </w:r>
      <w:r>
        <w:rPr>
          <w:rFonts w:ascii="Arial" w:cs="Arial" w:eastAsia="Arial" w:hAnsi="Arial"/>
          <w:sz w:val="18"/>
          <w:szCs w:val="18"/>
          <w:b w:val="1"/>
          <w:b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including a person serving in such capacity as a director, officer, employee, advisor, fiduciary or other official of another company, corporation, partnership, limited liability company, joint venture, trust or other enterprise at the request of, for the convenience of, or to represent the interests of the Company or a subsidiary of the Company.</w:t>
      </w:r>
    </w:p>
    <w:p>
      <w:pPr>
        <w:spacing w:after="0" w:line="89" w:lineRule="exact"/>
        <w:rPr>
          <w:sz w:val="20"/>
          <w:szCs w:val="20"/>
          <w:color w:val="auto"/>
        </w:rPr>
      </w:pPr>
    </w:p>
    <w:p>
      <w:pPr>
        <w:ind w:left="1420" w:right="40" w:hanging="431"/>
        <w:spacing w:after="0" w:line="282" w:lineRule="auto"/>
        <w:tabs>
          <w:tab w:leader="none" w:pos="1400" w:val="left"/>
        </w:tabs>
        <w:rPr>
          <w:sz w:val="20"/>
          <w:szCs w:val="20"/>
          <w:color w:val="auto"/>
        </w:rPr>
      </w:pPr>
      <w:r>
        <w:rPr>
          <w:rFonts w:ascii="Arial" w:cs="Arial" w:eastAsia="Arial" w:hAnsi="Arial"/>
          <w:sz w:val="18"/>
          <w:szCs w:val="18"/>
          <w:color w:val="auto"/>
        </w:rPr>
        <w:t>2.2</w:t>
        <w:tab/>
        <w:t>The terms “</w:t>
      </w:r>
      <w:r>
        <w:rPr>
          <w:rFonts w:ascii="Arial" w:cs="Arial" w:eastAsia="Arial" w:hAnsi="Arial"/>
          <w:sz w:val="18"/>
          <w:szCs w:val="18"/>
          <w:b w:val="1"/>
          <w:b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67" w:lineRule="exact"/>
        <w:rPr>
          <w:sz w:val="20"/>
          <w:szCs w:val="20"/>
          <w:color w:val="auto"/>
        </w:rPr>
      </w:pPr>
    </w:p>
    <w:p>
      <w:pPr>
        <w:ind w:left="1420" w:right="100" w:hanging="431"/>
        <w:spacing w:after="0" w:line="282" w:lineRule="auto"/>
        <w:tabs>
          <w:tab w:leader="none" w:pos="1400" w:val="left"/>
        </w:tabs>
        <w:rPr>
          <w:sz w:val="20"/>
          <w:szCs w:val="20"/>
          <w:color w:val="auto"/>
        </w:rPr>
      </w:pPr>
      <w:r>
        <w:rPr>
          <w:rFonts w:ascii="Arial" w:cs="Arial" w:eastAsia="Arial" w:hAnsi="Arial"/>
          <w:sz w:val="18"/>
          <w:szCs w:val="18"/>
          <w:color w:val="auto"/>
        </w:rPr>
        <w:t>2.3</w:t>
        <w:tab/>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occur upon the earliest to occur after the date of this Agreement of any of the following events:</w:t>
      </w:r>
    </w:p>
    <w:p>
      <w:pPr>
        <w:spacing w:after="0" w:line="67" w:lineRule="exact"/>
        <w:rPr>
          <w:sz w:val="20"/>
          <w:szCs w:val="20"/>
          <w:color w:val="auto"/>
        </w:rPr>
      </w:pPr>
    </w:p>
    <w:p>
      <w:pPr>
        <w:ind w:left="1960" w:right="20" w:hanging="533"/>
        <w:spacing w:after="0" w:line="254" w:lineRule="auto"/>
        <w:tabs>
          <w:tab w:leader="none" w:pos="196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Acquisition of Shares by Third Party</w:t>
      </w:r>
      <w:r>
        <w:rPr>
          <w:rFonts w:ascii="Arial" w:cs="Arial" w:eastAsia="Arial" w:hAnsi="Arial"/>
          <w:sz w:val="18"/>
          <w:szCs w:val="18"/>
          <w:color w:val="auto"/>
        </w:rPr>
        <w:t>. Other than an affiliate of SCS Sponsor III LLC (the “</w:t>
      </w:r>
      <w:r>
        <w:rPr>
          <w:rFonts w:ascii="Arial" w:cs="Arial" w:eastAsia="Arial" w:hAnsi="Arial"/>
          <w:sz w:val="18"/>
          <w:szCs w:val="18"/>
          <w:b w:val="1"/>
          <w:bCs w:val="1"/>
          <w:color w:val="auto"/>
        </w:rPr>
        <w:t>Sponsor</w:t>
      </w:r>
      <w:r>
        <w:rPr>
          <w:rFonts w:ascii="Arial" w:cs="Arial" w:eastAsia="Arial" w:hAnsi="Arial"/>
          <w:sz w:val="18"/>
          <w:szCs w:val="18"/>
          <w:color w:val="auto"/>
        </w:rPr>
        <w:t>”), ChaChaCha DNA III,</w:t>
      </w:r>
      <w:r>
        <w:rPr>
          <w:rFonts w:ascii="Arial" w:cs="Arial" w:eastAsia="Arial" w:hAnsi="Arial"/>
          <w:sz w:val="18"/>
          <w:szCs w:val="18"/>
          <w:i w:val="1"/>
          <w:iCs w:val="1"/>
          <w:color w:val="auto"/>
        </w:rPr>
        <w:t xml:space="preserve"> </w:t>
      </w:r>
      <w:r>
        <w:rPr>
          <w:rFonts w:ascii="Arial" w:cs="Arial" w:eastAsia="Arial" w:hAnsi="Arial"/>
          <w:sz w:val="18"/>
          <w:szCs w:val="18"/>
          <w:color w:val="auto"/>
        </w:rPr>
        <w:t>LLC or SVAV Sponsor III, LLC,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or securities entitled to vote generally in the election of directors, or (2) such acquisition was approved in advance by the Continuing Directors (as defined below) and such acquisition would not constitute a Change in Control under part (c) of this definition;</w:t>
      </w:r>
    </w:p>
    <w:p>
      <w:pPr>
        <w:spacing w:after="0" w:line="101" w:lineRule="exact"/>
        <w:rPr>
          <w:rFonts w:ascii="Arial" w:cs="Arial" w:eastAsia="Arial" w:hAnsi="Arial"/>
          <w:sz w:val="18"/>
          <w:szCs w:val="18"/>
          <w:color w:val="auto"/>
        </w:rPr>
      </w:pPr>
    </w:p>
    <w:p>
      <w:pPr>
        <w:ind w:left="1960" w:right="120" w:hanging="533"/>
        <w:spacing w:after="0" w:line="257" w:lineRule="auto"/>
        <w:tabs>
          <w:tab w:leader="none" w:pos="196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Change in Board of Directors</w:t>
      </w:r>
      <w:r>
        <w:rPr>
          <w:rFonts w:ascii="Arial" w:cs="Arial" w:eastAsia="Arial" w:hAnsi="Arial"/>
          <w:sz w:val="18"/>
          <w:szCs w:val="18"/>
          <w:color w:val="auto"/>
        </w:rPr>
        <w:t>. Individuals who, as of the date hereof, constitute the Board, and any new director whose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by the Board or nomination for election by the Company’s shareholders was approved by a vote of at least two-thirds of the directors then still in office who were directors on the date hereof or whose election or nomination for election was previously so approved (collectively, the “</w:t>
      </w:r>
      <w:r>
        <w:rPr>
          <w:rFonts w:ascii="Arial" w:cs="Arial" w:eastAsia="Arial" w:hAnsi="Arial"/>
          <w:sz w:val="18"/>
          <w:szCs w:val="18"/>
          <w:b w:val="1"/>
          <w:bCs w:val="1"/>
          <w:color w:val="auto"/>
        </w:rPr>
        <w:t>Continuing Directors</w:t>
      </w:r>
      <w:r>
        <w:rPr>
          <w:rFonts w:ascii="Arial" w:cs="Arial" w:eastAsia="Arial" w:hAnsi="Arial"/>
          <w:sz w:val="18"/>
          <w:szCs w:val="18"/>
          <w:color w:val="auto"/>
        </w:rPr>
        <w:t>”), cease for any reason to constitute at least a majority of the members of the Board;</w:t>
      </w:r>
    </w:p>
    <w:p>
      <w:pPr>
        <w:spacing w:after="0" w:line="93" w:lineRule="exact"/>
        <w:rPr>
          <w:rFonts w:ascii="Arial" w:cs="Arial" w:eastAsia="Arial" w:hAnsi="Arial"/>
          <w:sz w:val="18"/>
          <w:szCs w:val="18"/>
          <w:color w:val="auto"/>
        </w:rPr>
      </w:pPr>
    </w:p>
    <w:p>
      <w:pPr>
        <w:ind w:left="1960" w:right="40" w:hanging="533"/>
        <w:spacing w:after="0" w:line="296" w:lineRule="auto"/>
        <w:tabs>
          <w:tab w:leader="none" w:pos="1960"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The effective date of a merger, share exchange, asset acquisition, share purchase, reorganization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business combination involving the Company and one or more businesses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30" w:name="page331"/>
    <w:bookmarkEnd w:id="330"/>
    <w:p>
      <w:pPr>
        <w:ind w:left="9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then outstanding securities of the Company entitled to vote generally in the election of directors resulting from such Business Combination (including, without limitation, a company or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 affiliate of the Sponsor, ChaChaCha DNA III, LLC or SVAV Sponsor III, LLC, no Person (excluding any company or corporation resulting from such Business Combination) is the Beneficial Owner, directly or indirectly, of fifteen percent (15%) or more of the combined voting power of the then outstanding securities entitled to vote generally in the election of directors of the surviving company or corporation except to the extent that such ownership existed prior to the Business Combination; and (3) at least a majority of the board of directors of the company or corporation resulting from such Business Combination were Continuing Directors at the time of the execution of the initial agreement, or of the action of the Board, providing for such Business Combination;</w:t>
      </w:r>
    </w:p>
    <w:p>
      <w:pPr>
        <w:spacing w:after="0" w:line="77" w:lineRule="exact"/>
        <w:rPr>
          <w:sz w:val="20"/>
          <w:szCs w:val="20"/>
          <w:color w:val="auto"/>
        </w:rPr>
      </w:pPr>
    </w:p>
    <w:p>
      <w:pPr>
        <w:ind w:left="980" w:right="40" w:hanging="533"/>
        <w:spacing w:after="0" w:line="301" w:lineRule="auto"/>
        <w:tabs>
          <w:tab w:leader="none" w:pos="980"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The approval by the shareholders of the Company of a complete liquidation of the Company or an agreement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series of agreements for the sale or disposition by the Company of all or substantially all of the Company’s assets, other than factoring the Company’s current receivables or escrows due (or, if such approval is not required, a decision by the Board to proceed with such a liquidation, sale, or disposition in one transaction or a series of related transactions); or</w:t>
      </w:r>
    </w:p>
    <w:p>
      <w:pPr>
        <w:spacing w:after="0" w:line="62" w:lineRule="exact"/>
        <w:rPr>
          <w:rFonts w:ascii="Arial" w:cs="Arial" w:eastAsia="Arial" w:hAnsi="Arial"/>
          <w:sz w:val="16"/>
          <w:szCs w:val="16"/>
          <w:color w:val="auto"/>
        </w:rPr>
      </w:pPr>
    </w:p>
    <w:p>
      <w:pPr>
        <w:ind w:left="980" w:right="100" w:hanging="533"/>
        <w:spacing w:after="0" w:line="286" w:lineRule="auto"/>
        <w:tabs>
          <w:tab w:leader="none" w:pos="980"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Other Events</w:t>
      </w:r>
      <w:r>
        <w:rPr>
          <w:rFonts w:ascii="Arial" w:cs="Arial" w:eastAsia="Arial" w:hAnsi="Arial"/>
          <w:sz w:val="17"/>
          <w:szCs w:val="17"/>
          <w:color w:val="auto"/>
        </w:rPr>
        <w:t>. There occurs any other event of a nature that would be required to be reported in response to Item 6(e) of</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 14A of Regulation 14A (or a response to any similar item on any similar schedule or form) promulgated under the Exchange Act, whether or not the Company is then subject to such reporting requirement.</w:t>
      </w:r>
    </w:p>
    <w:p>
      <w:pPr>
        <w:spacing w:after="0" w:line="67" w:lineRule="exact"/>
        <w:rPr>
          <w:sz w:val="20"/>
          <w:szCs w:val="20"/>
          <w:color w:val="auto"/>
        </w:rPr>
      </w:pPr>
    </w:p>
    <w:p>
      <w:pPr>
        <w:ind w:left="440" w:right="60" w:hanging="431"/>
        <w:spacing w:after="0" w:line="266" w:lineRule="auto"/>
        <w:tabs>
          <w:tab w:leader="none" w:pos="420" w:val="left"/>
        </w:tabs>
        <w:rPr>
          <w:sz w:val="20"/>
          <w:szCs w:val="20"/>
          <w:color w:val="auto"/>
        </w:rPr>
      </w:pPr>
      <w:r>
        <w:rPr>
          <w:rFonts w:ascii="Arial" w:cs="Arial" w:eastAsia="Arial" w:hAnsi="Arial"/>
          <w:sz w:val="18"/>
          <w:szCs w:val="18"/>
          <w:color w:val="auto"/>
        </w:rPr>
        <w:t>2.4</w:t>
        <w:tab/>
        <w:t>“</w:t>
      </w:r>
      <w:r>
        <w:rPr>
          <w:rFonts w:ascii="Arial" w:cs="Arial" w:eastAsia="Arial" w:hAnsi="Arial"/>
          <w:sz w:val="18"/>
          <w:szCs w:val="18"/>
          <w:b w:val="1"/>
          <w:bCs w:val="1"/>
          <w:color w:val="auto"/>
        </w:rPr>
        <w:t>Corporate Status</w:t>
      </w:r>
      <w:r>
        <w:rPr>
          <w:rFonts w:ascii="Arial" w:cs="Arial" w:eastAsia="Arial" w:hAnsi="Arial"/>
          <w:sz w:val="18"/>
          <w:szCs w:val="18"/>
          <w:color w:val="auto"/>
        </w:rPr>
        <w:t>” describes the status of a person who is or was a director, director nominee, officer, trustee, general partner, manager, managing member, fiduciary, employee or agent of the Company or of any other Enterprise (as defined below) which such person is or was serving at the request of the Company.</w:t>
      </w:r>
    </w:p>
    <w:p>
      <w:pPr>
        <w:spacing w:after="0" w:line="8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Delaware Court</w:t>
      </w:r>
      <w:r>
        <w:rPr>
          <w:rFonts w:ascii="Arial" w:cs="Arial" w:eastAsia="Arial" w:hAnsi="Arial"/>
          <w:sz w:val="16"/>
          <w:szCs w:val="16"/>
          <w:color w:val="auto"/>
        </w:rPr>
        <w:t>” shall mean the Court of Chancery of the State of Delaware.</w:t>
      </w:r>
    </w:p>
    <w:p>
      <w:pPr>
        <w:spacing w:after="0" w:line="131" w:lineRule="exact"/>
        <w:rPr>
          <w:sz w:val="20"/>
          <w:szCs w:val="20"/>
          <w:color w:val="auto"/>
        </w:rPr>
      </w:pPr>
    </w:p>
    <w:p>
      <w:pPr>
        <w:ind w:left="440" w:right="40" w:hanging="431"/>
        <w:spacing w:after="0" w:line="282" w:lineRule="auto"/>
        <w:tabs>
          <w:tab w:leader="none" w:pos="420" w:val="left"/>
        </w:tabs>
        <w:rPr>
          <w:sz w:val="20"/>
          <w:szCs w:val="20"/>
          <w:color w:val="auto"/>
        </w:rPr>
      </w:pPr>
      <w:r>
        <w:rPr>
          <w:rFonts w:ascii="Arial" w:cs="Arial" w:eastAsia="Arial" w:hAnsi="Arial"/>
          <w:sz w:val="18"/>
          <w:szCs w:val="18"/>
          <w:color w:val="auto"/>
        </w:rPr>
        <w:t>2.6</w:t>
        <w:tab/>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67" w:lineRule="exact"/>
        <w:rPr>
          <w:sz w:val="20"/>
          <w:szCs w:val="20"/>
          <w:color w:val="auto"/>
        </w:rPr>
      </w:pPr>
    </w:p>
    <w:p>
      <w:pPr>
        <w:ind w:left="440" w:right="40" w:hanging="431"/>
        <w:spacing w:after="0" w:line="258" w:lineRule="auto"/>
        <w:tabs>
          <w:tab w:leader="none" w:pos="420" w:val="left"/>
        </w:tabs>
        <w:rPr>
          <w:sz w:val="20"/>
          <w:szCs w:val="20"/>
          <w:color w:val="auto"/>
        </w:rPr>
      </w:pPr>
      <w:r>
        <w:rPr>
          <w:rFonts w:ascii="Arial" w:cs="Arial" w:eastAsia="Arial" w:hAnsi="Arial"/>
          <w:sz w:val="18"/>
          <w:szCs w:val="18"/>
          <w:color w:val="auto"/>
        </w:rPr>
        <w:t>2.7</w:t>
        <w:tab/>
        <w:t>“</w:t>
      </w:r>
      <w:r>
        <w:rPr>
          <w:rFonts w:ascii="Arial" w:cs="Arial" w:eastAsia="Arial" w:hAnsi="Arial"/>
          <w:sz w:val="18"/>
          <w:szCs w:val="18"/>
          <w:b w:val="1"/>
          <w:bCs w:val="1"/>
          <w:color w:val="auto"/>
        </w:rPr>
        <w:t>Enterprise</w:t>
      </w:r>
      <w:r>
        <w:rPr>
          <w:rFonts w:ascii="Arial" w:cs="Arial" w:eastAsia="Arial" w:hAnsi="Arial"/>
          <w:sz w:val="18"/>
          <w:szCs w:val="18"/>
          <w:color w:val="auto"/>
        </w:rPr>
        <w:t>” shall mean the Company and any other company, corporation, constituent company or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manager, managing member, fiduciary, employee or agent.</w:t>
      </w:r>
    </w:p>
    <w:p>
      <w:pPr>
        <w:spacing w:after="0" w:line="8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w:t>
      </w:r>
    </w:p>
    <w:p>
      <w:pPr>
        <w:spacing w:after="0" w:line="16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20"/>
          </w:cols>
          <w:pgMar w:left="1420" w:top="274" w:right="459" w:bottom="1440" w:gutter="0" w:footer="0" w:header="0"/>
        </w:sectPr>
      </w:pPr>
    </w:p>
    <w:bookmarkStart w:id="331" w:name="page332"/>
    <w:bookmarkEnd w:id="331"/>
    <w:p>
      <w:pPr>
        <w:ind w:left="440" w:hanging="431"/>
        <w:spacing w:after="0" w:line="26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Expenses</w:t>
      </w:r>
      <w:r>
        <w:rPr>
          <w:rFonts w:ascii="Arial" w:cs="Arial" w:eastAsia="Arial" w:hAnsi="Arial"/>
          <w:sz w:val="17"/>
          <w:szCs w:val="17"/>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Indemnitee for which Indemnitee is not otherwise compensated by the Company or any third party. Expenses also shall include any such direct and indirect costs, fees and expenses incurred in connection with any appeal resulting from any Proceeding, including, without limitation, the principal, premium, security for, and other costs relating to any cost bond, supersedeas bond, or other appeal bond or its equivalent. Notwithstanding the foregoing, the term “</w:t>
      </w:r>
      <w:r>
        <w:rPr>
          <w:rFonts w:ascii="Arial" w:cs="Arial" w:eastAsia="Arial" w:hAnsi="Arial"/>
          <w:sz w:val="17"/>
          <w:szCs w:val="17"/>
          <w:b w:val="1"/>
          <w:bCs w:val="1"/>
          <w:color w:val="auto"/>
        </w:rPr>
        <w:t>Expenses</w:t>
      </w:r>
      <w:r>
        <w:rPr>
          <w:rFonts w:ascii="Arial" w:cs="Arial" w:eastAsia="Arial" w:hAnsi="Arial"/>
          <w:sz w:val="17"/>
          <w:szCs w:val="17"/>
          <w:color w:val="auto"/>
        </w:rPr>
        <w:t>” shall not include amounts paid in settlement by Indemnitee or the amount of judgments or fines against Indemnitee.</w:t>
      </w:r>
    </w:p>
    <w:p>
      <w:pPr>
        <w:spacing w:after="0" w:line="87" w:lineRule="exact"/>
        <w:rPr>
          <w:sz w:val="20"/>
          <w:szCs w:val="20"/>
          <w:color w:val="auto"/>
        </w:rPr>
      </w:pPr>
    </w:p>
    <w:p>
      <w:pPr>
        <w:ind w:left="440" w:hanging="431"/>
        <w:spacing w:after="0" w:line="273" w:lineRule="auto"/>
        <w:rPr>
          <w:sz w:val="20"/>
          <w:szCs w:val="20"/>
          <w:color w:val="auto"/>
        </w:rPr>
      </w:pPr>
      <w:r>
        <w:rPr>
          <w:rFonts w:ascii="Arial" w:cs="Arial" w:eastAsia="Arial" w:hAnsi="Arial"/>
          <w:sz w:val="17"/>
          <w:szCs w:val="17"/>
          <w:color w:val="auto"/>
        </w:rPr>
        <w:t>2.10 “</w:t>
      </w:r>
      <w:r>
        <w:rPr>
          <w:rFonts w:ascii="Arial" w:cs="Arial" w:eastAsia="Arial" w:hAnsi="Arial"/>
          <w:sz w:val="17"/>
          <w:szCs w:val="17"/>
          <w:b w:val="1"/>
          <w:bCs w:val="1"/>
          <w:color w:val="auto"/>
        </w:rPr>
        <w:t>Independent Counsel</w:t>
      </w:r>
      <w:r>
        <w:rPr>
          <w:rFonts w:ascii="Arial" w:cs="Arial" w:eastAsia="Arial" w:hAnsi="Arial"/>
          <w:sz w:val="17"/>
          <w:szCs w:val="17"/>
          <w:color w:val="auto"/>
        </w:rPr>
        <w:t>” shall mean a law firm or a member of a law firm with significant experience in matters of corporate law that neither presently is, nor in the past five (5)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Arial" w:cs="Arial" w:eastAsia="Arial" w:hAnsi="Arial"/>
          <w:sz w:val="17"/>
          <w:szCs w:val="17"/>
          <w:b w:val="1"/>
          <w:bCs w:val="1"/>
          <w:color w:val="auto"/>
        </w:rPr>
        <w:t>Independent Counsel</w:t>
      </w:r>
      <w:r>
        <w:rPr>
          <w:rFonts w:ascii="Arial" w:cs="Arial" w:eastAsia="Arial" w:hAnsi="Arial"/>
          <w:sz w:val="17"/>
          <w:szCs w:val="17"/>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2.11  References to “</w:t>
      </w:r>
      <w:r>
        <w:rPr>
          <w:rFonts w:ascii="Arial" w:cs="Arial" w:eastAsia="Arial" w:hAnsi="Arial"/>
          <w:sz w:val="18"/>
          <w:szCs w:val="18"/>
          <w:b w:val="1"/>
          <w:bCs w:val="1"/>
          <w:color w:val="auto"/>
        </w:rPr>
        <w:t>fines</w:t>
      </w:r>
      <w:r>
        <w:rPr>
          <w:rFonts w:ascii="Arial" w:cs="Arial" w:eastAsia="Arial" w:hAnsi="Arial"/>
          <w:sz w:val="18"/>
          <w:szCs w:val="18"/>
          <w:color w:val="auto"/>
        </w:rPr>
        <w:t>” shall include any excise tax assessed on Indemnitee with respect to any employee benefit plan.</w:t>
      </w:r>
    </w:p>
    <w:p>
      <w:pPr>
        <w:spacing w:after="0" w:line="131" w:lineRule="exact"/>
        <w:rPr>
          <w:sz w:val="20"/>
          <w:szCs w:val="20"/>
          <w:color w:val="auto"/>
        </w:rPr>
      </w:pPr>
    </w:p>
    <w:p>
      <w:pPr>
        <w:ind w:left="440" w:right="20" w:hanging="431"/>
        <w:spacing w:after="0" w:line="298" w:lineRule="auto"/>
        <w:rPr>
          <w:sz w:val="20"/>
          <w:szCs w:val="20"/>
          <w:color w:val="auto"/>
        </w:rPr>
      </w:pPr>
      <w:r>
        <w:rPr>
          <w:rFonts w:ascii="Arial" w:cs="Arial" w:eastAsia="Arial" w:hAnsi="Arial"/>
          <w:sz w:val="16"/>
          <w:szCs w:val="16"/>
          <w:color w:val="auto"/>
        </w:rPr>
        <w:t>2.12 References to “</w:t>
      </w:r>
      <w:r>
        <w:rPr>
          <w:rFonts w:ascii="Arial" w:cs="Arial" w:eastAsia="Arial" w:hAnsi="Arial"/>
          <w:sz w:val="16"/>
          <w:szCs w:val="16"/>
          <w:b w:val="1"/>
          <w:bCs w:val="1"/>
          <w:color w:val="auto"/>
        </w:rPr>
        <w:t>serving at the request of the Company</w:t>
      </w:r>
      <w:r>
        <w:rPr>
          <w:rFonts w:ascii="Arial" w:cs="Arial" w:eastAsia="Arial" w:hAnsi="Arial"/>
          <w:sz w:val="16"/>
          <w:szCs w:val="16"/>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6"/>
          <w:szCs w:val="16"/>
          <w:b w:val="1"/>
          <w:bCs w:val="1"/>
          <w:color w:val="auto"/>
        </w:rPr>
        <w:t>not opposed to the best interests of the Company</w:t>
      </w:r>
      <w:r>
        <w:rPr>
          <w:rFonts w:ascii="Arial" w:cs="Arial" w:eastAsia="Arial" w:hAnsi="Arial"/>
          <w:sz w:val="16"/>
          <w:szCs w:val="16"/>
          <w:color w:val="auto"/>
        </w:rPr>
        <w:t>” as referred to in this Agreement.</w:t>
      </w:r>
    </w:p>
    <w:p>
      <w:pPr>
        <w:spacing w:after="0" w:line="59" w:lineRule="exact"/>
        <w:rPr>
          <w:sz w:val="20"/>
          <w:szCs w:val="20"/>
          <w:color w:val="auto"/>
        </w:rPr>
      </w:pPr>
    </w:p>
    <w:p>
      <w:pPr>
        <w:ind w:left="440" w:right="160" w:hanging="431"/>
        <w:spacing w:after="0" w:line="293" w:lineRule="auto"/>
        <w:rPr>
          <w:sz w:val="20"/>
          <w:szCs w:val="20"/>
          <w:color w:val="auto"/>
        </w:rPr>
      </w:pPr>
      <w:r>
        <w:rPr>
          <w:rFonts w:ascii="Arial" w:cs="Arial" w:eastAsia="Arial" w:hAnsi="Arial"/>
          <w:sz w:val="16"/>
          <w:szCs w:val="16"/>
          <w:color w:val="auto"/>
        </w:rPr>
        <w:t>2.13 The term “</w:t>
      </w:r>
      <w:r>
        <w:rPr>
          <w:rFonts w:ascii="Arial" w:cs="Arial" w:eastAsia="Arial" w:hAnsi="Arial"/>
          <w:sz w:val="16"/>
          <w:szCs w:val="16"/>
          <w:b w:val="1"/>
          <w:b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w:t>
      </w:r>
      <w:r>
        <w:rPr>
          <w:rFonts w:ascii="Arial" w:cs="Arial" w:eastAsia="Arial" w:hAnsi="Arial"/>
          <w:sz w:val="16"/>
          <w:szCs w:val="16"/>
          <w:b w:val="1"/>
          <w:bCs w:val="1"/>
          <w:color w:val="auto"/>
        </w:rPr>
        <w:t>Person</w:t>
      </w:r>
      <w:r>
        <w:rPr>
          <w:rFonts w:ascii="Arial" w:cs="Arial" w:eastAsia="Arial" w:hAnsi="Arial"/>
          <w:sz w:val="16"/>
          <w:szCs w:val="16"/>
          <w:color w:val="auto"/>
        </w:rPr>
        <w:t>” shall exclude: (i) the Company; (ii) any Subsidiaries (as defined below) of the Company;</w:t>
      </w:r>
    </w:p>
    <w:p>
      <w:pPr>
        <w:spacing w:after="0" w:line="1" w:lineRule="exact"/>
        <w:rPr>
          <w:sz w:val="20"/>
          <w:szCs w:val="20"/>
          <w:color w:val="auto"/>
        </w:rPr>
      </w:pPr>
    </w:p>
    <w:p>
      <w:pPr>
        <w:ind w:left="440" w:right="220" w:hanging="7"/>
        <w:spacing w:after="0" w:line="271" w:lineRule="auto"/>
        <w:tabs>
          <w:tab w:leader="none" w:pos="75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any employment benefit plan of the Company or of a Subsidiary of the Company or of any company or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of the Company or of a company or corporation owned directly or indirectly by the shareholders of the Company in substantially the same proportions as their ownership of shares of the Company.</w:t>
      </w:r>
    </w:p>
    <w:p>
      <w:pPr>
        <w:spacing w:after="0" w:line="80" w:lineRule="exact"/>
        <w:rPr>
          <w:sz w:val="20"/>
          <w:szCs w:val="20"/>
          <w:color w:val="auto"/>
        </w:rPr>
      </w:pPr>
    </w:p>
    <w:p>
      <w:pPr>
        <w:ind w:left="440" w:right="100" w:hanging="431"/>
        <w:spacing w:after="0" w:line="277" w:lineRule="auto"/>
        <w:rPr>
          <w:sz w:val="20"/>
          <w:szCs w:val="20"/>
          <w:color w:val="auto"/>
        </w:rPr>
      </w:pPr>
      <w:r>
        <w:rPr>
          <w:rFonts w:ascii="Arial" w:cs="Arial" w:eastAsia="Arial" w:hAnsi="Arial"/>
          <w:sz w:val="17"/>
          <w:szCs w:val="17"/>
          <w:color w:val="auto"/>
        </w:rPr>
        <w:t>2.14 The term “</w:t>
      </w:r>
      <w:r>
        <w:rPr>
          <w:rFonts w:ascii="Arial" w:cs="Arial" w:eastAsia="Arial" w:hAnsi="Arial"/>
          <w:sz w:val="17"/>
          <w:szCs w:val="17"/>
          <w:b w:val="1"/>
          <w:b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w:t>
      </w:r>
    </w:p>
    <w:p>
      <w:pPr>
        <w:spacing w:after="0" w:line="1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20"/>
          </w:cols>
          <w:pgMar w:left="1420" w:top="270" w:right="459" w:bottom="1440" w:gutter="0" w:footer="0" w:header="0"/>
        </w:sectPr>
      </w:pPr>
    </w:p>
    <w:bookmarkStart w:id="332" w:name="page333"/>
    <w:bookmarkEnd w:id="332"/>
    <w:p>
      <w:pPr>
        <w:ind w:left="14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by reason of any action (or failure to act) taken by Indemnitee or of any action (or failure to act) on Indemnitee’s part while acting as a director, director nominee or officer of the Company, or by reason of the fact that Indemnitee is or was serving at the request of the Company as a director, director nominee 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63" w:lineRule="exact"/>
        <w:rPr>
          <w:sz w:val="20"/>
          <w:szCs w:val="20"/>
          <w:color w:val="auto"/>
        </w:rPr>
      </w:pPr>
    </w:p>
    <w:p>
      <w:pPr>
        <w:ind w:left="1420" w:right="100" w:hanging="431"/>
        <w:spacing w:after="0" w:line="266" w:lineRule="auto"/>
        <w:rPr>
          <w:sz w:val="20"/>
          <w:szCs w:val="20"/>
          <w:color w:val="auto"/>
        </w:rPr>
      </w:pPr>
      <w:r>
        <w:rPr>
          <w:rFonts w:ascii="Arial" w:cs="Arial" w:eastAsia="Arial" w:hAnsi="Arial"/>
          <w:sz w:val="18"/>
          <w:szCs w:val="18"/>
          <w:color w:val="auto"/>
        </w:rPr>
        <w:t>2.15 The term “</w:t>
      </w:r>
      <w:r>
        <w:rPr>
          <w:rFonts w:ascii="Arial" w:cs="Arial" w:eastAsia="Arial" w:hAnsi="Arial"/>
          <w:sz w:val="18"/>
          <w:szCs w:val="18"/>
          <w:b w:val="1"/>
          <w:bCs w:val="1"/>
          <w:color w:val="auto"/>
        </w:rPr>
        <w:t>Subsidiary,</w:t>
      </w:r>
      <w:r>
        <w:rPr>
          <w:rFonts w:ascii="Arial" w:cs="Arial" w:eastAsia="Arial" w:hAnsi="Arial"/>
          <w:sz w:val="18"/>
          <w:szCs w:val="18"/>
          <w:color w:val="auto"/>
        </w:rPr>
        <w:t>” with respect to any Person, shall mean any company, corporation, limited liability company, partnership, joint venture, trust or other entity of which a majority of the voting power of the voting equity securities or equity interest is owned, directly or indirectly, by that Person.</w:t>
      </w:r>
    </w:p>
    <w:p>
      <w:pPr>
        <w:spacing w:after="0" w:line="324" w:lineRule="exact"/>
        <w:rPr>
          <w:sz w:val="20"/>
          <w:szCs w:val="20"/>
          <w:color w:val="auto"/>
        </w:rPr>
      </w:pPr>
    </w:p>
    <w:p>
      <w:pPr>
        <w:ind w:left="960" w:hanging="532"/>
        <w:spacing w:after="0"/>
        <w:tabs>
          <w:tab w:leader="none" w:pos="9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IN THIRD-PARTY PROCEEDINGS</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To the fullest extent permitted by applicable law and the Articles, the Company shall indemnify, hold 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325" w:lineRule="exact"/>
        <w:rPr>
          <w:sz w:val="20"/>
          <w:szCs w:val="20"/>
          <w:color w:val="auto"/>
        </w:rPr>
      </w:pPr>
    </w:p>
    <w:p>
      <w:pPr>
        <w:ind w:left="960" w:hanging="532"/>
        <w:spacing w:after="0"/>
        <w:tabs>
          <w:tab w:leader="none" w:pos="9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IN PROCEEDINGS BY OR IN THE RIGHT OF THE COMPANY</w:t>
      </w:r>
    </w:p>
    <w:p>
      <w:pPr>
        <w:spacing w:after="0" w:line="121"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 xml:space="preserve">To the fullest extent permitted by applicable law and the Articles, the 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13" w:lineRule="exact"/>
        <w:rPr>
          <w:sz w:val="20"/>
          <w:szCs w:val="20"/>
          <w:color w:val="auto"/>
        </w:rPr>
      </w:pPr>
    </w:p>
    <w:p>
      <w:pPr>
        <w:ind w:left="960" w:hanging="532"/>
        <w:spacing w:after="0"/>
        <w:tabs>
          <w:tab w:leader="none" w:pos="9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PARTY WHO IS WHOLLY OR PARTLY SUCCESSFUL</w:t>
      </w:r>
    </w:p>
    <w:p>
      <w:pPr>
        <w:spacing w:after="0" w:line="12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Notwithstanding any other provisions of this Agreement, but subject to </w:t>
      </w:r>
      <w:r>
        <w:rPr>
          <w:rFonts w:ascii="Arial" w:cs="Arial" w:eastAsia="Arial" w:hAnsi="Arial"/>
          <w:sz w:val="16"/>
          <w:szCs w:val="16"/>
          <w:u w:val="single" w:color="auto"/>
          <w:color w:val="auto"/>
        </w:rPr>
        <w:t>Section 27</w:t>
      </w:r>
      <w:r>
        <w:rPr>
          <w:rFonts w:ascii="Arial" w:cs="Arial" w:eastAsia="Arial" w:hAnsi="Arial"/>
          <w:sz w:val="16"/>
          <w:szCs w:val="16"/>
          <w:color w:val="auto"/>
        </w:rPr>
        <w:t>,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Indemnitee or on Indemnitee’s behalf in connection with each successfully resolved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33" w:name="page334"/>
    <w:bookmarkEnd w:id="333"/>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332" w:lineRule="exact"/>
        <w:rPr>
          <w:sz w:val="20"/>
          <w:szCs w:val="20"/>
          <w:color w:val="auto"/>
        </w:rPr>
      </w:pPr>
    </w:p>
    <w:p>
      <w:pPr>
        <w:ind w:left="960" w:hanging="532"/>
        <w:spacing w:after="0"/>
        <w:tabs>
          <w:tab w:leader="none" w:pos="9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Notwithstanding any other provision of this Agreement, but 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to the extent that Indemnitee is, by reason of Indemnitee’s Corporate Status, a witness or deponent in any Proceeding to which Indemnitee is not a party or threatened to be made a party, Indemnitee shall, to the fullest extent permitted by applicable law and the Articles, be indemnified, held harmless and exonerated against all Expenses actually and reasonably incurred by Indemnitee or on Indemnitee’s behalf in connection therewith.</w:t>
      </w:r>
    </w:p>
    <w:p>
      <w:pPr>
        <w:spacing w:after="0" w:line="331" w:lineRule="exact"/>
        <w:rPr>
          <w:sz w:val="20"/>
          <w:szCs w:val="20"/>
          <w:color w:val="auto"/>
        </w:rPr>
      </w:pPr>
    </w:p>
    <w:p>
      <w:pPr>
        <w:ind w:left="960" w:hanging="532"/>
        <w:spacing w:after="0"/>
        <w:tabs>
          <w:tab w:leader="none" w:pos="9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p>
    <w:p>
      <w:pPr>
        <w:spacing w:after="0" w:line="134" w:lineRule="exact"/>
        <w:rPr>
          <w:rFonts w:ascii="Arial" w:cs="Arial" w:eastAsia="Arial" w:hAnsi="Arial"/>
          <w:sz w:val="18"/>
          <w:szCs w:val="18"/>
          <w:b w:val="1"/>
          <w:bCs w:val="1"/>
          <w:color w:val="auto"/>
        </w:rPr>
      </w:pPr>
    </w:p>
    <w:p>
      <w:pPr>
        <w:ind w:left="1420" w:hanging="43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 xml:space="preserve">7.1 Notwithstanding any limitation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w:t>
      </w:r>
      <w:r>
        <w:rPr>
          <w:rFonts w:ascii="Arial" w:cs="Arial" w:eastAsia="Arial" w:hAnsi="Arial"/>
          <w:sz w:val="17"/>
          <w:szCs w:val="17"/>
          <w:color w:val="auto"/>
        </w:rPr>
        <w:t xml:space="preserve">, but subject to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on account of Indemnitee’s conduct which constitutes a breach of Indemnitee’s duties to the Company or its shareholders or is an act or omission not in good faith or which involves intentional misconduct or a knowing violation of applicable law.</w:t>
      </w:r>
    </w:p>
    <w:p>
      <w:pPr>
        <w:spacing w:after="0" w:line="86" w:lineRule="exact"/>
        <w:rPr>
          <w:rFonts w:ascii="Arial" w:cs="Arial" w:eastAsia="Arial" w:hAnsi="Arial"/>
          <w:sz w:val="18"/>
          <w:szCs w:val="18"/>
          <w:b w:val="1"/>
          <w:bCs w:val="1"/>
          <w:color w:val="auto"/>
        </w:rPr>
      </w:pPr>
    </w:p>
    <w:p>
      <w:pPr>
        <w:ind w:left="1420" w:hanging="43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7.2 Notwithstanding any limitation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7.1</w:t>
      </w:r>
      <w:r>
        <w:rPr>
          <w:rFonts w:ascii="Arial" w:cs="Arial" w:eastAsia="Arial" w:hAnsi="Arial"/>
          <w:sz w:val="17"/>
          <w:szCs w:val="17"/>
          <w:color w:val="auto"/>
        </w:rPr>
        <w:t xml:space="preserve">, but subject to </w:t>
      </w:r>
      <w:r>
        <w:rPr>
          <w:rFonts w:ascii="Arial" w:cs="Arial" w:eastAsia="Arial" w:hAnsi="Arial"/>
          <w:sz w:val="17"/>
          <w:szCs w:val="17"/>
          <w:u w:val="single" w:color="auto"/>
          <w:color w:val="auto"/>
        </w:rPr>
        <w:t>Section 27</w:t>
      </w:r>
      <w:r>
        <w:rPr>
          <w:rFonts w:ascii="Arial" w:cs="Arial" w:eastAsia="Arial" w:hAnsi="Arial"/>
          <w:sz w:val="17"/>
          <w:szCs w:val="17"/>
          <w:color w:val="auto"/>
        </w:rPr>
        <w:t>,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322" w:lineRule="exact"/>
        <w:rPr>
          <w:rFonts w:ascii="Arial" w:cs="Arial" w:eastAsia="Arial" w:hAnsi="Arial"/>
          <w:sz w:val="18"/>
          <w:szCs w:val="18"/>
          <w:b w:val="1"/>
          <w:bCs w:val="1"/>
          <w:color w:val="auto"/>
        </w:rPr>
      </w:pPr>
    </w:p>
    <w:p>
      <w:pPr>
        <w:ind w:left="960" w:hanging="532"/>
        <w:spacing w:after="0"/>
        <w:tabs>
          <w:tab w:leader="none" w:pos="9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p>
    <w:p>
      <w:pPr>
        <w:spacing w:after="0" w:line="134" w:lineRule="exact"/>
        <w:rPr>
          <w:rFonts w:ascii="Arial" w:cs="Arial" w:eastAsia="Arial" w:hAnsi="Arial"/>
          <w:sz w:val="18"/>
          <w:szCs w:val="18"/>
          <w:b w:val="1"/>
          <w:bCs w:val="1"/>
          <w:color w:val="auto"/>
        </w:rPr>
      </w:pPr>
    </w:p>
    <w:p>
      <w:pPr>
        <w:ind w:left="1420" w:right="120" w:hanging="43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8.1 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83" w:lineRule="exact"/>
        <w:rPr>
          <w:rFonts w:ascii="Arial" w:cs="Arial" w:eastAsia="Arial" w:hAnsi="Arial"/>
          <w:sz w:val="18"/>
          <w:szCs w:val="18"/>
          <w:b w:val="1"/>
          <w:bCs w:val="1"/>
          <w:color w:val="auto"/>
        </w:rPr>
      </w:pPr>
    </w:p>
    <w:p>
      <w:pPr>
        <w:ind w:left="1420" w:right="440" w:hanging="4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8.2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34" w:name="page335"/>
    <w:bookmarkEnd w:id="334"/>
    <w:p>
      <w:pPr>
        <w:ind w:left="1420" w:right="280" w:hanging="431"/>
        <w:spacing w:after="0" w:line="263" w:lineRule="auto"/>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w:t>
        <w:tab/>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328" w:lineRule="exact"/>
        <w:rPr>
          <w:sz w:val="20"/>
          <w:szCs w:val="20"/>
          <w:color w:val="auto"/>
        </w:rPr>
      </w:pPr>
    </w:p>
    <w:p>
      <w:pPr>
        <w:ind w:left="960" w:hanging="532"/>
        <w:spacing w:after="0"/>
        <w:tabs>
          <w:tab w:leader="none" w:pos="9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p>
    <w:p>
      <w:pPr>
        <w:spacing w:after="0" w:line="12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Company shall not be obligated under this Agreement to make any indemnification, advance Expenses, hold harmless or exoneration payment in connection with any claim made against Indemnitee:</w:t>
      </w:r>
    </w:p>
    <w:p>
      <w:pPr>
        <w:spacing w:after="0" w:line="76" w:lineRule="exact"/>
        <w:rPr>
          <w:sz w:val="20"/>
          <w:szCs w:val="20"/>
          <w:color w:val="auto"/>
        </w:rPr>
      </w:pPr>
    </w:p>
    <w:p>
      <w:pPr>
        <w:ind w:left="1960" w:right="60" w:hanging="533"/>
        <w:spacing w:after="0" w:line="259" w:lineRule="auto"/>
        <w:tabs>
          <w:tab w:leader="none" w:pos="19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and which payment has not subsequently been returned, except with respect to any excess beyond the amount actually received under any insurance policy, contract, agreement, other indemnity or advancement provision or otherwise;</w:t>
      </w:r>
    </w:p>
    <w:p>
      <w:pPr>
        <w:spacing w:after="0" w:line="92"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89" w:lineRule="exact"/>
        <w:rPr>
          <w:rFonts w:ascii="Arial" w:cs="Arial" w:eastAsia="Arial" w:hAnsi="Arial"/>
          <w:sz w:val="18"/>
          <w:szCs w:val="18"/>
          <w:color w:val="auto"/>
        </w:rPr>
      </w:pPr>
    </w:p>
    <w:p>
      <w:pPr>
        <w:ind w:left="1960" w:right="80" w:hanging="533"/>
        <w:spacing w:after="0" w:line="296" w:lineRule="auto"/>
        <w:tabs>
          <w:tab w:leader="none" w:pos="196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prior to a Change in Control, other than as provided in </w:t>
      </w:r>
      <w:r>
        <w:rPr>
          <w:rFonts w:ascii="Arial" w:cs="Arial" w:eastAsia="Arial" w:hAnsi="Arial"/>
          <w:sz w:val="16"/>
          <w:szCs w:val="16"/>
          <w:u w:val="single" w:color="auto"/>
          <w:color w:val="auto"/>
        </w:rPr>
        <w:t>Sections 14.5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14.6</w:t>
      </w:r>
      <w:r>
        <w:rPr>
          <w:rFonts w:ascii="Arial" w:cs="Arial" w:eastAsia="Arial" w:hAnsi="Arial"/>
          <w:sz w:val="16"/>
          <w:szCs w:val="16"/>
          <w:color w:val="auto"/>
        </w:rPr>
        <w:t xml:space="preserve"> hereof,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305" w:lineRule="exact"/>
        <w:rPr>
          <w:rFonts w:ascii="Arial" w:cs="Arial" w:eastAsia="Arial" w:hAnsi="Arial"/>
          <w:sz w:val="16"/>
          <w:szCs w:val="16"/>
          <w:color w:val="auto"/>
        </w:rPr>
      </w:pPr>
    </w:p>
    <w:p>
      <w:pPr>
        <w:ind w:left="960" w:hanging="532"/>
        <w:spacing w:after="0"/>
        <w:tabs>
          <w:tab w:leader="none" w:pos="9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ADVANCES OF EXPENSES; DEFENSE OF CLAIM</w:t>
      </w:r>
    </w:p>
    <w:p>
      <w:pPr>
        <w:spacing w:after="0" w:line="134" w:lineRule="exact"/>
        <w:rPr>
          <w:rFonts w:ascii="Arial" w:cs="Arial" w:eastAsia="Arial" w:hAnsi="Arial"/>
          <w:sz w:val="18"/>
          <w:szCs w:val="18"/>
          <w:b w:val="1"/>
          <w:bCs w:val="1"/>
          <w:color w:val="auto"/>
        </w:rPr>
      </w:pPr>
    </w:p>
    <w:p>
      <w:pPr>
        <w:ind w:left="1420" w:hanging="432"/>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10.1 Notwithstanding any provision of this Agreement to the contrary, but subject to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and to the fullest extent not prohibited by applicable law or the Articles,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 to the extent that it is ultimately determined that Indemnitee is not entitled to be indemnified by the Company under the provisions of this Agreement, the Articles, applicable law or otherwise.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shall not apply to any claim made by Indemnitee for which an indemnification, hold harmless or exoneration payment is excluded pursuant to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335" w:name="page336"/>
    <w:bookmarkEnd w:id="335"/>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10.2 The Company will be entitled to participate in any Proceeding at its own expense.</w:t>
      </w:r>
    </w:p>
    <w:p>
      <w:pPr>
        <w:spacing w:after="0" w:line="131" w:lineRule="exact"/>
        <w:rPr>
          <w:sz w:val="20"/>
          <w:szCs w:val="20"/>
          <w:color w:val="auto"/>
        </w:rPr>
      </w:pPr>
    </w:p>
    <w:p>
      <w:pPr>
        <w:ind w:left="1000" w:right="320" w:hanging="431"/>
        <w:spacing w:after="0" w:line="277" w:lineRule="auto"/>
        <w:rPr>
          <w:sz w:val="20"/>
          <w:szCs w:val="20"/>
          <w:color w:val="auto"/>
        </w:rPr>
      </w:pPr>
      <w:r>
        <w:rPr>
          <w:rFonts w:ascii="Arial" w:cs="Arial" w:eastAsia="Arial" w:hAnsi="Arial"/>
          <w:sz w:val="18"/>
          <w:szCs w:val="18"/>
          <w:color w:val="auto"/>
        </w:rPr>
        <w:t>10.3 The Company shall not settle any action, claim or Proceeding (in whole or in part) which would impose any Expense, judgment, fine, penalty or limitation on Indemnitee without Indemnitee’s prior written consent.</w:t>
      </w:r>
    </w:p>
    <w:p>
      <w:pPr>
        <w:spacing w:after="0" w:line="315" w:lineRule="exact"/>
        <w:rPr>
          <w:sz w:val="20"/>
          <w:szCs w:val="20"/>
          <w:color w:val="auto"/>
        </w:rPr>
      </w:pPr>
    </w:p>
    <w:p>
      <w:pPr>
        <w:ind w:left="540" w:hanging="532"/>
        <w:spacing w:after="0"/>
        <w:tabs>
          <w:tab w:leader="none" w:pos="54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p>
    <w:p>
      <w:pPr>
        <w:spacing w:after="0" w:line="134" w:lineRule="exact"/>
        <w:rPr>
          <w:rFonts w:ascii="Arial" w:cs="Arial" w:eastAsia="Arial" w:hAnsi="Arial"/>
          <w:sz w:val="18"/>
          <w:szCs w:val="18"/>
          <w:b w:val="1"/>
          <w:bCs w:val="1"/>
          <w:color w:val="auto"/>
        </w:rPr>
      </w:pPr>
    </w:p>
    <w:p>
      <w:pPr>
        <w:ind w:left="1000" w:right="60" w:hanging="432"/>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11.1 Indemnitee agrees to notify promptly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62" w:lineRule="exact"/>
        <w:rPr>
          <w:rFonts w:ascii="Arial" w:cs="Arial" w:eastAsia="Arial" w:hAnsi="Arial"/>
          <w:sz w:val="18"/>
          <w:szCs w:val="18"/>
          <w:b w:val="1"/>
          <w:bCs w:val="1"/>
          <w:color w:val="auto"/>
        </w:rPr>
      </w:pPr>
    </w:p>
    <w:p>
      <w:pPr>
        <w:ind w:left="1000" w:hanging="43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11.2 Indemnitee may deliver to the Company a written application to indemnify, hold harmless or exonerate Indemnitee in accordance with this Agreement. Such application(s) may be delivered from time to time and at such time(s) as Indemnitee deems appropriate in Indemnitee’s sole discretion. Following such a written application for indemnification by Indemnitee, Indemnitee’s entitlement to indemnification shall be determined according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of this Agreement.</w:t>
      </w:r>
    </w:p>
    <w:p>
      <w:pPr>
        <w:spacing w:after="0" w:line="315" w:lineRule="exact"/>
        <w:rPr>
          <w:rFonts w:ascii="Arial" w:cs="Arial" w:eastAsia="Arial" w:hAnsi="Arial"/>
          <w:sz w:val="18"/>
          <w:szCs w:val="18"/>
          <w:b w:val="1"/>
          <w:bCs w:val="1"/>
          <w:color w:val="auto"/>
        </w:rPr>
      </w:pPr>
    </w:p>
    <w:p>
      <w:pPr>
        <w:ind w:left="540" w:hanging="532"/>
        <w:spacing w:after="0"/>
        <w:tabs>
          <w:tab w:leader="none" w:pos="54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p>
    <w:p>
      <w:pPr>
        <w:spacing w:after="0" w:line="134" w:lineRule="exact"/>
        <w:rPr>
          <w:rFonts w:ascii="Arial" w:cs="Arial" w:eastAsia="Arial" w:hAnsi="Arial"/>
          <w:sz w:val="18"/>
          <w:szCs w:val="18"/>
          <w:b w:val="1"/>
          <w:bCs w:val="1"/>
          <w:color w:val="auto"/>
        </w:rPr>
      </w:pPr>
    </w:p>
    <w:p>
      <w:pPr>
        <w:ind w:left="1000" w:right="80" w:hanging="432"/>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12.1 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Independent Counsel in a written opinion to the Board, a copy of which shall be delivered to Indemnitee; or (iii) by vote of the shareholders by ordinary resolution.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89" w:lineRule="exact"/>
        <w:rPr>
          <w:rFonts w:ascii="Arial" w:cs="Arial" w:eastAsia="Arial" w:hAnsi="Arial"/>
          <w:sz w:val="18"/>
          <w:szCs w:val="18"/>
          <w:b w:val="1"/>
          <w:bCs w:val="1"/>
          <w:color w:val="auto"/>
        </w:rPr>
      </w:pPr>
    </w:p>
    <w:p>
      <w:pPr>
        <w:ind w:left="1000" w:right="120" w:hanging="43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12.2 In the event the determination of entitlement to indemnification is to be made by Independent Counsel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the Independent Counsel shall be selected as provided in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Agreement. In</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60" w:top="274" w:right="479" w:bottom="1440" w:gutter="0" w:footer="0" w:header="0"/>
        </w:sectPr>
      </w:pPr>
    </w:p>
    <w:bookmarkStart w:id="336" w:name="page337"/>
    <w:bookmarkEnd w:id="336"/>
    <w:p>
      <w:pPr>
        <w:ind w:left="100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either event, Indemnitee or the Company, as the case may be, may, within ten (10) days after such written notice of selection shall have been received, deliver to the Company or to Indemnitee, as the case may be, a written objection to such selection;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objection may be asserted only on the ground that the Independent Counsel so selected does not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requirements of “Independent Counsel” as defined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Upon the due commencement of any judicial proceeding or arbitration pursuant to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of this Agreement, Independent Counsel shall be discharged and relieved of any further responsibility in such capacity (subject to the applicable standards of professional conduct then prevailing).</w:t>
      </w:r>
    </w:p>
    <w:p>
      <w:pPr>
        <w:spacing w:after="0" w:line="87" w:lineRule="exact"/>
        <w:rPr>
          <w:sz w:val="20"/>
          <w:szCs w:val="20"/>
          <w:color w:val="auto"/>
        </w:rPr>
      </w:pPr>
    </w:p>
    <w:p>
      <w:pPr>
        <w:ind w:left="1000" w:hanging="431"/>
        <w:spacing w:after="0" w:line="263" w:lineRule="auto"/>
        <w:rPr>
          <w:sz w:val="20"/>
          <w:szCs w:val="20"/>
          <w:color w:val="auto"/>
        </w:rPr>
      </w:pPr>
      <w:r>
        <w:rPr>
          <w:rFonts w:ascii="Arial" w:cs="Arial" w:eastAsia="Arial" w:hAnsi="Arial"/>
          <w:sz w:val="18"/>
          <w:szCs w:val="18"/>
          <w:color w:val="auto"/>
        </w:rPr>
        <w:t>12.3 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328" w:lineRule="exact"/>
        <w:rPr>
          <w:sz w:val="20"/>
          <w:szCs w:val="20"/>
          <w:color w:val="auto"/>
        </w:rPr>
      </w:pPr>
    </w:p>
    <w:p>
      <w:pPr>
        <w:ind w:left="540" w:hanging="532"/>
        <w:spacing w:after="0"/>
        <w:tabs>
          <w:tab w:leader="none" w:pos="5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p>
    <w:p>
      <w:pPr>
        <w:spacing w:after="0" w:line="134" w:lineRule="exact"/>
        <w:rPr>
          <w:rFonts w:ascii="Arial" w:cs="Arial" w:eastAsia="Arial" w:hAnsi="Arial"/>
          <w:sz w:val="18"/>
          <w:szCs w:val="18"/>
          <w:b w:val="1"/>
          <w:bCs w:val="1"/>
          <w:color w:val="auto"/>
        </w:rPr>
      </w:pPr>
    </w:p>
    <w:p>
      <w:pPr>
        <w:ind w:left="1000" w:right="180" w:hanging="43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13.1 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71" w:lineRule="exact"/>
        <w:rPr>
          <w:rFonts w:ascii="Arial" w:cs="Arial" w:eastAsia="Arial" w:hAnsi="Arial"/>
          <w:sz w:val="18"/>
          <w:szCs w:val="18"/>
          <w:b w:val="1"/>
          <w:bCs w:val="1"/>
          <w:color w:val="auto"/>
        </w:rPr>
      </w:pPr>
    </w:p>
    <w:p>
      <w:pPr>
        <w:ind w:left="1000" w:right="40" w:hanging="43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13.2 If the person, persons or entity empowered or selected under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to the fullest extent permitted by applicable law and the Articles,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60" w:top="274" w:right="459" w:bottom="1440" w:gutter="0" w:footer="0" w:header="0"/>
        </w:sectPr>
      </w:pPr>
    </w:p>
    <w:bookmarkStart w:id="337" w:name="page338"/>
    <w:bookmarkEnd w:id="337"/>
    <w:p>
      <w:pPr>
        <w:ind w:left="1000" w:right="160" w:hanging="43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13.3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67" w:lineRule="exact"/>
        <w:rPr>
          <w:sz w:val="20"/>
          <w:szCs w:val="20"/>
          <w:color w:val="auto"/>
        </w:rPr>
      </w:pPr>
    </w:p>
    <w:p>
      <w:pPr>
        <w:ind w:left="1000" w:right="60" w:hanging="431"/>
        <w:spacing w:after="0" w:line="253" w:lineRule="auto"/>
        <w:rPr>
          <w:sz w:val="20"/>
          <w:szCs w:val="20"/>
          <w:color w:val="auto"/>
        </w:rPr>
      </w:pPr>
      <w:r>
        <w:rPr>
          <w:rFonts w:ascii="Arial" w:cs="Arial" w:eastAsia="Arial" w:hAnsi="Arial"/>
          <w:sz w:val="18"/>
          <w:szCs w:val="18"/>
          <w:color w:val="auto"/>
        </w:rPr>
        <w:t xml:space="preserve">13.4 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managers, managing members,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100" w:lineRule="exact"/>
        <w:rPr>
          <w:sz w:val="20"/>
          <w:szCs w:val="20"/>
          <w:color w:val="auto"/>
        </w:rPr>
      </w:pPr>
    </w:p>
    <w:p>
      <w:pPr>
        <w:ind w:left="1000" w:right="100" w:hanging="431"/>
        <w:spacing w:after="0" w:line="263" w:lineRule="auto"/>
        <w:rPr>
          <w:sz w:val="20"/>
          <w:szCs w:val="20"/>
          <w:color w:val="auto"/>
        </w:rPr>
      </w:pPr>
      <w:r>
        <w:rPr>
          <w:rFonts w:ascii="Arial" w:cs="Arial" w:eastAsia="Arial" w:hAnsi="Arial"/>
          <w:sz w:val="18"/>
          <w:szCs w:val="18"/>
          <w:color w:val="auto"/>
        </w:rPr>
        <w:t>13.5 The knowledge and/or action,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328" w:lineRule="exact"/>
        <w:rPr>
          <w:sz w:val="20"/>
          <w:szCs w:val="20"/>
          <w:color w:val="auto"/>
        </w:rPr>
      </w:pPr>
    </w:p>
    <w:p>
      <w:pPr>
        <w:ind w:left="540" w:hanging="532"/>
        <w:spacing w:after="0"/>
        <w:tabs>
          <w:tab w:leader="none" w:pos="54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p>
    <w:p>
      <w:pPr>
        <w:spacing w:after="0" w:line="134" w:lineRule="exact"/>
        <w:rPr>
          <w:rFonts w:ascii="Arial" w:cs="Arial" w:eastAsia="Arial" w:hAnsi="Arial"/>
          <w:sz w:val="18"/>
          <w:szCs w:val="18"/>
          <w:b w:val="1"/>
          <w:bCs w:val="1"/>
          <w:color w:val="auto"/>
        </w:rPr>
      </w:pPr>
    </w:p>
    <w:p>
      <w:pPr>
        <w:ind w:left="1000" w:hanging="432"/>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xml:space="preserve">14.1 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and the Articles,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in accordance with this Agreement within ten (10) days after a determination has been made that Indemnitee is entitled to indemnification, or (vii) payment to Indemnitee pursuant to any hold harmless or exoneration rights under this Agreement or otherwise is not made within ten (10) days after receipt by the Company of a written request therefor,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60" w:top="274" w:right="479" w:bottom="1440" w:gutter="0" w:footer="0" w:header="0"/>
        </w:sectPr>
      </w:pPr>
    </w:p>
    <w:bookmarkStart w:id="338" w:name="page339"/>
    <w:bookmarkEnd w:id="338"/>
    <w:p>
      <w:pPr>
        <w:ind w:left="420" w:right="40" w:hanging="43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14.2 In the event that a determination shall have been made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of this Agreement that Indemnitee is not entitled to indemnification,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shall be conducted in all respects as a de novo trial, or arbitration, on the merits and Indemnitee shall not be prejudiced by reason of that adverse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exonerated and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until a final determination is made with respect to Indemnitee’s entitlement to indemnification (as to which all rights of appeal have been exhausted or lapsed).</w:t>
      </w:r>
    </w:p>
    <w:p>
      <w:pPr>
        <w:spacing w:after="0" w:line="87" w:lineRule="exact"/>
        <w:rPr>
          <w:sz w:val="20"/>
          <w:szCs w:val="20"/>
          <w:color w:val="auto"/>
        </w:rPr>
      </w:pPr>
    </w:p>
    <w:p>
      <w:pPr>
        <w:ind w:left="420" w:right="40" w:hanging="431"/>
        <w:spacing w:after="0" w:line="257" w:lineRule="auto"/>
        <w:rPr>
          <w:sz w:val="20"/>
          <w:szCs w:val="20"/>
          <w:color w:val="auto"/>
        </w:rPr>
      </w:pPr>
      <w:r>
        <w:rPr>
          <w:rFonts w:ascii="Arial" w:cs="Arial" w:eastAsia="Arial" w:hAnsi="Arial"/>
          <w:sz w:val="18"/>
          <w:szCs w:val="18"/>
          <w:color w:val="auto"/>
        </w:rPr>
        <w:t xml:space="preserve">14.3 If a determination shall have been made pursuant to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93" w:lineRule="exact"/>
        <w:rPr>
          <w:sz w:val="20"/>
          <w:szCs w:val="20"/>
          <w:color w:val="auto"/>
        </w:rPr>
      </w:pPr>
    </w:p>
    <w:p>
      <w:pPr>
        <w:ind w:left="420" w:hanging="431"/>
        <w:spacing w:after="0" w:line="286" w:lineRule="auto"/>
        <w:rPr>
          <w:sz w:val="20"/>
          <w:szCs w:val="20"/>
          <w:color w:val="auto"/>
        </w:rPr>
      </w:pPr>
      <w:r>
        <w:rPr>
          <w:rFonts w:ascii="Arial" w:cs="Arial" w:eastAsia="Arial" w:hAnsi="Arial"/>
          <w:sz w:val="17"/>
          <w:szCs w:val="17"/>
          <w:color w:val="auto"/>
        </w:rPr>
        <w:t xml:space="preserve">14.4 The Company shall be precluded from asserting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71" w:lineRule="exact"/>
        <w:rPr>
          <w:sz w:val="20"/>
          <w:szCs w:val="20"/>
          <w:color w:val="auto"/>
        </w:rPr>
      </w:pPr>
    </w:p>
    <w:p>
      <w:pPr>
        <w:ind w:left="420" w:right="20" w:hanging="431"/>
        <w:spacing w:after="0" w:line="289" w:lineRule="auto"/>
        <w:rPr>
          <w:sz w:val="20"/>
          <w:szCs w:val="20"/>
          <w:color w:val="auto"/>
        </w:rPr>
      </w:pPr>
      <w:r>
        <w:rPr>
          <w:rFonts w:ascii="Arial" w:cs="Arial" w:eastAsia="Arial" w:hAnsi="Arial"/>
          <w:sz w:val="16"/>
          <w:szCs w:val="16"/>
          <w:color w:val="auto"/>
        </w:rPr>
        <w:t>14.5 The Company shall indemnify and hold harmless Indemnitee to the fullest extent permitted by applicable law and the Articles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Indemnitee’s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72" w:lineRule="exact"/>
        <w:rPr>
          <w:sz w:val="20"/>
          <w:szCs w:val="20"/>
          <w:color w:val="auto"/>
        </w:rPr>
      </w:pPr>
    </w:p>
    <w:p>
      <w:pPr>
        <w:ind w:left="420" w:right="60" w:hanging="431"/>
        <w:spacing w:after="0" w:line="257" w:lineRule="auto"/>
        <w:rPr>
          <w:sz w:val="20"/>
          <w:szCs w:val="20"/>
          <w:color w:val="auto"/>
        </w:rPr>
      </w:pPr>
      <w:r>
        <w:rPr>
          <w:rFonts w:ascii="Arial" w:cs="Arial" w:eastAsia="Arial" w:hAnsi="Arial"/>
          <w:sz w:val="18"/>
          <w:szCs w:val="18"/>
          <w:color w:val="auto"/>
        </w:rPr>
        <w:t>14.6 Interest shall be paid by the Company to Indemnitee at a rate to be agreed between the Company and Indemnitee for amounts which the Company indemnifies, holds harmless or exonerates, or is obliged to indemnify, hold harmless or exonerate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980"/>
          </w:cols>
          <w:pgMar w:left="1440" w:top="274" w:right="479" w:bottom="1440" w:gutter="0" w:footer="0" w:header="0"/>
        </w:sectPr>
      </w:pPr>
    </w:p>
    <w:bookmarkStart w:id="339" w:name="page340"/>
    <w:bookmarkEnd w:id="339"/>
    <w:p>
      <w:pPr>
        <w:ind w:left="960" w:hanging="532"/>
        <w:spacing w:after="0"/>
        <w:tabs>
          <w:tab w:leader="none" w:pos="9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w:t>
      </w:r>
    </w:p>
    <w:p>
      <w:pPr>
        <w:spacing w:after="0" w:line="121"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 xml:space="preserve">Notwithstanding anything herein to the contrary, but 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331" w:lineRule="exact"/>
        <w:rPr>
          <w:sz w:val="20"/>
          <w:szCs w:val="20"/>
          <w:color w:val="auto"/>
        </w:rPr>
      </w:pPr>
    </w:p>
    <w:p>
      <w:pPr>
        <w:ind w:left="960" w:hanging="532"/>
        <w:spacing w:after="0"/>
        <w:tabs>
          <w:tab w:leader="none" w:pos="9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p>
    <w:p>
      <w:pPr>
        <w:spacing w:after="0" w:line="134"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16.1 The rights of Indemnitee as provided by this Agreement shall not be deemed exclusive of any other rights to which Indemnitee may</w:t>
      </w:r>
    </w:p>
    <w:p>
      <w:pPr>
        <w:spacing w:after="0" w:line="46" w:lineRule="exact"/>
        <w:rPr>
          <w:rFonts w:ascii="Arial" w:cs="Arial" w:eastAsia="Arial" w:hAnsi="Arial"/>
          <w:sz w:val="18"/>
          <w:szCs w:val="18"/>
          <w:b w:val="1"/>
          <w:bCs w:val="1"/>
          <w:color w:val="auto"/>
        </w:rPr>
      </w:pPr>
    </w:p>
    <w:p>
      <w:pPr>
        <w:ind w:left="1420" w:right="2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at any time be entitled under applicable law, the Articles, any agreement, a vote of shareholders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then this Agreement (without any further action by the parties hereto) shall automatically be deemed to be amended to require that the Company indemnify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89" w:lineRule="exact"/>
        <w:rPr>
          <w:rFonts w:ascii="Arial" w:cs="Arial" w:eastAsia="Arial" w:hAnsi="Arial"/>
          <w:sz w:val="18"/>
          <w:szCs w:val="18"/>
          <w:b w:val="1"/>
          <w:bCs w:val="1"/>
          <w:color w:val="auto"/>
        </w:rPr>
      </w:pPr>
    </w:p>
    <w:p>
      <w:pPr>
        <w:ind w:left="1420" w:right="60" w:hanging="43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16.2 The Articles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color w:val="auto"/>
        </w:rPr>
        <w:t>Indemnification Arrangements</w:t>
      </w:r>
      <w:r>
        <w:rPr>
          <w:rFonts w:ascii="Arial" w:cs="Arial" w:eastAsia="Arial" w:hAnsi="Arial"/>
          <w:sz w:val="16"/>
          <w:szCs w:val="16"/>
          <w:color w:val="auto"/>
        </w:rPr>
        <w:t>”)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71" w:lineRule="exact"/>
        <w:rPr>
          <w:rFonts w:ascii="Arial" w:cs="Arial" w:eastAsia="Arial" w:hAnsi="Arial"/>
          <w:sz w:val="18"/>
          <w:szCs w:val="18"/>
          <w:b w:val="1"/>
          <w:bCs w:val="1"/>
          <w:color w:val="auto"/>
        </w:rPr>
      </w:pPr>
    </w:p>
    <w:p>
      <w:pPr>
        <w:ind w:left="1420" w:hanging="43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16.3 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340" w:name="page341"/>
    <w:bookmarkEnd w:id="340"/>
    <w:p>
      <w:pPr>
        <w:ind w:left="1424" w:hanging="43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16.4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71" w:lineRule="exact"/>
        <w:rPr>
          <w:sz w:val="20"/>
          <w:szCs w:val="20"/>
          <w:color w:val="auto"/>
        </w:rPr>
      </w:pPr>
    </w:p>
    <w:p>
      <w:pPr>
        <w:ind w:left="1424" w:right="120" w:hanging="431"/>
        <w:spacing w:after="0" w:line="284" w:lineRule="auto"/>
        <w:rPr>
          <w:sz w:val="20"/>
          <w:szCs w:val="20"/>
          <w:color w:val="auto"/>
        </w:rPr>
      </w:pPr>
      <w:r>
        <w:rPr>
          <w:rFonts w:ascii="Arial" w:cs="Arial" w:eastAsia="Arial" w:hAnsi="Arial"/>
          <w:sz w:val="16"/>
          <w:szCs w:val="16"/>
          <w:color w:val="auto"/>
        </w:rPr>
        <w:t xml:space="preserve">16.5 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but subject to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2" w:lineRule="exact"/>
        <w:rPr>
          <w:sz w:val="20"/>
          <w:szCs w:val="20"/>
          <w:color w:val="auto"/>
        </w:rPr>
      </w:pPr>
    </w:p>
    <w:p>
      <w:pPr>
        <w:ind w:left="1424" w:right="80" w:hanging="7"/>
        <w:spacing w:after="0" w:line="255" w:lineRule="auto"/>
        <w:tabs>
          <w:tab w:leader="none" w:pos="168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334" w:lineRule="exact"/>
        <w:rPr>
          <w:rFonts w:ascii="Arial" w:cs="Arial" w:eastAsia="Arial" w:hAnsi="Arial"/>
          <w:sz w:val="18"/>
          <w:szCs w:val="18"/>
          <w:color w:val="auto"/>
        </w:rPr>
      </w:pPr>
    </w:p>
    <w:p>
      <w:pPr>
        <w:ind w:left="964" w:hanging="532"/>
        <w:spacing w:after="0"/>
        <w:tabs>
          <w:tab w:leader="none" w:pos="964"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p>
    <w:p>
      <w:pPr>
        <w:spacing w:after="0" w:line="121"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 xml:space="preserve">All agreements and obligations of the Company contained herein shall continue during the period Indemnitee serves as a director or officer of the Company or as a director, officer, trustee, partner, manager, managing member, fiduciary, employee or agent of any other company,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309" w:lineRule="exact"/>
        <w:rPr>
          <w:sz w:val="20"/>
          <w:szCs w:val="20"/>
          <w:color w:val="auto"/>
        </w:rPr>
      </w:pPr>
    </w:p>
    <w:p>
      <w:pPr>
        <w:ind w:left="964" w:hanging="532"/>
        <w:spacing w:after="0"/>
        <w:tabs>
          <w:tab w:leader="none" w:pos="964"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2" w:lineRule="exact"/>
        <w:rPr>
          <w:sz w:val="20"/>
          <w:szCs w:val="20"/>
          <w:color w:val="auto"/>
        </w:rPr>
      </w:pPr>
    </w:p>
    <w:p>
      <w:pPr>
        <w:ind w:left="4" w:right="220" w:hanging="4"/>
        <w:spacing w:after="0" w:line="255" w:lineRule="auto"/>
        <w:tabs>
          <w:tab w:leader="none" w:pos="24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334" w:lineRule="exact"/>
        <w:rPr>
          <w:rFonts w:ascii="Arial" w:cs="Arial" w:eastAsia="Arial" w:hAnsi="Arial"/>
          <w:sz w:val="18"/>
          <w:szCs w:val="18"/>
          <w:color w:val="auto"/>
        </w:rPr>
      </w:pPr>
    </w:p>
    <w:p>
      <w:pPr>
        <w:ind w:left="964" w:hanging="532"/>
        <w:spacing w:after="0"/>
        <w:tabs>
          <w:tab w:leader="none" w:pos="964" w:val="left"/>
        </w:tabs>
        <w:numPr>
          <w:ilvl w:val="1"/>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p>
    <w:p>
      <w:pPr>
        <w:spacing w:after="0" w:line="134" w:lineRule="exact"/>
        <w:rPr>
          <w:rFonts w:ascii="Arial" w:cs="Arial" w:eastAsia="Arial" w:hAnsi="Arial"/>
          <w:sz w:val="18"/>
          <w:szCs w:val="18"/>
          <w:b w:val="1"/>
          <w:bCs w:val="1"/>
          <w:color w:val="auto"/>
        </w:rPr>
      </w:pPr>
    </w:p>
    <w:p>
      <w:pPr>
        <w:ind w:left="1424" w:right="440" w:hanging="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19.1 The Company expressly confirms and agrees that it has entered into this Agreement and assumed the obligations imposed on it hereby in order to induce Indemnitee to serve as a director, officer, advisor or key employee of the Company, and the Company acknowledges that Indemnitee is relying upon this Agreement in serving as a director, officer, advisor or key employee of the Company.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341" w:name="page342"/>
    <w:bookmarkEnd w:id="341"/>
    <w:p>
      <w:pPr>
        <w:ind w:left="1424" w:right="440" w:hanging="43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19.2 Without limiting any of the rights of Indemnitee under the Articles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54" w:lineRule="exact"/>
        <w:rPr>
          <w:sz w:val="20"/>
          <w:szCs w:val="20"/>
          <w:color w:val="auto"/>
        </w:rPr>
      </w:pPr>
    </w:p>
    <w:p>
      <w:pPr>
        <w:ind w:left="1424" w:right="40" w:hanging="431"/>
        <w:spacing w:after="0" w:line="272" w:lineRule="auto"/>
        <w:rPr>
          <w:sz w:val="20"/>
          <w:szCs w:val="20"/>
          <w:color w:val="auto"/>
        </w:rPr>
      </w:pPr>
      <w:r>
        <w:rPr>
          <w:rFonts w:ascii="Arial" w:cs="Arial" w:eastAsia="Arial" w:hAnsi="Arial"/>
          <w:sz w:val="17"/>
          <w:szCs w:val="17"/>
          <w:color w:val="auto"/>
        </w:rPr>
        <w:t>19.3 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83" w:lineRule="exact"/>
        <w:rPr>
          <w:sz w:val="20"/>
          <w:szCs w:val="20"/>
          <w:color w:val="auto"/>
        </w:rPr>
      </w:pPr>
    </w:p>
    <w:p>
      <w:pPr>
        <w:jc w:val="both"/>
        <w:ind w:left="1424" w:right="60" w:hanging="431"/>
        <w:spacing w:after="0" w:line="279" w:lineRule="auto"/>
        <w:rPr>
          <w:sz w:val="20"/>
          <w:szCs w:val="20"/>
          <w:color w:val="auto"/>
        </w:rPr>
      </w:pPr>
      <w:r>
        <w:rPr>
          <w:rFonts w:ascii="Arial" w:cs="Arial" w:eastAsia="Arial" w:hAnsi="Arial"/>
          <w:sz w:val="17"/>
          <w:szCs w:val="17"/>
          <w:color w:val="auto"/>
        </w:rPr>
        <w:t>19.4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77" w:lineRule="exact"/>
        <w:rPr>
          <w:sz w:val="20"/>
          <w:szCs w:val="20"/>
          <w:color w:val="auto"/>
        </w:rPr>
      </w:pPr>
    </w:p>
    <w:p>
      <w:pPr>
        <w:ind w:left="1424" w:hanging="431"/>
        <w:spacing w:after="0" w:line="269" w:lineRule="auto"/>
        <w:rPr>
          <w:sz w:val="20"/>
          <w:szCs w:val="20"/>
          <w:color w:val="auto"/>
        </w:rPr>
      </w:pPr>
      <w:r>
        <w:rPr>
          <w:rFonts w:ascii="Arial" w:cs="Arial" w:eastAsia="Arial" w:hAnsi="Arial"/>
          <w:sz w:val="17"/>
          <w:szCs w:val="17"/>
          <w:color w:val="auto"/>
        </w:rPr>
        <w:t>19.5 The Company and Indemnitee agree that a monetary remedy for breach of this Agreement, at some later date, may be inadequate, impracticable and difficult to prove,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w:t>
      </w:r>
    </w:p>
    <w:p>
      <w:pPr>
        <w:spacing w:after="0" w:line="330" w:lineRule="exact"/>
        <w:rPr>
          <w:sz w:val="20"/>
          <w:szCs w:val="20"/>
          <w:color w:val="auto"/>
        </w:rPr>
      </w:pPr>
    </w:p>
    <w:p>
      <w:pPr>
        <w:ind w:left="964" w:hanging="532"/>
        <w:spacing w:after="0"/>
        <w:tabs>
          <w:tab w:leader="none" w:pos="96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No supplement, modification or amendment of this Agreement shall be binding unless executed in writing by the Company and Indemnitee. No waiver of any of the provisions of this Agreement shall be deemed or shall constitute a waiver of any other provisions of this Agreement nor shall any waiver constitute a continuing waiver.</w:t>
      </w:r>
    </w:p>
    <w:p>
      <w:pPr>
        <w:spacing w:after="0" w:line="328" w:lineRule="exact"/>
        <w:rPr>
          <w:sz w:val="20"/>
          <w:szCs w:val="20"/>
          <w:color w:val="auto"/>
        </w:rPr>
      </w:pPr>
    </w:p>
    <w:p>
      <w:pPr>
        <w:ind w:left="964" w:hanging="532"/>
        <w:spacing w:after="0"/>
        <w:tabs>
          <w:tab w:leader="none" w:pos="96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All notices, requests, demands and other communications under this Agreement shall be in writing and shall be deemed to have been duly given</w:t>
      </w:r>
    </w:p>
    <w:p>
      <w:pPr>
        <w:spacing w:after="0" w:line="46" w:lineRule="exact"/>
        <w:rPr>
          <w:sz w:val="20"/>
          <w:szCs w:val="20"/>
          <w:color w:val="auto"/>
        </w:rPr>
      </w:pPr>
    </w:p>
    <w:p>
      <w:pPr>
        <w:ind w:left="4" w:right="220" w:hanging="4"/>
        <w:spacing w:after="0" w:line="290" w:lineRule="auto"/>
        <w:tabs>
          <w:tab w:leader="none" w:pos="21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delivered by hand and received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66" w:lineRule="exact"/>
        <w:rPr>
          <w:rFonts w:ascii="Arial" w:cs="Arial" w:eastAsia="Arial" w:hAnsi="Arial"/>
          <w:sz w:val="17"/>
          <w:szCs w:val="17"/>
          <w:color w:val="auto"/>
        </w:rPr>
      </w:pPr>
    </w:p>
    <w:p>
      <w:pPr>
        <w:ind w:left="1424" w:right="120" w:hanging="439"/>
        <w:spacing w:after="0" w:line="277" w:lineRule="auto"/>
        <w:tabs>
          <w:tab w:leader="none" w:pos="142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342" w:name="page343"/>
    <w:bookmarkEnd w:id="342"/>
    <w:p>
      <w:pPr>
        <w:ind w:left="1420" w:hanging="439"/>
        <w:spacing w:after="0"/>
        <w:tabs>
          <w:tab w:leader="none" w:pos="14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Social Capital Suvretta Holdings Corp. III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2850 W. Horizon Ridge Parkway, Suite 200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Henderson, NV 89052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Chief Executive Officer</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Raaj S. Narayan, Esq.</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370" w:lineRule="exact"/>
        <w:rPr>
          <w:sz w:val="20"/>
          <w:szCs w:val="20"/>
          <w:color w:val="auto"/>
        </w:rPr>
      </w:pPr>
    </w:p>
    <w:p>
      <w:pPr>
        <w:ind w:left="960" w:hanging="532"/>
        <w:spacing w:after="0"/>
        <w:tabs>
          <w:tab w:leader="none" w:pos="9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p>
    <w:p>
      <w:pPr>
        <w:spacing w:after="0" w:line="121"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This Agreement and the legal relations among the parties shall be governed by, and construed and enforced in accordance with, the laws of the State of Delaware, without giving effect to conflicts of law principles that would result in the application of the laws of another jurisdiction. Except with respect to any arbitration commenced by Indemnitee pursuant to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341" w:lineRule="exact"/>
        <w:rPr>
          <w:sz w:val="20"/>
          <w:szCs w:val="20"/>
          <w:color w:val="auto"/>
        </w:rPr>
      </w:pPr>
    </w:p>
    <w:p>
      <w:pPr>
        <w:ind w:left="960" w:hanging="532"/>
        <w:spacing w:after="0"/>
        <w:tabs>
          <w:tab w:leader="none" w:pos="9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Signatures to this Agreement transmitted via electronic transmission shall be valid and effective to bind the party so signing.</w:t>
      </w:r>
    </w:p>
    <w:p>
      <w:pPr>
        <w:spacing w:after="0" w:line="331" w:lineRule="exact"/>
        <w:rPr>
          <w:sz w:val="20"/>
          <w:szCs w:val="20"/>
          <w:color w:val="auto"/>
        </w:rPr>
      </w:pPr>
    </w:p>
    <w:p>
      <w:pPr>
        <w:ind w:left="960" w:hanging="532"/>
        <w:spacing w:after="0"/>
        <w:tabs>
          <w:tab w:leader="none" w:pos="9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268" w:lineRule="exact"/>
        <w:rPr>
          <w:sz w:val="20"/>
          <w:szCs w:val="20"/>
          <w:color w:val="auto"/>
        </w:rPr>
      </w:pPr>
    </w:p>
    <w:p>
      <w:pPr>
        <w:ind w:left="960" w:hanging="532"/>
        <w:spacing w:after="0"/>
        <w:tabs>
          <w:tab w:leader="none" w:pos="9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p>
    <w:p>
      <w:pPr>
        <w:spacing w:after="0" w:line="12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No legal action shall be brought and no cause of action shall be asserted by or in the right of the Company 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xml:space="preserve">(2)-year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shorter period of limitations is otherwise applicable to any such cause of action such shorter period shall govern.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43" w:name="page344"/>
    <w:bookmarkEnd w:id="343"/>
    <w:p>
      <w:pPr>
        <w:ind w:left="960" w:hanging="532"/>
        <w:spacing w:after="0"/>
        <w:tabs>
          <w:tab w:leader="none" w:pos="9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ACTS</w:t>
      </w:r>
    </w:p>
    <w:p>
      <w:pPr>
        <w:spacing w:after="0" w:line="12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If for the validation of any of the provisions in this Agreement any act, resolution, approval or other procedure is required, the Company undertakes to cause such act, resolution, approval or other procedure to be effected or adopted in a manner that will enable the Company to fulfill its obligations under this Agreement.</w:t>
      </w:r>
    </w:p>
    <w:p>
      <w:pPr>
        <w:spacing w:after="0" w:line="328" w:lineRule="exact"/>
        <w:rPr>
          <w:sz w:val="20"/>
          <w:szCs w:val="20"/>
          <w:color w:val="auto"/>
        </w:rPr>
      </w:pPr>
    </w:p>
    <w:p>
      <w:pPr>
        <w:ind w:left="960" w:hanging="532"/>
        <w:spacing w:after="0"/>
        <w:tabs>
          <w:tab w:leader="none" w:pos="9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Notwithstanding anything contained herein to the contrary, Indemnitee hereby agrees that it does not have any right, title, interest or claim of any kind (each, a “</w:t>
      </w:r>
      <w:r>
        <w:rPr>
          <w:rFonts w:ascii="Arial" w:cs="Arial" w:eastAsia="Arial" w:hAnsi="Arial"/>
          <w:sz w:val="18"/>
          <w:szCs w:val="18"/>
          <w:b w:val="1"/>
          <w:b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 For the avoidance of doubt, this Section 27 shall not limit any Claims that Indemnitee may have against such trust account in its capacity as a holder of securities of the Company that are otherwise permitted by applicable law and the Articles.</w:t>
      </w:r>
    </w:p>
    <w:p>
      <w:pPr>
        <w:spacing w:after="0" w:line="337" w:lineRule="exact"/>
        <w:rPr>
          <w:sz w:val="20"/>
          <w:szCs w:val="20"/>
          <w:color w:val="auto"/>
        </w:rPr>
      </w:pPr>
    </w:p>
    <w:p>
      <w:pPr>
        <w:ind w:left="960" w:hanging="532"/>
        <w:spacing w:after="0"/>
        <w:tabs>
          <w:tab w:leader="none" w:pos="9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Agreement:</w:t>
      </w:r>
    </w:p>
    <w:p>
      <w:pPr>
        <w:spacing w:after="0" w:line="131" w:lineRule="exact"/>
        <w:rPr>
          <w:sz w:val="20"/>
          <w:szCs w:val="20"/>
          <w:color w:val="auto"/>
        </w:rPr>
      </w:pPr>
    </w:p>
    <w:p>
      <w:pPr>
        <w:ind w:left="1960" w:right="180" w:hanging="533"/>
        <w:spacing w:after="0" w:line="277" w:lineRule="auto"/>
        <w:tabs>
          <w:tab w:leader="none" w:pos="19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in the form of an Electronic Record;</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“shall” shall be construed as imperative and “may” shall be construed as permissive;</w:t>
      </w:r>
    </w:p>
    <w:p>
      <w:pPr>
        <w:spacing w:after="0" w:line="130" w:lineRule="exact"/>
        <w:rPr>
          <w:rFonts w:ascii="Arial" w:cs="Arial" w:eastAsia="Arial" w:hAnsi="Arial"/>
          <w:sz w:val="18"/>
          <w:szCs w:val="18"/>
          <w:color w:val="auto"/>
        </w:rPr>
      </w:pPr>
    </w:p>
    <w:p>
      <w:pPr>
        <w:ind w:left="1960" w:right="120" w:hanging="533"/>
        <w:spacing w:after="0" w:line="277" w:lineRule="auto"/>
        <w:tabs>
          <w:tab w:leader="none" w:pos="19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w:t>
      </w:r>
    </w:p>
    <w:p>
      <w:pPr>
        <w:spacing w:after="0" w:line="75" w:lineRule="exact"/>
        <w:rPr>
          <w:rFonts w:ascii="Arial" w:cs="Arial" w:eastAsia="Arial" w:hAnsi="Arial"/>
          <w:sz w:val="18"/>
          <w:szCs w:val="18"/>
          <w:color w:val="auto"/>
        </w:rPr>
      </w:pPr>
    </w:p>
    <w:p>
      <w:pPr>
        <w:ind w:left="1960" w:right="300" w:hanging="533"/>
        <w:spacing w:after="0" w:line="277" w:lineRule="auto"/>
        <w:tabs>
          <w:tab w:leader="none" w:pos="19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 and</w:t>
      </w:r>
    </w:p>
    <w:p>
      <w:pPr>
        <w:spacing w:after="0" w:line="75" w:lineRule="exact"/>
        <w:rPr>
          <w:rFonts w:ascii="Arial" w:cs="Arial" w:eastAsia="Arial" w:hAnsi="Arial"/>
          <w:sz w:val="18"/>
          <w:szCs w:val="18"/>
          <w:color w:val="auto"/>
        </w:rPr>
      </w:pPr>
    </w:p>
    <w:p>
      <w:pPr>
        <w:ind w:left="1960" w:right="160" w:hanging="533"/>
        <w:spacing w:after="0" w:line="311" w:lineRule="auto"/>
        <w:tabs>
          <w:tab w:leader="none" w:pos="19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signed as of the day and year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Chamath Palihapitiya</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 c/o Social Capital Suvretta</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Holdings Corp. III</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2850 W. Horizon Ridge Parkway, Suite 200</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Henderson, NV 89052</w:t>
      </w:r>
    </w:p>
    <w:p>
      <w:pPr>
        <w:spacing w:after="0" w:line="15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ectPr>
          <w:pgSz w:w="11900" w:h="16838" w:orient="portrait"/>
          <w:cols w:equalWidth="0" w:num="1">
            <w:col w:w="10540"/>
          </w:cols>
          <w:pgMar w:left="880" w:top="270" w:right="47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2850 W. Horizon Ridge Parkway, Suite 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Henderson, NV 89052</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Social + Capital Partnership,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2850 W. Horizon Ridge Parkway,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Henderson, NV 89052</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Administrative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color w:val="auto"/>
        </w:rPr>
        <w:t>This Administrative Services Agreement (this “Agreement”) by and between Social Capital Suvretta Holdings Corp. III (the “Company”) and Social + Capital Partnership, L.L.C. (the “Provider”), dated as of the date hereof, confirms our agreement that, commencing on the date on which the securities of the Company are first listed on the Nasdaq Capital Market (the “Listing Date”) and continuing until the earlier of the consummation by the Company of an initial business combination and the Company’s liquidation (in each case as described in the Registration Statement on Form S-1 (File</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 333- ) filed with the U.S. Securities and Exchange Commission on , 2021, as it may be amended from time to time) (such earlier date hereinafter referred to as the “Termination Date”), the Provider, an affiliate of our sponsor, SCS Sponsor III LLC, shall make available to the Company, at 2850 W. Horizon Ridge Parkway, Suite 200, Henderson, NV 89052 (or any successor location or other existing office locations of the Provider or any of its affiliates), certain office space, administrative and support services as may be reasonably requested by the Company. In exchange therefor, the Company shall pay the Provider the sum of $10,000 per month commencing on the Listing Date and continuing monthly thereafter until the Termination Date.</w:t>
      </w:r>
    </w:p>
    <w:p>
      <w:pPr>
        <w:spacing w:after="0" w:line="194"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The Provider hereby irrevocably waives any and all right, title, interest, causes of action and claims of any kind (each, a “Claim”) in or to, and any and all right to seek payment of any amounts due to it out of, the trust account established for the benefit of the public shareholders of the Company and into which substantially all of the proceeds of the Company’s initial public offering will be deposited (the “Trust Account”). The Provider further hereby irrevocably waives any Claim it may have in the future as a result of, or arising out of, this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16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This Agreement may not be amended, modified or waived as to any particular provision, except by a written instrument executed by all parties hereto.</w:t>
      </w:r>
    </w:p>
    <w:p>
      <w:pPr>
        <w:spacing w:after="0" w:line="170"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No party hereto may assign either this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be governed by, construed in accordance with and interpreted pursuant to the laws of the State of New York.</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for all purposes be deemed to be an original but all of which together shall constitute one and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125" w:right="439" w:bottom="1440" w:gutter="0" w:footer="0" w:header="0"/>
        </w:sectPr>
      </w:pPr>
    </w:p>
    <w:bookmarkStart w:id="346" w:name="page347"/>
    <w:bookmarkEnd w:id="346"/>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 CAPITAL PARTNERSHIP,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Administrative Services Agreement</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b w:val="1"/>
          <w:bCs w:val="1"/>
          <w:color w:val="auto"/>
        </w:rPr>
        <w:t>Exhibit 14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CODE OF ETHICS AND BUSINESS CONDUCT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SOCIAL CAPITAL SUVRETTA HOLDINGS CORP. III</w:t>
      </w:r>
    </w:p>
    <w:p>
      <w:pPr>
        <w:spacing w:after="0" w:line="234" w:lineRule="exact"/>
        <w:rPr>
          <w:sz w:val="20"/>
          <w:szCs w:val="20"/>
          <w:color w:val="auto"/>
        </w:rPr>
      </w:pPr>
    </w:p>
    <w:p>
      <w:pPr>
        <w:ind w:left="424" w:hanging="424"/>
        <w:spacing w:after="0"/>
        <w:tabs>
          <w:tab w:leader="none" w:pos="424"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Social Capital Suvretta Holdings Corp. III, a Cayman Islands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has adopted this code of ethics (this “</w:t>
      </w:r>
      <w:r>
        <w:rPr>
          <w:rFonts w:ascii="Arial" w:cs="Arial" w:eastAsia="Arial" w:hAnsi="Arial"/>
          <w:sz w:val="18"/>
          <w:szCs w:val="18"/>
          <w:u w:val="single" w:color="auto"/>
          <w:color w:val="auto"/>
        </w:rPr>
        <w:t>Code</w:t>
      </w:r>
      <w:r>
        <w:rPr>
          <w:rFonts w:ascii="Arial" w:cs="Arial" w:eastAsia="Arial" w:hAnsi="Arial"/>
          <w:sz w:val="18"/>
          <w:szCs w:val="18"/>
          <w:color w:val="auto"/>
        </w:rPr>
        <w:t>”), as amended from time to time by the Board and which is applicable to all of the Company’s directors, officers and employees (to the extent that employees are hired in the future), to:</w:t>
      </w:r>
    </w:p>
    <w:p>
      <w:pPr>
        <w:spacing w:after="0" w:line="89" w:lineRule="exact"/>
        <w:rPr>
          <w:sz w:val="20"/>
          <w:szCs w:val="20"/>
          <w:color w:val="auto"/>
        </w:rPr>
      </w:pPr>
    </w:p>
    <w:p>
      <w:pPr>
        <w:ind w:left="964" w:right="700" w:hanging="424"/>
        <w:spacing w:after="0" w:line="277" w:lineRule="auto"/>
        <w:tabs>
          <w:tab w:leader="none" w:pos="96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 between personal and professional relationships;</w:t>
      </w:r>
    </w:p>
    <w:p>
      <w:pPr>
        <w:spacing w:after="0" w:line="75" w:lineRule="exact"/>
        <w:rPr>
          <w:rFonts w:ascii="Arial" w:cs="Arial" w:eastAsia="Arial" w:hAnsi="Arial"/>
          <w:sz w:val="18"/>
          <w:szCs w:val="18"/>
          <w:color w:val="auto"/>
        </w:rPr>
      </w:pPr>
    </w:p>
    <w:p>
      <w:pPr>
        <w:ind w:left="964" w:right="140" w:hanging="424"/>
        <w:spacing w:after="0" w:line="342" w:lineRule="auto"/>
        <w:tabs>
          <w:tab w:leader="none" w:pos="96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promote the full, fair, accurate, timely and understandable disclosure in reports and documents that the Company files with, or submits to,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as well as in other public communications made by or on behalf of the Company;</w:t>
      </w:r>
    </w:p>
    <w:p>
      <w:pPr>
        <w:spacing w:after="0" w:line="29" w:lineRule="exact"/>
        <w:rPr>
          <w:rFonts w:ascii="Arial" w:cs="Arial" w:eastAsia="Arial" w:hAnsi="Arial"/>
          <w:sz w:val="16"/>
          <w:szCs w:val="16"/>
          <w:color w:val="auto"/>
        </w:rPr>
      </w:pPr>
    </w:p>
    <w:p>
      <w:pPr>
        <w:ind w:left="964" w:hanging="424"/>
        <w:spacing w:after="0"/>
        <w:tabs>
          <w:tab w:leader="none" w:pos="96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require prompt internal reporting of breaches of, and accountability for adherence to, this Code.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Code may be amended and modified by the Board. In this Code, references to the “</w:t>
      </w:r>
      <w:r>
        <w:rPr>
          <w:rFonts w:ascii="Arial" w:cs="Arial" w:eastAsia="Arial" w:hAnsi="Arial"/>
          <w:sz w:val="16"/>
          <w:szCs w:val="16"/>
          <w:u w:val="single" w:color="auto"/>
          <w:color w:val="auto"/>
        </w:rPr>
        <w:t>Company</w:t>
      </w:r>
      <w:r>
        <w:rPr>
          <w:rFonts w:ascii="Arial" w:cs="Arial" w:eastAsia="Arial" w:hAnsi="Arial"/>
          <w:sz w:val="16"/>
          <w:szCs w:val="16"/>
          <w:color w:val="auto"/>
        </w:rPr>
        <w:t>” mean Social Capital Suvretta Holdings Corp.</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III and, in appropriate context, the Company’s subsidiaries, if any.</w:t>
      </w:r>
    </w:p>
    <w:p>
      <w:pPr>
        <w:spacing w:after="0" w:line="355" w:lineRule="exact"/>
        <w:rPr>
          <w:sz w:val="20"/>
          <w:szCs w:val="20"/>
          <w:color w:val="auto"/>
        </w:rPr>
      </w:pPr>
    </w:p>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HONEST, ETHICAL AND FAIR CONDUCT</w:t>
      </w:r>
    </w:p>
    <w:p>
      <w:pPr>
        <w:spacing w:after="0" w:line="121"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Each person owes a duty to the Company to act with integrity. Integrity requires, among other things, being honest, fair and candid. Deceit, dishonesty and subordination of principle are inconsistent with integrity. Service to the Company should never be subordinated to personal gain and advantage.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person must:</w:t>
      </w:r>
    </w:p>
    <w:p>
      <w:pPr>
        <w:spacing w:after="0" w:line="131" w:lineRule="exact"/>
        <w:rPr>
          <w:sz w:val="20"/>
          <w:szCs w:val="20"/>
          <w:color w:val="auto"/>
        </w:rPr>
      </w:pPr>
    </w:p>
    <w:p>
      <w:pPr>
        <w:ind w:left="964" w:right="540" w:hanging="424"/>
        <w:spacing w:after="0" w:line="277" w:lineRule="auto"/>
        <w:tabs>
          <w:tab w:leader="none" w:pos="96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act with integrity, including being honest and candid while still maintaining the confidentiality of the Company’s information where required or when in the Company’s interests;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observe all applicable governmental laws, rules and regulations;</w:t>
      </w:r>
    </w:p>
    <w:p>
      <w:pPr>
        <w:sectPr>
          <w:pgSz w:w="11900" w:h="16838" w:orient="portrait"/>
          <w:cols w:equalWidth="0" w:num="1">
            <w:col w:w="11024"/>
          </w:cols>
          <w:pgMar w:left="436" w:top="121" w:right="439" w:bottom="1440" w:gutter="0" w:footer="0" w:header="0"/>
        </w:sectPr>
      </w:pPr>
    </w:p>
    <w:bookmarkStart w:id="348" w:name="page349"/>
    <w:bookmarkEnd w:id="348"/>
    <w:p>
      <w:pPr>
        <w:ind w:left="424" w:right="180" w:hanging="424"/>
        <w:spacing w:after="0" w:line="308" w:lineRule="auto"/>
        <w:tabs>
          <w:tab w:leader="none" w:pos="424" w:val="left"/>
        </w:tabs>
        <w:numPr>
          <w:ilvl w:val="0"/>
          <w:numId w:val="2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comply with the requirements of applicable accounting and auditing standards, as well as Company policies, in order to maintain a high standard of accuracy and completeness in the Company’s financial records and other business-related information and data;</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adhere to a high standard of business ethics and not seek competitive advantage through unlawful or unethical business practices;</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deal fairly with any customers, suppliers, competitors, employees and independent contractors of the Company;</w:t>
      </w:r>
    </w:p>
    <w:p>
      <w:pPr>
        <w:spacing w:after="0" w:line="130" w:lineRule="exact"/>
        <w:rPr>
          <w:rFonts w:ascii="Arial" w:cs="Arial" w:eastAsia="Arial" w:hAnsi="Arial"/>
          <w:sz w:val="18"/>
          <w:szCs w:val="18"/>
          <w:color w:val="auto"/>
        </w:rPr>
      </w:pPr>
    </w:p>
    <w:p>
      <w:pPr>
        <w:ind w:left="424" w:right="520" w:hanging="424"/>
        <w:spacing w:after="0" w:line="277" w:lineRule="auto"/>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refrain from taking advantage of anyone through manipulation, concealment, abuse of privileged information, misrepresentation of material facts or any other unfair-dealing practice;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protect the assets of the Company and ensure their proper use;</w:t>
      </w:r>
    </w:p>
    <w:p>
      <w:pPr>
        <w:spacing w:after="0" w:line="130" w:lineRule="exact"/>
        <w:rPr>
          <w:rFonts w:ascii="Arial" w:cs="Arial" w:eastAsia="Arial" w:hAnsi="Arial"/>
          <w:sz w:val="18"/>
          <w:szCs w:val="18"/>
          <w:color w:val="auto"/>
        </w:rPr>
      </w:pPr>
    </w:p>
    <w:p>
      <w:pPr>
        <w:ind w:left="424" w:right="40" w:hanging="424"/>
        <w:spacing w:after="0" w:line="273" w:lineRule="auto"/>
        <w:tabs>
          <w:tab w:leader="none" w:pos="42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until the earliest of (i) the Company’s initial business combination (as such term is defined in the Company’s registration statement on Form S-1 filed with the SEC), (ii) the Company’s liquidation, and (iii) such time that such person ceases to be an officer or director of the Company, in each case, first present to the Company for the Company’s consideration, prior to presentation to any other entity, any business opportunity, but only if such opportunity is suitable for the Company, subject to the Company’s amended and restated memorandum and articles of association in effect (as amended from time to time) at such time and subject to any other fiduciary, contractual or other obligations such officer or director may have to other entities; and</w:t>
      </w:r>
    </w:p>
    <w:p>
      <w:pPr>
        <w:spacing w:after="0" w:line="83" w:lineRule="exact"/>
        <w:rPr>
          <w:rFonts w:ascii="Arial" w:cs="Arial" w:eastAsia="Arial" w:hAnsi="Arial"/>
          <w:sz w:val="17"/>
          <w:szCs w:val="17"/>
          <w:color w:val="auto"/>
        </w:rPr>
      </w:pPr>
    </w:p>
    <w:p>
      <w:pPr>
        <w:ind w:left="424" w:hanging="424"/>
        <w:spacing w:after="0" w:line="301" w:lineRule="auto"/>
        <w:tabs>
          <w:tab w:leader="none" w:pos="42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avoid conflicts of interest, wherever possible, except as may be allowed under guidelines or resolutions approved by the Board (or the appropriate committee of the Board) or as disclosed in the Company’s public filings with the SEC. Anything that would be a conflict for a person subject to this Code also will be a conflict for a member of his or her immediate family or any other close relative. Examples of conflict of interest situations include, but are not limited to, the following, all of which must be disclosed to the Company:</w:t>
      </w:r>
    </w:p>
    <w:p>
      <w:pPr>
        <w:spacing w:after="0" w:line="62" w:lineRule="exact"/>
        <w:rPr>
          <w:rFonts w:ascii="Arial" w:cs="Arial" w:eastAsia="Arial" w:hAnsi="Arial"/>
          <w:sz w:val="16"/>
          <w:szCs w:val="16"/>
          <w:color w:val="auto"/>
        </w:rPr>
      </w:pPr>
    </w:p>
    <w:p>
      <w:pPr>
        <w:ind w:left="884" w:hanging="331"/>
        <w:spacing w:after="0"/>
        <w:tabs>
          <w:tab w:leader="none" w:pos="88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significant ownership interest in any target, supplier or customer of the Company;</w:t>
      </w:r>
    </w:p>
    <w:p>
      <w:pPr>
        <w:spacing w:after="0" w:line="130" w:lineRule="exact"/>
        <w:rPr>
          <w:rFonts w:ascii="Arial" w:cs="Arial" w:eastAsia="Arial" w:hAnsi="Arial"/>
          <w:sz w:val="18"/>
          <w:szCs w:val="18"/>
          <w:color w:val="auto"/>
        </w:rPr>
      </w:pPr>
    </w:p>
    <w:p>
      <w:pPr>
        <w:ind w:left="884" w:hanging="331"/>
        <w:spacing w:after="0"/>
        <w:tabs>
          <w:tab w:leader="none" w:pos="88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target, supplier or customer of the Company;</w:t>
      </w:r>
    </w:p>
    <w:p>
      <w:pPr>
        <w:spacing w:after="0" w:line="130" w:lineRule="exact"/>
        <w:rPr>
          <w:rFonts w:ascii="Arial" w:cs="Arial" w:eastAsia="Arial" w:hAnsi="Arial"/>
          <w:sz w:val="18"/>
          <w:szCs w:val="18"/>
          <w:color w:val="auto"/>
        </w:rPr>
      </w:pPr>
    </w:p>
    <w:p>
      <w:pPr>
        <w:ind w:left="884" w:right="340" w:hanging="331"/>
        <w:spacing w:after="0" w:line="277" w:lineRule="auto"/>
        <w:tabs>
          <w:tab w:leader="none" w:pos="88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receipt of any money, non-nominal gifts or excessive entertainment from any entity with which the Company has current or prospective business dealings;</w:t>
      </w:r>
    </w:p>
    <w:p>
      <w:pPr>
        <w:spacing w:after="0" w:line="103"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84"/>
          </w:cols>
          <w:pgMar w:left="976" w:top="274" w:right="539" w:bottom="1440" w:gutter="0" w:footer="0" w:header="0"/>
        </w:sectPr>
      </w:pPr>
    </w:p>
    <w:bookmarkStart w:id="349" w:name="page350"/>
    <w:bookmarkEnd w:id="349"/>
    <w:p>
      <w:pPr>
        <w:ind w:left="1424" w:right="120" w:hanging="331"/>
        <w:spacing w:after="0" w:line="311" w:lineRule="auto"/>
        <w:tabs>
          <w:tab w:leader="none" w:pos="1424" w:val="left"/>
        </w:tabs>
        <w:numPr>
          <w:ilvl w:val="1"/>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anything to the Company or buying anything from the Company, except on the same terms and conditions as comparable officers or directors are permitted to so purchase or sell (and, in the absence of any such comparable officer or director, on the same terms and conditions as a third party would buy or sell a comparable item in an arm’s-length transaction);</w:t>
      </w:r>
    </w:p>
    <w:p>
      <w:pPr>
        <w:spacing w:after="0" w:line="54" w:lineRule="exact"/>
        <w:rPr>
          <w:rFonts w:ascii="Arial" w:cs="Arial" w:eastAsia="Arial" w:hAnsi="Arial"/>
          <w:sz w:val="16"/>
          <w:szCs w:val="16"/>
          <w:color w:val="auto"/>
        </w:rPr>
      </w:pPr>
    </w:p>
    <w:p>
      <w:pPr>
        <w:ind w:left="1424" w:right="100" w:hanging="331"/>
        <w:spacing w:after="0" w:line="277" w:lineRule="auto"/>
        <w:tabs>
          <w:tab w:leader="none" w:pos="142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other financial transaction, arrangement or relationship (including any indebtedness or guarantee of indebtedness) involving the Company; and</w:t>
      </w:r>
    </w:p>
    <w:p>
      <w:pPr>
        <w:spacing w:after="0" w:line="75" w:lineRule="exact"/>
        <w:rPr>
          <w:rFonts w:ascii="Arial" w:cs="Arial" w:eastAsia="Arial" w:hAnsi="Arial"/>
          <w:sz w:val="18"/>
          <w:szCs w:val="18"/>
          <w:color w:val="auto"/>
        </w:rPr>
      </w:pPr>
    </w:p>
    <w:p>
      <w:pPr>
        <w:ind w:left="1424" w:right="20" w:hanging="331"/>
        <w:spacing w:after="0" w:line="277" w:lineRule="auto"/>
        <w:tabs>
          <w:tab w:leader="none" w:pos="142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other circumstance, event, relationship or situation in which the personal interest of a person subject to this Code interferes — or even appears to interfere — with the interests of the Company as a whole.</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Company strives to ensure that the contents of and the disclosures in the reports and documents that the Company files with the SEC and</w:t>
      </w:r>
    </w:p>
    <w:p>
      <w:pPr>
        <w:spacing w:after="0" w:line="46" w:lineRule="exact"/>
        <w:rPr>
          <w:sz w:val="20"/>
          <w:szCs w:val="20"/>
          <w:color w:val="auto"/>
        </w:rPr>
      </w:pPr>
    </w:p>
    <w:p>
      <w:pPr>
        <w:ind w:left="4" w:right="540"/>
        <w:spacing w:after="0" w:line="260" w:lineRule="auto"/>
        <w:rPr>
          <w:sz w:val="20"/>
          <w:szCs w:val="20"/>
          <w:color w:val="auto"/>
        </w:rPr>
      </w:pPr>
      <w:r>
        <w:rPr>
          <w:rFonts w:ascii="Arial" w:cs="Arial" w:eastAsia="Arial" w:hAnsi="Arial"/>
          <w:sz w:val="18"/>
          <w:szCs w:val="18"/>
          <w:color w:val="auto"/>
        </w:rPr>
        <w:t>other public communications shall be full, fair, accurate, timely and understandable in accordance with applicable disclosure standards, including standards of materiality, where appropriate. Each person must:</w:t>
      </w:r>
    </w:p>
    <w:p>
      <w:pPr>
        <w:spacing w:after="0" w:line="91" w:lineRule="exact"/>
        <w:rPr>
          <w:sz w:val="20"/>
          <w:szCs w:val="20"/>
          <w:color w:val="auto"/>
        </w:rPr>
      </w:pPr>
    </w:p>
    <w:p>
      <w:pPr>
        <w:ind w:left="964" w:right="180" w:hanging="424"/>
        <w:spacing w:after="0" w:line="263" w:lineRule="auto"/>
        <w:tabs>
          <w:tab w:leader="none" w:pos="96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registered public accountants, governmental regulators, self-regulating organizations and other governmental officials, as appropriate; and</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in relation to his or her area of responsibility, properly review and critically analyze proposed disclosure for accuracy and completeness.</w:t>
      </w:r>
    </w:p>
    <w:p>
      <w:pPr>
        <w:spacing w:after="0" w:line="24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In addition to the foregoing, the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and Chief Financial Officer (“</w:t>
      </w:r>
      <w:r>
        <w:rPr>
          <w:rFonts w:ascii="Arial" w:cs="Arial" w:eastAsia="Arial" w:hAnsi="Arial"/>
          <w:sz w:val="18"/>
          <w:szCs w:val="18"/>
          <w:u w:val="single" w:color="auto"/>
          <w:color w:val="auto"/>
        </w:rPr>
        <w:t>CFO</w:t>
      </w:r>
      <w:r>
        <w:rPr>
          <w:rFonts w:ascii="Arial" w:cs="Arial" w:eastAsia="Arial" w:hAnsi="Arial"/>
          <w:sz w:val="18"/>
          <w:szCs w:val="18"/>
          <w:color w:val="auto"/>
        </w:rPr>
        <w:t>”) of the Company and each subsidiary of the Company (or persons performing similar functions), and each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87" w:lineRule="exact"/>
        <w:rPr>
          <w:sz w:val="20"/>
          <w:szCs w:val="20"/>
          <w:color w:val="auto"/>
        </w:rPr>
      </w:pPr>
    </w:p>
    <w:p>
      <w:pPr>
        <w:ind w:left="4" w:right="340" w:firstLine="440"/>
        <w:spacing w:after="0" w:line="259" w:lineRule="auto"/>
        <w:rPr>
          <w:sz w:val="20"/>
          <w:szCs w:val="20"/>
          <w:color w:val="auto"/>
        </w:rPr>
      </w:pPr>
      <w:r>
        <w:rPr>
          <w:rFonts w:ascii="Arial" w:cs="Arial" w:eastAsia="Arial" w:hAnsi="Arial"/>
          <w:sz w:val="18"/>
          <w:szCs w:val="18"/>
          <w:color w:val="auto"/>
        </w:rPr>
        <w:t>Each person must promptly bring to the attention of the Chairman of the Board any information he or she may have concerning (a) significant deficiencies in the design or operation of internal and/or disclosure controls that could adversely affect the Company’s ability to record, process, summarize and report financial data or (b) any fraud that involves management or other employees who have a significant role in the Company’s financial reporting, disclosures or internal controls.</w:t>
      </w:r>
    </w:p>
    <w:p>
      <w:pPr>
        <w:spacing w:after="0" w:line="331" w:lineRule="exact"/>
        <w:rPr>
          <w:sz w:val="20"/>
          <w:szCs w:val="20"/>
          <w:color w:val="auto"/>
        </w:rPr>
      </w:pPr>
    </w:p>
    <w:p>
      <w:pPr>
        <w:ind w:left="424" w:hanging="424"/>
        <w:spacing w:after="0"/>
        <w:tabs>
          <w:tab w:leader="none" w:pos="42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p>
    <w:p>
      <w:pPr>
        <w:spacing w:after="0" w:line="121"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It is the Company’s obligation and policy to comply with all applicable governmental laws, rules and regulations. All directors, officers and employees of the Company are expected to understand, respect and comply with all of the laws, regulations, policies and procedures that apply to them in their positions with the Company. Employees are responsible for talking to their supervisors to determine which laws, regulations and Company policies apply to their position and what training is necessary to understand and comply with them.</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50" w:name="page351"/>
    <w:bookmarkEnd w:id="35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officers and employees are directed to specific policies and procedures available to persons they supervise.</w:t>
      </w:r>
    </w:p>
    <w:p>
      <w:pPr>
        <w:spacing w:after="0" w:line="370" w:lineRule="exact"/>
        <w:rPr>
          <w:sz w:val="20"/>
          <w:szCs w:val="20"/>
          <w:color w:val="auto"/>
        </w:rPr>
      </w:pPr>
    </w:p>
    <w:p>
      <w:pPr>
        <w:ind w:left="424" w:hanging="424"/>
        <w:spacing w:after="0"/>
        <w:tabs>
          <w:tab w:leader="none" w:pos="424"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AND ACCOUNTABILITY</w:t>
      </w:r>
    </w:p>
    <w:p>
      <w:pPr>
        <w:spacing w:after="0" w:line="121"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The Board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Chairman of the Board promptly. Failure to do so is, in and of itself, a breach of this Code.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Specifically, each person must:</w:t>
      </w:r>
    </w:p>
    <w:p>
      <w:pPr>
        <w:spacing w:after="0" w:line="131" w:lineRule="exact"/>
        <w:rPr>
          <w:sz w:val="20"/>
          <w:szCs w:val="20"/>
          <w:color w:val="auto"/>
        </w:rPr>
      </w:pPr>
    </w:p>
    <w:p>
      <w:pPr>
        <w:ind w:left="964" w:hanging="424"/>
        <w:spacing w:after="0"/>
        <w:tabs>
          <w:tab w:leader="none" w:pos="96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notify the Chairman of the Board promptly of any existing or potential violation of this Code;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not retaliate against any other person for reports of potential violations that are made in good faith.</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will follow the following procedures in investigating and enforcing this Code and in reporting on this Code:</w:t>
      </w:r>
    </w:p>
    <w:p>
      <w:pPr>
        <w:spacing w:after="0" w:line="131" w:lineRule="exact"/>
        <w:rPr>
          <w:sz w:val="20"/>
          <w:szCs w:val="20"/>
          <w:color w:val="auto"/>
        </w:rPr>
      </w:pPr>
    </w:p>
    <w:p>
      <w:pPr>
        <w:ind w:left="964" w:hanging="424"/>
        <w:spacing w:after="0"/>
        <w:tabs>
          <w:tab w:leader="none" w:pos="96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Board will take all appropriate action to investigate any potential or actual breaches reported to it; and</w:t>
      </w:r>
    </w:p>
    <w:p>
      <w:pPr>
        <w:spacing w:after="0" w:line="130" w:lineRule="exact"/>
        <w:rPr>
          <w:rFonts w:ascii="Arial" w:cs="Arial" w:eastAsia="Arial" w:hAnsi="Arial"/>
          <w:sz w:val="18"/>
          <w:szCs w:val="18"/>
          <w:color w:val="auto"/>
        </w:rPr>
      </w:pPr>
    </w:p>
    <w:p>
      <w:pPr>
        <w:ind w:left="964" w:right="200" w:hanging="424"/>
        <w:spacing w:after="0" w:line="259" w:lineRule="auto"/>
        <w:tabs>
          <w:tab w:leader="none" w:pos="96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upon determination by the Board that a breach has occurred, the Board (by majority decision) will take or authorize such disciplinary or preventive action as it deems appropriate, after consultation with the Company’s internal or external legal counsel, up to and including dismissal or, in the event of criminal or other serious violations of law, notification of the SEC or other appropriate law enforcement authorities.</w:t>
      </w:r>
    </w:p>
    <w:p>
      <w:pPr>
        <w:spacing w:after="0" w:line="187"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328" w:lineRule="exact"/>
        <w:rPr>
          <w:sz w:val="20"/>
          <w:szCs w:val="20"/>
          <w:color w:val="auto"/>
        </w:rPr>
      </w:pPr>
    </w:p>
    <w:p>
      <w:pPr>
        <w:ind w:left="424" w:hanging="424"/>
        <w:spacing w:after="0"/>
        <w:tabs>
          <w:tab w:leader="none" w:pos="424"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WAIVERS AND AMENDMENTS</w:t>
      </w:r>
    </w:p>
    <w:p>
      <w:pPr>
        <w:spacing w:after="0" w:line="121"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Any waiver (defined below) or implicit waiver (defined below) from a provision of this Code for the principal executive officer, principal financial officer, principal accounting officer or controller, or persons performing similar functions or any amendment (as defined below) to this Code is required to be disclosed in a Current Report on Form 8-K filed with the SEC within four business days of such waiver or amendment. In lieu of filing a Current Report on Form 8-K to report any such waivers or amendments, the Company may provide such information on its</w:t>
      </w:r>
    </w:p>
    <w:p>
      <w:pPr>
        <w:spacing w:after="0" w:line="10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351" w:name="page352"/>
    <w:bookmarkEnd w:id="351"/>
    <w:p>
      <w:pPr>
        <w:jc w:val="both"/>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website within four business days following such waiver or amendment, in the event that one exists, and if it keeps such information on such website for at least 12 months and discloses the website address as well as any intention to provide such disclosures in this manner in its most recently filed Annual Report on Form 10-K.</w:t>
      </w:r>
    </w:p>
    <w:p>
      <w:pPr>
        <w:spacing w:after="0" w:line="184"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waiver</w:t>
      </w:r>
      <w:r>
        <w:rPr>
          <w:rFonts w:ascii="Arial" w:cs="Arial" w:eastAsia="Arial" w:hAnsi="Arial"/>
          <w:sz w:val="18"/>
          <w:szCs w:val="18"/>
          <w:color w:val="auto"/>
        </w:rPr>
        <w:t>” means the approval by the Board of a material departure from a provision of this Code. An “</w:t>
      </w:r>
      <w:r>
        <w:rPr>
          <w:rFonts w:ascii="Arial" w:cs="Arial" w:eastAsia="Arial" w:hAnsi="Arial"/>
          <w:sz w:val="18"/>
          <w:szCs w:val="18"/>
          <w:u w:val="single" w:color="auto"/>
          <w:color w:val="auto"/>
        </w:rPr>
        <w:t>implicit waiver</w:t>
      </w:r>
      <w:r>
        <w:rPr>
          <w:rFonts w:ascii="Arial" w:cs="Arial" w:eastAsia="Arial" w:hAnsi="Arial"/>
          <w:sz w:val="18"/>
          <w:szCs w:val="18"/>
          <w:color w:val="auto"/>
        </w:rPr>
        <w:t>” means the Company’s failure to take action within a reasonable period of time regarding a material departure from a provision of this Code that has been made known to an executive officer of the Company. An “</w:t>
      </w:r>
      <w:r>
        <w:rPr>
          <w:rFonts w:ascii="Arial" w:cs="Arial" w:eastAsia="Arial" w:hAnsi="Arial"/>
          <w:sz w:val="18"/>
          <w:szCs w:val="18"/>
          <w:u w:val="single" w:color="auto"/>
          <w:color w:val="auto"/>
        </w:rPr>
        <w:t>amendment</w:t>
      </w:r>
      <w:r>
        <w:rPr>
          <w:rFonts w:ascii="Arial" w:cs="Arial" w:eastAsia="Arial" w:hAnsi="Arial"/>
          <w:sz w:val="18"/>
          <w:szCs w:val="18"/>
          <w:color w:val="auto"/>
        </w:rPr>
        <w:t>” means any amendment to this Code other than minor technical, administrative or other non-substantive amendments hereto.</w:t>
      </w:r>
    </w:p>
    <w:p>
      <w:pPr>
        <w:spacing w:after="0" w:line="187"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All persons should note that it is not the Company’s intention to grant or to permit waivers from the requirements of this Code. The Company expects full compliance with this Code.</w:t>
      </w:r>
    </w:p>
    <w:p>
      <w:pPr>
        <w:spacing w:after="0" w:line="315" w:lineRule="exact"/>
        <w:rPr>
          <w:sz w:val="20"/>
          <w:szCs w:val="20"/>
          <w:color w:val="auto"/>
        </w:rPr>
      </w:pPr>
    </w:p>
    <w:p>
      <w:pPr>
        <w:ind w:left="424" w:hanging="424"/>
        <w:spacing w:after="0"/>
        <w:tabs>
          <w:tab w:leader="none" w:pos="424"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INSIDER INFORMATION AND SECURITIES TRADING</w:t>
      </w:r>
    </w:p>
    <w:p>
      <w:pPr>
        <w:spacing w:after="0" w:line="121" w:lineRule="exact"/>
        <w:rPr>
          <w:sz w:val="20"/>
          <w:szCs w:val="20"/>
          <w:color w:val="auto"/>
        </w:rPr>
      </w:pPr>
    </w:p>
    <w:p>
      <w:pPr>
        <w:ind w:left="4" w:right="40" w:firstLine="440"/>
        <w:spacing w:after="0" w:line="290" w:lineRule="auto"/>
        <w:rPr>
          <w:sz w:val="20"/>
          <w:szCs w:val="20"/>
          <w:color w:val="auto"/>
        </w:rPr>
      </w:pPr>
      <w:r>
        <w:rPr>
          <w:rFonts w:ascii="Arial" w:cs="Arial" w:eastAsia="Arial" w:hAnsi="Arial"/>
          <w:sz w:val="16"/>
          <w:szCs w:val="16"/>
          <w:color w:val="auto"/>
        </w:rPr>
        <w:t>The Company’s directors, officers or employees who have access to material, non-public information are not permitted to use that information for securities trading purposes or for any purpose unrelated to the Company’s business. It is also against the law to trade or to “tip” others who might make an investment decision based on material, non-public information. For example, using material, non-public information to buy or sell the Company securities, options in the Company securities or the securities of any Company supplier, customer, competitor, potential business partner or potential target is prohibited. The consequences of insider trading violations can be severe. These rules also apply to the use of material, non-public information about other companies (including, for example, the Company’s customers, competitors, potential business partners and potential targets). In addition to directors, officers or employees, these rules apply to such person’s spouse, children, parents and siblings, as well as any other family members living in such person’s home. The Company’s directors, officers and employees should familiarize themselves with the Company’s policy on insider trading.</w:t>
      </w:r>
    </w:p>
    <w:p>
      <w:pPr>
        <w:spacing w:after="0" w:line="310" w:lineRule="exact"/>
        <w:rPr>
          <w:sz w:val="20"/>
          <w:szCs w:val="20"/>
          <w:color w:val="auto"/>
        </w:rPr>
      </w:pPr>
    </w:p>
    <w:p>
      <w:pPr>
        <w:ind w:left="424" w:hanging="424"/>
        <w:spacing w:after="0"/>
        <w:tabs>
          <w:tab w:leader="none" w:pos="424"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OTHER RECORDS</w:t>
      </w:r>
    </w:p>
    <w:p>
      <w:pPr>
        <w:spacing w:after="0" w:line="121"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7"/>
          <w:szCs w:val="17"/>
          <w:color w:val="auto"/>
        </w:rPr>
        <w:t>All of the Company’s books, records, accounts and financial statements must be maintained in reasonable detail, must appropriately reflect the Company’s transactions and must both conform to applicable legal requirements and to the Company’s system of internal controls. Unrecorded or “off the books” funds or assets should not be maintained unless permitted by applicable law or regulation.</w:t>
      </w:r>
    </w:p>
    <w:p>
      <w:pPr>
        <w:spacing w:after="0" w:line="165" w:lineRule="exact"/>
        <w:rPr>
          <w:sz w:val="20"/>
          <w:szCs w:val="20"/>
          <w:color w:val="auto"/>
        </w:rPr>
      </w:pPr>
    </w:p>
    <w:p>
      <w:pPr>
        <w:ind w:left="4" w:right="260" w:firstLine="440"/>
        <w:spacing w:after="0" w:line="308" w:lineRule="auto"/>
        <w:rPr>
          <w:sz w:val="20"/>
          <w:szCs w:val="20"/>
          <w:color w:val="auto"/>
        </w:rPr>
      </w:pPr>
      <w:r>
        <w:rPr>
          <w:rFonts w:ascii="Arial" w:cs="Arial" w:eastAsia="Arial" w:hAnsi="Arial"/>
          <w:sz w:val="17"/>
          <w:szCs w:val="17"/>
          <w:color w:val="auto"/>
        </w:rPr>
        <w:t>Records should always be retained or destroyed according to the Company’s record retention policies. In accordance with those policies, in the event of litigation or governmental investigation, please consult the Board or the Company’s internal or external legal counsel.</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352" w:name="page353"/>
    <w:bookmarkEnd w:id="352"/>
    <w:p>
      <w:pPr>
        <w:ind w:left="424" w:hanging="424"/>
        <w:spacing w:after="0"/>
        <w:tabs>
          <w:tab w:leader="none" w:pos="424"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IMPROPER INFLUENCE ON CONDUCT OF AUDITS</w:t>
      </w:r>
    </w:p>
    <w:p>
      <w:pPr>
        <w:spacing w:after="0" w:line="121"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No director or officer, or any other person acting under the direction thereof, shall directly or indirectly take any action to coerce, manipulate, mislead or fraudulently influence any public or certified public accountant engaged in the performance of an audit or review of the financial statements of the Company or take any action that such person knows or should know that if successful could result in rendering the Company’s financial statements materially misleading. Any person who believes such improper influence is being exerted should report such action to such person’s supervisor, or if that is impractical under the circumstances, to any of the Company’s directors.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Types of conduct that could constitute improper influence include, but are not limited to, directly or indirectly:</w:t>
      </w:r>
    </w:p>
    <w:p>
      <w:pPr>
        <w:spacing w:after="0" w:line="131" w:lineRule="exact"/>
        <w:rPr>
          <w:sz w:val="20"/>
          <w:szCs w:val="20"/>
          <w:color w:val="auto"/>
        </w:rPr>
      </w:pPr>
    </w:p>
    <w:p>
      <w:pPr>
        <w:ind w:left="964" w:hanging="424"/>
        <w:spacing w:after="0"/>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offering or paying bribes or other financial incentives, including future employment or contracts for non-audit services;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providing an auditor with an inaccurate or misleading legal analysis;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threatening to cancel or canceling existing non-audit or audit engagements if the auditor objects to the Company’s accounting;</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seeking to have a partner removed from the audit engagement because the partner objects to the Company’s accounting;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blackmailing;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making physical threats.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ANTI-CORRUPTION LAWS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Company complies with the anti-corruption laws of the countries in which it does business, including the U.S. Foreign Corrupt Practices Act</w:t>
      </w:r>
    </w:p>
    <w:p>
      <w:pPr>
        <w:spacing w:after="0" w:line="46"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of 1977 (the “</w:t>
      </w:r>
      <w:r>
        <w:rPr>
          <w:rFonts w:ascii="Arial" w:cs="Arial" w:eastAsia="Arial" w:hAnsi="Arial"/>
          <w:sz w:val="18"/>
          <w:szCs w:val="18"/>
          <w:u w:val="single" w:color="auto"/>
          <w:color w:val="auto"/>
        </w:rPr>
        <w:t>FCPA</w:t>
      </w:r>
      <w:r>
        <w:rPr>
          <w:rFonts w:ascii="Arial" w:cs="Arial" w:eastAsia="Arial" w:hAnsi="Arial"/>
          <w:sz w:val="18"/>
          <w:szCs w:val="18"/>
          <w:color w:val="auto"/>
        </w:rPr>
        <w:t>”). Directors, officers, employees and agents, such as third party sales representatives, shall not take or cause to be taken any action that would reasonably result in the Company not complying with such anti-corruption laws, including the FCPA. If you are authorized to engage agents on the Company’s behalf, you are responsible for ensuring they are reputable and for obtaining a written agreement from them to uphold the Company’s standards in this area.</w:t>
      </w:r>
    </w:p>
    <w:p>
      <w:pPr>
        <w:spacing w:after="0" w:line="337" w:lineRule="exact"/>
        <w:rPr>
          <w:sz w:val="20"/>
          <w:szCs w:val="20"/>
          <w:color w:val="auto"/>
        </w:rPr>
      </w:pPr>
    </w:p>
    <w:p>
      <w:pPr>
        <w:ind w:left="424" w:hanging="424"/>
        <w:spacing w:after="0"/>
        <w:tabs>
          <w:tab w:leader="none" w:pos="424"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VIOLATIONS</w:t>
      </w:r>
    </w:p>
    <w:p>
      <w:pPr>
        <w:spacing w:after="0" w:line="12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Violation of this Code is grounds for disciplinary action up to and including termination of employment. Such action is in addition to any civil or criminal liability which might be imposed by any court or regulatory agency.</w:t>
      </w:r>
    </w:p>
    <w:p>
      <w:pPr>
        <w:spacing w:after="0" w:line="315" w:lineRule="exact"/>
        <w:rPr>
          <w:sz w:val="20"/>
          <w:szCs w:val="20"/>
          <w:color w:val="auto"/>
        </w:rPr>
      </w:pPr>
    </w:p>
    <w:p>
      <w:pPr>
        <w:ind w:left="424" w:hanging="424"/>
        <w:spacing w:after="0"/>
        <w:tabs>
          <w:tab w:leader="none" w:pos="424"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OTHER POLICIES AND PROCEDURES</w:t>
      </w:r>
    </w:p>
    <w:p>
      <w:pPr>
        <w:spacing w:after="0" w:line="12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Any other policy or procedure set out by the Company in writing or made generally known to employees, officers or directors of the Company prior to the date hereof or hereafter are separate requirements and remain in full force and effect.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0" w:right="499" w:bottom="1440" w:gutter="0" w:footer="0" w:header="0"/>
        </w:sectPr>
      </w:pPr>
    </w:p>
    <w:bookmarkStart w:id="353" w:name="page354"/>
    <w:bookmarkEnd w:id="353"/>
    <w:p>
      <w:pPr>
        <w:ind w:left="424" w:hanging="424"/>
        <w:spacing w:after="0"/>
        <w:tabs>
          <w:tab w:leader="none" w:pos="42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INQUIRIES</w:t>
      </w:r>
    </w:p>
    <w:p>
      <w:pPr>
        <w:spacing w:after="0" w:line="121" w:lineRule="exact"/>
        <w:rPr>
          <w:sz w:val="20"/>
          <w:szCs w:val="20"/>
          <w:color w:val="auto"/>
        </w:rPr>
      </w:pPr>
    </w:p>
    <w:p>
      <w:pPr>
        <w:ind w:left="4" w:firstLine="440"/>
        <w:spacing w:after="0" w:line="308" w:lineRule="auto"/>
        <w:rPr>
          <w:sz w:val="20"/>
          <w:szCs w:val="20"/>
          <w:color w:val="auto"/>
        </w:rPr>
      </w:pPr>
      <w:r>
        <w:rPr>
          <w:rFonts w:ascii="Arial" w:cs="Arial" w:eastAsia="Arial" w:hAnsi="Arial"/>
          <w:sz w:val="17"/>
          <w:szCs w:val="17"/>
          <w:color w:val="auto"/>
        </w:rPr>
        <w:t>All inquiries and questions in relation to this Code or its applicability to particular people or situations should be addressed to the Chairman of the Board or the Company’s Secretary, or such other compliance officers as shall be designated from time to time by the Company.</w:t>
      </w:r>
    </w:p>
    <w:p>
      <w:pPr>
        <w:spacing w:after="0" w:line="7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0" w:right="499" w:bottom="1440" w:gutter="0" w:footer="0" w:header="0"/>
        </w:sectPr>
      </w:pPr>
    </w:p>
    <w:bookmarkStart w:id="354" w:name="page355"/>
    <w:bookmarkEnd w:id="3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 AND SENIOR FINANCIAL OFFICERS</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CEO and all senior financial officers, including the CFO and principal accounting officer, are bound by the provisions set forth herein relating to ethical conduct, conflicts of interest, and compliance with law. In addition to this Code, the CEO and senior financial officers are subject to the following additional specific policies:</w:t>
      </w:r>
    </w:p>
    <w:p>
      <w:pPr>
        <w:spacing w:after="0" w:line="76"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A. Act with honesty and integrity, avoiding actual or apparent conflicts between personal, private interests and the interests of the Company, including receiving improper personal benefits as a result of his or her position.</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B. Disclose to the CEO and the Board any material transaction or relationship that reasonably could be expected to give rise to a conflict of interest.</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C. Perform responsibilities with a view to causing periodic reports and documents filed with or submitted to the SEC and all other public communications made by the Company to contain information that is accurate, complete, fair, objective, relevant, timely and understandable, including full review of all annual and quarterly reports.</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D. Comply with laws, rules and regulations of federal, state and local governments applicable to the Company and with the rules and regulations of private and public regulatory agencies having jurisdiction over the Company.</w:t>
      </w:r>
    </w:p>
    <w:p>
      <w:pPr>
        <w:spacing w:after="0" w:line="170"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E. Act in good faith, responsibly, with due care, competence and diligence, without misrepresenting or omitting material facts or allowing independent judgment to be compromised or subordinated.</w:t>
      </w:r>
    </w:p>
    <w:p>
      <w:pPr>
        <w:spacing w:after="0" w:line="170" w:lineRule="exact"/>
        <w:rPr>
          <w:sz w:val="20"/>
          <w:szCs w:val="20"/>
          <w:color w:val="auto"/>
        </w:rPr>
      </w:pPr>
    </w:p>
    <w:p>
      <w:pPr>
        <w:ind w:right="580" w:firstLine="440"/>
        <w:spacing w:after="0" w:line="263" w:lineRule="auto"/>
        <w:rPr>
          <w:sz w:val="20"/>
          <w:szCs w:val="20"/>
          <w:color w:val="auto"/>
        </w:rPr>
      </w:pPr>
      <w:r>
        <w:rPr>
          <w:rFonts w:ascii="Arial" w:cs="Arial" w:eastAsia="Arial" w:hAnsi="Arial"/>
          <w:sz w:val="18"/>
          <w:szCs w:val="18"/>
          <w:color w:val="auto"/>
        </w:rPr>
        <w:t>F. Respect the confidentiality of information acquired in the course of performance of his or her responsibilities except when authorized or otherwise legally obligated to disclose any such information; not use confidential information acquired in the course of performing his or her responsibilities for personal advantage.</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G. Share knowledge and maintain skills important and relevant to the needs of the Company, its shareholders and other constituencies and the general public.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 Proactively promote ethical behavior among subordinates and peers in his or her work environment and community.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Use and control all corporate assets and resources employed by or entrusted to him or her in a responsible manner.</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J. Not use corporate information, corporate assets, corporate opportunities or his or her position with the Company for personal gain; not compete directly or indirectly with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 Comply in all respects with this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355" w:name="page356"/>
    <w:bookmarkEnd w:id="3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 Advance the Company’s legitimate interests when the opportunity arises.</w:t>
      </w:r>
    </w:p>
    <w:p>
      <w:pPr>
        <w:spacing w:after="0" w:line="225" w:lineRule="exact"/>
        <w:rPr>
          <w:sz w:val="20"/>
          <w:szCs w:val="20"/>
          <w:color w:val="auto"/>
        </w:rPr>
      </w:pPr>
    </w:p>
    <w:p>
      <w:pPr>
        <w:jc w:val="both"/>
        <w:ind w:right="480" w:firstLine="440"/>
        <w:spacing w:after="0" w:line="342" w:lineRule="auto"/>
        <w:rPr>
          <w:sz w:val="20"/>
          <w:szCs w:val="20"/>
          <w:color w:val="auto"/>
        </w:rPr>
      </w:pPr>
      <w:r>
        <w:rPr>
          <w:rFonts w:ascii="Arial" w:cs="Arial" w:eastAsia="Arial" w:hAnsi="Arial"/>
          <w:sz w:val="16"/>
          <w:szCs w:val="16"/>
          <w:color w:val="auto"/>
        </w:rPr>
        <w:t>The Board will investigate any reported violations and will oversee an appropriate response, including corrective action and preventative measures. Any officer who violates this Code will face appropriate, case specific disciplinary action, which may include demotion or discharge.</w:t>
      </w:r>
    </w:p>
    <w:p>
      <w:pPr>
        <w:spacing w:after="0" w:line="12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Any request for a waiver of any provision of this Code must be in writing and addressed to the Chairman of the Board. Any waiver of this Code will be disclosed as provided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Code.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It is the policy of the Company that each officer covered by this Code shall acknowledge and certify to the foregoing annually and file a copy of such certification with the Chairman of the Board.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20"/>
          </w:cols>
          <w:pgMar w:left="440" w:top="274" w:right="639" w:bottom="1440" w:gutter="0" w:footer="0" w:header="0"/>
        </w:sectPr>
      </w:pPr>
    </w:p>
    <w:bookmarkStart w:id="356" w:name="page357"/>
    <w:bookmarkEnd w:id="35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CERTIFICATION</w:t>
      </w:r>
    </w:p>
    <w:p>
      <w:pPr>
        <w:spacing w:after="0" w:line="229"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I have read and understand the foregoing Code. I hereby certify that I am in compliance with the foregoing Code and I will comply with the Code in the future. I understand that any violation of the Code will subject me to appropriate disciplinary action, which may include demotion or discharge.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14605</wp:posOffset>
            </wp:positionV>
            <wp:extent cx="22371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20"/>
          </w:cols>
          <w:pgMar w:left="440" w:top="270" w:right="5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consent to the inclusion in this Registration Statement of Social Capital Suvretta Holdings Corp. III (the “Company”) on Form S-1 of our report dated April 20, 2021 except Note 4 and Note 8, as to which the date is June 1, 2021, which includes an explanatory paragraph as to the Company’s ability to continue as a going concern, with respect to our audit of the financial statements of Social Capital Suvretta Holdings Corp. III as of March 2, 2021 and for the period from February 25, 2021 (inception) through March 2, 2021, which report appears in the Prospectus, which is part of this Registration Statement. We also consent to the reference to our Firm under the heading “Experts” in such Prospectus.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2021</w:t>
      </w:r>
    </w:p>
    <w:p>
      <w:pPr>
        <w:sectPr>
          <w:pgSz w:w="11900" w:h="16838" w:orient="portrait"/>
          <w:cols w:equalWidth="0" w:num="1">
            <w:col w:w="11020"/>
          </w:cols>
          <w:pgMar w:left="440" w:top="125" w:right="4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MARC SEMIGRAN</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connection with the filing by Social Capital Suvretta Holdings Corp. III (the “Company”) of its Registration Statement (the “Registration Statement”) on Form S-1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Dated: June 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 Semigran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 Semigran</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57F6BC"/>
    <w:multiLevelType w:val="hybridMultilevel"/>
    <w:lvl w:ilvl="0">
      <w:lvlJc w:val="left"/>
      <w:lvlText w:val="(%1)"/>
      <w:numFmt w:val="decimal"/>
      <w:start w:val="1"/>
    </w:lvl>
  </w:abstractNum>
  <w:abstractNum w:abstractNumId="1">
    <w:nsid w:val="704E1DD5"/>
    <w:multiLevelType w:val="hybridMultilevel"/>
    <w:lvl w:ilvl="0">
      <w:lvlJc w:val="left"/>
      <w:lvlText w:val="(%1)"/>
      <w:numFmt w:val="decimal"/>
      <w:start w:val="1"/>
    </w:lvl>
  </w:abstractNum>
  <w:abstractNum w:abstractNumId="2">
    <w:nsid w:val="57D2F10E"/>
    <w:multiLevelType w:val="hybridMultilevel"/>
    <w:lvl w:ilvl="0">
      <w:lvlJc w:val="left"/>
      <w:lvlText w:val="•"/>
      <w:numFmt w:val="bullet"/>
      <w:start w:val="1"/>
    </w:lvl>
  </w:abstractNum>
  <w:abstractNum w:abstractNumId="3">
    <w:nsid w:val="BFFAE18"/>
    <w:multiLevelType w:val="hybridMultilevel"/>
    <w:lvl w:ilvl="0">
      <w:lvlJc w:val="left"/>
      <w:lvlText w:val="•"/>
      <w:numFmt w:val="bullet"/>
      <w:start w:val="1"/>
    </w:lvl>
  </w:abstractNum>
  <w:abstractNum w:abstractNumId="4">
    <w:nsid w:val="E3E47A8"/>
    <w:multiLevelType w:val="hybridMultilevel"/>
    <w:lvl w:ilvl="0">
      <w:lvlJc w:val="left"/>
      <w:lvlText w:val="•"/>
      <w:numFmt w:val="bullet"/>
      <w:start w:val="1"/>
    </w:lvl>
  </w:abstractNum>
  <w:abstractNum w:abstractNumId="5">
    <w:nsid w:val="2E48F044"/>
    <w:multiLevelType w:val="hybridMultilevel"/>
    <w:lvl w:ilvl="0">
      <w:lvlJc w:val="left"/>
      <w:lvlText w:val="(%1)"/>
      <w:numFmt w:val="decimal"/>
      <w:start w:val="1"/>
    </w:lvl>
  </w:abstractNum>
  <w:abstractNum w:abstractNumId="6">
    <w:nsid w:val="49D0FEAC"/>
    <w:multiLevelType w:val="hybridMultilevel"/>
    <w:lvl w:ilvl="0">
      <w:lvlJc w:val="left"/>
      <w:lvlText w:val="•"/>
      <w:numFmt w:val="bullet"/>
      <w:start w:val="1"/>
    </w:lvl>
  </w:abstractNum>
  <w:abstractNum w:abstractNumId="7">
    <w:nsid w:val="4BEE5A5B"/>
    <w:multiLevelType w:val="hybridMultilevel"/>
    <w:lvl w:ilvl="0">
      <w:lvlJc w:val="left"/>
      <w:lvlText w:val="•"/>
      <w:numFmt w:val="bullet"/>
      <w:start w:val="1"/>
    </w:lvl>
  </w:abstractNum>
  <w:abstractNum w:abstractNumId="8">
    <w:nsid w:val="5551B9F3"/>
    <w:multiLevelType w:val="hybridMultilevel"/>
    <w:lvl w:ilvl="0">
      <w:lvlJc w:val="left"/>
      <w:lvlText w:val="•"/>
      <w:numFmt w:val="bullet"/>
      <w:start w:val="1"/>
    </w:lvl>
  </w:abstractNum>
  <w:abstractNum w:abstractNumId="9">
    <w:nsid w:val="24F6AB8E"/>
    <w:multiLevelType w:val="hybridMultilevel"/>
    <w:lvl w:ilvl="0">
      <w:lvlJc w:val="left"/>
      <w:lvlText w:val="(%1)"/>
      <w:numFmt w:val="decimal"/>
      <w:start w:val="1"/>
    </w:lvl>
  </w:abstractNum>
  <w:abstractNum w:abstractNumId="10">
    <w:nsid w:val="634C574C"/>
    <w:multiLevelType w:val="hybridMultilevel"/>
    <w:lvl w:ilvl="0">
      <w:lvlJc w:val="left"/>
      <w:lvlText w:val="(%1)"/>
      <w:numFmt w:val="decimal"/>
      <w:start w:val="1"/>
    </w:lvl>
  </w:abstractNum>
  <w:abstractNum w:abstractNumId="11">
    <w:nsid w:val="24E99DD7"/>
    <w:multiLevelType w:val="hybridMultilevel"/>
    <w:lvl w:ilvl="0">
      <w:lvlJc w:val="left"/>
      <w:lvlText w:val="•"/>
      <w:numFmt w:val="bullet"/>
      <w:start w:val="1"/>
    </w:lvl>
  </w:abstractNum>
  <w:abstractNum w:abstractNumId="12">
    <w:nsid w:val="2A31B62D"/>
    <w:multiLevelType w:val="hybridMultilevel"/>
    <w:lvl w:ilvl="0">
      <w:lvlJc w:val="left"/>
      <w:lvlText w:val="•"/>
      <w:numFmt w:val="bullet"/>
      <w:start w:val="1"/>
    </w:lvl>
  </w:abstractNum>
  <w:abstractNum w:abstractNumId="13">
    <w:nsid w:val="1849C29B"/>
    <w:multiLevelType w:val="hybridMultilevel"/>
    <w:lvl w:ilvl="0">
      <w:lvlJc w:val="left"/>
      <w:lvlText w:val="•"/>
      <w:numFmt w:val="bullet"/>
      <w:start w:val="1"/>
    </w:lvl>
  </w:abstractNum>
  <w:abstractNum w:abstractNumId="14">
    <w:nsid w:val="7DFF9D09"/>
    <w:multiLevelType w:val="hybridMultilevel"/>
    <w:lvl w:ilvl="0">
      <w:lvlJc w:val="left"/>
      <w:lvlText w:val="•"/>
      <w:numFmt w:val="bullet"/>
      <w:start w:val="1"/>
    </w:lvl>
  </w:abstractNum>
  <w:abstractNum w:abstractNumId="15">
    <w:nsid w:val="754342"/>
    <w:multiLevelType w:val="hybridMultilevel"/>
    <w:lvl w:ilvl="0">
      <w:lvlJc w:val="left"/>
      <w:lvlText w:val="•"/>
      <w:numFmt w:val="bullet"/>
      <w:start w:val="1"/>
    </w:lvl>
  </w:abstractNum>
  <w:abstractNum w:abstractNumId="16">
    <w:nsid w:val="69E7F3E5"/>
    <w:multiLevelType w:val="hybridMultilevel"/>
    <w:lvl w:ilvl="0">
      <w:lvlJc w:val="left"/>
      <w:lvlText w:val="•"/>
      <w:numFmt w:val="bullet"/>
      <w:start w:val="1"/>
    </w:lvl>
  </w:abstractNum>
  <w:abstractNum w:abstractNumId="17">
    <w:nsid w:val="2A6DE806"/>
    <w:multiLevelType w:val="hybridMultilevel"/>
    <w:lvl w:ilvl="0">
      <w:lvlJc w:val="left"/>
      <w:lvlText w:val="•"/>
      <w:numFmt w:val="bullet"/>
      <w:start w:val="1"/>
    </w:lvl>
  </w:abstractNum>
  <w:abstractNum w:abstractNumId="18">
    <w:nsid w:val="1816F8C4"/>
    <w:multiLevelType w:val="hybridMultilevel"/>
    <w:lvl w:ilvl="0">
      <w:lvlJc w:val="left"/>
      <w:lvlText w:val="•"/>
      <w:numFmt w:val="bullet"/>
      <w:start w:val="1"/>
    </w:lvl>
  </w:abstractNum>
  <w:abstractNum w:abstractNumId="19">
    <w:nsid w:val="37DF2233"/>
    <w:multiLevelType w:val="hybridMultilevel"/>
    <w:lvl w:ilvl="0">
      <w:lvlJc w:val="left"/>
      <w:lvlText w:val="•"/>
      <w:numFmt w:val="bullet"/>
      <w:start w:val="1"/>
    </w:lvl>
  </w:abstractNum>
  <w:abstractNum w:abstractNumId="20">
    <w:nsid w:val="7AB49DAF"/>
    <w:multiLevelType w:val="hybridMultilevel"/>
    <w:lvl w:ilvl="0">
      <w:lvlJc w:val="left"/>
      <w:lvlText w:val="•"/>
      <w:numFmt w:val="bullet"/>
      <w:start w:val="1"/>
    </w:lvl>
  </w:abstractNum>
  <w:abstractNum w:abstractNumId="21">
    <w:nsid w:val="759F82CD"/>
    <w:multiLevelType w:val="hybridMultilevel"/>
    <w:lvl w:ilvl="0">
      <w:lvlJc w:val="left"/>
      <w:lvlText w:val="•"/>
      <w:numFmt w:val="bullet"/>
      <w:start w:val="1"/>
    </w:lvl>
  </w:abstractNum>
  <w:abstractNum w:abstractNumId="22">
    <w:nsid w:val="61E74EA3"/>
    <w:multiLevelType w:val="hybridMultilevel"/>
    <w:lvl w:ilvl="0">
      <w:lvlJc w:val="left"/>
      <w:lvlText w:val="•"/>
      <w:numFmt w:val="bullet"/>
      <w:start w:val="1"/>
    </w:lvl>
  </w:abstractNum>
  <w:abstractNum w:abstractNumId="23">
    <w:nsid w:val="597B4D84"/>
    <w:multiLevelType w:val="hybridMultilevel"/>
    <w:lvl w:ilvl="0">
      <w:lvlJc w:val="left"/>
      <w:lvlText w:val="•"/>
      <w:numFmt w:val="bullet"/>
      <w:start w:val="1"/>
    </w:lvl>
  </w:abstractNum>
  <w:abstractNum w:abstractNumId="24">
    <w:nsid w:val="F819E7F"/>
    <w:multiLevelType w:val="hybridMultilevel"/>
    <w:lvl w:ilvl="0">
      <w:lvlJc w:val="left"/>
      <w:lvlText w:val="•"/>
      <w:numFmt w:val="bullet"/>
      <w:start w:val="1"/>
    </w:lvl>
  </w:abstractNum>
  <w:abstractNum w:abstractNumId="25">
    <w:nsid w:val="57C7D42D"/>
    <w:multiLevelType w:val="hybridMultilevel"/>
    <w:lvl w:ilvl="0">
      <w:lvlJc w:val="left"/>
      <w:lvlText w:val="•"/>
      <w:numFmt w:val="bullet"/>
      <w:start w:val="1"/>
    </w:lvl>
  </w:abstractNum>
  <w:abstractNum w:abstractNumId="26">
    <w:nsid w:val="312167AD"/>
    <w:multiLevelType w:val="hybridMultilevel"/>
    <w:lvl w:ilvl="0">
      <w:lvlJc w:val="left"/>
      <w:lvlText w:val="•"/>
      <w:numFmt w:val="bullet"/>
      <w:start w:val="1"/>
    </w:lvl>
  </w:abstractNum>
  <w:abstractNum w:abstractNumId="27">
    <w:nsid w:val="631B64D4"/>
    <w:multiLevelType w:val="hybridMultilevel"/>
    <w:lvl w:ilvl="0">
      <w:lvlJc w:val="left"/>
      <w:lvlText w:val="•"/>
      <w:numFmt w:val="bullet"/>
      <w:start w:val="1"/>
    </w:lvl>
  </w:abstractNum>
  <w:abstractNum w:abstractNumId="28">
    <w:nsid w:val="78B5E776"/>
    <w:multiLevelType w:val="hybridMultilevel"/>
    <w:lvl w:ilvl="0">
      <w:lvlJc w:val="left"/>
      <w:lvlText w:val="•"/>
      <w:numFmt w:val="bullet"/>
      <w:start w:val="1"/>
    </w:lvl>
  </w:abstractNum>
  <w:abstractNum w:abstractNumId="29">
    <w:nsid w:val="75486E47"/>
    <w:multiLevelType w:val="hybridMultilevel"/>
    <w:lvl w:ilvl="0">
      <w:lvlJc w:val="left"/>
      <w:lvlText w:val="(%1)"/>
      <w:numFmt w:val="decimal"/>
      <w:start w:val="1"/>
    </w:lvl>
  </w:abstractNum>
  <w:abstractNum w:abstractNumId="30">
    <w:nsid w:val="6E534CDE"/>
    <w:multiLevelType w:val="hybridMultilevel"/>
    <w:lvl w:ilvl="0">
      <w:lvlJc w:val="left"/>
      <w:lvlText w:val="(%1)"/>
      <w:numFmt w:val="decimal"/>
      <w:start w:val="3"/>
    </w:lvl>
  </w:abstractNum>
  <w:abstractNum w:abstractNumId="31">
    <w:nsid w:val="1A0DDE32"/>
    <w:multiLevelType w:val="hybridMultilevel"/>
    <w:lvl w:ilvl="0">
      <w:lvlJc w:val="left"/>
      <w:lvlText w:val="(%1)"/>
      <w:numFmt w:val="decimal"/>
      <w:start w:val="1"/>
    </w:lvl>
  </w:abstractNum>
  <w:abstractNum w:abstractNumId="32">
    <w:nsid w:val="65968C1C"/>
    <w:multiLevelType w:val="hybridMultilevel"/>
    <w:lvl w:ilvl="0">
      <w:lvlJc w:val="left"/>
      <w:lvlText w:val="(%1)"/>
      <w:numFmt w:val="decimal"/>
      <w:start w:val="1"/>
    </w:lvl>
  </w:abstractNum>
  <w:abstractNum w:abstractNumId="33">
    <w:nsid w:val="46263DEC"/>
    <w:multiLevelType w:val="hybridMultilevel"/>
    <w:lvl w:ilvl="0">
      <w:lvlJc w:val="left"/>
      <w:lvlText w:val="•"/>
      <w:numFmt w:val="bullet"/>
      <w:start w:val="1"/>
    </w:lvl>
  </w:abstractNum>
  <w:abstractNum w:abstractNumId="34">
    <w:nsid w:val="260D8C4A"/>
    <w:multiLevelType w:val="hybridMultilevel"/>
    <w:lvl w:ilvl="0">
      <w:lvlJc w:val="left"/>
      <w:lvlText w:val="•"/>
      <w:numFmt w:val="bullet"/>
      <w:start w:val="1"/>
    </w:lvl>
  </w:abstractNum>
  <w:abstractNum w:abstractNumId="35">
    <w:nsid w:val="73D4D3C4"/>
    <w:multiLevelType w:val="hybridMultilevel"/>
    <w:lvl w:ilvl="0">
      <w:lvlJc w:val="left"/>
      <w:lvlText w:val="•"/>
      <w:numFmt w:val="bullet"/>
      <w:start w:val="1"/>
    </w:lvl>
  </w:abstractNum>
  <w:abstractNum w:abstractNumId="36">
    <w:nsid w:val="746F2E30"/>
    <w:multiLevelType w:val="hybridMultilevel"/>
    <w:lvl w:ilvl="0">
      <w:lvlJc w:val="left"/>
      <w:lvlText w:val="•"/>
      <w:numFmt w:val="bullet"/>
      <w:start w:val="1"/>
    </w:lvl>
  </w:abstractNum>
  <w:abstractNum w:abstractNumId="37">
    <w:nsid w:val="6FDE8AF6"/>
    <w:multiLevelType w:val="hybridMultilevel"/>
    <w:lvl w:ilvl="0">
      <w:lvlJc w:val="left"/>
      <w:lvlText w:val="•"/>
      <w:numFmt w:val="bullet"/>
      <w:start w:val="1"/>
    </w:lvl>
  </w:abstractNum>
  <w:abstractNum w:abstractNumId="38">
    <w:nsid w:val="3FC32E20"/>
    <w:multiLevelType w:val="hybridMultilevel"/>
    <w:lvl w:ilvl="0">
      <w:lvlJc w:val="left"/>
      <w:lvlText w:val="•"/>
      <w:numFmt w:val="bullet"/>
      <w:start w:val="1"/>
    </w:lvl>
  </w:abstractNum>
  <w:abstractNum w:abstractNumId="39">
    <w:nsid w:val="49C0E823"/>
    <w:multiLevelType w:val="hybridMultilevel"/>
    <w:lvl w:ilvl="0">
      <w:lvlJc w:val="left"/>
      <w:lvlText w:val="•"/>
      <w:numFmt w:val="bullet"/>
      <w:start w:val="1"/>
    </w:lvl>
  </w:abstractNum>
  <w:abstractNum w:abstractNumId="40">
    <w:nsid w:val="14D53685"/>
    <w:multiLevelType w:val="hybridMultilevel"/>
    <w:lvl w:ilvl="0">
      <w:lvlJc w:val="left"/>
      <w:lvlText w:val="•"/>
      <w:numFmt w:val="bullet"/>
      <w:start w:val="1"/>
    </w:lvl>
  </w:abstractNum>
  <w:abstractNum w:abstractNumId="41">
    <w:nsid w:val="230F856C"/>
    <w:multiLevelType w:val="hybridMultilevel"/>
    <w:lvl w:ilvl="0">
      <w:lvlJc w:val="left"/>
      <w:lvlText w:val="•"/>
      <w:numFmt w:val="bullet"/>
      <w:start w:val="1"/>
    </w:lvl>
  </w:abstractNum>
  <w:abstractNum w:abstractNumId="42">
    <w:nsid w:val="6EAA85FB"/>
    <w:multiLevelType w:val="hybridMultilevel"/>
    <w:lvl w:ilvl="0">
      <w:lvlJc w:val="left"/>
      <w:lvlText w:val="•"/>
      <w:numFmt w:val="bullet"/>
      <w:start w:val="1"/>
    </w:lvl>
  </w:abstractNum>
  <w:abstractNum w:abstractNumId="43">
    <w:nsid w:val="3F06ECB2"/>
    <w:multiLevelType w:val="hybridMultilevel"/>
    <w:lvl w:ilvl="0">
      <w:lvlJc w:val="left"/>
      <w:lvlText w:val="•"/>
      <w:numFmt w:val="bullet"/>
      <w:start w:val="1"/>
    </w:lvl>
  </w:abstractNum>
  <w:abstractNum w:abstractNumId="44">
    <w:nsid w:val="3B594807"/>
    <w:multiLevelType w:val="hybridMultilevel"/>
    <w:lvl w:ilvl="0">
      <w:lvlJc w:val="left"/>
      <w:lvlText w:val="•"/>
      <w:numFmt w:val="bullet"/>
      <w:start w:val="1"/>
    </w:lvl>
  </w:abstractNum>
  <w:abstractNum w:abstractNumId="45">
    <w:nsid w:val="6CAA2304"/>
    <w:multiLevelType w:val="hybridMultilevel"/>
    <w:lvl w:ilvl="0">
      <w:lvlJc w:val="left"/>
      <w:lvlText w:val="•"/>
      <w:numFmt w:val="bullet"/>
      <w:start w:val="1"/>
    </w:lvl>
  </w:abstractNum>
  <w:abstractNum w:abstractNumId="46">
    <w:nsid w:val="3F7C2FF4"/>
    <w:multiLevelType w:val="hybridMultilevel"/>
    <w:lvl w:ilvl="0">
      <w:lvlJc w:val="left"/>
      <w:lvlText w:val="(%1)"/>
      <w:numFmt w:val="decimal"/>
      <w:start w:val="2"/>
    </w:lvl>
  </w:abstractNum>
  <w:abstractNum w:abstractNumId="47">
    <w:nsid w:val="25413BEC"/>
    <w:multiLevelType w:val="hybridMultilevel"/>
    <w:lvl w:ilvl="0">
      <w:lvlJc w:val="left"/>
      <w:lvlText w:val="•"/>
      <w:numFmt w:val="bullet"/>
      <w:start w:val="1"/>
    </w:lvl>
  </w:abstractNum>
  <w:abstractNum w:abstractNumId="48">
    <w:nsid w:val="17180B0B"/>
    <w:multiLevelType w:val="hybridMultilevel"/>
    <w:lvl w:ilvl="0">
      <w:lvlJc w:val="left"/>
      <w:lvlText w:val="•"/>
      <w:numFmt w:val="bullet"/>
      <w:start w:val="1"/>
    </w:lvl>
  </w:abstractNum>
  <w:abstractNum w:abstractNumId="49">
    <w:nsid w:val="579328B9"/>
    <w:multiLevelType w:val="hybridMultilevel"/>
    <w:lvl w:ilvl="0">
      <w:lvlJc w:val="left"/>
      <w:lvlText w:val="•"/>
      <w:numFmt w:val="bullet"/>
      <w:start w:val="1"/>
    </w:lvl>
  </w:abstractNum>
  <w:abstractNum w:abstractNumId="50">
    <w:nsid w:val="5D205E20"/>
    <w:multiLevelType w:val="hybridMultilevel"/>
    <w:lvl w:ilvl="0">
      <w:lvlJc w:val="left"/>
      <w:lvlText w:val="•"/>
      <w:numFmt w:val="bullet"/>
      <w:start w:val="1"/>
    </w:lvl>
  </w:abstractNum>
  <w:abstractNum w:abstractNumId="51">
    <w:nsid w:val="11CCA8BA"/>
    <w:multiLevelType w:val="hybridMultilevel"/>
    <w:lvl w:ilvl="0">
      <w:lvlJc w:val="left"/>
      <w:lvlText w:val="•"/>
      <w:numFmt w:val="bullet"/>
      <w:start w:val="1"/>
    </w:lvl>
  </w:abstractNum>
  <w:abstractNum w:abstractNumId="52">
    <w:nsid w:val="4D32AB86"/>
    <w:multiLevelType w:val="hybridMultilevel"/>
    <w:lvl w:ilvl="0">
      <w:lvlJc w:val="left"/>
      <w:lvlText w:val="•"/>
      <w:numFmt w:val="bullet"/>
      <w:start w:val="1"/>
    </w:lvl>
  </w:abstractNum>
  <w:abstractNum w:abstractNumId="53">
    <w:nsid w:val="3F07ACC3"/>
    <w:multiLevelType w:val="hybridMultilevel"/>
    <w:lvl w:ilvl="0">
      <w:lvlJc w:val="left"/>
      <w:lvlText w:val="•"/>
      <w:numFmt w:val="bullet"/>
      <w:start w:val="1"/>
    </w:lvl>
  </w:abstractNum>
  <w:abstractNum w:abstractNumId="54">
    <w:nsid w:val="6B47F63E"/>
    <w:multiLevelType w:val="hybridMultilevel"/>
    <w:lvl w:ilvl="0">
      <w:lvlJc w:val="left"/>
      <w:lvlText w:val="•"/>
      <w:numFmt w:val="bullet"/>
      <w:start w:val="1"/>
    </w:lvl>
  </w:abstractNum>
  <w:abstractNum w:abstractNumId="55">
    <w:nsid w:val="5CB44A05"/>
    <w:multiLevelType w:val="hybridMultilevel"/>
    <w:lvl w:ilvl="0">
      <w:lvlJc w:val="left"/>
      <w:lvlText w:val="•"/>
      <w:numFmt w:val="bullet"/>
      <w:start w:val="1"/>
    </w:lvl>
  </w:abstractNum>
  <w:abstractNum w:abstractNumId="56">
    <w:nsid w:val="16CF80F1"/>
    <w:multiLevelType w:val="hybridMultilevel"/>
    <w:lvl w:ilvl="0">
      <w:lvlJc w:val="left"/>
      <w:lvlText w:val="•"/>
      <w:numFmt w:val="bullet"/>
      <w:start w:val="1"/>
    </w:lvl>
  </w:abstractNum>
  <w:abstractNum w:abstractNumId="57">
    <w:nsid w:val="1C695DEC"/>
    <w:multiLevelType w:val="hybridMultilevel"/>
    <w:lvl w:ilvl="0">
      <w:lvlJc w:val="left"/>
      <w:lvlText w:val="(%1)"/>
      <w:numFmt w:val="decimal"/>
      <w:start w:val="1"/>
    </w:lvl>
  </w:abstractNum>
  <w:abstractNum w:abstractNumId="58">
    <w:nsid w:val="3FCFAED9"/>
    <w:multiLevelType w:val="hybridMultilevel"/>
    <w:lvl w:ilvl="0">
      <w:lvlJc w:val="left"/>
      <w:lvlText w:val="•"/>
      <w:numFmt w:val="bullet"/>
      <w:start w:val="1"/>
    </w:lvl>
  </w:abstractNum>
  <w:abstractNum w:abstractNumId="59">
    <w:nsid w:val="F856867"/>
    <w:multiLevelType w:val="hybridMultilevel"/>
    <w:lvl w:ilvl="0">
      <w:lvlJc w:val="left"/>
      <w:lvlText w:val="(%1)"/>
      <w:numFmt w:val="decimal"/>
      <w:start w:val="1"/>
    </w:lvl>
  </w:abstractNum>
  <w:abstractNum w:abstractNumId="60">
    <w:nsid w:val="11B1CC33"/>
    <w:multiLevelType w:val="hybridMultilevel"/>
    <w:lvl w:ilvl="0">
      <w:lvlJc w:val="left"/>
      <w:lvlText w:val="(%1)"/>
      <w:numFmt w:val="upperLetter"/>
      <w:start w:val="2"/>
    </w:lvl>
  </w:abstractNum>
  <w:abstractNum w:abstractNumId="61">
    <w:nsid w:val="2E22FBB7"/>
    <w:multiLevelType w:val="hybridMultilevel"/>
    <w:lvl w:ilvl="0">
      <w:lvlJc w:val="left"/>
      <w:lvlText w:val="•"/>
      <w:numFmt w:val="bullet"/>
      <w:start w:val="1"/>
    </w:lvl>
  </w:abstractNum>
  <w:abstractNum w:abstractNumId="62">
    <w:nsid w:val="29934699"/>
    <w:multiLevelType w:val="hybridMultilevel"/>
    <w:lvl w:ilvl="0">
      <w:lvlJc w:val="left"/>
      <w:lvlText w:val="•"/>
      <w:numFmt w:val="bullet"/>
      <w:start w:val="1"/>
    </w:lvl>
  </w:abstractNum>
  <w:abstractNum w:abstractNumId="63">
    <w:nsid w:val="77485850"/>
    <w:multiLevelType w:val="hybridMultilevel"/>
    <w:lvl w:ilvl="0">
      <w:lvlJc w:val="left"/>
      <w:lvlText w:val="(%1)"/>
      <w:numFmt w:val="decimal"/>
      <w:start w:val="5"/>
    </w:lvl>
  </w:abstractNum>
  <w:abstractNum w:abstractNumId="64">
    <w:nsid w:val="744939A3"/>
    <w:multiLevelType w:val="hybridMultilevel"/>
    <w:lvl w:ilvl="0">
      <w:lvlJc w:val="left"/>
      <w:lvlText w:val="•"/>
      <w:numFmt w:val="bullet"/>
      <w:start w:val="1"/>
    </w:lvl>
  </w:abstractNum>
  <w:abstractNum w:abstractNumId="65">
    <w:nsid w:val="4FA0D2E3"/>
    <w:multiLevelType w:val="hybridMultilevel"/>
    <w:lvl w:ilvl="0">
      <w:lvlJc w:val="left"/>
      <w:lvlText w:val="(%1)"/>
      <w:numFmt w:val="decimal"/>
      <w:start w:val="1"/>
    </w:lvl>
  </w:abstractNum>
  <w:abstractNum w:abstractNumId="66">
    <w:nsid w:val="6B1D2C14"/>
    <w:multiLevelType w:val="hybridMultilevel"/>
    <w:lvl w:ilvl="0">
      <w:lvlJc w:val="left"/>
      <w:lvlText w:val="(%1)"/>
      <w:numFmt w:val="lowerLetter"/>
      <w:start w:val="1"/>
    </w:lvl>
  </w:abstractNum>
  <w:abstractNum w:abstractNumId="67">
    <w:nsid w:val="68B867D3"/>
    <w:multiLevelType w:val="hybridMultilevel"/>
    <w:lvl w:ilvl="0">
      <w:lvlJc w:val="left"/>
      <w:lvlText w:val="•"/>
      <w:numFmt w:val="bullet"/>
      <w:start w:val="1"/>
    </w:lvl>
  </w:abstractNum>
  <w:abstractNum w:abstractNumId="68">
    <w:nsid w:val="3F7F5DD9"/>
    <w:multiLevelType w:val="hybridMultilevel"/>
    <w:lvl w:ilvl="0">
      <w:lvlJc w:val="left"/>
      <w:lvlText w:val="•"/>
      <w:numFmt w:val="bullet"/>
      <w:start w:val="1"/>
    </w:lvl>
  </w:abstractNum>
  <w:abstractNum w:abstractNumId="69">
    <w:nsid w:val="2AE05A34"/>
    <w:multiLevelType w:val="hybridMultilevel"/>
    <w:lvl w:ilvl="0">
      <w:lvlJc w:val="left"/>
      <w:lvlText w:val="•"/>
      <w:numFmt w:val="bullet"/>
      <w:start w:val="1"/>
    </w:lvl>
  </w:abstractNum>
  <w:abstractNum w:abstractNumId="70">
    <w:nsid w:val="32794FF7"/>
    <w:multiLevelType w:val="hybridMultilevel"/>
    <w:lvl w:ilvl="0">
      <w:lvlJc w:val="left"/>
      <w:lvlText w:val="•"/>
      <w:numFmt w:val="bullet"/>
      <w:start w:val="1"/>
    </w:lvl>
  </w:abstractNum>
  <w:abstractNum w:abstractNumId="71">
    <w:nsid w:val="5454945E"/>
    <w:multiLevelType w:val="hybridMultilevel"/>
    <w:lvl w:ilvl="0">
      <w:lvlJc w:val="left"/>
      <w:lvlText w:val="•"/>
      <w:numFmt w:val="bullet"/>
      <w:start w:val="1"/>
    </w:lvl>
  </w:abstractNum>
  <w:abstractNum w:abstractNumId="72">
    <w:nsid w:val="4DEFDFA0"/>
    <w:multiLevelType w:val="hybridMultilevel"/>
    <w:lvl w:ilvl="0">
      <w:lvlJc w:val="left"/>
      <w:lvlText w:val="•"/>
      <w:numFmt w:val="bullet"/>
      <w:start w:val="1"/>
    </w:lvl>
  </w:abstractNum>
  <w:abstractNum w:abstractNumId="73">
    <w:nsid w:val="2123D5F2"/>
    <w:multiLevelType w:val="hybridMultilevel"/>
    <w:lvl w:ilvl="0">
      <w:lvlJc w:val="left"/>
      <w:lvlText w:val="(%1)"/>
      <w:numFmt w:val="lowerLetter"/>
      <w:start w:val="1"/>
    </w:lvl>
  </w:abstractNum>
  <w:abstractNum w:abstractNumId="74">
    <w:nsid w:val="135B8110"/>
    <w:multiLevelType w:val="hybridMultilevel"/>
    <w:lvl w:ilvl="0">
      <w:lvlJc w:val="left"/>
      <w:lvlText w:val="(%1)"/>
      <w:numFmt w:val="lowerLetter"/>
      <w:start w:val="1"/>
    </w:lvl>
  </w:abstractNum>
  <w:abstractNum w:abstractNumId="75">
    <w:nsid w:val="94927A8"/>
    <w:multiLevelType w:val="hybridMultilevel"/>
    <w:lvl w:ilvl="0">
      <w:lvlJc w:val="left"/>
      <w:lvlText w:val="•"/>
      <w:numFmt w:val="bullet"/>
      <w:start w:val="1"/>
    </w:lvl>
  </w:abstractNum>
  <w:abstractNum w:abstractNumId="76">
    <w:nsid w:val="DCDF8F6"/>
    <w:multiLevelType w:val="hybridMultilevel"/>
    <w:lvl w:ilvl="0">
      <w:lvlJc w:val="left"/>
      <w:lvlText w:val="•"/>
      <w:numFmt w:val="bullet"/>
      <w:start w:val="1"/>
    </w:lvl>
  </w:abstractNum>
  <w:abstractNum w:abstractNumId="77">
    <w:nsid w:val="52D7B105"/>
    <w:multiLevelType w:val="hybridMultilevel"/>
    <w:lvl w:ilvl="0">
      <w:lvlJc w:val="left"/>
      <w:lvlText w:val="•"/>
      <w:numFmt w:val="bullet"/>
      <w:start w:val="1"/>
    </w:lvl>
  </w:abstractNum>
  <w:abstractNum w:abstractNumId="78">
    <w:nsid w:val="2E8A6394"/>
    <w:multiLevelType w:val="hybridMultilevel"/>
    <w:lvl w:ilvl="0">
      <w:lvlJc w:val="left"/>
      <w:lvlText w:val="%1."/>
      <w:numFmt w:val="decimal"/>
      <w:start w:val="1"/>
    </w:lvl>
  </w:abstractNum>
  <w:abstractNum w:abstractNumId="79">
    <w:nsid w:val="24E60401"/>
    <w:multiLevelType w:val="hybridMultilevel"/>
    <w:lvl w:ilvl="0">
      <w:lvlJc w:val="left"/>
      <w:lvlText w:val="%1."/>
      <w:numFmt w:val="decimal"/>
      <w:start w:val="3"/>
    </w:lvl>
  </w:abstractNum>
  <w:abstractNum w:abstractNumId="80">
    <w:nsid w:val="2A6AD9BE"/>
    <w:multiLevelType w:val="hybridMultilevel"/>
    <w:lvl w:ilvl="0">
      <w:lvlJc w:val="left"/>
      <w:lvlText w:val="•"/>
      <w:numFmt w:val="bullet"/>
      <w:start w:val="1"/>
    </w:lvl>
  </w:abstractNum>
  <w:abstractNum w:abstractNumId="81">
    <w:nsid w:val="BAAC1B4"/>
    <w:multiLevelType w:val="hybridMultilevel"/>
    <w:lvl w:ilvl="0">
      <w:lvlJc w:val="left"/>
      <w:lvlText w:val="(%1)"/>
      <w:numFmt w:val="decimal"/>
      <w:start w:val="1"/>
    </w:lvl>
  </w:abstractNum>
  <w:abstractNum w:abstractNumId="82">
    <w:nsid w:val="36B2ACBC"/>
    <w:multiLevelType w:val="hybridMultilevel"/>
    <w:lvl w:ilvl="0">
      <w:lvlJc w:val="left"/>
      <w:lvlText w:val="(%1)"/>
      <w:numFmt w:val="decimal"/>
      <w:start w:val="3"/>
    </w:lvl>
  </w:abstractNum>
  <w:abstractNum w:abstractNumId="83">
    <w:nsid w:val="779D8544"/>
    <w:multiLevelType w:val="hybridMultilevel"/>
    <w:lvl w:ilvl="0">
      <w:lvlJc w:val="left"/>
      <w:lvlText w:val="•"/>
      <w:numFmt w:val="bullet"/>
      <w:start w:val="1"/>
    </w:lvl>
  </w:abstractNum>
  <w:abstractNum w:abstractNumId="84">
    <w:nsid w:val="4AB26E78"/>
    <w:multiLevelType w:val="hybridMultilevel"/>
    <w:lvl w:ilvl="0">
      <w:lvlJc w:val="left"/>
      <w:lvlText w:val="•"/>
      <w:numFmt w:val="bullet"/>
      <w:start w:val="1"/>
    </w:lvl>
  </w:abstractNum>
  <w:abstractNum w:abstractNumId="85">
    <w:nsid w:val="21FAA2FA"/>
    <w:multiLevelType w:val="hybridMultilevel"/>
    <w:lvl w:ilvl="0">
      <w:lvlJc w:val="left"/>
      <w:lvlText w:val="(%1)"/>
      <w:numFmt w:val="decimal"/>
      <w:start w:val="1"/>
    </w:lvl>
  </w:abstractNum>
  <w:abstractNum w:abstractNumId="86">
    <w:nsid w:val="5451CF49"/>
    <w:multiLevelType w:val="hybridMultilevel"/>
    <w:lvl w:ilvl="0">
      <w:lvlJc w:val="left"/>
      <w:lvlText w:val="(%1)"/>
      <w:numFmt w:val="decimal"/>
      <w:start w:val="1"/>
    </w:lvl>
  </w:abstractNum>
  <w:abstractNum w:abstractNumId="87">
    <w:nsid w:val="6181EF69"/>
    <w:multiLevelType w:val="hybridMultilevel"/>
    <w:lvl w:ilvl="0">
      <w:lvlJc w:val="left"/>
      <w:lvlText w:val="(%1)"/>
      <w:numFmt w:val="decimal"/>
      <w:start w:val="4"/>
    </w:lvl>
  </w:abstractNum>
  <w:abstractNum w:abstractNumId="88">
    <w:nsid w:val="3E6400E6"/>
    <w:multiLevelType w:val="hybridMultilevel"/>
    <w:lvl w:ilvl="0">
      <w:lvlJc w:val="left"/>
      <w:lvlText w:val="•"/>
      <w:numFmt w:val="bullet"/>
      <w:start w:val="1"/>
    </w:lvl>
  </w:abstractNum>
  <w:abstractNum w:abstractNumId="89">
    <w:nsid w:val="14217E23"/>
    <w:multiLevelType w:val="hybridMultilevel"/>
    <w:lvl w:ilvl="0">
      <w:lvlJc w:val="left"/>
      <w:lvlText w:val="(%1)"/>
      <w:numFmt w:val="lowerLetter"/>
      <w:start w:val="1"/>
    </w:lvl>
  </w:abstractNum>
  <w:abstractNum w:abstractNumId="90">
    <w:nsid w:val="710757D0"/>
    <w:multiLevelType w:val="hybridMultilevel"/>
    <w:lvl w:ilvl="0">
      <w:lvlJc w:val="left"/>
      <w:lvlText w:val="(%1)"/>
      <w:numFmt w:val="lowerLetter"/>
      <w:start w:val="1"/>
    </w:lvl>
  </w:abstractNum>
  <w:abstractNum w:abstractNumId="91">
    <w:nsid w:val="5015CD1A"/>
    <w:multiLevelType w:val="hybridMultilevel"/>
    <w:lvl w:ilvl="0">
      <w:lvlJc w:val="left"/>
      <w:lvlText w:val="•"/>
      <w:numFmt w:val="bullet"/>
      <w:start w:val="1"/>
    </w:lvl>
  </w:abstractNum>
  <w:abstractNum w:abstractNumId="92">
    <w:nsid w:val="424479DA"/>
    <w:multiLevelType w:val="hybridMultilevel"/>
    <w:lvl w:ilvl="0">
      <w:lvlJc w:val="left"/>
      <w:lvlText w:val="(%1)"/>
      <w:numFmt w:val="decimal"/>
      <w:start w:val="1"/>
    </w:lvl>
  </w:abstractNum>
  <w:abstractNum w:abstractNumId="93">
    <w:nsid w:val="1A9A9E69"/>
    <w:multiLevelType w:val="hybridMultilevel"/>
    <w:lvl w:ilvl="0">
      <w:lvlJc w:val="left"/>
      <w:lvlText w:val="(%1)"/>
      <w:numFmt w:val="decimal"/>
      <w:start w:val="1"/>
    </w:lvl>
  </w:abstractNum>
  <w:abstractNum w:abstractNumId="94">
    <w:nsid w:val="475E256A"/>
    <w:multiLevelType w:val="hybridMultilevel"/>
    <w:lvl w:ilvl="0">
      <w:lvlJc w:val="left"/>
      <w:lvlText w:val="(%1)"/>
      <w:numFmt w:val="decimal"/>
      <w:start w:val="1"/>
    </w:lvl>
  </w:abstractNum>
  <w:abstractNum w:abstractNumId="95">
    <w:nsid w:val="368DB37E"/>
    <w:multiLevelType w:val="hybridMultilevel"/>
    <w:lvl w:ilvl="0">
      <w:lvlJc w:val="left"/>
      <w:lvlText w:val="(%1)"/>
      <w:numFmt w:val="lowerLetter"/>
      <w:start w:val="2"/>
    </w:lvl>
  </w:abstractNum>
  <w:abstractNum w:abstractNumId="96">
    <w:nsid w:val="6A3B714C"/>
    <w:multiLevelType w:val="hybridMultilevel"/>
    <w:lvl w:ilvl="0">
      <w:lvlJc w:val="left"/>
      <w:lvlText w:val="*"/>
      <w:numFmt w:val="bullet"/>
      <w:start w:val="1"/>
    </w:lvl>
  </w:abstractNum>
  <w:abstractNum w:abstractNumId="97">
    <w:nsid w:val="327B517E"/>
    <w:multiLevelType w:val="hybridMultilevel"/>
    <w:lvl w:ilvl="0">
      <w:lvlJc w:val="left"/>
      <w:lvlText w:val="**"/>
      <w:numFmt w:val="bullet"/>
      <w:start w:val="1"/>
    </w:lvl>
    <w:lvl w:ilvl="1">
      <w:lvlJc w:val="left"/>
      <w:lvlText w:val="(%2)"/>
      <w:numFmt w:val="lowerLetter"/>
      <w:start w:val="2"/>
    </w:lvl>
  </w:abstractNum>
  <w:abstractNum w:abstractNumId="98">
    <w:nsid w:val="1F461B5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9">
    <w:nsid w:val="29BACF25"/>
    <w:multiLevelType w:val="hybridMultilevel"/>
    <w:lvl w:ilvl="0">
      <w:lvlJc w:val="left"/>
      <w:lvlText w:val="(%1)"/>
      <w:numFmt w:val="lowerRoman"/>
      <w:start w:val="3"/>
    </w:lvl>
  </w:abstractNum>
  <w:abstractNum w:abstractNumId="100">
    <w:nsid w:val="5D5BABB3"/>
    <w:multiLevelType w:val="hybridMultilevel"/>
    <w:lvl w:ilvl="0">
      <w:lvlJc w:val="left"/>
      <w:lvlText w:val="1"/>
      <w:numFmt w:val="bullet"/>
      <w:start w:val="1"/>
    </w:lvl>
  </w:abstractNum>
  <w:abstractNum w:abstractNumId="101">
    <w:nsid w:val="51BF6B48"/>
    <w:multiLevelType w:val="hybridMultilevel"/>
    <w:lvl w:ilvl="0">
      <w:lvlJc w:val="left"/>
      <w:lvlText w:val="2"/>
      <w:numFmt w:val="bullet"/>
      <w:start w:val="1"/>
    </w:lvl>
  </w:abstractNum>
  <w:abstractNum w:abstractNumId="102">
    <w:nsid w:val="7E0F6384"/>
    <w:multiLevelType w:val="hybridMultilevel"/>
    <w:lvl w:ilvl="0">
      <w:lvlJc w:val="left"/>
      <w:lvlText w:val="3"/>
      <w:numFmt w:val="bullet"/>
      <w:start w:val="1"/>
    </w:lvl>
  </w:abstractNum>
  <w:abstractNum w:abstractNumId="103">
    <w:nsid w:val="2B4B8B53"/>
    <w:multiLevelType w:val="hybridMultilevel"/>
    <w:lvl w:ilvl="0">
      <w:lvlJc w:val="left"/>
      <w:lvlText w:val="4"/>
      <w:numFmt w:val="bullet"/>
      <w:start w:val="1"/>
    </w:lvl>
  </w:abstractNum>
  <w:abstractNum w:abstractNumId="104">
    <w:nsid w:val="72E3413A"/>
    <w:multiLevelType w:val="hybridMultilevel"/>
    <w:lvl w:ilvl="0">
      <w:lvlJc w:val="left"/>
      <w:lvlText w:val="5"/>
      <w:numFmt w:val="bullet"/>
      <w:start w:val="1"/>
    </w:lvl>
  </w:abstractNum>
  <w:abstractNum w:abstractNumId="105">
    <w:nsid w:val="116AE494"/>
    <w:multiLevelType w:val="hybridMultilevel"/>
    <w:lvl w:ilvl="0">
      <w:lvlJc w:val="left"/>
      <w:lvlText w:val="6"/>
      <w:numFmt w:val="bullet"/>
      <w:start w:val="1"/>
    </w:lvl>
  </w:abstractNum>
  <w:abstractNum w:abstractNumId="106">
    <w:nsid w:val="3494B2FB"/>
    <w:multiLevelType w:val="hybridMultilevel"/>
    <w:lvl w:ilvl="0">
      <w:lvlJc w:val="left"/>
      <w:lvlText w:val="7"/>
      <w:numFmt w:val="bullet"/>
      <w:start w:val="1"/>
    </w:lvl>
  </w:abstractNum>
  <w:abstractNum w:abstractNumId="107">
    <w:nsid w:val="B13A31"/>
    <w:multiLevelType w:val="hybridMultilevel"/>
    <w:lvl w:ilvl="0">
      <w:lvlJc w:val="left"/>
      <w:lvlText w:val="1"/>
      <w:numFmt w:val="bullet"/>
      <w:start w:val="1"/>
    </w:lvl>
  </w:abstractNum>
  <w:abstractNum w:abstractNumId="108">
    <w:nsid w:val="64429599"/>
    <w:multiLevelType w:val="hybridMultilevel"/>
    <w:lvl w:ilvl="0">
      <w:lvlJc w:val="left"/>
      <w:lvlText w:val="(%1)"/>
      <w:numFmt w:val="lowerLetter"/>
      <w:start w:val="11"/>
    </w:lvl>
  </w:abstractNum>
  <w:abstractNum w:abstractNumId="109">
    <w:nsid w:val="631F1690"/>
    <w:multiLevelType w:val="hybridMultilevel"/>
    <w:lvl w:ilvl="0">
      <w:lvlJc w:val="left"/>
      <w:lvlText w:val="2"/>
      <w:numFmt w:val="bullet"/>
      <w:start w:val="1"/>
    </w:lvl>
  </w:abstractNum>
  <w:abstractNum w:abstractNumId="110">
    <w:nsid w:val="25973E32"/>
    <w:multiLevelType w:val="hybridMultilevel"/>
    <w:lvl w:ilvl="0">
      <w:lvlJc w:val="left"/>
      <w:lvlText w:val="3"/>
      <w:numFmt w:val="bullet"/>
      <w:start w:val="1"/>
    </w:lvl>
  </w:abstractNum>
  <w:abstractNum w:abstractNumId="111">
    <w:nsid w:val="EAD6F57"/>
    <w:multiLevelType w:val="hybridMultilevel"/>
    <w:lvl w:ilvl="0">
      <w:lvlJc w:val="left"/>
      <w:lvlText w:val="4"/>
      <w:numFmt w:val="bullet"/>
      <w:start w:val="1"/>
    </w:lvl>
  </w:abstractNum>
  <w:abstractNum w:abstractNumId="112">
    <w:nsid w:val="6EC9D844"/>
    <w:multiLevelType w:val="hybridMultilevel"/>
    <w:lvl w:ilvl="0">
      <w:lvlJc w:val="left"/>
      <w:lvlText w:val="5"/>
      <w:numFmt w:val="bullet"/>
      <w:start w:val="1"/>
    </w:lvl>
  </w:abstractNum>
  <w:abstractNum w:abstractNumId="113">
    <w:nsid w:val="5C49EAEE"/>
    <w:multiLevelType w:val="hybridMultilevel"/>
    <w:lvl w:ilvl="0">
      <w:lvlJc w:val="left"/>
      <w:lvlText w:val="6"/>
      <w:numFmt w:val="bullet"/>
      <w:start w:val="1"/>
    </w:lvl>
  </w:abstractNum>
  <w:abstractNum w:abstractNumId="114">
    <w:nsid w:val="64AF49B"/>
    <w:multiLevelType w:val="hybridMultilevel"/>
    <w:lvl w:ilvl="0">
      <w:lvlJc w:val="left"/>
      <w:lvlText w:val="7"/>
      <w:numFmt w:val="bullet"/>
      <w:start w:val="1"/>
    </w:lvl>
  </w:abstractNum>
  <w:abstractNum w:abstractNumId="115">
    <w:nsid w:val="397C46BC"/>
    <w:multiLevelType w:val="hybridMultilevel"/>
    <w:lvl w:ilvl="0">
      <w:lvlJc w:val="left"/>
      <w:lvlText w:val="8"/>
      <w:numFmt w:val="bullet"/>
      <w:start w:val="1"/>
    </w:lvl>
  </w:abstractNum>
  <w:abstractNum w:abstractNumId="116">
    <w:nsid w:val="7E448DE9"/>
    <w:multiLevelType w:val="hybridMultilevel"/>
    <w:lvl w:ilvl="0">
      <w:lvlJc w:val="left"/>
      <w:lvlText w:val="9"/>
      <w:numFmt w:val="bullet"/>
      <w:start w:val="1"/>
    </w:lvl>
  </w:abstractNum>
  <w:abstractNum w:abstractNumId="117">
    <w:nsid w:val="5A9CC3E5"/>
    <w:multiLevelType w:val="hybridMultilevel"/>
    <w:lvl w:ilvl="0">
      <w:lvlJc w:val="left"/>
      <w:lvlText w:val="%1"/>
      <w:numFmt w:val="decimal"/>
      <w:start w:val="11"/>
    </w:lvl>
  </w:abstractNum>
  <w:abstractNum w:abstractNumId="118">
    <w:nsid w:val="1AFE3625"/>
    <w:multiLevelType w:val="hybridMultilevel"/>
    <w:lvl w:ilvl="0">
      <w:lvlJc w:val="left"/>
      <w:lvlText w:val="%1"/>
      <w:numFmt w:val="decimal"/>
      <w:start w:val="12"/>
    </w:lvl>
  </w:abstractNum>
  <w:abstractNum w:abstractNumId="119">
    <w:nsid w:val="3CA88ECF"/>
    <w:multiLevelType w:val="hybridMultilevel"/>
    <w:lvl w:ilvl="0">
      <w:lvlJc w:val="left"/>
      <w:lvlText w:val="(%1)"/>
      <w:numFmt w:val="lowerLetter"/>
      <w:start w:val="1"/>
    </w:lvl>
  </w:abstractNum>
  <w:abstractNum w:abstractNumId="120">
    <w:nsid w:val="6EBE4208"/>
    <w:multiLevelType w:val="hybridMultilevel"/>
    <w:lvl w:ilvl="0">
      <w:lvlJc w:val="left"/>
      <w:lvlText w:val="(%1)"/>
      <w:numFmt w:val="lowerLetter"/>
      <w:start w:val="1"/>
    </w:lvl>
  </w:abstractNum>
  <w:abstractNum w:abstractNumId="121">
    <w:nsid w:val="C058DF5"/>
    <w:multiLevelType w:val="hybridMultilevel"/>
    <w:lvl w:ilvl="0">
      <w:lvlJc w:val="left"/>
      <w:lvlText w:val="%1"/>
      <w:numFmt w:val="decimal"/>
      <w:start w:val="19"/>
    </w:lvl>
  </w:abstractNum>
  <w:abstractNum w:abstractNumId="122">
    <w:nsid w:val="CBE5BE9"/>
    <w:multiLevelType w:val="hybridMultilevel"/>
    <w:lvl w:ilvl="0">
      <w:lvlJc w:val="left"/>
      <w:lvlText w:val="(%1)"/>
      <w:numFmt w:val="lowerLetter"/>
      <w:start w:val="1"/>
    </w:lvl>
  </w:abstractNum>
  <w:abstractNum w:abstractNumId="123">
    <w:nsid w:val="3102BBE2"/>
    <w:multiLevelType w:val="hybridMultilevel"/>
    <w:lvl w:ilvl="0">
      <w:lvlJc w:val="left"/>
      <w:lvlText w:val="%1"/>
      <w:numFmt w:val="decimal"/>
      <w:start w:val="25"/>
    </w:lvl>
  </w:abstractNum>
  <w:abstractNum w:abstractNumId="124">
    <w:nsid w:val="26A02C5E"/>
    <w:multiLevelType w:val="hybridMultilevel"/>
    <w:lvl w:ilvl="0">
      <w:lvlJc w:val="left"/>
      <w:lvlText w:val="%1"/>
      <w:numFmt w:val="decimal"/>
      <w:start w:val="30"/>
    </w:lvl>
    <w:lvl w:ilvl="1">
      <w:lvlJc w:val="left"/>
      <w:lvlText w:val="(%2)"/>
      <w:numFmt w:val="lowerLetter"/>
      <w:start w:val="1"/>
    </w:lvl>
  </w:abstractNum>
  <w:abstractNum w:abstractNumId="125">
    <w:nsid w:val="541C8153"/>
    <w:multiLevelType w:val="hybridMultilevel"/>
    <w:lvl w:ilvl="0">
      <w:lvlJc w:val="left"/>
      <w:lvlText w:val="%1"/>
      <w:numFmt w:val="decimal"/>
      <w:start w:val="32"/>
    </w:lvl>
  </w:abstractNum>
  <w:abstractNum w:abstractNumId="126">
    <w:nsid w:val="67906F60"/>
    <w:multiLevelType w:val="hybridMultilevel"/>
    <w:lvl w:ilvl="0">
      <w:lvlJc w:val="left"/>
      <w:lvlText w:val="%1"/>
      <w:numFmt w:val="decimal"/>
      <w:start w:val="34"/>
    </w:lvl>
  </w:abstractNum>
  <w:abstractNum w:abstractNumId="127">
    <w:nsid w:val="10DB9DAA"/>
    <w:multiLevelType w:val="hybridMultilevel"/>
    <w:lvl w:ilvl="0">
      <w:lvlJc w:val="left"/>
      <w:lvlText w:val="%1"/>
      <w:numFmt w:val="decimal"/>
      <w:start w:val="37"/>
    </w:lvl>
  </w:abstractNum>
  <w:abstractNum w:abstractNumId="128">
    <w:nsid w:val="697D2D2"/>
    <w:multiLevelType w:val="hybridMultilevel"/>
    <w:lvl w:ilvl="0">
      <w:lvlJc w:val="left"/>
      <w:lvlText w:val="%1"/>
      <w:numFmt w:val="decimal"/>
      <w:start w:val="41"/>
    </w:lvl>
  </w:abstractNum>
  <w:abstractNum w:abstractNumId="129">
    <w:nsid w:val="6D68AB2"/>
    <w:multiLevelType w:val="hybridMultilevel"/>
    <w:lvl w:ilvl="0">
      <w:lvlJc w:val="left"/>
      <w:lvlText w:val="(%1)"/>
      <w:numFmt w:val="lowerLetter"/>
      <w:start w:val="1"/>
    </w:lvl>
  </w:abstractNum>
  <w:abstractNum w:abstractNumId="130">
    <w:nsid w:val="3A966CD0"/>
    <w:multiLevelType w:val="hybridMultilevel"/>
    <w:lvl w:ilvl="0">
      <w:lvlJc w:val="left"/>
      <w:lvlText w:val="%1"/>
      <w:numFmt w:val="decimal"/>
      <w:start w:val="47"/>
    </w:lvl>
  </w:abstractNum>
  <w:abstractNum w:abstractNumId="131">
    <w:nsid w:val="63F37E85"/>
    <w:multiLevelType w:val="hybridMultilevel"/>
    <w:lvl w:ilvl="0">
      <w:lvlJc w:val="left"/>
      <w:lvlText w:val="1"/>
      <w:numFmt w:val="bullet"/>
      <w:start w:val="1"/>
    </w:lvl>
  </w:abstractNum>
  <w:abstractNum w:abstractNumId="132">
    <w:nsid w:val="5895F5FA"/>
    <w:multiLevelType w:val="hybridMultilevel"/>
    <w:lvl w:ilvl="0">
      <w:lvlJc w:val="left"/>
      <w:lvlText w:val="2"/>
      <w:numFmt w:val="bullet"/>
      <w:start w:val="1"/>
    </w:lvl>
  </w:abstractNum>
  <w:abstractNum w:abstractNumId="133">
    <w:nsid w:val="38A5D054"/>
    <w:multiLevelType w:val="hybridMultilevel"/>
    <w:lvl w:ilvl="0">
      <w:lvlJc w:val="left"/>
      <w:lvlText w:val="3"/>
      <w:numFmt w:val="bullet"/>
      <w:start w:val="1"/>
    </w:lvl>
  </w:abstractNum>
  <w:abstractNum w:abstractNumId="134">
    <w:nsid w:val="F3F09D8"/>
    <w:multiLevelType w:val="hybridMultilevel"/>
    <w:lvl w:ilvl="0">
      <w:lvlJc w:val="left"/>
      <w:lvlText w:val="4"/>
      <w:numFmt w:val="bullet"/>
      <w:start w:val="1"/>
    </w:lvl>
  </w:abstractNum>
  <w:abstractNum w:abstractNumId="135">
    <w:nsid w:val="4B793735"/>
    <w:multiLevelType w:val="hybridMultilevel"/>
    <w:lvl w:ilvl="0">
      <w:lvlJc w:val="left"/>
      <w:lvlText w:val="5"/>
      <w:numFmt w:val="bullet"/>
      <w:start w:val="1"/>
    </w:lvl>
  </w:abstractNum>
  <w:abstractNum w:abstractNumId="136">
    <w:nsid w:val="4A10B4E8"/>
    <w:multiLevelType w:val="hybridMultilevel"/>
    <w:lvl w:ilvl="0">
      <w:lvlJc w:val="left"/>
      <w:lvlText w:val="6"/>
      <w:numFmt w:val="bullet"/>
      <w:start w:val="1"/>
    </w:lvl>
  </w:abstractNum>
  <w:abstractNum w:abstractNumId="137">
    <w:nsid w:val="43D3BCD4"/>
    <w:multiLevelType w:val="hybridMultilevel"/>
    <w:lvl w:ilvl="0">
      <w:lvlJc w:val="left"/>
      <w:lvlText w:val="7"/>
      <w:numFmt w:val="bullet"/>
      <w:start w:val="1"/>
    </w:lvl>
  </w:abstractNum>
  <w:abstractNum w:abstractNumId="138">
    <w:nsid w:val="4C2A7166"/>
    <w:multiLevelType w:val="hybridMultilevel"/>
    <w:lvl w:ilvl="0">
      <w:lvlJc w:val="left"/>
      <w:lvlText w:val="1"/>
      <w:numFmt w:val="bullet"/>
      <w:start w:val="1"/>
    </w:lvl>
  </w:abstractNum>
  <w:abstractNum w:abstractNumId="139">
    <w:nsid w:val="2E534A82"/>
    <w:multiLevelType w:val="hybridMultilevel"/>
    <w:lvl w:ilvl="0">
      <w:lvlJc w:val="left"/>
      <w:lvlText w:val="(%1)"/>
      <w:numFmt w:val="lowerLetter"/>
      <w:start w:val="1"/>
    </w:lvl>
  </w:abstractNum>
  <w:abstractNum w:abstractNumId="140">
    <w:nsid w:val="26F2D364"/>
    <w:multiLevelType w:val="hybridMultilevel"/>
    <w:lvl w:ilvl="0">
      <w:lvlJc w:val="left"/>
      <w:lvlText w:val="(%1)"/>
      <w:numFmt w:val="lowerLetter"/>
      <w:start w:val="9"/>
    </w:lvl>
  </w:abstractNum>
  <w:abstractNum w:abstractNumId="141">
    <w:nsid w:val="71C1AF98"/>
    <w:multiLevelType w:val="hybridMultilevel"/>
    <w:lvl w:ilvl="0">
      <w:lvlJc w:val="left"/>
      <w:lvlText w:val="2"/>
      <w:numFmt w:val="bullet"/>
      <w:start w:val="1"/>
    </w:lvl>
  </w:abstractNum>
  <w:abstractNum w:abstractNumId="142">
    <w:nsid w:val="3D00B9D9"/>
    <w:multiLevelType w:val="hybridMultilevel"/>
    <w:lvl w:ilvl="0">
      <w:lvlJc w:val="left"/>
      <w:lvlText w:val="3"/>
      <w:numFmt w:val="bullet"/>
      <w:start w:val="1"/>
    </w:lvl>
  </w:abstractNum>
  <w:abstractNum w:abstractNumId="143">
    <w:nsid w:val="15BCABA8"/>
    <w:multiLevelType w:val="hybridMultilevel"/>
    <w:lvl w:ilvl="0">
      <w:lvlJc w:val="left"/>
      <w:lvlText w:val="4"/>
      <w:numFmt w:val="bullet"/>
      <w:start w:val="1"/>
    </w:lvl>
  </w:abstractNum>
  <w:abstractNum w:abstractNumId="144">
    <w:nsid w:val="4E0B9A87"/>
    <w:multiLevelType w:val="hybridMultilevel"/>
    <w:lvl w:ilvl="0">
      <w:lvlJc w:val="left"/>
      <w:lvlText w:val="5"/>
      <w:numFmt w:val="bullet"/>
      <w:start w:val="1"/>
    </w:lvl>
  </w:abstractNum>
  <w:abstractNum w:abstractNumId="145">
    <w:nsid w:val="434BAE75"/>
    <w:multiLevelType w:val="hybridMultilevel"/>
    <w:lvl w:ilvl="0">
      <w:lvlJc w:val="left"/>
      <w:lvlText w:val="6"/>
      <w:numFmt w:val="bullet"/>
      <w:start w:val="1"/>
    </w:lvl>
  </w:abstractNum>
  <w:abstractNum w:abstractNumId="146">
    <w:nsid w:val="4F38F265"/>
    <w:multiLevelType w:val="hybridMultilevel"/>
    <w:lvl w:ilvl="0">
      <w:lvlJc w:val="left"/>
      <w:lvlText w:val="7"/>
      <w:numFmt w:val="bullet"/>
      <w:start w:val="1"/>
    </w:lvl>
  </w:abstractNum>
  <w:abstractNum w:abstractNumId="147">
    <w:nsid w:val="4C502870"/>
    <w:multiLevelType w:val="hybridMultilevel"/>
    <w:lvl w:ilvl="0">
      <w:lvlJc w:val="left"/>
      <w:lvlText w:val="8"/>
      <w:numFmt w:val="bullet"/>
      <w:start w:val="1"/>
    </w:lvl>
  </w:abstractNum>
  <w:abstractNum w:abstractNumId="148">
    <w:nsid w:val="1DE8725A"/>
    <w:multiLevelType w:val="hybridMultilevel"/>
    <w:lvl w:ilvl="0">
      <w:lvlJc w:val="left"/>
      <w:lvlText w:val="(%1)"/>
      <w:numFmt w:val="lowerLetter"/>
      <w:start w:val="1"/>
    </w:lvl>
  </w:abstractNum>
  <w:abstractNum w:abstractNumId="149">
    <w:nsid w:val="6A37288A"/>
    <w:multiLevelType w:val="hybridMultilevel"/>
    <w:lvl w:ilvl="0">
      <w:lvlJc w:val="left"/>
      <w:lvlText w:val="9"/>
      <w:numFmt w:val="bullet"/>
      <w:start w:val="1"/>
    </w:lvl>
  </w:abstractNum>
  <w:abstractNum w:abstractNumId="150">
    <w:nsid w:val="8F8B73F"/>
    <w:multiLevelType w:val="hybridMultilevel"/>
    <w:lvl w:ilvl="0">
      <w:lvlJc w:val="left"/>
      <w:lvlText w:val="%1"/>
      <w:numFmt w:val="decimal"/>
      <w:start w:val="11"/>
    </w:lvl>
  </w:abstractNum>
  <w:abstractNum w:abstractNumId="151">
    <w:nsid w:val="CA6B462"/>
    <w:multiLevelType w:val="hybridMultilevel"/>
    <w:lvl w:ilvl="0">
      <w:lvlJc w:val="left"/>
      <w:lvlText w:val="%1"/>
      <w:numFmt w:val="decimal"/>
      <w:start w:val="12"/>
    </w:lvl>
  </w:abstractNum>
  <w:abstractNum w:abstractNumId="152">
    <w:nsid w:val="763CB680"/>
    <w:multiLevelType w:val="hybridMultilevel"/>
    <w:lvl w:ilvl="0">
      <w:lvlJc w:val="left"/>
      <w:lvlText w:val="(%1)"/>
      <w:numFmt w:val="lowerLetter"/>
      <w:start w:val="1"/>
    </w:lvl>
  </w:abstractNum>
  <w:abstractNum w:abstractNumId="153">
    <w:nsid w:val="15B71329"/>
    <w:multiLevelType w:val="hybridMultilevel"/>
    <w:lvl w:ilvl="0">
      <w:lvlJc w:val="left"/>
      <w:lvlText w:val="(%1)"/>
      <w:numFmt w:val="lowerLetter"/>
      <w:start w:val="4"/>
    </w:lvl>
  </w:abstractNum>
  <w:abstractNum w:abstractNumId="154">
    <w:nsid w:val="3DA97044"/>
    <w:multiLevelType w:val="hybridMultilevel"/>
    <w:lvl w:ilvl="0">
      <w:lvlJc w:val="left"/>
      <w:lvlText w:val="(%1)"/>
      <w:numFmt w:val="lowerLetter"/>
      <w:start w:val="1"/>
    </w:lvl>
  </w:abstractNum>
  <w:abstractNum w:abstractNumId="155">
    <w:nsid w:val="1CDCE2DE"/>
    <w:multiLevelType w:val="hybridMultilevel"/>
    <w:lvl w:ilvl="0">
      <w:lvlJc w:val="left"/>
      <w:lvlText w:val="%1"/>
      <w:numFmt w:val="decimal"/>
      <w:start w:val="19"/>
    </w:lvl>
  </w:abstractNum>
  <w:abstractNum w:abstractNumId="156">
    <w:nsid w:val="69D3947C"/>
    <w:multiLevelType w:val="hybridMultilevel"/>
    <w:lvl w:ilvl="0">
      <w:lvlJc w:val="left"/>
      <w:lvlText w:val="(%1)"/>
      <w:numFmt w:val="lowerLetter"/>
      <w:start w:val="1"/>
    </w:lvl>
  </w:abstractNum>
  <w:abstractNum w:abstractNumId="157">
    <w:nsid w:val="2539DFA5"/>
    <w:multiLevelType w:val="hybridMultilevel"/>
    <w:lvl w:ilvl="0">
      <w:lvlJc w:val="left"/>
      <w:lvlText w:val="%1"/>
      <w:numFmt w:val="decimal"/>
      <w:start w:val="26"/>
    </w:lvl>
  </w:abstractNum>
  <w:abstractNum w:abstractNumId="158">
    <w:nsid w:val="2DB88089"/>
    <w:multiLevelType w:val="hybridMultilevel"/>
    <w:lvl w:ilvl="0">
      <w:lvlJc w:val="left"/>
      <w:lvlText w:val="%1"/>
      <w:numFmt w:val="decimal"/>
      <w:start w:val="30"/>
    </w:lvl>
    <w:lvl w:ilvl="1">
      <w:lvlJc w:val="left"/>
      <w:lvlText w:val="(%2)"/>
      <w:numFmt w:val="lowerLetter"/>
      <w:start w:val="1"/>
    </w:lvl>
  </w:abstractNum>
  <w:abstractNum w:abstractNumId="159">
    <w:nsid w:val="706B674E"/>
    <w:multiLevelType w:val="hybridMultilevel"/>
    <w:lvl w:ilvl="0">
      <w:lvlJc w:val="left"/>
      <w:lvlText w:val="%1"/>
      <w:numFmt w:val="decimal"/>
      <w:start w:val="32"/>
    </w:lvl>
  </w:abstractNum>
  <w:abstractNum w:abstractNumId="160">
    <w:nsid w:val="2C106A57"/>
    <w:multiLevelType w:val="hybridMultilevel"/>
    <w:lvl w:ilvl="0">
      <w:lvlJc w:val="left"/>
      <w:lvlText w:val="%1"/>
      <w:numFmt w:val="decimal"/>
      <w:start w:val="34"/>
    </w:lvl>
  </w:abstractNum>
  <w:abstractNum w:abstractNumId="161">
    <w:nsid w:val="684EED59"/>
    <w:multiLevelType w:val="hybridMultilevel"/>
    <w:lvl w:ilvl="0">
      <w:lvlJc w:val="left"/>
      <w:lvlText w:val="%1"/>
      <w:numFmt w:val="decimal"/>
      <w:start w:val="36"/>
    </w:lvl>
  </w:abstractNum>
  <w:abstractNum w:abstractNumId="162">
    <w:nsid w:val="545EE5D3"/>
    <w:multiLevelType w:val="hybridMultilevel"/>
    <w:lvl w:ilvl="0">
      <w:lvlJc w:val="left"/>
      <w:lvlText w:val="%1"/>
      <w:numFmt w:val="decimal"/>
      <w:start w:val="40"/>
    </w:lvl>
  </w:abstractNum>
  <w:abstractNum w:abstractNumId="163">
    <w:nsid w:val="4A66051"/>
    <w:multiLevelType w:val="hybridMultilevel"/>
    <w:lvl w:ilvl="0">
      <w:lvlJc w:val="left"/>
      <w:lvlText w:val="(%1)"/>
      <w:numFmt w:val="lowerLetter"/>
      <w:start w:val="1"/>
    </w:lvl>
  </w:abstractNum>
  <w:abstractNum w:abstractNumId="164">
    <w:nsid w:val="20F4BDAD"/>
    <w:multiLevelType w:val="hybridMultilevel"/>
    <w:lvl w:ilvl="0">
      <w:lvlJc w:val="left"/>
      <w:lvlText w:val="(%1)"/>
      <w:numFmt w:val="lowerLetter"/>
      <w:start w:val="5"/>
    </w:lvl>
  </w:abstractNum>
  <w:abstractNum w:abstractNumId="165">
    <w:nsid w:val="639DEFAC"/>
    <w:multiLevelType w:val="hybridMultilevel"/>
    <w:lvl w:ilvl="0">
      <w:lvlJc w:val="left"/>
      <w:lvlText w:val="(%1)"/>
      <w:numFmt w:val="lowerLetter"/>
      <w:start w:val="1"/>
    </w:lvl>
  </w:abstractNum>
  <w:abstractNum w:abstractNumId="166">
    <w:nsid w:val="501F9786"/>
    <w:multiLevelType w:val="hybridMultilevel"/>
    <w:lvl w:ilvl="0">
      <w:lvlJc w:val="left"/>
      <w:lvlText w:val="%1"/>
      <w:numFmt w:val="decimal"/>
      <w:start w:val="46"/>
    </w:lvl>
  </w:abstractNum>
  <w:abstractNum w:abstractNumId="167">
    <w:nsid w:val="6B057295"/>
    <w:multiLevelType w:val="hybridMultilevel"/>
    <w:lvl w:ilvl="0">
      <w:lvlJc w:val="left"/>
      <w:lvlText w:val="%1"/>
      <w:numFmt w:val="decimal"/>
      <w:start w:val="48"/>
    </w:lvl>
  </w:abstractNum>
  <w:abstractNum w:abstractNumId="168">
    <w:nsid w:val="2771AC80"/>
    <w:multiLevelType w:val="hybridMultilevel"/>
    <w:lvl w:ilvl="0">
      <w:lvlJc w:val="left"/>
      <w:lvlText w:val="(%1)"/>
      <w:numFmt w:val="lowerLetter"/>
      <w:start w:val="1"/>
    </w:lvl>
  </w:abstractNum>
  <w:abstractNum w:abstractNumId="169">
    <w:nsid w:val="1C4A08EC"/>
    <w:multiLevelType w:val="hybridMultilevel"/>
    <w:lvl w:ilvl="0">
      <w:lvlJc w:val="left"/>
      <w:lvlText w:val="(%1)"/>
      <w:numFmt w:val="lowerLetter"/>
      <w:start w:val="1"/>
    </w:lvl>
  </w:abstractNum>
  <w:abstractNum w:abstractNumId="170">
    <w:nsid w:val="1958BD17"/>
    <w:multiLevelType w:val="hybridMultilevel"/>
    <w:lvl w:ilvl="0">
      <w:lvlJc w:val="left"/>
      <w:lvlText w:val="(%1)"/>
      <w:numFmt w:val="lowerLetter"/>
      <w:start w:val="1"/>
    </w:lvl>
  </w:abstractNum>
  <w:abstractNum w:abstractNumId="171">
    <w:nsid w:val="4E647FE4"/>
    <w:multiLevelType w:val="hybridMultilevel"/>
    <w:lvl w:ilvl="0">
      <w:lvlJc w:val="left"/>
      <w:lvlText w:val="(%1)"/>
      <w:numFmt w:val="lowerLetter"/>
      <w:start w:val="1"/>
    </w:lvl>
  </w:abstractNum>
  <w:abstractNum w:abstractNumId="172">
    <w:nsid w:val="E0BB885"/>
    <w:multiLevelType w:val="hybridMultilevel"/>
    <w:lvl w:ilvl="0">
      <w:lvlJc w:val="left"/>
      <w:lvlText w:val="(%1)"/>
      <w:numFmt w:val="lowerLetter"/>
      <w:start w:val="1"/>
    </w:lvl>
  </w:abstractNum>
  <w:abstractNum w:abstractNumId="173">
    <w:nsid w:val="565976F1"/>
    <w:multiLevelType w:val="hybridMultilevel"/>
    <w:lvl w:ilvl="0">
      <w:lvlJc w:val="left"/>
      <w:lvlText w:val="%1"/>
      <w:numFmt w:val="decimal"/>
      <w:start w:val="50"/>
    </w:lvl>
  </w:abstractNum>
  <w:abstractNum w:abstractNumId="174">
    <w:nsid w:val="64212B8C"/>
    <w:multiLevelType w:val="hybridMultilevel"/>
    <w:lvl w:ilvl="0">
      <w:lvlJc w:val="left"/>
      <w:lvlText w:val="%1."/>
      <w:numFmt w:val="decimal"/>
      <w:start w:val="1"/>
    </w:lvl>
  </w:abstractNum>
  <w:abstractNum w:abstractNumId="175">
    <w:nsid w:val="5C17530C"/>
    <w:multiLevelType w:val="hybridMultilevel"/>
    <w:lvl w:ilvl="0">
      <w:lvlJc w:val="left"/>
      <w:lvlText w:val="%1."/>
      <w:numFmt w:val="decimal"/>
      <w:start w:val="3"/>
    </w:lvl>
  </w:abstractNum>
  <w:abstractNum w:abstractNumId="176">
    <w:nsid w:val="19A52566"/>
    <w:multiLevelType w:val="hybridMultilevel"/>
    <w:lvl w:ilvl="0">
      <w:lvlJc w:val="left"/>
      <w:lvlText w:val="%1."/>
      <w:numFmt w:val="decimal"/>
      <w:start w:val="5"/>
    </w:lvl>
    <w:lvl w:ilvl="1">
      <w:lvlJc w:val="left"/>
      <w:lvlText w:val="(%2)"/>
      <w:numFmt w:val="lowerLetter"/>
      <w:start w:val="1"/>
    </w:lvl>
  </w:abstractNum>
  <w:abstractNum w:abstractNumId="177">
    <w:nsid w:val="335A1DF1"/>
    <w:multiLevelType w:val="hybridMultilevel"/>
    <w:lvl w:ilvl="0">
      <w:lvlJc w:val="left"/>
      <w:lvlText w:val="%1"/>
      <w:numFmt w:val="decimal"/>
      <w:start w:val="1"/>
    </w:lvl>
    <w:lvl w:ilvl="1">
      <w:lvlJc w:val="left"/>
      <w:lvlText w:val="(%2)"/>
      <w:numFmt w:val="lowerLetter"/>
      <w:start w:val="2"/>
    </w:lvl>
  </w:abstractNum>
  <w:abstractNum w:abstractNumId="178">
    <w:nsid w:val="28677B7C"/>
    <w:multiLevelType w:val="hybridMultilevel"/>
    <w:lvl w:ilvl="0">
      <w:lvlJc w:val="left"/>
      <w:lvlText w:val="%1."/>
      <w:numFmt w:val="decimal"/>
      <w:start w:val="6"/>
    </w:lvl>
    <w:lvl w:ilvl="1">
      <w:lvlJc w:val="left"/>
      <w:lvlText w:val="(%2)"/>
      <w:numFmt w:val="lowerLetter"/>
      <w:start w:val="1"/>
    </w:lvl>
  </w:abstractNum>
  <w:abstractNum w:abstractNumId="179">
    <w:nsid w:val="378D97C0"/>
    <w:multiLevelType w:val="hybridMultilevel"/>
    <w:lvl w:ilvl="0">
      <w:lvlJc w:val="left"/>
      <w:lvlText w:val="%1."/>
      <w:numFmt w:val="decimal"/>
      <w:start w:val="10"/>
    </w:lvl>
  </w:abstractNum>
  <w:abstractNum w:abstractNumId="180">
    <w:nsid w:val="1D91467C"/>
    <w:multiLevelType w:val="hybridMultilevel"/>
    <w:lvl w:ilvl="0">
      <w:lvlJc w:val="left"/>
      <w:lvlText w:val="%1."/>
      <w:numFmt w:val="decimal"/>
      <w:start w:val="13"/>
    </w:lvl>
  </w:abstractNum>
  <w:abstractNum w:abstractNumId="181">
    <w:nsid w:val="316032BB"/>
    <w:multiLevelType w:val="hybridMultilevel"/>
    <w:lvl w:ilvl="0">
      <w:lvlJc w:val="left"/>
      <w:lvlText w:val="%1."/>
      <w:numFmt w:val="decimal"/>
      <w:start w:val="1"/>
    </w:lvl>
  </w:abstractNum>
  <w:abstractNum w:abstractNumId="182">
    <w:nsid w:val="44344C22"/>
    <w:multiLevelType w:val="hybridMultilevel"/>
    <w:lvl w:ilvl="0">
      <w:lvlJc w:val="left"/>
      <w:lvlText w:val="%1."/>
      <w:numFmt w:val="decimal"/>
      <w:start w:val="3"/>
    </w:lvl>
  </w:abstractNum>
  <w:abstractNum w:abstractNumId="183">
    <w:nsid w:val="13CDFCFC"/>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84">
    <w:nsid w:val="471745E4"/>
    <w:multiLevelType w:val="hybridMultilevel"/>
    <w:lvl w:ilvl="0">
      <w:lvlJc w:val="left"/>
      <w:lvlText w:val="(%1)"/>
      <w:numFmt w:val="lowerLetter"/>
      <w:start w:val="2"/>
    </w:lvl>
    <w:lvl w:ilvl="1">
      <w:lvlJc w:val="left"/>
      <w:lvlText w:val="%2."/>
      <w:numFmt w:val="decimal"/>
      <w:start w:val="7"/>
    </w:lvl>
    <w:lvl w:ilvl="2">
      <w:lvlJc w:val="left"/>
      <w:lvlText w:val="(%3)"/>
      <w:numFmt w:val="lowerLetter"/>
      <w:start w:val="2"/>
    </w:lvl>
  </w:abstractNum>
  <w:abstractNum w:abstractNumId="185">
    <w:nsid w:val="1DDBC66"/>
    <w:multiLevelType w:val="hybridMultilevel"/>
    <w:lvl w:ilvl="0">
      <w:lvlJc w:val="left"/>
      <w:lvlText w:val="%1."/>
      <w:numFmt w:val="decimal"/>
      <w:start w:val="8"/>
    </w:lvl>
  </w:abstractNum>
  <w:abstractNum w:abstractNumId="186">
    <w:nsid w:val="30AADFDA"/>
    <w:multiLevelType w:val="hybridMultilevel"/>
    <w:lvl w:ilvl="0">
      <w:lvlJc w:val="left"/>
      <w:lvlText w:val="%1."/>
      <w:numFmt w:val="decimal"/>
      <w:start w:val="13"/>
    </w:lvl>
  </w:abstractNum>
  <w:abstractNum w:abstractNumId="187">
    <w:nsid w:val="30EADA61"/>
    <w:multiLevelType w:val="hybridMultilevel"/>
    <w:lvl w:ilvl="0">
      <w:lvlJc w:val="left"/>
      <w:lvlText w:val="%1."/>
      <w:numFmt w:val="decimal"/>
      <w:start w:val="1"/>
    </w:lvl>
    <w:lvl w:ilvl="1">
      <w:lvlJc w:val="left"/>
      <w:lvlText w:val="(%2)"/>
      <w:numFmt w:val="lowerLetter"/>
      <w:start w:val="1"/>
    </w:lvl>
  </w:abstractNum>
  <w:abstractNum w:abstractNumId="188">
    <w:nsid w:val="27179C0B"/>
    <w:multiLevelType w:val="hybridMultilevel"/>
    <w:lvl w:ilvl="0">
      <w:lvlJc w:val="left"/>
      <w:lvlText w:val="(%1)"/>
      <w:numFmt w:val="lowerLetter"/>
      <w:start w:val="5"/>
    </w:lvl>
  </w:abstractNum>
  <w:abstractNum w:abstractNumId="189">
    <w:nsid w:val="5E636063"/>
    <w:multiLevelType w:val="hybridMultilevel"/>
    <w:lvl w:ilvl="0">
      <w:lvlJc w:val="left"/>
      <w:lvlText w:val="%1"/>
      <w:numFmt w:val="decimal"/>
      <w:start w:val="1"/>
    </w:lvl>
    <w:lvl w:ilvl="1">
      <w:lvlJc w:val="left"/>
      <w:lvlText w:val="(%2)"/>
      <w:numFmt w:val="lowerLetter"/>
      <w:start w:val="12"/>
    </w:lvl>
  </w:abstractNum>
  <w:abstractNum w:abstractNumId="190">
    <w:nsid w:val="215641AF"/>
    <w:multiLevelType w:val="hybridMultilevel"/>
    <w:lvl w:ilvl="0">
      <w:lvlJc w:val="left"/>
      <w:lvlText w:val="%1."/>
      <w:numFmt w:val="decimal"/>
      <w:start w:val="2"/>
    </w:lvl>
    <w:lvl w:ilvl="1">
      <w:lvlJc w:val="left"/>
      <w:lvlText w:val="(%2)"/>
      <w:numFmt w:val="lowerLetter"/>
      <w:start w:val="1"/>
    </w:lvl>
  </w:abstractNum>
  <w:abstractNum w:abstractNumId="191">
    <w:nsid w:val="53280662"/>
    <w:multiLevelType w:val="hybridMultilevel"/>
    <w:lvl w:ilvl="0">
      <w:lvlJc w:val="left"/>
      <w:lvlText w:val="%1"/>
      <w:numFmt w:val="decimal"/>
      <w:start w:val="1"/>
    </w:lvl>
    <w:lvl w:ilvl="1">
      <w:lvlJc w:val="left"/>
      <w:lvlText w:val="(%2)"/>
      <w:numFmt w:val="lowerLetter"/>
      <w:start w:val="7"/>
    </w:lvl>
  </w:abstractNum>
  <w:abstractNum w:abstractNumId="192">
    <w:nsid w:val="46B24DBC"/>
    <w:multiLevelType w:val="hybridMultilevel"/>
    <w:lvl w:ilvl="0">
      <w:lvlJc w:val="left"/>
      <w:lvlText w:val="%1."/>
      <w:numFmt w:val="decimal"/>
      <w:start w:val="3"/>
    </w:lvl>
    <w:lvl w:ilvl="1">
      <w:lvlJc w:val="left"/>
      <w:lvlText w:val="(%2)"/>
      <w:numFmt w:val="lowerLetter"/>
      <w:start w:val="1"/>
    </w:lvl>
  </w:abstractNum>
  <w:abstractNum w:abstractNumId="193">
    <w:nsid w:val="75B52783"/>
    <w:multiLevelType w:val="hybridMultilevel"/>
    <w:lvl w:ilvl="0">
      <w:lvlJc w:val="left"/>
      <w:lvlText w:val="%1."/>
      <w:numFmt w:val="decimal"/>
      <w:start w:val="4"/>
    </w:lvl>
    <w:lvl w:ilvl="1">
      <w:lvlJc w:val="left"/>
      <w:lvlText w:val="(%2)"/>
      <w:numFmt w:val="lowerLetter"/>
      <w:start w:val="1"/>
    </w:lvl>
  </w:abstractNum>
  <w:abstractNum w:abstractNumId="194">
    <w:nsid w:val="57CE66B4"/>
    <w:multiLevelType w:val="hybridMultilevel"/>
    <w:lvl w:ilvl="0">
      <w:lvlJc w:val="left"/>
      <w:lvlText w:val="(%1)"/>
      <w:numFmt w:val="lowerLetter"/>
      <w:start w:val="4"/>
    </w:lvl>
  </w:abstractNum>
  <w:abstractNum w:abstractNumId="195">
    <w:nsid w:val="67A70B69"/>
    <w:multiLevelType w:val="hybridMultilevel"/>
    <w:lvl w:ilvl="0">
      <w:lvlJc w:val="left"/>
      <w:lvlText w:val="(%1)"/>
      <w:numFmt w:val="lowerLetter"/>
      <w:start w:val="6"/>
    </w:lvl>
  </w:abstractNum>
  <w:abstractNum w:abstractNumId="196">
    <w:nsid w:val="5953172F"/>
    <w:multiLevelType w:val="hybridMultilevel"/>
    <w:lvl w:ilvl="0">
      <w:lvlJc w:val="left"/>
      <w:lvlText w:val="%1:"/>
      <w:numFmt w:val="lowerLetter"/>
      <w:start w:val="29"/>
    </w:lvl>
  </w:abstractNum>
  <w:abstractNum w:abstractNumId="197">
    <w:nsid w:val="27EDFE3A"/>
    <w:multiLevelType w:val="hybridMultilevel"/>
    <w:lvl w:ilvl="0">
      <w:lvlJc w:val="left"/>
      <w:lvlText w:val="(%1)"/>
      <w:numFmt w:val="upperLetter"/>
      <w:start w:val="1"/>
    </w:lvl>
  </w:abstractNum>
  <w:abstractNum w:abstractNumId="198">
    <w:nsid w:val="52AC7DFF"/>
    <w:multiLevelType w:val="hybridMultilevel"/>
    <w:lvl w:ilvl="0">
      <w:lvlJc w:val="left"/>
      <w:lvlText w:val="(%1)"/>
      <w:numFmt w:val="upperLetter"/>
      <w:start w:val="6"/>
    </w:lvl>
  </w:abstractNum>
  <w:abstractNum w:abstractNumId="199">
    <w:nsid w:val="C4C3AF"/>
    <w:multiLevelType w:val="hybridMultilevel"/>
    <w:lvl w:ilvl="0">
      <w:lvlJc w:val="left"/>
      <w:lvlText w:val="(%1)"/>
      <w:numFmt w:val="decimal"/>
      <w:start w:val="5"/>
    </w:lvl>
  </w:abstractNum>
  <w:abstractNum w:abstractNumId="200">
    <w:nsid w:val="44380727"/>
    <w:multiLevelType w:val="hybridMultilevel"/>
    <w:lvl w:ilvl="0">
      <w:lvlJc w:val="left"/>
      <w:lvlText w:val="%1"/>
      <w:numFmt w:val="upperLetter"/>
      <w:start w:val="1"/>
    </w:lvl>
    <w:lvl w:ilvl="1">
      <w:lvlJc w:val="left"/>
      <w:lvlText w:val="(%2)"/>
      <w:numFmt w:val="lowerLetter"/>
      <w:start w:val="1"/>
    </w:lvl>
  </w:abstractNum>
  <w:abstractNum w:abstractNumId="201">
    <w:nsid w:val="6C053B16"/>
    <w:multiLevelType w:val="hybridMultilevel"/>
    <w:lvl w:ilvl="0">
      <w:lvlJc w:val="left"/>
      <w:lvlText w:val="(%1)"/>
      <w:numFmt w:val="upperLetter"/>
      <w:start w:val="2"/>
    </w:lvl>
    <w:lvl w:ilvl="1">
      <w:lvlJc w:val="left"/>
      <w:lvlText w:val="(%2)"/>
      <w:numFmt w:val="lowerLetter"/>
      <w:start w:val="2"/>
    </w:lvl>
  </w:abstractNum>
  <w:abstractNum w:abstractNumId="202">
    <w:nsid w:val="4F294393"/>
    <w:multiLevelType w:val="hybridMultilevel"/>
    <w:lvl w:ilvl="0">
      <w:lvlJc w:val="left"/>
      <w:lvlText w:val="(%1)"/>
      <w:numFmt w:val="decimal"/>
      <w:start w:val="12"/>
    </w:lvl>
  </w:abstractNum>
  <w:abstractNum w:abstractNumId="203">
    <w:nsid w:val="5243BFAC"/>
    <w:multiLevelType w:val="hybridMultilevel"/>
    <w:lvl w:ilvl="0">
      <w:lvlJc w:val="left"/>
      <w:lvlText w:val="%1."/>
      <w:numFmt w:val="decimal"/>
      <w:start w:val="1"/>
    </w:lvl>
  </w:abstractNum>
  <w:abstractNum w:abstractNumId="204">
    <w:nsid w:val="425EB207"/>
    <w:multiLevelType w:val="hybridMultilevel"/>
    <w:lvl w:ilvl="0">
      <w:lvlJc w:val="left"/>
      <w:lvlText w:val="(%1)"/>
      <w:numFmt w:val="lowerLetter"/>
      <w:start w:val="2"/>
    </w:lvl>
  </w:abstractNum>
  <w:abstractNum w:abstractNumId="205">
    <w:nsid w:val="334A6F1F"/>
    <w:multiLevelType w:val="hybridMultilevel"/>
    <w:lvl w:ilvl="0">
      <w:lvlJc w:val="left"/>
      <w:lvlText w:val="%1."/>
      <w:numFmt w:val="decimal"/>
      <w:start w:val="3"/>
    </w:lvl>
  </w:abstractNum>
  <w:abstractNum w:abstractNumId="206">
    <w:nsid w:val="2E5B12B8"/>
    <w:multiLevelType w:val="hybridMultilevel"/>
    <w:lvl w:ilvl="0">
      <w:lvlJc w:val="left"/>
      <w:lvlText w:val="%1."/>
      <w:numFmt w:val="decimal"/>
      <w:start w:val="6"/>
    </w:lvl>
  </w:abstractNum>
  <w:abstractNum w:abstractNumId="207">
    <w:nsid w:val="5C03D76D"/>
    <w:multiLevelType w:val="hybridMultilevel"/>
    <w:lvl w:ilvl="0">
      <w:lvlJc w:val="left"/>
      <w:lvlText w:val="(%1)"/>
      <w:numFmt w:val="lowerRoman"/>
      <w:start w:val="1"/>
    </w:lvl>
  </w:abstractNum>
  <w:abstractNum w:abstractNumId="208">
    <w:nsid w:val="66A48D11"/>
    <w:multiLevelType w:val="hybridMultilevel"/>
    <w:lvl w:ilvl="0">
      <w:lvlJc w:val="left"/>
      <w:lvlText w:val="(%1)"/>
      <w:numFmt w:val="lowerRoman"/>
      <w:start w:val="1"/>
    </w:lvl>
  </w:abstractNum>
  <w:abstractNum w:abstractNumId="209">
    <w:nsid w:val="56C28E34"/>
    <w:multiLevelType w:val="hybridMultilevel"/>
    <w:lvl w:ilvl="0">
      <w:lvlJc w:val="left"/>
      <w:lvlText w:val="%1"/>
      <w:numFmt w:val="upperLetter"/>
      <w:start w:val="1"/>
    </w:lvl>
    <w:lvl w:ilvl="1">
      <w:lvlJc w:val="left"/>
      <w:lvlText w:val="(%2)"/>
      <w:numFmt w:val="lowerRoman"/>
      <w:start w:val="1"/>
    </w:lvl>
  </w:abstractNum>
  <w:abstractNum w:abstractNumId="210">
    <w:nsid w:val="13916F2D"/>
    <w:multiLevelType w:val="hybridMultilevel"/>
    <w:lvl w:ilvl="0">
      <w:lvlJc w:val="left"/>
      <w:lvlText w:val="%1."/>
      <w:numFmt w:val="upperLetter"/>
      <w:start w:val="3"/>
    </w:lvl>
    <w:lvl w:ilvl="1">
      <w:lvlJc w:val="left"/>
      <w:lvlText w:val="(%2)"/>
      <w:numFmt w:val="lowerRoman"/>
      <w:start w:val="1"/>
    </w:lvl>
  </w:abstractNum>
  <w:abstractNum w:abstractNumId="211">
    <w:nsid w:val="435D38D"/>
    <w:multiLevelType w:val="hybridMultilevel"/>
    <w:lvl w:ilvl="0">
      <w:lvlJc w:val="left"/>
      <w:lvlText w:val="(%1)"/>
      <w:numFmt w:val="lowerRoman"/>
      <w:start w:val="3"/>
    </w:lvl>
  </w:abstractNum>
  <w:abstractNum w:abstractNumId="212">
    <w:nsid w:val="822C0EF"/>
    <w:multiLevelType w:val="hybridMultilevel"/>
    <w:lvl w:ilvl="0">
      <w:lvlJc w:val="left"/>
      <w:lvlText w:val="(%1)"/>
      <w:numFmt w:val="lowerRoman"/>
      <w:start w:val="9"/>
    </w:lvl>
  </w:abstractNum>
  <w:abstractNum w:abstractNumId="213">
    <w:nsid w:val="57C5BB4F"/>
    <w:multiLevelType w:val="hybridMultilevel"/>
    <w:lvl w:ilvl="0">
      <w:lvlJc w:val="left"/>
      <w:lvlText w:val="%1."/>
      <w:numFmt w:val="decimal"/>
      <w:start w:val="1"/>
    </w:lvl>
  </w:abstractNum>
  <w:abstractNum w:abstractNumId="214">
    <w:nsid w:val="1803D089"/>
    <w:multiLevelType w:val="hybridMultilevel"/>
    <w:lvl w:ilvl="0">
      <w:lvlJc w:val="left"/>
      <w:lvlText w:val="%1."/>
      <w:numFmt w:val="decimal"/>
      <w:start w:val="2"/>
    </w:lvl>
  </w:abstractNum>
  <w:abstractNum w:abstractNumId="215">
    <w:nsid w:val="4F3A06D4"/>
    <w:multiLevelType w:val="hybridMultilevel"/>
    <w:lvl w:ilvl="0">
      <w:lvlJc w:val="left"/>
      <w:lvlText w:val="(%1)"/>
      <w:numFmt w:val="lowerLetter"/>
      <w:start w:val="1"/>
    </w:lvl>
  </w:abstractNum>
  <w:abstractNum w:abstractNumId="216">
    <w:nsid w:val="59A377B6"/>
    <w:multiLevelType w:val="hybridMultilevel"/>
    <w:lvl w:ilvl="0">
      <w:lvlJc w:val="left"/>
      <w:lvlText w:val="(%1)"/>
      <w:numFmt w:val="lowerLetter"/>
      <w:start w:val="4"/>
    </w:lvl>
  </w:abstractNum>
  <w:abstractNum w:abstractNumId="217">
    <w:nsid w:val="48AEB063"/>
    <w:multiLevelType w:val="hybridMultilevel"/>
    <w:lvl w:ilvl="0">
      <w:lvlJc w:val="left"/>
      <w:lvlText w:val="(%1)"/>
      <w:numFmt w:val="lowerRoman"/>
      <w:start w:val="3"/>
    </w:lvl>
  </w:abstractNum>
  <w:abstractNum w:abstractNumId="218">
    <w:nsid w:val="24E135"/>
    <w:multiLevelType w:val="hybridMultilevel"/>
    <w:lvl w:ilvl="0">
      <w:lvlJc w:val="left"/>
      <w:lvlText w:val="%1."/>
      <w:numFmt w:val="decimal"/>
      <w:start w:val="3"/>
    </w:lvl>
  </w:abstractNum>
  <w:abstractNum w:abstractNumId="219">
    <w:nsid w:val="BB13C1"/>
    <w:multiLevelType w:val="hybridMultilevel"/>
    <w:lvl w:ilvl="0">
      <w:lvlJc w:val="left"/>
      <w:lvlText w:val="%1."/>
      <w:numFmt w:val="decimal"/>
      <w:start w:val="4"/>
    </w:lvl>
  </w:abstractNum>
  <w:abstractNum w:abstractNumId="220">
    <w:nsid w:val="271210C7"/>
    <w:multiLevelType w:val="hybridMultilevel"/>
    <w:lvl w:ilvl="0">
      <w:lvlJc w:val="left"/>
      <w:lvlText w:val="%1."/>
      <w:numFmt w:val="decimal"/>
      <w:start w:val="5"/>
    </w:lvl>
  </w:abstractNum>
  <w:abstractNum w:abstractNumId="221">
    <w:nsid w:val="217B22E4"/>
    <w:multiLevelType w:val="hybridMultilevel"/>
    <w:lvl w:ilvl="0">
      <w:lvlJc w:val="left"/>
      <w:lvlText w:val="%1."/>
      <w:numFmt w:val="decimal"/>
      <w:start w:val="6"/>
    </w:lvl>
  </w:abstractNum>
  <w:abstractNum w:abstractNumId="222">
    <w:nsid w:val="53E31A24"/>
    <w:multiLevelType w:val="hybridMultilevel"/>
    <w:lvl w:ilvl="0">
      <w:lvlJc w:val="left"/>
      <w:lvlText w:val="%1."/>
      <w:numFmt w:val="decimal"/>
      <w:start w:val="7"/>
    </w:lvl>
  </w:abstractNum>
  <w:abstractNum w:abstractNumId="223">
    <w:nsid w:val="6DC45E83"/>
    <w:multiLevelType w:val="hybridMultilevel"/>
    <w:lvl w:ilvl="0">
      <w:lvlJc w:val="left"/>
      <w:lvlText w:val="%1."/>
      <w:numFmt w:val="decimal"/>
      <w:start w:val="9"/>
    </w:lvl>
  </w:abstractNum>
  <w:abstractNum w:abstractNumId="224">
    <w:nsid w:val="17304A67"/>
    <w:multiLevelType w:val="hybridMultilevel"/>
    <w:lvl w:ilvl="0">
      <w:lvlJc w:val="left"/>
      <w:lvlText w:val="%1"/>
      <w:numFmt w:val="decimal"/>
      <w:start w:val="1"/>
    </w:lvl>
    <w:lvl w:ilvl="1">
      <w:lvlJc w:val="left"/>
      <w:lvlText w:val="(%2)"/>
      <w:numFmt w:val="lowerLetter"/>
      <w:start w:val="1"/>
    </w:lvl>
  </w:abstractNum>
  <w:abstractNum w:abstractNumId="225">
    <w:nsid w:val="2BB180D8"/>
    <w:multiLevelType w:val="hybridMultilevel"/>
    <w:lvl w:ilvl="0">
      <w:lvlJc w:val="left"/>
      <w:lvlText w:val="%1."/>
      <w:numFmt w:val="decimal"/>
      <w:start w:val="10"/>
    </w:lvl>
    <w:lvl w:ilvl="1">
      <w:lvlJc w:val="left"/>
      <w:lvlText w:val="%2"/>
      <w:numFmt w:val="lowerLetter"/>
      <w:start w:val="1"/>
    </w:lvl>
  </w:abstractNum>
  <w:abstractNum w:abstractNumId="226">
    <w:nsid w:val="556B69ED"/>
    <w:multiLevelType w:val="hybridMultilevel"/>
    <w:lvl w:ilvl="0">
      <w:lvlJc w:val="left"/>
      <w:lvlText w:val="%1."/>
      <w:numFmt w:val="decimal"/>
      <w:start w:val="11"/>
    </w:lvl>
  </w:abstractNum>
  <w:abstractNum w:abstractNumId="227">
    <w:nsid w:val="70836196"/>
    <w:multiLevelType w:val="hybridMultilevel"/>
    <w:lvl w:ilvl="0">
      <w:lvlJc w:val="left"/>
      <w:lvlText w:val="%1."/>
      <w:numFmt w:val="decimal"/>
      <w:start w:val="13"/>
    </w:lvl>
  </w:abstractNum>
  <w:abstractNum w:abstractNumId="228">
    <w:nsid w:val="539F7F12"/>
    <w:multiLevelType w:val="hybridMultilevel"/>
    <w:lvl w:ilvl="0">
      <w:lvlJc w:val="left"/>
      <w:lvlText w:val="%1."/>
      <w:numFmt w:val="decimal"/>
      <w:start w:val="14"/>
    </w:lvl>
  </w:abstractNum>
  <w:abstractNum w:abstractNumId="229">
    <w:nsid w:val="2817E7EC"/>
    <w:multiLevelType w:val="hybridMultilevel"/>
    <w:lvl w:ilvl="0">
      <w:lvlJc w:val="left"/>
      <w:lvlText w:val="%1."/>
      <w:numFmt w:val="decimal"/>
      <w:start w:val="15"/>
    </w:lvl>
  </w:abstractNum>
  <w:abstractNum w:abstractNumId="230">
    <w:nsid w:val="71482545"/>
    <w:multiLevelType w:val="hybridMultilevel"/>
    <w:lvl w:ilvl="0">
      <w:lvlJc w:val="left"/>
      <w:lvlText w:val="%1."/>
      <w:numFmt w:val="decimal"/>
      <w:start w:val="16"/>
    </w:lvl>
  </w:abstractNum>
  <w:abstractNum w:abstractNumId="231">
    <w:nsid w:val="17D78639"/>
    <w:multiLevelType w:val="hybridMultilevel"/>
    <w:lvl w:ilvl="0">
      <w:lvlJc w:val="left"/>
      <w:lvlText w:val="%1"/>
      <w:numFmt w:val="decimal"/>
      <w:start w:val="1"/>
    </w:lvl>
    <w:lvl w:ilvl="1">
      <w:lvlJc w:val="left"/>
      <w:lvlText w:val="(%2)"/>
      <w:numFmt w:val="lowerRoman"/>
      <w:start w:val="2"/>
    </w:lvl>
  </w:abstractNum>
  <w:abstractNum w:abstractNumId="232">
    <w:nsid w:val="141D2302"/>
    <w:multiLevelType w:val="hybridMultilevel"/>
    <w:lvl w:ilvl="0">
      <w:lvlJc w:val="left"/>
      <w:lvlText w:val="%1."/>
      <w:numFmt w:val="decimal"/>
      <w:start w:val="17"/>
    </w:lvl>
    <w:lvl w:ilvl="1">
      <w:lvlJc w:val="left"/>
      <w:lvlText w:val="%2"/>
      <w:numFmt w:val="lowerRoman"/>
      <w:start w:val="1"/>
    </w:lvl>
  </w:abstractNum>
  <w:abstractNum w:abstractNumId="233">
    <w:nsid w:val="407168D8"/>
    <w:multiLevelType w:val="hybridMultilevel"/>
    <w:lvl w:ilvl="0">
      <w:lvlJc w:val="left"/>
      <w:lvlText w:val="%1."/>
      <w:numFmt w:val="decimal"/>
      <w:start w:val="18"/>
    </w:lvl>
  </w:abstractNum>
  <w:abstractNum w:abstractNumId="234">
    <w:nsid w:val="6A1B45E5"/>
    <w:multiLevelType w:val="hybridMultilevel"/>
    <w:lvl w:ilvl="0">
      <w:lvlJc w:val="left"/>
      <w:lvlText w:val="(%1)"/>
      <w:numFmt w:val="lowerLetter"/>
      <w:start w:val="3"/>
    </w:lvl>
    <w:lvl w:ilvl="1">
      <w:lvlJc w:val="left"/>
      <w:lvlText w:val="%2."/>
      <w:numFmt w:val="decimal"/>
      <w:start w:val="19"/>
    </w:lvl>
  </w:abstractNum>
  <w:abstractNum w:abstractNumId="235">
    <w:nsid w:val="567BD50A"/>
    <w:multiLevelType w:val="hybridMultilevel"/>
    <w:lvl w:ilvl="0">
      <w:lvlJc w:val="left"/>
      <w:lvlText w:val="%1."/>
      <w:numFmt w:val="decimal"/>
      <w:start w:val="20"/>
    </w:lvl>
  </w:abstractNum>
  <w:abstractNum w:abstractNumId="236">
    <w:nsid w:val="73BBD7F8"/>
    <w:multiLevelType w:val="hybridMultilevel"/>
    <w:lvl w:ilvl="0">
      <w:lvlJc w:val="left"/>
      <w:lvlText w:val="%1."/>
      <w:numFmt w:val="decimal"/>
      <w:start w:val="21"/>
    </w:lvl>
  </w:abstractNum>
  <w:abstractNum w:abstractNumId="237">
    <w:nsid w:val="1876589D"/>
    <w:multiLevelType w:val="hybridMultilevel"/>
    <w:lvl w:ilvl="0">
      <w:lvlJc w:val="left"/>
      <w:lvlText w:val="(%1)"/>
      <w:numFmt w:val="lowerLetter"/>
      <w:start w:val="9"/>
    </w:lvl>
    <w:lvl w:ilvl="1">
      <w:lvlJc w:val="left"/>
      <w:lvlText w:val="(%2)"/>
      <w:numFmt w:val="lowerLetter"/>
      <w:start w:val="1"/>
    </w:lvl>
  </w:abstractNum>
  <w:abstractNum w:abstractNumId="238">
    <w:nsid w:val="327FAC77"/>
    <w:multiLevelType w:val="hybridMultilevel"/>
    <w:lvl w:ilvl="0">
      <w:lvlJc w:val="left"/>
      <w:lvlText w:val="(%1)"/>
      <w:numFmt w:val="lowerLetter"/>
      <w:start w:val="2"/>
    </w:lvl>
  </w:abstractNum>
  <w:abstractNum w:abstractNumId="239">
    <w:nsid w:val="5A606509"/>
    <w:multiLevelType w:val="hybridMultilevel"/>
    <w:lvl w:ilvl="0">
      <w:lvlJc w:val="left"/>
      <w:lvlText w:val="%1."/>
      <w:numFmt w:val="decimal"/>
      <w:start w:val="22"/>
    </w:lvl>
  </w:abstractNum>
  <w:abstractNum w:abstractNumId="240">
    <w:nsid w:val="6F38E6D1"/>
    <w:multiLevelType w:val="hybridMultilevel"/>
    <w:lvl w:ilvl="0">
      <w:lvlJc w:val="left"/>
      <w:lvlText w:val="%1."/>
      <w:numFmt w:val="decimal"/>
      <w:start w:val="23"/>
    </w:lvl>
  </w:abstractNum>
  <w:abstractNum w:abstractNumId="241">
    <w:nsid w:val="46111BA5"/>
    <w:multiLevelType w:val="hybridMultilevel"/>
    <w:lvl w:ilvl="0">
      <w:lvlJc w:val="left"/>
      <w:lvlText w:val="%1."/>
      <w:numFmt w:val="decimal"/>
      <w:start w:val="24"/>
    </w:lvl>
  </w:abstractNum>
  <w:abstractNum w:abstractNumId="242">
    <w:nsid w:val="5E963896"/>
    <w:multiLevelType w:val="hybridMultilevel"/>
    <w:lvl w:ilvl="0">
      <w:lvlJc w:val="left"/>
      <w:lvlText w:val="%1."/>
      <w:numFmt w:val="decimal"/>
      <w:start w:val="25"/>
    </w:lvl>
  </w:abstractNum>
  <w:abstractNum w:abstractNumId="243">
    <w:nsid w:val="775BA7C1"/>
    <w:multiLevelType w:val="hybridMultilevel"/>
    <w:lvl w:ilvl="0">
      <w:lvlJc w:val="left"/>
      <w:lvlText w:val="%1."/>
      <w:numFmt w:val="decimal"/>
      <w:start w:val="26"/>
    </w:lvl>
  </w:abstractNum>
  <w:abstractNum w:abstractNumId="244">
    <w:nsid w:val="1DD6D6F4"/>
    <w:multiLevelType w:val="hybridMultilevel"/>
    <w:lvl w:ilvl="0">
      <w:lvlJc w:val="left"/>
      <w:lvlText w:val="%1."/>
      <w:numFmt w:val="decimal"/>
      <w:start w:val="27"/>
    </w:lvl>
  </w:abstractNum>
  <w:abstractNum w:abstractNumId="245">
    <w:nsid w:val="769A091F"/>
    <w:multiLevelType w:val="hybridMultilevel"/>
    <w:lvl w:ilvl="0">
      <w:lvlJc w:val="left"/>
      <w:lvlText w:val="%1."/>
      <w:numFmt w:val="decimal"/>
      <w:start w:val="28"/>
    </w:lvl>
  </w:abstractNum>
  <w:abstractNum w:abstractNumId="246">
    <w:nsid w:val="4695AE95"/>
    <w:multiLevelType w:val="hybridMultilevel"/>
    <w:lvl w:ilvl="0">
      <w:lvlJc w:val="left"/>
      <w:lvlText w:val="(%1)"/>
      <w:numFmt w:val="lowerLetter"/>
      <w:start w:val="1"/>
    </w:lvl>
  </w:abstractNum>
  <w:abstractNum w:abstractNumId="247">
    <w:nsid w:val="777A4EAA"/>
    <w:multiLevelType w:val="hybridMultilevel"/>
    <w:lvl w:ilvl="0">
      <w:lvlJc w:val="left"/>
      <w:lvlText w:val="%1."/>
      <w:numFmt w:val="decimal"/>
      <w:start w:val="1"/>
    </w:lvl>
  </w:abstractNum>
  <w:abstractNum w:abstractNumId="248">
    <w:nsid w:val="3F48B982"/>
    <w:multiLevelType w:val="hybridMultilevel"/>
    <w:lvl w:ilvl="0">
      <w:lvlJc w:val="left"/>
      <w:lvlText w:val="•"/>
      <w:numFmt w:val="bullet"/>
      <w:start w:val="1"/>
    </w:lvl>
  </w:abstractNum>
  <w:abstractNum w:abstractNumId="249">
    <w:nsid w:val="46BA8FCA"/>
    <w:multiLevelType w:val="hybridMultilevel"/>
    <w:lvl w:ilvl="0">
      <w:lvlJc w:val="left"/>
      <w:lvlText w:val="%1."/>
      <w:numFmt w:val="decimal"/>
      <w:start w:val="2"/>
    </w:lvl>
  </w:abstractNum>
  <w:abstractNum w:abstractNumId="250">
    <w:nsid w:val="7835626C"/>
    <w:multiLevelType w:val="hybridMultilevel"/>
    <w:lvl w:ilvl="0">
      <w:lvlJc w:val="left"/>
      <w:lvlText w:val="•"/>
      <w:numFmt w:val="bullet"/>
      <w:start w:val="1"/>
    </w:lvl>
  </w:abstractNum>
  <w:abstractNum w:abstractNumId="251">
    <w:nsid w:val="665ACA49"/>
    <w:multiLevelType w:val="hybridMultilevel"/>
    <w:lvl w:ilvl="0">
      <w:lvlJc w:val="left"/>
      <w:lvlText w:val="•"/>
      <w:numFmt w:val="bullet"/>
      <w:start w:val="1"/>
    </w:lvl>
    <w:lvl w:ilvl="1">
      <w:lvlJc w:val="left"/>
      <w:lvlText w:val="•"/>
      <w:numFmt w:val="bullet"/>
      <w:start w:val="1"/>
    </w:lvl>
  </w:abstractNum>
  <w:abstractNum w:abstractNumId="252">
    <w:nsid w:val="6835B2AE"/>
    <w:multiLevelType w:val="hybridMultilevel"/>
    <w:lvl w:ilvl="0">
      <w:lvlJc w:val="left"/>
      <w:lvlText w:val="%1."/>
      <w:numFmt w:val="decimal"/>
      <w:start w:val="2"/>
    </w:lvl>
    <w:lvl w:ilvl="1">
      <w:lvlJc w:val="left"/>
      <w:lvlText w:val="•"/>
      <w:numFmt w:val="bullet"/>
      <w:start w:val="1"/>
    </w:lvl>
  </w:abstractNum>
  <w:abstractNum w:abstractNumId="253">
    <w:nsid w:val="4C187C90"/>
    <w:multiLevelType w:val="hybridMultilevel"/>
    <w:lvl w:ilvl="0">
      <w:lvlJc w:val="left"/>
      <w:lvlText w:val="•"/>
      <w:numFmt w:val="bullet"/>
      <w:start w:val="1"/>
    </w:lvl>
  </w:abstractNum>
  <w:abstractNum w:abstractNumId="254">
    <w:nsid w:val="541F28CD"/>
    <w:multiLevelType w:val="hybridMultilevel"/>
    <w:lvl w:ilvl="0">
      <w:lvlJc w:val="left"/>
      <w:lvlText w:val="%1."/>
      <w:numFmt w:val="decimal"/>
      <w:start w:val="4"/>
    </w:lvl>
  </w:abstractNum>
  <w:abstractNum w:abstractNumId="255">
    <w:nsid w:val="7F65FD16"/>
    <w:multiLevelType w:val="hybridMultilevel"/>
    <w:lvl w:ilvl="0">
      <w:lvlJc w:val="left"/>
      <w:lvlText w:val="%1."/>
      <w:numFmt w:val="decimal"/>
      <w:start w:val="5"/>
    </w:lvl>
  </w:abstractNum>
  <w:abstractNum w:abstractNumId="256">
    <w:nsid w:val="77C9FD68"/>
    <w:multiLevelType w:val="hybridMultilevel"/>
    <w:lvl w:ilvl="0">
      <w:lvlJc w:val="left"/>
      <w:lvlText w:val="•"/>
      <w:numFmt w:val="bullet"/>
      <w:start w:val="1"/>
    </w:lvl>
  </w:abstractNum>
  <w:abstractNum w:abstractNumId="257">
    <w:nsid w:val="298A92BA"/>
    <w:multiLevelType w:val="hybridMultilevel"/>
    <w:lvl w:ilvl="0">
      <w:lvlJc w:val="left"/>
      <w:lvlText w:val="•"/>
      <w:numFmt w:val="bullet"/>
      <w:start w:val="1"/>
    </w:lvl>
  </w:abstractNum>
  <w:abstractNum w:abstractNumId="258">
    <w:nsid w:val="6FE95EAC"/>
    <w:multiLevelType w:val="hybridMultilevel"/>
    <w:lvl w:ilvl="0">
      <w:lvlJc w:val="left"/>
      <w:lvlText w:val="%1."/>
      <w:numFmt w:val="decimal"/>
      <w:start w:val="6"/>
    </w:lvl>
  </w:abstractNum>
  <w:abstractNum w:abstractNumId="259">
    <w:nsid w:val="4B697C7A"/>
    <w:multiLevelType w:val="hybridMultilevel"/>
    <w:lvl w:ilvl="0">
      <w:lvlJc w:val="left"/>
      <w:lvlText w:val="%1."/>
      <w:numFmt w:val="decimal"/>
      <w:start w:val="7"/>
    </w:lvl>
  </w:abstractNum>
  <w:abstractNum w:abstractNumId="260">
    <w:nsid w:val="51A27AA6"/>
    <w:multiLevelType w:val="hybridMultilevel"/>
    <w:lvl w:ilvl="0">
      <w:lvlJc w:val="left"/>
      <w:lvlText w:val="%1."/>
      <w:numFmt w:val="decimal"/>
      <w:start w:val="8"/>
    </w:lvl>
  </w:abstractNum>
  <w:abstractNum w:abstractNumId="261">
    <w:nsid w:val="613183F2"/>
    <w:multiLevelType w:val="hybridMultilevel"/>
    <w:lvl w:ilvl="0">
      <w:lvlJc w:val="left"/>
      <w:lvlText w:val="%1."/>
      <w:numFmt w:val="decimal"/>
      <w:start w:val="9"/>
    </w:lvl>
  </w:abstractNum>
  <w:abstractNum w:abstractNumId="262">
    <w:nsid w:val="634102B4"/>
    <w:multiLevelType w:val="hybridMultilevel"/>
    <w:lvl w:ilvl="0">
      <w:lvlJc w:val="left"/>
      <w:lvlText w:val="%1."/>
      <w:numFmt w:val="decimal"/>
      <w:start w:val="9"/>
    </w:lvl>
    <w:lvl w:ilvl="1">
      <w:lvlJc w:val="left"/>
      <w:lvlText w:val="•"/>
      <w:numFmt w:val="bullet"/>
      <w:start w:val="1"/>
    </w:lvl>
  </w:abstractNum>
  <w:abstractNum w:abstractNumId="263">
    <w:nsid w:val="65BF9DA8"/>
    <w:multiLevelType w:val="hybridMultilevel"/>
    <w:lvl w:ilvl="0">
      <w:lvlJc w:val="left"/>
      <w:lvlText w:val="%1."/>
      <w:numFmt w:val="decimal"/>
      <w:start w:val="11"/>
    </w:lvl>
  </w:abstractNum>
  <w:abstractNum w:abstractNumId="264">
    <w:nsid w:val="21A2ECCA"/>
    <w:multiLevelType w:val="hybridMultilevel"/>
    <w:lvl w:ilvl="0">
      <w:lvlJc w:val="left"/>
      <w:lvlText w:val="%1."/>
      <w:numFmt w:val="decimal"/>
      <w:start w:val="12"/>
    </w:lvl>
  </w:abstractNum>
  <w:abstractNum w:abstractNumId="265">
    <w:nsid w:val="4D5C4899"/>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2021-06-02T16:20:29Z</dcterms:created>
  <dcterms:modified xsi:type="dcterms:W3CDTF">2021-06-02T16:20:29Z</dcterms:modified>
</cp:coreProperties>
</file>