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1960" w:hanging="3899"/>
        <w:spacing w:after="0" w:line="287"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ind w:left="54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48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001-40560</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ProKidney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-283210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2000 Frontis Plaza Blvd., Suite 250</w:t>
      </w:r>
    </w:p>
    <w:p>
      <w:pPr>
        <w:spacing w:after="0" w:line="23"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Winston-Salem, NC</w:t>
      </w:r>
    </w:p>
    <w:p>
      <w:pPr>
        <w:spacing w:after="0" w:line="23"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98-1586514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27103</w:t>
      </w:r>
    </w:p>
    <w:p>
      <w:pPr>
        <w:spacing w:after="0" w:line="27"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8" w:lineRule="exact"/>
        <w:rPr>
          <w:sz w:val="24"/>
          <w:szCs w:val="24"/>
          <w:color w:val="auto"/>
        </w:rPr>
      </w:pPr>
    </w:p>
    <w:p>
      <w:pPr>
        <w:sectPr>
          <w:pgSz w:w="11900" w:h="16838" w:orient="portrait"/>
          <w:cols w:equalWidth="0" w:num="2">
            <w:col w:w="7660" w:space="280"/>
            <w:col w:w="3300"/>
          </w:cols>
          <w:pgMar w:left="320" w:top="1330" w:right="339" w:bottom="1440" w:gutter="0" w:footer="0" w:header="0"/>
          <w:type w:val="continuous"/>
        </w:sectPr>
      </w:pPr>
    </w:p>
    <w:p>
      <w:pPr>
        <w:ind w:left="30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(336) 999-7019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 $0.0001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PROK</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bl>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9" w:lineRule="exact"/>
        <w:rPr>
          <w:sz w:val="24"/>
          <w:szCs w:val="24"/>
          <w:color w:val="auto"/>
        </w:rPr>
      </w:pPr>
    </w:p>
    <w:p>
      <w:pPr>
        <w:ind w:right="362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1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0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4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40"/>
              <w:spacing w:after="0"/>
              <w:rPr>
                <w:sz w:val="20"/>
                <w:szCs w:val="20"/>
                <w:color w:val="auto"/>
              </w:rPr>
            </w:pPr>
            <w:r>
              <w:rPr>
                <w:rFonts w:ascii="Times New Roman" w:cs="Times New Roman" w:eastAsia="Times New Roman" w:hAnsi="Times New Roman"/>
                <w:sz w:val="15"/>
                <w:szCs w:val="15"/>
                <w:color w:val="auto"/>
              </w:rPr>
              <w:t>Accelerated filer</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0"/>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4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4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15"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78"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000000"/>
        </w:rPr>
        <w:t>☐</w:t>
      </w:r>
    </w:p>
    <w:p>
      <w:pPr>
        <w:spacing w:after="0" w:line="1" w:lineRule="exact"/>
        <w:rPr>
          <w:sz w:val="24"/>
          <w:szCs w:val="24"/>
          <w:color w:val="auto"/>
        </w:rPr>
      </w:pPr>
    </w:p>
    <w:p>
      <w:pPr>
        <w:ind w:right="280"/>
        <w:spacing w:after="0" w:line="182" w:lineRule="exact"/>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000000"/>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0" w:lineRule="exact"/>
        <w:rPr>
          <w:sz w:val="24"/>
          <w:szCs w:val="24"/>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common stock on The Nasdaq Stock Market on June 30, 2025, was $58,869,984.</w:t>
      </w:r>
    </w:p>
    <w:p>
      <w:pPr>
        <w:spacing w:after="0" w:line="1" w:lineRule="exact"/>
        <w:rPr>
          <w:sz w:val="24"/>
          <w:szCs w:val="24"/>
          <w:color w:val="auto"/>
        </w:rPr>
      </w:pPr>
    </w:p>
    <w:p>
      <w:pPr>
        <w:ind w:right="340"/>
        <w:spacing w:after="0" w:line="261" w:lineRule="auto"/>
        <w:rPr>
          <w:sz w:val="20"/>
          <w:szCs w:val="20"/>
          <w:color w:val="auto"/>
        </w:rPr>
      </w:pPr>
      <w:r>
        <w:rPr>
          <w:rFonts w:ascii="Times New Roman" w:cs="Times New Roman" w:eastAsia="Times New Roman" w:hAnsi="Times New Roman"/>
          <w:sz w:val="14"/>
          <w:szCs w:val="14"/>
          <w:color w:val="auto"/>
        </w:rPr>
        <w:t>As of March 17, 2026, there were 141,942,905 shares of Class A common stock, par value $0.0001 per share and 159,973,180 shares of Class B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type w:val="continuous"/>
        </w:sectPr>
      </w:pPr>
    </w:p>
    <w:bookmarkStart w:id="1" w:name="page2"/>
    <w:bookmarkEnd w:id="1"/>
    <w:p>
      <w:pPr>
        <w:spacing w:after="0"/>
        <w:tabs>
          <w:tab w:leader="none" w:pos="1380" w:val="left"/>
          <w:tab w:leader="none" w:pos="3260" w:val="left"/>
          <w:tab w:leader="none" w:pos="4620" w:val="left"/>
          <w:tab w:leader="none" w:pos="6880" w:val="left"/>
          <w:tab w:leader="none" w:pos="8360" w:val="left"/>
        </w:tabs>
        <w:rPr>
          <w:sz w:val="20"/>
          <w:szCs w:val="20"/>
          <w:color w:val="auto"/>
        </w:rPr>
      </w:pP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Auditor Name:</w:t>
      </w:r>
      <w:r>
        <w:rPr>
          <w:sz w:val="20"/>
          <w:szCs w:val="20"/>
          <w:color w:val="auto"/>
        </w:rPr>
        <w:tab/>
      </w:r>
      <w:r>
        <w:rPr>
          <w:rFonts w:ascii="Times New Roman" w:cs="Times New Roman" w:eastAsia="Times New Roman" w:hAnsi="Times New Roman"/>
          <w:sz w:val="14"/>
          <w:szCs w:val="14"/>
          <w:color w:val="auto"/>
        </w:rPr>
        <w:t>Ernst &amp; Young LLP</w:t>
      </w:r>
      <w:r>
        <w:rPr>
          <w:sz w:val="20"/>
          <w:szCs w:val="20"/>
          <w:color w:val="auto"/>
        </w:rPr>
        <w:tab/>
      </w:r>
      <w:r>
        <w:rPr>
          <w:rFonts w:ascii="Times New Roman" w:cs="Times New Roman" w:eastAsia="Times New Roman" w:hAnsi="Times New Roman"/>
          <w:sz w:val="14"/>
          <w:szCs w:val="14"/>
          <w:color w:val="auto"/>
        </w:rPr>
        <w:t>Auditor Location:</w:t>
      </w:r>
      <w:r>
        <w:rPr>
          <w:sz w:val="20"/>
          <w:szCs w:val="20"/>
          <w:color w:val="auto"/>
        </w:rPr>
        <w:tab/>
      </w:r>
      <w:r>
        <w:rPr>
          <w:rFonts w:ascii="Times New Roman" w:cs="Times New Roman" w:eastAsia="Times New Roman" w:hAnsi="Times New Roman"/>
          <w:sz w:val="14"/>
          <w:szCs w:val="14"/>
          <w:color w:val="auto"/>
        </w:rPr>
        <w:t>Atlanta, Georgia,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868045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100965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420" w:top="981" w:right="1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8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563C1"/>
            </w:tcBorders>
          </w:tcPr>
          <w:p>
            <w:pPr>
              <w:spacing w:after="0" w:line="194" w:lineRule="exact"/>
              <w:rPr>
                <w:sz w:val="20"/>
                <w:szCs w:val="20"/>
                <w:color w:val="auto"/>
              </w:rPr>
            </w:pPr>
            <w:r>
              <w:rPr>
                <w:rFonts w:ascii="Times New Roman" w:cs="Times New Roman" w:eastAsia="Times New Roman" w:hAnsi="Times New Roman"/>
                <w:sz w:val="18"/>
                <w:szCs w:val="18"/>
                <w:color w:val="0563C1"/>
                <w:w w:val="96"/>
              </w:rPr>
              <w:t>Business</w:t>
            </w:r>
          </w:p>
        </w:tc>
        <w:tc>
          <w:tcPr>
            <w:tcW w:w="8660" w:type="dxa"/>
            <w:vAlign w:val="bottom"/>
            <w:gridSpan w:val="20"/>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563C1"/>
            </w:tcBorders>
            <w:gridSpan w:val="9"/>
          </w:tcPr>
          <w:p>
            <w:pPr>
              <w:spacing w:after="0" w:line="196" w:lineRule="exact"/>
              <w:rPr>
                <w:sz w:val="20"/>
                <w:szCs w:val="20"/>
                <w:color w:val="auto"/>
              </w:rPr>
            </w:pPr>
            <w:r>
              <w:rPr>
                <w:rFonts w:ascii="Times New Roman" w:cs="Times New Roman" w:eastAsia="Times New Roman" w:hAnsi="Times New Roman"/>
                <w:sz w:val="18"/>
                <w:szCs w:val="18"/>
                <w:color w:val="0563C1"/>
              </w:rPr>
              <w:t>Cybersecurity</w:t>
            </w:r>
          </w:p>
        </w:tc>
        <w:tc>
          <w:tcPr>
            <w:tcW w:w="726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563C1"/>
            </w:tcBorders>
            <w:gridSpan w:val="4"/>
          </w:tcPr>
          <w:p>
            <w:pPr>
              <w:spacing w:after="0" w:line="196" w:lineRule="exact"/>
              <w:rPr>
                <w:sz w:val="20"/>
                <w:szCs w:val="20"/>
                <w:color w:val="auto"/>
              </w:rPr>
            </w:pPr>
            <w:r>
              <w:rPr>
                <w:rFonts w:ascii="Times New Roman" w:cs="Times New Roman" w:eastAsia="Times New Roman" w:hAnsi="Times New Roman"/>
                <w:sz w:val="18"/>
                <w:szCs w:val="18"/>
                <w:color w:val="0563C1"/>
              </w:rPr>
              <w:t>Properties</w:t>
            </w:r>
          </w:p>
        </w:tc>
        <w:tc>
          <w:tcPr>
            <w:tcW w:w="830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640" w:type="dxa"/>
            <w:vAlign w:val="bottom"/>
            <w:tcBorders>
              <w:left w:val="single" w:sz="8" w:color="0563C1"/>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640" w:type="dxa"/>
            <w:vAlign w:val="bottom"/>
            <w:tcBorders>
              <w:left w:val="single" w:sz="8" w:color="0563C1"/>
            </w:tcBorders>
            <w:gridSpan w:val="3"/>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434"/>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563C1"/>
            </w:tcBorders>
            <w:gridSpan w:val="20"/>
          </w:tcPr>
          <w:p>
            <w:pPr>
              <w:spacing w:after="0" w:line="194" w:lineRule="exact"/>
              <w:rPr>
                <w:sz w:val="20"/>
                <w:szCs w:val="20"/>
                <w:color w:val="auto"/>
              </w:rPr>
            </w:pPr>
            <w:r>
              <w:rPr>
                <w:rFonts w:ascii="Times New Roman" w:cs="Times New Roman" w:eastAsia="Times New Roman" w:hAnsi="Times New Roman"/>
                <w:sz w:val="18"/>
                <w:szCs w:val="18"/>
                <w:color w:val="0563C1"/>
                <w:w w:val="99"/>
              </w:rPr>
              <w:t>Market for Registrant’s Common Equity, Related Stockholder Matters and Issuer Purchases of Equity Securities</w:t>
            </w:r>
          </w:p>
        </w:tc>
        <w:tc>
          <w:tcPr>
            <w:tcW w:w="12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563C1"/>
              <w:bottom w:val="single" w:sz="8" w:color="0563C1"/>
            </w:tcBorders>
            <w:gridSpan w:val="14"/>
          </w:tcPr>
          <w:p>
            <w:pPr>
              <w:spacing w:after="0" w:line="196" w:lineRule="exact"/>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2100" w:type="dxa"/>
            <w:vAlign w:val="bottom"/>
            <w:tcBorders>
              <w:top w:val="single" w:sz="8" w:color="0563C1"/>
            </w:tcBorders>
            <w:gridSpan w:val="3"/>
          </w:tcPr>
          <w:p>
            <w:pPr>
              <w:spacing w:after="0"/>
              <w:rPr>
                <w:sz w:val="17"/>
                <w:szCs w:val="17"/>
                <w:color w:val="auto"/>
              </w:rPr>
            </w:pPr>
          </w:p>
        </w:tc>
        <w:tc>
          <w:tcPr>
            <w:tcW w:w="28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gridSpan w:val="5"/>
            <w:shd w:val="clear" w:color="auto" w:fill="0563C1"/>
          </w:tcPr>
          <w:p>
            <w:pPr>
              <w:spacing w:after="0" w:line="20" w:lineRule="exact"/>
              <w:rPr>
                <w:sz w:val="1"/>
                <w:szCs w:val="1"/>
                <w:color w:val="auto"/>
              </w:rPr>
            </w:pPr>
          </w:p>
        </w:tc>
        <w:tc>
          <w:tcPr>
            <w:tcW w:w="24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1060" w:type="dxa"/>
            <w:vAlign w:val="bottom"/>
            <w:gridSpan w:val="2"/>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563C1"/>
            </w:tcBorders>
            <w:gridSpan w:val="18"/>
          </w:tcPr>
          <w:p>
            <w:pPr>
              <w:spacing w:after="0" w:line="196" w:lineRule="exact"/>
              <w:rPr>
                <w:sz w:val="20"/>
                <w:szCs w:val="20"/>
                <w:color w:val="auto"/>
              </w:rPr>
            </w:pPr>
            <w:r>
              <w:rPr>
                <w:rFonts w:ascii="Times New Roman" w:cs="Times New Roman" w:eastAsia="Times New Roman" w:hAnsi="Times New Roman"/>
                <w:sz w:val="18"/>
                <w:szCs w:val="18"/>
                <w:color w:val="0563C1"/>
                <w:w w:val="99"/>
              </w:rPr>
              <w:t>Changes in and Disagreements With Accountants on Accounting and Financial Disclosure</w:t>
            </w:r>
          </w:p>
        </w:tc>
        <w:tc>
          <w:tcPr>
            <w:tcW w:w="27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54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gridSpan w:val="5"/>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34"/>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78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0" w:type="dxa"/>
            <w:vAlign w:val="bottom"/>
            <w:tcBorders>
              <w:top w:val="single" w:sz="8" w:color="0563C1"/>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563C1"/>
            </w:tcBorders>
            <w:gridSpan w:val="13"/>
          </w:tcPr>
          <w:p>
            <w:pPr>
              <w:spacing w:after="0" w:line="194" w:lineRule="exact"/>
              <w:rPr>
                <w:sz w:val="20"/>
                <w:szCs w:val="20"/>
                <w:color w:val="auto"/>
              </w:rPr>
            </w:pPr>
            <w:r>
              <w:rPr>
                <w:rFonts w:ascii="Times New Roman" w:cs="Times New Roman" w:eastAsia="Times New Roman" w:hAnsi="Times New Roman"/>
                <w:sz w:val="18"/>
                <w:szCs w:val="18"/>
                <w:color w:val="0563C1"/>
                <w:w w:val="99"/>
              </w:rPr>
              <w:t>Directors, Executive Officers and Corporate Governance</w:t>
            </w:r>
          </w:p>
        </w:tc>
        <w:tc>
          <w:tcPr>
            <w:tcW w:w="5200" w:type="dxa"/>
            <w:vAlign w:val="bottom"/>
            <w:gridSpan w:val="8"/>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563C1"/>
            </w:tcBorders>
            <w:gridSpan w:val="8"/>
          </w:tcPr>
          <w:p>
            <w:pPr>
              <w:spacing w:after="0" w:line="196" w:lineRule="exact"/>
              <w:rPr>
                <w:sz w:val="20"/>
                <w:szCs w:val="20"/>
                <w:color w:val="auto"/>
              </w:rPr>
            </w:pPr>
            <w:r>
              <w:rPr>
                <w:rFonts w:ascii="Times New Roman" w:cs="Times New Roman" w:eastAsia="Times New Roman" w:hAnsi="Times New Roman"/>
                <w:sz w:val="18"/>
                <w:szCs w:val="18"/>
                <w:color w:val="0563C1"/>
                <w:w w:val="98"/>
              </w:rPr>
              <w:t>Executive Compensation</w:t>
            </w:r>
          </w:p>
        </w:tc>
        <w:tc>
          <w:tcPr>
            <w:tcW w:w="750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563C1"/>
              <w:bottom w:val="single" w:sz="8" w:color="0563C1"/>
            </w:tcBorders>
            <w:gridSpan w:val="16"/>
          </w:tcPr>
          <w:p>
            <w:pPr>
              <w:spacing w:after="0" w:line="196" w:lineRule="exact"/>
              <w:rPr>
                <w:sz w:val="20"/>
                <w:szCs w:val="20"/>
                <w:color w:val="auto"/>
              </w:rPr>
            </w:pPr>
            <w:r>
              <w:rPr>
                <w:rFonts w:ascii="Times New Roman" w:cs="Times New Roman" w:eastAsia="Times New Roman" w:hAnsi="Times New Roman"/>
                <w:sz w:val="18"/>
                <w:szCs w:val="18"/>
                <w:color w:val="0563C1"/>
                <w:w w:val="99"/>
              </w:rPr>
              <w:t>Certain Relationships and Related Transactions, and Director Independence</w:t>
            </w:r>
          </w:p>
        </w:tc>
        <w:tc>
          <w:tcPr>
            <w:tcW w:w="1820" w:type="dxa"/>
            <w:vAlign w:val="bottom"/>
            <w:tcBorders>
              <w:top w:val="single" w:sz="8" w:color="0563C1"/>
            </w:tcBorders>
            <w:gridSpan w:val="3"/>
          </w:tcPr>
          <w:p>
            <w:pPr>
              <w:spacing w:after="0"/>
              <w:rPr>
                <w:sz w:val="17"/>
                <w:szCs w:val="17"/>
                <w:color w:val="auto"/>
              </w:rPr>
            </w:pPr>
          </w:p>
        </w:tc>
        <w:tc>
          <w:tcPr>
            <w:tcW w:w="20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434"/>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563C1"/>
            </w:tcBorders>
            <w:gridSpan w:val="11"/>
          </w:tcPr>
          <w:p>
            <w:pPr>
              <w:spacing w:after="0" w:line="194" w:lineRule="exact"/>
              <w:rPr>
                <w:sz w:val="20"/>
                <w:szCs w:val="20"/>
                <w:color w:val="auto"/>
              </w:rPr>
            </w:pPr>
            <w:r>
              <w:rPr>
                <w:rFonts w:ascii="Times New Roman" w:cs="Times New Roman" w:eastAsia="Times New Roman" w:hAnsi="Times New Roman"/>
                <w:sz w:val="18"/>
                <w:szCs w:val="18"/>
                <w:color w:val="0563C1"/>
                <w:w w:val="99"/>
              </w:rPr>
              <w:t>Exhibits and Financial Statement Schedules</w:t>
            </w:r>
          </w:p>
        </w:tc>
        <w:tc>
          <w:tcPr>
            <w:tcW w:w="6140" w:type="dxa"/>
            <w:vAlign w:val="bottom"/>
            <w:gridSpan w:val="10"/>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line="253" w:lineRule="auto"/>
        <w:rPr>
          <w:sz w:val="20"/>
          <w:szCs w:val="20"/>
          <w:color w:val="auto"/>
        </w:rPr>
      </w:pPr>
      <w:r>
        <w:rPr>
          <w:rFonts w:ascii="Times New Roman" w:cs="Times New Roman" w:eastAsia="Times New Roman" w:hAnsi="Times New Roman"/>
          <w:sz w:val="18"/>
          <w:szCs w:val="18"/>
          <w:color w:val="auto"/>
        </w:rPr>
        <w:t>Effective July 1, 2025 (the “Domestication Date”), the Company completed a domestication process through which it changed its jurisdiction of incorporation from the Cayman Islands to the State of Delaware (the “Domestication”). ProKidney Corp., the Cayman Islands exempted company (“ProKidney Cayman”) deregistered as an exempted company in the Cayman Islands pursuant to Sections 206 and 207 of the Companies Act (as amended) of the Cayman Islands (the “Companies Act”), and domesticated and continued its existence as a corporation incorporated in the State of Delaware (“ProKidney Delaware”) pursuant to Section 388 of the General Corporation Law of the State of Delaware (the “DGCL”), effective as of the Domestication Date. In this Annual Report on Form 10-K, the terms “we”, “us”, “our”, the “Company” and “ProKidney” (i) for periods prior to the Domestication Date, refer to ProKidney Cayman and its consolidated subsidiaries and (ii) for periods at or after the Domestication Date, refer to ProKidney Delaware and its consolidated subsidiaries. Similarly, throughout this Annual report, unless otherwise noted, references to common stock refer to “ordinary shares” before the Domestication and “common stock” subsequent to the Domestication. For a description of our equity securities following the Domestication, refer to the “Description of the Registrant’s Capital Stock” filed as Exhibit 4.1 hereto.</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24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 w:name="page5"/>
    <w:bookmarkEnd w:id="4"/>
    <w:p>
      <w:pPr>
        <w:ind w:left="520"/>
        <w:spacing w:after="0"/>
        <w:rPr>
          <w:sz w:val="20"/>
          <w:szCs w:val="20"/>
          <w:color w:val="auto"/>
        </w:rPr>
      </w:pPr>
      <w:r>
        <w:rPr>
          <w:rFonts w:ascii="Times New Roman" w:cs="Times New Roman" w:eastAsia="Times New Roman" w:hAnsi="Times New Roman"/>
          <w:sz w:val="18"/>
          <w:szCs w:val="18"/>
          <w:b w:val="1"/>
          <w:bCs w:val="1"/>
          <w:color w:val="auto"/>
        </w:rPr>
        <w:t>Summary of Principal Risk Factors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in “Part I – Item 1A, Risk Factors” below and include, but are not limited to, risks related to: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Financial Position and Need for Additional Capital</w:t>
      </w:r>
    </w:p>
    <w:p>
      <w:pPr>
        <w:spacing w:after="0" w:line="119"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in the absence of any products approved for sale;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additional capital to continue the development and commercialization of our drug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raising additional capital to our stockholders and the rights of our drug candidates;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Renal Autologous Cell Therapy or rilparencel and Our Future Product Candidates</w:t>
      </w:r>
    </w:p>
    <w:p>
      <w:pPr>
        <w:spacing w:after="0" w:line="119"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failure of our clinical trials or our inability to receive regulatory approval for our product candidates;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delays in the commencement, enrollment and completion of our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preliminary results and the results of early-stage trials to not be duplicated in later stage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unacceptable serious adverse side effects which are determined to be treatment related;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opinion and regulatory scrutiny of cell-based therapies;</w:t>
      </w:r>
    </w:p>
    <w:p>
      <w:pPr>
        <w:spacing w:after="0" w:line="9" w:lineRule="exact"/>
        <w:rPr>
          <w:rFonts w:ascii="Times New Roman" w:cs="Times New Roman" w:eastAsia="Times New Roman" w:hAnsi="Times New Roman"/>
          <w:sz w:val="18"/>
          <w:szCs w:val="18"/>
          <w:color w:val="auto"/>
        </w:rPr>
      </w:pPr>
    </w:p>
    <w:p>
      <w:pPr>
        <w:ind w:left="1020" w:right="40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using our financial and human resources to pursue a particular research program for our product candidates and failing to capitalize on programs or product candidates that may be more profitable or for which there is a greater likelihood of success;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of rilparencel and Our Future Product Candidates</w:t>
      </w:r>
    </w:p>
    <w:p>
      <w:pPr>
        <w:spacing w:after="0" w:line="119"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rilparencel or other future product candidates to meet development or commercial needs;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maintain and expand our own production capabilities;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commitments from third-party manufacturers;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manufacturing a personalized medicine that is patient-specific;</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delays in the regulatory approval of the manufacturing process;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highly complex supply chain process associated with a personalized cell-based therapy;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third parties to provide us with a sufficient supply of materials for use in our manufacturing process;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changes made to the formulation or process used in the manufacturing of our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manufacturing facility in a state of compliance with global quality standards;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Commercialization of rilparencel and Our Future Product Candidates</w:t>
      </w:r>
    </w:p>
    <w:p>
      <w:pPr>
        <w:spacing w:after="0" w:line="119"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in the market, if approved by the appropriate regulatory agencies;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sell and market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assumptions of the addressable market for our product candidates may not be correct;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approval to commercialize products within different jurisdictions;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off-label use of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or reimbursement for rilparencel or our other product candidates;</w:t>
      </w:r>
    </w:p>
    <w:p>
      <w:pPr>
        <w:spacing w:after="0" w:line="9" w:lineRule="exact"/>
        <w:rPr>
          <w:rFonts w:ascii="Times New Roman" w:cs="Times New Roman" w:eastAsia="Times New Roman" w:hAnsi="Times New Roman"/>
          <w:sz w:val="18"/>
          <w:szCs w:val="18"/>
          <w:color w:val="auto"/>
        </w:rPr>
      </w:pPr>
    </w:p>
    <w:p>
      <w:pPr>
        <w:ind w:left="1020" w:right="10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pricing for our product candidates from patients and third-party private and public payors in amounts that are sufficient to allow us to achieve profitability;</w:t>
      </w: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product liability lawsuits;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environmental, health, and safety laws and regulations;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Reliance on Third Parties</w:t>
      </w:r>
    </w:p>
    <w:p>
      <w:pPr>
        <w:spacing w:after="0" w:line="11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professional conduct of third parties we rely on to conduct, supervise and monitor certain of our clinical trials;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materials for our research and development activities;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collaborative relationships to further the development of or commercialize our product candidates;</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Legal and Regulatory Compliance Matters</w:t>
      </w:r>
    </w:p>
    <w:p>
      <w:pPr>
        <w:spacing w:after="0" w:line="119" w:lineRule="exact"/>
        <w:rPr>
          <w:sz w:val="20"/>
          <w:szCs w:val="20"/>
          <w:color w:val="auto"/>
        </w:rPr>
      </w:pPr>
    </w:p>
    <w:p>
      <w:pPr>
        <w:ind w:left="1020" w:right="66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healthcare laws and regulations on our relationships with healthcare professionals, principal investigators, consultants, customers (actual and potential) and third-party payors;</w:t>
      </w: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obligations and continued regulatory review for our drug candidates post-commercialization;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healthcare cost containment initiatives;</w:t>
      </w:r>
    </w:p>
    <w:p>
      <w:pPr>
        <w:spacing w:after="0" w:line="9" w:lineRule="exact"/>
        <w:rPr>
          <w:rFonts w:ascii="Times New Roman" w:cs="Times New Roman" w:eastAsia="Times New Roman" w:hAnsi="Times New Roman"/>
          <w:sz w:val="18"/>
          <w:szCs w:val="18"/>
          <w:color w:val="auto"/>
        </w:rPr>
      </w:pPr>
    </w:p>
    <w:p>
      <w:pPr>
        <w:ind w:left="1020" w:right="22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funding of the Food and Drug Administration (the “FDA”), the Securities and Exchange Commission (the “SEC”) and other government agencies;</w:t>
      </w: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marketing and reimbursement regulations in other foreign jurisdictions;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data privacy laws and regulations;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political and economic uncertainty relating to our planned international operations;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U.S. and foreign trade laws;</w:t>
      </w:r>
    </w:p>
    <w:p>
      <w:pPr>
        <w:spacing w:after="0" w:line="9" w:lineRule="exact"/>
        <w:rPr>
          <w:rFonts w:ascii="Times New Roman" w:cs="Times New Roman" w:eastAsia="Times New Roman" w:hAnsi="Times New Roman"/>
          <w:sz w:val="18"/>
          <w:szCs w:val="18"/>
          <w:color w:val="auto"/>
        </w:rPr>
      </w:pPr>
    </w:p>
    <w:p>
      <w:pPr>
        <w:ind w:left="1020" w:right="66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competitive pecuniary interests held by our executive officers, directors, security holders and their respective affiliates;</w:t>
      </w: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incorporation under the laws of the state of Delaware;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Intellectual Property</w:t>
      </w:r>
    </w:p>
    <w:p>
      <w:pPr>
        <w:spacing w:after="0" w:line="119"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protect proprietary rights to our intellectual property;</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obligations imposed by future license or collaboration arrangements;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unauthorized disclosure of our trade secrets or other confidential information;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 for infringing intellectual property rights or the disclosure of trade secrets of third parties;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maintain necessary intellectual property rights for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 to protect or enforce our patents or other intellectual property;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to the patent laws in the United States and other jurisdictions;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intellectual property rights throughout the world;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patent term extensions for our product candidates;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Managing Our Business and Operations</w:t>
      </w:r>
    </w:p>
    <w:p>
      <w:pPr>
        <w:spacing w:after="0" w:line="119"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expanding our operations and managing growth;</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9"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employees, independent contractors, principal investigators, contract research organizations (“CROs”), contract development and manufacturing organization (“CDMOs”), consultants and collaborators in the event that they engage in misconduct or other improper activities;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computer system failures, cyber-attacks or a deficiency in our cyber-security or that of our partners;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failure to comply with health and data protection laws and regulations;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tax law or policy;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outcomes resulting from examination of our income or other tax returns;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investors’ substantial influence over our business;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exemption from certain corporate governance requirements since we are a “controlled company”;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provisions in our governing documents or state law which may delay or prevent our acquisition by a third party;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our “emerging growth company” and “smaller reporting company” statuses;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and economic uncertainty and related changes;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stock market fluctuations;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Organizational Structure</w:t>
      </w:r>
    </w:p>
    <w:p>
      <w:pPr>
        <w:spacing w:after="0" w:line="119"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make payments under the Tax Receivable Agreement (as defined and discussed further below);</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distributions from PK Holdings to satisfy our obligations;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rights of our stockholders as a corporation in the state of Delaware.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We are a late-clinical-stage biotechnology company pioneering the development of a first-in-class, autologous cell therapy that is intended to preserve kidney function in patients with advanced chronic kidney disease (“CKD”) and diabetes. Our approach seeks to redefine the treatment of CKD, shifting the emphasis away from management of kidney failure to the preservation of kidney function. Our lead product candidate, rilparencel, is the only cell therapy in Phase 3 clinical study for the treatment of advanced CKD and type 2 diabetes. Rilparencel is a product that includes autologous Selected Renal Cells (“SRC”) prepared from a patient’s own (autologous) kidney cells. The SRC are formulated as rilparencel for reinjection into the patient’s kidneys using a minimally invasive outpatient procedure. Because rilparencel is a personalized product composed of cells prepared from a patient’s own kidney, there is no need for treatment with immunosuppressive therapies that are required during a patient’s lifetime when a patient receives a kidney transplant from another (allogeneic) donor.</w:t>
      </w:r>
    </w:p>
    <w:p>
      <w:pPr>
        <w:spacing w:after="0" w:line="84"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Our technology works by expanding and selecting kidney cells of a patient to preserve kidney function that is being lost due to chronic disease. Our process begins when a small piece (biopsy) of a patient’s diseased kidney is sent to our manufacturing facility. We process tissue taken from the biopsy and isolate SRC that are formulated into a personalized product for reinjection into the damaged kidney(s). To date, clinical studies suggest that rilparencel has the capacity to positively impact kidney function by stabilizing the estimated glomerular filtration rate (“eGFR”) or attenuating the rate of eGFR decline in patients with CKD and diabetes.</w:t>
      </w:r>
    </w:p>
    <w:p>
      <w:pPr>
        <w:spacing w:after="0" w:line="75"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Chronic kidney disease is segmented into five stages, from mild (CKD Stage 1) to severe (CKD Stage 5 or kidney failure), and it is estimated that over 37 million people in the United States currently suffer from CKD. We are initially pursuing the development of rilparencel in the United States for use in patients with moderate to severe CKD and type 2 diabetes, a population that includes over one million people.</w:t>
      </w:r>
    </w:p>
    <w:p>
      <w:pPr>
        <w:spacing w:after="0" w:line="68"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are currently conducting a Phase 3 clinical study and recently completed a Phase 2 clinical study for rilparencel in subjects with advanced CKD and type 2 diabetes. Rilparencel has received regenerative medicine advanced therapy (“RMAT”) designation from the United States Food and Drug Administration (the “FDA”), a status granted to accelerate the development and review of promising regenerative medicine therapies. Rilparencel has, to date, been generally well tolerated by subjects with moderate to severe CKD in Phase 1 and 2 clinical testing.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REGEN-006/PROACT 1 trial:</w:t>
      </w:r>
    </w:p>
    <w:p>
      <w:pPr>
        <w:spacing w:after="0" w:line="121" w:lineRule="exact"/>
        <w:rPr>
          <w:sz w:val="20"/>
          <w:szCs w:val="20"/>
          <w:color w:val="auto"/>
        </w:rPr>
      </w:pPr>
    </w:p>
    <w:p>
      <w:pPr>
        <w:ind w:right="300" w:firstLine="509"/>
        <w:spacing w:after="0" w:line="239" w:lineRule="auto"/>
        <w:rPr>
          <w:sz w:val="20"/>
          <w:szCs w:val="20"/>
          <w:color w:val="auto"/>
        </w:rPr>
      </w:pPr>
      <w:r>
        <w:rPr>
          <w:rFonts w:ascii="Times New Roman" w:cs="Times New Roman" w:eastAsia="Times New Roman" w:hAnsi="Times New Roman"/>
          <w:sz w:val="18"/>
          <w:szCs w:val="18"/>
          <w:color w:val="auto"/>
        </w:rPr>
        <w:t>REGEN-006 (PROACT 1) is an ongoing Phase 3, randomized, blinded, bi-lateral kidney dosing, sham controlled arm, efficacy and safety study of rilparencel in subjects with advanced CKD and type 2 diabetes. The related study protocol has been amended to focus on a subset of patients with Stage 4 CKD (eGFR between 20 and 30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and late Stage 3b CKD (eGFR between 30 and 35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with accompanying albuminuria UACR between 300 and 5000 mg/g). This study is being conducted in clinical centers in the United States, Mexico, and Taiwan.</w:t>
      </w:r>
    </w:p>
    <w:p>
      <w:pPr>
        <w:spacing w:after="0" w:line="92" w:lineRule="exact"/>
        <w:rPr>
          <w:sz w:val="20"/>
          <w:szCs w:val="20"/>
          <w:color w:val="auto"/>
        </w:rPr>
      </w:pPr>
    </w:p>
    <w:p>
      <w:pPr>
        <w:ind w:right="280" w:firstLine="509"/>
        <w:spacing w:after="0" w:line="263" w:lineRule="auto"/>
        <w:rPr>
          <w:sz w:val="20"/>
          <w:szCs w:val="20"/>
          <w:color w:val="auto"/>
        </w:rPr>
      </w:pPr>
      <w:r>
        <w:rPr>
          <w:rFonts w:ascii="Times New Roman" w:cs="Times New Roman" w:eastAsia="Times New Roman" w:hAnsi="Times New Roman"/>
          <w:sz w:val="18"/>
          <w:szCs w:val="18"/>
          <w:color w:val="auto"/>
        </w:rPr>
        <w:t>The primary objective of this study is to assess the efficacy of up to two rilparencel injections given three months apart and delivered into both kidneys using a minimally invasive percutaneous approach with a targeted enrollment of approximately 470 patients. Subjects will be randomized (1:1) to the treatment group and the sham control group prior to kidney biopsy. Subjects in the treatment group will receive two injections of rilparencel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surrogate endpoint to support a potential accelerated approval of rilparencel is annualized eGFR slope. The efficacy analysis set is expected to contain approximately 360 patients and will include all patients with at least 6 months of follow-up after first injection.</w:t>
      </w:r>
    </w:p>
    <w:p>
      <w:pPr>
        <w:spacing w:after="0" w:line="27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anticipate topline data readout of the surrogate endpoint (eGFR slope) in the second quarter of 2027 and anticipate topline data readout of the confirmatory endpoint (composite time-to-event) in the second half of 2029.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REGEN-007:</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May 2025, we completed our REGEN-007 trial, a multi-center Phase 2 open-label 1:1 randomized two-arm trial of rilparencel in patients with diabetes, CKD, and an eGFR of 20-50 mL/min/1.73m². Full results were presented as a late-breaking clinical trial at the American Society of Nephrology Kidney Week 2025 and a more complete set of results were published in the Clinical Journal of the American Society of Nephrology in early 2026.</w:t>
      </w:r>
    </w:p>
    <w:p>
      <w:pPr>
        <w:spacing w:after="0" w:line="72" w:lineRule="exact"/>
        <w:rPr>
          <w:sz w:val="20"/>
          <w:szCs w:val="20"/>
          <w:color w:val="auto"/>
        </w:rPr>
      </w:pPr>
    </w:p>
    <w:p>
      <w:pPr>
        <w:ind w:firstLine="524"/>
        <w:spacing w:after="0" w:line="261" w:lineRule="auto"/>
        <w:rPr>
          <w:sz w:val="20"/>
          <w:szCs w:val="20"/>
          <w:color w:val="auto"/>
        </w:rPr>
      </w:pPr>
      <w:r>
        <w:rPr>
          <w:rFonts w:ascii="Times New Roman" w:cs="Times New Roman" w:eastAsia="Times New Roman" w:hAnsi="Times New Roman"/>
          <w:sz w:val="18"/>
          <w:szCs w:val="18"/>
          <w:color w:val="auto"/>
        </w:rPr>
        <w:t>At randomization, patients were assigned to one of two treatment groups using different dosing regimens. Group 1 replicated the dosing schedule of our ongoing Phase 3 PROACT 1 study in which patients receive two scheduled rilparencel injections (one in</w:t>
      </w: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7" w:name="page8"/>
    <w:bookmarkEnd w:id="7"/>
    <w:p>
      <w:pPr>
        <w:ind w:right="140"/>
        <w:spacing w:after="0" w:line="261" w:lineRule="auto"/>
        <w:rPr>
          <w:sz w:val="20"/>
          <w:szCs w:val="20"/>
          <w:color w:val="auto"/>
        </w:rPr>
      </w:pPr>
      <w:r>
        <w:rPr>
          <w:rFonts w:ascii="Times New Roman" w:cs="Times New Roman" w:eastAsia="Times New Roman" w:hAnsi="Times New Roman"/>
          <w:sz w:val="18"/>
          <w:szCs w:val="18"/>
          <w:color w:val="auto"/>
        </w:rPr>
        <w:t>each kidney), approximately three months apart. Group 2 tested an exploratory dosing regimen to investigate whether disease progression triggers, rather than a time-based trigger, could optimize multiple administrations of rilparencel. In Group 2, patients received a single rilparencel injection in one kidney and a second injection in the contralateral kidney only if triggered by a sustained eGFR decline from baseline of ≥ 20%, and/or an increase of &gt;30% and &gt;30mg/g in the urine albumin to creatinine ratio (“UACR”) from baseline.</w:t>
      </w:r>
    </w:p>
    <w:p>
      <w:pPr>
        <w:spacing w:after="0" w:line="72" w:lineRule="exact"/>
        <w:rPr>
          <w:sz w:val="20"/>
          <w:szCs w:val="20"/>
          <w:color w:val="auto"/>
        </w:rPr>
      </w:pPr>
    </w:p>
    <w:p>
      <w:pPr>
        <w:ind w:right="20" w:firstLine="524"/>
        <w:spacing w:after="0" w:line="258" w:lineRule="auto"/>
        <w:rPr>
          <w:sz w:val="20"/>
          <w:szCs w:val="20"/>
          <w:color w:val="auto"/>
        </w:rPr>
      </w:pPr>
      <w:r>
        <w:rPr>
          <w:rFonts w:ascii="Times New Roman" w:cs="Times New Roman" w:eastAsia="Times New Roman" w:hAnsi="Times New Roman"/>
          <w:sz w:val="18"/>
          <w:szCs w:val="18"/>
          <w:color w:val="auto"/>
        </w:rPr>
        <w:t>The prespecified primary endpoint for REGEN-007 was the difference in annual eGFR slope (calculated using a linear mixed effects model) in the pre-injection period versus the period following the last rilparencel injection. The pre-injection period included all historical eGFR values collected up to 24 months before the screening visit as well as the on-study central laboratory eGFR results prior to first rilparencel injection. The period following the last injection included eGFR values from the last rilparencel injection to the end of study (“EOS”) visit. Median follow-up after the last injection was approximately 18 months in both Group 1 and Group 2.</w:t>
      </w:r>
    </w:p>
    <w:p>
      <w:pPr>
        <w:spacing w:after="0" w:line="75" w:lineRule="exact"/>
        <w:rPr>
          <w:sz w:val="20"/>
          <w:szCs w:val="20"/>
          <w:color w:val="auto"/>
        </w:rPr>
      </w:pPr>
    </w:p>
    <w:p>
      <w:pPr>
        <w:ind w:right="40" w:firstLine="524"/>
        <w:spacing w:after="0" w:line="258" w:lineRule="auto"/>
        <w:rPr>
          <w:sz w:val="20"/>
          <w:szCs w:val="20"/>
          <w:color w:val="auto"/>
        </w:rPr>
      </w:pPr>
      <w:r>
        <w:rPr>
          <w:rFonts w:ascii="Times New Roman" w:cs="Times New Roman" w:eastAsia="Times New Roman" w:hAnsi="Times New Roman"/>
          <w:sz w:val="18"/>
          <w:szCs w:val="18"/>
          <w:color w:val="auto"/>
        </w:rPr>
        <w:t>Fifty-three patients were randomized in the study, of whom 49 patients (mITT population) received at least one rilparencel injection. Four patients did not receive any rilparencel injections. The majority of patients were male (69%), and the mean age was 60 years. At baseline, 38 of 49 patients (78%) had type 2 diabetes mellitus and 11 (22%) had type 1 diabetes. Thirty-nine (80%) patients were receiving an ACEi or an ARB, and 18 (37%) were receiving a SGLT2 inhibitor. At baseline, the mean (SD) eGFR was 33±10 mL/min/1.73m². Notably, the median UACR was higher in Group 1 (792 mg/g) compared to Group 2 (229 mg/g).</w:t>
      </w:r>
    </w:p>
    <w:p>
      <w:pPr>
        <w:spacing w:after="0" w:line="75"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In Group 1 (n=24), kidney function stabilized after receiving rilparencel. The annual decline in eGFR slope improved by 78% from -5.8 mL/min/1.73m² in the pre-injection period to -1.3 mL/min/1.73m² in the period following the last rilparencel injection. This 4.6 mL/min/1.73m² per year difference was statistically significant (p&lt;0.001) and clinically meaningful. Among Group 1 patients, 15 of 24 (63%) met key Phase 3 PROACT 1 inclusion criteria. In this subgroup, treatment with rilparencel resulted in a 5.5 mL/min/1.73m² improvement in the annual decline in eGFR slope. This 85% improvement was statistically significant and clinically meaningful.</w:t>
      </w:r>
    </w:p>
    <w:p>
      <w:pPr>
        <w:spacing w:after="0" w:line="75" w:lineRule="exact"/>
        <w:rPr>
          <w:sz w:val="20"/>
          <w:szCs w:val="20"/>
          <w:color w:val="auto"/>
        </w:rPr>
      </w:pPr>
    </w:p>
    <w:p>
      <w:pPr>
        <w:ind w:right="100" w:firstLine="524"/>
        <w:spacing w:after="0" w:line="258" w:lineRule="auto"/>
        <w:rPr>
          <w:sz w:val="20"/>
          <w:szCs w:val="20"/>
          <w:color w:val="auto"/>
        </w:rPr>
      </w:pPr>
      <w:r>
        <w:rPr>
          <w:rFonts w:ascii="Times New Roman" w:cs="Times New Roman" w:eastAsia="Times New Roman" w:hAnsi="Times New Roman"/>
          <w:sz w:val="18"/>
          <w:szCs w:val="18"/>
          <w:color w:val="auto"/>
        </w:rPr>
        <w:t>In Group 2 (n=25), the annual change in kidney function as measured by eGFR slope was -3.4 mL/min/1.73m² in the pre-injection period versus -1.7 mL/min/1.73m² in the period following the last rilparencel injection, resulting in an improvement of 50%, or 1.7 mL/min/1.73m² per year. This difference was not statistically significant (p=0.085) but suggests evidence of a dose response. Out of the 25 patients in Group 2, 15 (60%) met the re-dosing trigger and received a second rilparencel injection. The median time between the first and second injections in these 15 patients was approximately 11 months.</w:t>
      </w:r>
    </w:p>
    <w:p>
      <w:pPr>
        <w:spacing w:after="0" w:line="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rilparencel-related serious adverse events were observed across all patients in the study who received at least one rilparencel injection (n=49).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overall study safety profile was consistent with previously reported study results and comparable to a kidney biopsy.</w:t>
      </w:r>
    </w:p>
    <w:p>
      <w:pPr>
        <w:spacing w:after="0" w:line="99" w:lineRule="exact"/>
        <w:rPr>
          <w:sz w:val="20"/>
          <w:szCs w:val="20"/>
          <w:color w:val="auto"/>
        </w:rPr>
      </w:pPr>
    </w:p>
    <w:p>
      <w:pPr>
        <w:ind w:right="320" w:firstLine="509"/>
        <w:spacing w:after="0" w:line="255" w:lineRule="auto"/>
        <w:rPr>
          <w:sz w:val="20"/>
          <w:szCs w:val="20"/>
          <w:color w:val="auto"/>
        </w:rPr>
      </w:pPr>
      <w:r>
        <w:rPr>
          <w:rFonts w:ascii="Times New Roman" w:cs="Times New Roman" w:eastAsia="Times New Roman" w:hAnsi="Times New Roman"/>
          <w:sz w:val="18"/>
          <w:szCs w:val="18"/>
          <w:color w:val="auto"/>
        </w:rPr>
        <w:t>We currently operate a manufacturing facility that has been designed to comply with FDA and European Medicines Agency (“EMA”) quality standards and to produce rilparencel treatments from biopsied material. Our manufacturing site, based in Winston-Salem, North Carolina, in the United States, has a potential capacity sufficient to supply our Phase 3 study as well as a potential commercial launch, should rilparencel receive regulatory approval.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Our Clinical Trial Program</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We are leveraging our cell therapy technology to develop product candidates designed to stop or delay kidney failure in CKD. The following table summarizes our current clinical study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114300</wp:posOffset>
            </wp:positionV>
            <wp:extent cx="6026150" cy="2717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2615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Clinical studies suggest that rilparencel can impact kidney function positively, as shown by its stabilization of eGFR, or attenuation of the rate of eGFR decline, in patients with CKD and diabetes. We have developed a cryopreserved version of rilparencel that allows for long-term product preservation and that is being used in our Phase 3 trial of rilparencel (called PROACT 1 or REGEN-006), and was used in our Phase 2 trial of rilparencel (called REGEN-007). In addition to the cryopreserved formulation of rilparencel, we used a gelatin-based hydrogel formulation in other Phase 2 trials (called RMCL-002 and REGEN-003) and a Phase 1 trial in CAKUT (called REGEN-004).</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 and Corporate History</w:t>
      </w:r>
    </w:p>
    <w:p>
      <w:pPr>
        <w:spacing w:after="0" w:line="12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We have an experienced internal research and development team focused on utilizing our deep understanding of kidney disease pathways to discover and develop novel cell-based therapies with a multi-modal mechanism targeting various pathways. Since our founding, we have expanded our team to incorporate additional expertise as needed to pursue our goal of becoming a fully integrated biopharmaceutical company. We have assembled key management team members with expertise in kidney disease, cell therapy, development, regulatory affairs, operations, quality and manufacturing.</w:t>
      </w:r>
    </w:p>
    <w:p>
      <w:pPr>
        <w:spacing w:after="0" w:line="72" w:lineRule="exact"/>
        <w:rPr>
          <w:sz w:val="20"/>
          <w:szCs w:val="20"/>
          <w:color w:val="auto"/>
        </w:rPr>
      </w:pPr>
    </w:p>
    <w:p>
      <w:pPr>
        <w:ind w:firstLine="524"/>
        <w:spacing w:after="0" w:line="251" w:lineRule="auto"/>
        <w:rPr>
          <w:sz w:val="20"/>
          <w:szCs w:val="20"/>
          <w:color w:val="auto"/>
        </w:rPr>
      </w:pPr>
      <w:r>
        <w:rPr>
          <w:rFonts w:ascii="Times New Roman" w:cs="Times New Roman" w:eastAsia="Times New Roman" w:hAnsi="Times New Roman"/>
          <w:sz w:val="18"/>
          <w:szCs w:val="18"/>
          <w:color w:val="auto"/>
        </w:rPr>
        <w:t>Effective July 1, 2025 (the “Domestication Date”), the Company completed a domestication process through which it changed its jurisdiction of incorporation from the Cayman Islands to the State of Delaware (the “Domestication”). ProKidney Corp., the Cayman Islands exempted company (“ProKidney Cayman”) deregistered as an exempted company in the Cayman Islands pursuant to Sections 206 and 207 of the Companies Act (as amended) of the Cayman Islands (the “Companies Act”), and domesticated and continued its existence as a corporation incorporated in the State of Delaware pursuant to Section 388 of the General Corporation Law of the State of Delaware (the “DGCL”), effective as of the Domestication Date. In connection with the Domestication, the Company also completed certain other restructuring transactions (such transactions, together with the Domestication, the “Restructuring”) on the Domestication Date. Prior to the Restructuring, ProKidney Cayman. conducted its business indirectly through ProKidney LP (“PKLP”), a limited partnership under the laws and regulations of Ireland and its subsidiaries. As part of the Restructuring, (i) PKLP contributed substantially all of its assets to a newly formed subsidiary, ProKidney Holdings, LLC, a Delaware limited liability company (“PK Holdings”) (other than its limited liability company interests in PK Holdings), (ii) PKLP commenced winding-up and made a liquidating distribution of its limited liability company interests in PK Holdings to its partners, including ProKidney Cayman., in redemption of their interests in PKLP, and (iii) ProKidney Corp. GP Limited, the general partner of PKLP, sold its nominal economic interest in PK Holdings received in such liquidating distribution to ProKidney Cayman. (collectively, the “Substitution”). Immediately following the Domestication, ProKidney (“ProKidney-KY”), then a wholly owned subsidiary of PK Holdings and a Cayman Islands exempted company, re-registered as a Cayman Islands limited liability company and then deregistered as a limited liability company in the Cayman Islands and registered by way of continuation out for purposes of the Limited Liability Companies Act (as amended) of the Cayman Islands and domesticated and continued for purposes of the Delaware Limited Liability Company Act as a Delaware limited liability company named ProKidney IPCo, LLC (“ProKidney IPCo”). As a result of the consummation of the Domestication and the other transactions involved in the Restructuring, the Company and the other former limited partners of</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PKLP are now members of PK Holdings, and PK Holdings owns all of the subsidiaries that conduct the Company’s business, including ProKidney IPCo.</w:t>
      </w:r>
    </w:p>
    <w:p>
      <w:pPr>
        <w:spacing w:after="0" w:line="117" w:lineRule="exact"/>
        <w:rPr>
          <w:sz w:val="20"/>
          <w:szCs w:val="20"/>
          <w:color w:val="auto"/>
        </w:rPr>
      </w:pPr>
    </w:p>
    <w:p>
      <w:pPr>
        <w:ind w:right="140" w:firstLine="524"/>
        <w:spacing w:after="0" w:line="256" w:lineRule="auto"/>
        <w:rPr>
          <w:sz w:val="20"/>
          <w:szCs w:val="20"/>
          <w:color w:val="auto"/>
        </w:rPr>
      </w:pPr>
      <w:r>
        <w:rPr>
          <w:rFonts w:ascii="Times New Roman" w:cs="Times New Roman" w:eastAsia="Times New Roman" w:hAnsi="Times New Roman"/>
          <w:sz w:val="18"/>
          <w:szCs w:val="18"/>
          <w:color w:val="auto"/>
        </w:rPr>
        <w:t>In connection with the Domestication and the other Restructuring transactions, the Company amended and restated certain of its material agreements, each originally dated July 11, 2022, on substantially similar terms in order to reflect updates to the Company’s corporate structure resulting from the Restructuring. These amended and restated agreements included: (i) an Amended and Restated Tax Receivable Agreement, (ii) an Amended and Restated Lock-Up Agreement, and (iii) an Amended and Restated Exchange Agreement. In addition, on the Domestication Date, the Company, together with the other former limited partners of PKLP entered into the Second Amended and Restated Limited Liability Company Agreement of PK Holdings to provide for the governance of PK Holdings and reflect the changes to its capital structure resulting from the Restructuring.</w:t>
      </w:r>
    </w:p>
    <w:p>
      <w:pPr>
        <w:spacing w:after="0" w:line="79" w:lineRule="exact"/>
        <w:rPr>
          <w:sz w:val="20"/>
          <w:szCs w:val="20"/>
          <w:color w:val="auto"/>
        </w:rPr>
      </w:pPr>
    </w:p>
    <w:p>
      <w:pPr>
        <w:ind w:firstLine="524"/>
        <w:spacing w:after="0" w:line="266" w:lineRule="auto"/>
        <w:rPr>
          <w:sz w:val="20"/>
          <w:szCs w:val="20"/>
          <w:color w:val="auto"/>
        </w:rPr>
      </w:pPr>
      <w:r>
        <w:rPr>
          <w:rFonts w:ascii="Times New Roman" w:cs="Times New Roman" w:eastAsia="Times New Roman" w:hAnsi="Times New Roman"/>
          <w:sz w:val="18"/>
          <w:szCs w:val="18"/>
          <w:color w:val="auto"/>
        </w:rPr>
        <w:t>After completing the Domestication and other Restructuring transactions, the Company also underwent a series of transactions to streamline its operating subsidiaries from a tax perspective (the “Post-Domestication Reorganization”). The Post-Domestication Reorganization was finalized effective as of September 1, 2025.</w:t>
      </w:r>
    </w:p>
    <w:p>
      <w:pPr>
        <w:spacing w:after="0" w:line="68" w:lineRule="exact"/>
        <w:rPr>
          <w:sz w:val="20"/>
          <w:szCs w:val="20"/>
          <w:color w:val="auto"/>
        </w:rPr>
      </w:pPr>
    </w:p>
    <w:p>
      <w:pPr>
        <w:ind w:right="420" w:firstLine="524"/>
        <w:spacing w:after="0" w:line="282" w:lineRule="auto"/>
        <w:rPr>
          <w:sz w:val="20"/>
          <w:szCs w:val="20"/>
          <w:color w:val="auto"/>
        </w:rPr>
      </w:pPr>
      <w:r>
        <w:rPr>
          <w:rFonts w:ascii="Times New Roman" w:cs="Times New Roman" w:eastAsia="Times New Roman" w:hAnsi="Times New Roman"/>
          <w:sz w:val="18"/>
          <w:szCs w:val="18"/>
          <w:color w:val="auto"/>
        </w:rPr>
        <w:t>References to PK Holdings herein refers to PKLP prior to the Domestication and PK Holdings subsequent to the Domestication. References to ProKidney IPCo. herein refer to ProKidney-KY prior to the Domestication and ProKidney IPCo. subsequent to the Domestication.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0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Our goal is to become a fully integrated biopharmaceutical company pioneering treatments for CKD. Key components of our business strategy include the following:</w:t>
      </w:r>
    </w:p>
    <w:p>
      <w:pPr>
        <w:spacing w:after="0" w:line="158" w:lineRule="exact"/>
        <w:rPr>
          <w:sz w:val="20"/>
          <w:szCs w:val="20"/>
          <w:color w:val="auto"/>
        </w:rPr>
      </w:pPr>
    </w:p>
    <w:p>
      <w:pPr>
        <w:ind w:left="1300" w:right="100" w:hanging="465"/>
        <w:spacing w:after="0" w:line="254"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Obtain regulatory approval for, and successfully commercialize, rilparencel as a treatment for patients with CKD and diabetes.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intend to continue to pursue the clinical development of rilparencel through our Phase 3 REGEN-006 trial. We activated the first site for our ongoing REGEN-006 trial (which we also call “PROACT 1”), in the fourth quarter of 2021 with the first Informed Consent Form signed and the first subject randomized into the trial in the first quarter of 2022. In the third quarter of 2025, the FDA confirmed in a Type B meeting that eGFR slope can serve as the surrogate endpoint and primary basis for a Biologics License Application (“BLA”) submission of rilparencel under the accelerated approval pathway. The FDA also confirmed that PROACT 1 may serve as the confirmatory study to support full approval of rilparencel based on the primary time-to-event composite endpoint specified in the protocol. In addition to PROACT 1, we are also sponsoring a long-term follow-up trial, REGEN-008, for subjects who received rilparencel as part of our trials. This study was launched in the fourth quarter of 2023.</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1300" w:right="140" w:hanging="465"/>
        <w:spacing w:after="0" w:line="254"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Maintain and continually refine our sophisticated internal expertise in manufacturing our products. </w:t>
      </w:r>
      <w:r>
        <w:rPr>
          <w:rFonts w:ascii="Times New Roman" w:cs="Times New Roman" w:eastAsia="Times New Roman" w:hAnsi="Times New Roman"/>
          <w:sz w:val="18"/>
          <w:szCs w:val="18"/>
          <w:color w:val="auto"/>
        </w:rPr>
        <w:t>We have developed and built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facility, intended to be operated in compliance with current good manufacturing practices (“cGMPs”), in which we manufacture rilparencel for clinical trials and plan to continue to develop for purposes of the eventual commercial manufacturing process, assuming receipt of necessary regulatory approvals. Our current manufacturing facility has the capacity to manufacture enough product for PROACT 1 and is intended to serve as our commercial launch facility. We initiated an expansion of our manufacturing footprint within our existing premises to prepare for the potential commercialization of rilparencel.</w:t>
      </w:r>
    </w:p>
    <w:p>
      <w:pPr>
        <w:spacing w:after="0" w:line="3" w:lineRule="exact"/>
        <w:rPr>
          <w:rFonts w:ascii="Times New Roman" w:cs="Times New Roman" w:eastAsia="Times New Roman" w:hAnsi="Times New Roman"/>
          <w:sz w:val="18"/>
          <w:szCs w:val="18"/>
          <w:color w:val="auto"/>
        </w:rPr>
      </w:pPr>
    </w:p>
    <w:p>
      <w:pPr>
        <w:ind w:left="1300" w:right="440" w:hanging="465"/>
        <w:spacing w:after="0" w:line="25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Discover and develop additional product candidates for the treatment of kidney diseases utilizing our cell therapy approach.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has extensive experience in discovery research and deep expertise in kidney disease. While executing its primary mission to develop and commercialize rilparencel, our team expects to investigate additional disease pathways associated with kidney disease, identify key targets for intervention and generate product candidates against these targets. We may also in-license from, collaborate with, or acquire third parties to develop product candidates that we, based on our understanding of kidney diseases and pathways, believe are promising therapeutics.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Kidney Disease Overview</w:t>
      </w:r>
    </w:p>
    <w:p>
      <w:pPr>
        <w:spacing w:after="0" w:line="108"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CKD is highly prevalent in the United States and European Union. Based on available U.S. data from the 2018 National Health and Nutritional Examination Survey, we expect the aggregate CKD population in the United States and European Union to grow from approximately 70 million in 2020 to approximately 80 million in 2030 and approximately 93 million in 2040. The most common causes of CKD among adults are diabetes, hypertension, and glomerular disease. In the United States, it is believed that approximately 3.2 million patients per year suffer from Stage 3b or 4 CKD and over one million of those patients could be eligible for treatment with rilparencel.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Working to Preserve Kidney Function through Autologous Cell Therapy</w:t>
      </w:r>
    </w:p>
    <w:p>
      <w:pPr>
        <w:spacing w:after="0" w:line="121" w:lineRule="exact"/>
        <w:rPr>
          <w:sz w:val="20"/>
          <w:szCs w:val="20"/>
          <w:color w:val="auto"/>
        </w:rPr>
      </w:pPr>
    </w:p>
    <w:p>
      <w:pPr>
        <w:jc w:val="both"/>
        <w:ind w:right="360" w:firstLine="509"/>
        <w:spacing w:after="0" w:line="257" w:lineRule="auto"/>
        <w:rPr>
          <w:sz w:val="20"/>
          <w:szCs w:val="20"/>
          <w:color w:val="auto"/>
        </w:rPr>
      </w:pPr>
      <w:r>
        <w:rPr>
          <w:rFonts w:ascii="Times New Roman" w:cs="Times New Roman" w:eastAsia="Times New Roman" w:hAnsi="Times New Roman"/>
          <w:sz w:val="18"/>
          <w:szCs w:val="18"/>
          <w:color w:val="auto"/>
        </w:rPr>
        <w:t>Autologous cell therapy refers to the prevention or treatment of human disease by administering a person’s own cells that have been expanded, selected and formulated outside the body and subsequently injected into the body of the patient from whom the cells were derived. We believe that our technology has the potential to preserve kidney function by using a patient’s own SRC.</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 w:name="page11"/>
    <w:bookmarkEnd w:id="10"/>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Rilparencel is an autologous cell therapy. It includes a homologous cell mixture, SRC prepared from each individual subject’s own kidney biopsy tissue.</w:t>
      </w:r>
    </w:p>
    <w:p>
      <w:pPr>
        <w:spacing w:after="0" w:line="54" w:lineRule="exact"/>
        <w:rPr>
          <w:sz w:val="20"/>
          <w:szCs w:val="20"/>
          <w:color w:val="auto"/>
        </w:rPr>
      </w:pPr>
    </w:p>
    <w:p>
      <w:pPr>
        <w:ind w:right="240" w:firstLine="509"/>
        <w:spacing w:after="0" w:line="245" w:lineRule="auto"/>
        <w:rPr>
          <w:sz w:val="20"/>
          <w:szCs w:val="20"/>
          <w:color w:val="auto"/>
        </w:rPr>
      </w:pPr>
      <w:r>
        <w:rPr>
          <w:rFonts w:ascii="Times New Roman" w:cs="Times New Roman" w:eastAsia="Times New Roman" w:hAnsi="Times New Roman"/>
          <w:sz w:val="18"/>
          <w:szCs w:val="18"/>
          <w:color w:val="auto"/>
        </w:rPr>
        <w:t>Preparing rilparencel begins when a biopsy of the diseased kidney is sent to our laboratory where the kidney cells are expanded and SRC selected. SRC are formulated into a cryopreserved product at a concentration of approximately 100 x 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cells/mL and shipped frozen to the clinical site where they can be injected into the cortex of the damaged kidney of the patient. Due to one severe bleed that occurred during an early rilparencel injection procedure, we switched to the use of a noncutting needle design for the rilparencel procedure. In non-clinical studies, SRCs injected into the cortex of a diseased kidney were found to distribute from the injection site to throughout the kidney, with localization in the peritubular, juxta-tubular and intratubular regions. To date, clinical studies suggest that treatment with rilparencel in patients with CKD and diabetes may positively impact kidney function, shown by a stabilization in eGFR or attenuations in the rate of eGFR decline. Other improvements observed with non-clinical and clinical SRC treatment include metabolic, as well as filtration benefits.</w:t>
      </w:r>
    </w:p>
    <w:p>
      <w:pPr>
        <w:spacing w:after="0" w:line="24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Rilparencel Tissue Acquisition-to-Injection Process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156845</wp:posOffset>
            </wp:positionV>
            <wp:extent cx="6026150" cy="3300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26150" cy="330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Mechanism of Action of Rilparencel</w:t>
      </w:r>
    </w:p>
    <w:p>
      <w:pPr>
        <w:spacing w:after="0" w:line="121"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SRC, injected into the kidney cortex, are believed to provide a molecular basis for activation of endogenous renal repair mechanisms that are still active in the chronically diseased kidney. Non-clinical studies in multiple animal models of CKD have demonstrated that SRC injected directly into the kidney cortex could effect a reparative response in multiple locations of the nephron through putative juxtacrine and paracrine mechanisms involving direct cell-cell contact and secreted factors, respectively. In animal models of CKD, treatment with SRC preserved kidney function, reduced proteinuria and provided a significant survival benefit. Additionally, there is evidence from non-clinical models suggesting that injected SRC may augment other important kidney functions related to bone and mineral metabolism and hematopoiesis. In animal models of CKD, SRC have been shown to minimize the development of osteoclastic bone resorption, which is characteristically due to secondary hyperparathyroidism in CKD, and improve cellularity in marrow related to red blood cell production.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w:t>
      </w:r>
    </w:p>
    <w:p>
      <w:pPr>
        <w:spacing w:after="0" w:line="12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Rilparencel is currently in Phase 3 development for the treatment of advanced CKD and type 2 diabetes. Our Phase 3 study, PROACT 1, is being conducted at approximately 80 clinical sites based in the United States, Mexico and Taiwan. To date, clinical studies in participants with CKD and diabetes suggest that treatment with rilparencel may delay or prevent kidney failure by stabilizing eGFR.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 w:name="page12"/>
    <w:bookmarkEnd w:id="11"/>
    <w:p>
      <w:pPr>
        <w:ind w:firstLine="554"/>
        <w:spacing w:after="0" w:line="256" w:lineRule="auto"/>
        <w:rPr>
          <w:sz w:val="20"/>
          <w:szCs w:val="20"/>
          <w:color w:val="auto"/>
        </w:rPr>
      </w:pPr>
      <w:r>
        <w:rPr>
          <w:rFonts w:ascii="Times New Roman" w:cs="Times New Roman" w:eastAsia="Times New Roman" w:hAnsi="Times New Roman"/>
          <w:sz w:val="18"/>
          <w:szCs w:val="18"/>
          <w:color w:val="auto"/>
        </w:rPr>
        <w:t>The ongoing clinical development program utilizes an image-guided percutaneous injection into the kidney that is conducted using conscious sedation in an outpatient same-day procedure. The procedure appears to be generally well tolerated with the most commonly observed procedure related events including nausea, vomiting, fever, and hematuria with kidney biopsy. Serious adverse events, including injection-related pain, kidney-related events such as hematoma, renal vascular events, eGFR decline and acute kidney injury, have also been reported. Other serious adverse events, including acute myocardial infarction, acute respiratory failure, end stage kidney disease, and coronary artery disease have been reported and are generally associated with the co-morbidities of patients with type 2 diabetes.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Unmet Need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Kidney Disease</w:t>
      </w:r>
    </w:p>
    <w:p>
      <w:pPr>
        <w:spacing w:after="0" w:line="119" w:lineRule="exact"/>
        <w:rPr>
          <w:sz w:val="20"/>
          <w:szCs w:val="20"/>
          <w:color w:val="auto"/>
        </w:rPr>
      </w:pPr>
    </w:p>
    <w:p>
      <w:pPr>
        <w:ind w:right="260" w:firstLine="509"/>
        <w:spacing w:after="0" w:line="253" w:lineRule="auto"/>
        <w:rPr>
          <w:sz w:val="20"/>
          <w:szCs w:val="20"/>
          <w:color w:val="auto"/>
        </w:rPr>
      </w:pPr>
      <w:r>
        <w:rPr>
          <w:rFonts w:ascii="Times New Roman" w:cs="Times New Roman" w:eastAsia="Times New Roman" w:hAnsi="Times New Roman"/>
          <w:sz w:val="18"/>
          <w:szCs w:val="18"/>
          <w:color w:val="auto"/>
        </w:rPr>
        <w:t>CKD is characterized by progressive disease that, without therapeutic intervention, can worsen until the afflicted person reaches end-stage kidney disease (“ESKD”) or dies. CKD patients have progressive damage and loss of kidney function as evidenced by decreased eGFR and / or increased excretion of urinary albumin and as observed through laboratory testing. The global adult prevalence of CKD is estimated to be 10% with ranges of 8-16% in various populations. CKD is often associated with considerable comorbidities, such as diabetes, and is often accompanied by adverse outcomes due to underlying disease states and/or risk factors for cardiovascular disease, such as hypertension and diabetes, causing an increased risk of mortality. Ninety-seven percent of patients with moderate to severe CKD have asymptomatic disease, and this stage of CKD is associated with a two-to four-fold rise in cardiovascular disease risk, along with a significant increase in all-cause mortality. Only a small proportion of CKD patients progress to ESKD (i.e., Stage 5 disease), but the increasing life expectancy of humans has led to growing numbers of patients with chronic diseases and end-stage organ failure. Even with costly treatments, patients with ESKD experience substantial morbidity and mortality. To survive, ESKD patients require renal replacement therapy (“RRT”) with peritoneal dialysis, hemodialysis or kidney transplantation. Preventing or delaying progression of CKD, delaying the onset of medical complications and treating comorbidities are key strategies for CKD management. Approved therapies for patients with CKD have been shown to delay CKD progression in some patients. However, many patients continue to lose kidney function and progress to ESKD.</w:t>
      </w:r>
    </w:p>
    <w:p>
      <w:pPr>
        <w:spacing w:after="0" w:line="79" w:lineRule="exact"/>
        <w:rPr>
          <w:sz w:val="20"/>
          <w:szCs w:val="20"/>
          <w:color w:val="auto"/>
        </w:rPr>
      </w:pPr>
    </w:p>
    <w:p>
      <w:pPr>
        <w:ind w:right="200" w:firstLine="509"/>
        <w:spacing w:after="0" w:line="237" w:lineRule="auto"/>
        <w:rPr>
          <w:sz w:val="20"/>
          <w:szCs w:val="20"/>
          <w:color w:val="auto"/>
        </w:rPr>
      </w:pPr>
      <w:r>
        <w:rPr>
          <w:rFonts w:ascii="Times New Roman" w:cs="Times New Roman" w:eastAsia="Times New Roman" w:hAnsi="Times New Roman"/>
          <w:sz w:val="18"/>
          <w:szCs w:val="18"/>
          <w:color w:val="auto"/>
        </w:rPr>
        <w:t>The major causes of CKD in adults are diabetes and hypertension. Nearly half of all CKD cases arise from diabetes, with or without hypertension. The incidence of CKD continues to increase and is primarily due to the increased worldwide incidence of type 2 diabetes and metabolic syndrome. Staging and grading of kidney function relies upon eGFR and urine measurement of albumin excretion (“albuminuria”). KDIGO 2012 Clinical Practice Guideline for the Evaluation and Management of Chronic Kidney Disease provides guidelines intended to aid general practitioners and nephrologists in the evaluation, classification, and management of CKD in both adults and children. As set forth below, Figure 1 categorizes the risk of ESKD from “low” to “very high” based on both eGFR measurements, ranging from &gt;90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&lt;30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and albuminuria classifications ranging from &lt;30 mg/g to &gt;300 mg/g. Chronic kidney failure occurs when eGFR is &lt; 15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for 3 or more months, and is often treated by dialysis or kidney transplantation.</w:t>
      </w:r>
    </w:p>
    <w:p>
      <w:pPr>
        <w:spacing w:after="0" w:line="2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Summary of Classification Estimates for CKD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156845</wp:posOffset>
            </wp:positionV>
            <wp:extent cx="6026150" cy="2520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2615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600" w:firstLine="509"/>
        <w:spacing w:after="0" w:line="261" w:lineRule="auto"/>
        <w:rPr>
          <w:sz w:val="20"/>
          <w:szCs w:val="20"/>
          <w:color w:val="auto"/>
        </w:rPr>
      </w:pPr>
      <w:r>
        <w:rPr>
          <w:rFonts w:ascii="Times New Roman" w:cs="Times New Roman" w:eastAsia="Times New Roman" w:hAnsi="Times New Roman"/>
          <w:sz w:val="18"/>
          <w:szCs w:val="18"/>
          <w:color w:val="auto"/>
        </w:rPr>
        <w:t>Treatment of patients with CKD focuses on treating comorbidities (such as diabetes and hypertension) and medical complications, reducing cardiovascular risk, slowing decline of kidney function and preparing for kidney failure or kidney</w:t>
      </w: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replacement therapy. For many patients, CKD occurs as part of a complex comorbidity cluster including cardiovascular disease and type 2 diabetes.</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Pharmacological therapy may include the administration of any or all of the following: angiotensin converting enzyme (“ACE”) inhibitors or angiotensin receptor blockers (“ARB”), sodium-glucose cotransporter-2 (“SGLT-2”) inhibitors, nonsteroidal mineralocorticoid receptor antagonists (“nsMRAs”), glucagon-like peptide-1 receptor agonist (“GLP-1 RA”), insulin and/or other anti-diabetic agents for glycemic control and lipid lowering therapy.</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When a patient reaches ESKD, RRT in the form of kidney dialysis or transplantation is generally required to prolong life. The vast majority of dialysis patients in the United States and certain other developed countries receive dialysis primarily in the form of center hemodialysis, peritoneal dialysis or home hemodialysis. Dialysis removes toxins that accumulate in the absence of normally functioning kidneys; dialysis also helps to restore fluid and electrolyte balance when kidneys fail. Hemodialysis has been associated with multiple, serious complications as well as interference with quality of life. Although kidney transplantation currently remains the most effective form of RRT for ESKD, there is a chronic shortage of organs. If a patient can secure a kidney for transplantation, long-term immunosuppressive therapy is required to prevent rejection. Use of immunosuppressants results in a higher incidence of infection and, over the long term, some types of cancer. And while xenotransplantation might be a promising alternative approach in the future to bridge the gap between the supply and demand of human organs, tissues, and cells, immunological barriers are limiting factors in clinical xenotransplantation at the current time.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w:t>
      </w:r>
    </w:p>
    <w:p>
      <w:pPr>
        <w:spacing w:after="0" w:line="10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completed clinical trials and currently ongoing clinical trials of rilparencel are summarized below; the name of the product candidate tested in the trials was changed after completion of some of the trials from Neo-Kidney Augment (“NKA”) to REACT or rilparencel.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CKD and Diabetes or CAKUT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1 Clinical Development (TNG-CL010, TNG-CL011, REGEN-004 and REGEN-015)</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TNG-CL010 was an open-label safety and delivery optimization study of rilparencel (formerly known as NKA) conducted in Sweden in subjects with CKD. TNG-CL010 commenced in April 2013 and completed in December 2014. TNG-CL011 was also an open-label safety and delivery optimization study of rilparencel in subjects with CKD and type 2 diabetes and CKD conducted in the United States. TNG-CL011 commenced with first subject enrolled in February 2014 and completed in December 2014.</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primary objective of these trials was to assess the safety and delivery of rilparencel when injected into one kidney. Six subjects from Sweden (TNG-CL010) and one from the United States with CKD and type 2 diabetes, ranging in age from 53-70 years, eGFR levels between 19-34 (average 25 +/- 2, Cystatin C) and iohexol clearance of 15-39 (average 26 +/- 3), were enrolled. One subject with CKD and type 2 diabetes was enrolled in TNG-CL011.</w:t>
      </w:r>
    </w:p>
    <w:p>
      <w:pPr>
        <w:spacing w:after="0" w:line="72" w:lineRule="exact"/>
        <w:rPr>
          <w:sz w:val="20"/>
          <w:szCs w:val="20"/>
          <w:color w:val="auto"/>
        </w:rPr>
      </w:pPr>
    </w:p>
    <w:p>
      <w:pPr>
        <w:ind w:right="260" w:firstLine="509"/>
        <w:spacing w:after="0" w:line="255" w:lineRule="auto"/>
        <w:rPr>
          <w:sz w:val="20"/>
          <w:szCs w:val="20"/>
          <w:color w:val="auto"/>
        </w:rPr>
      </w:pPr>
      <w:r>
        <w:rPr>
          <w:rFonts w:ascii="Times New Roman" w:cs="Times New Roman" w:eastAsia="Times New Roman" w:hAnsi="Times New Roman"/>
          <w:sz w:val="18"/>
          <w:szCs w:val="18"/>
          <w:color w:val="auto"/>
        </w:rPr>
        <w:t>The results from the Phase 1 trials indicate that rilparencel was well tolerated when administered to the kidney, with no adverse events from rilparencel. When the decline of kidney function pre-and post- injection were compared, the subjects receiving rilparencel in this Phase 1 trial had an imputed delay in dialysis of approximately 1.5 years beyond the standard of care based on a reduced rate of decline in eGFR from pre-injection baseline. Cortical thickness increased in the injected kidney from an average of 14 mm at time of injection to approximately 16 mm after one year. Kidney function was preserved following the rilparencel injection by iohexol clearance and based on the subjects’ ACRs. Subjects with a baseline anemia (n = 3 of 7) showed improved hemoglobin levels after rilparencel injection, and the remaining subjects maintained normal levels during the study. Antihypertensive medication was reduced in three of six subjects during the first six months following injection with rilparencel.</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data from TNG-CL011 was accepted by FDA as part of a clinical data package submitted to progress to Phase 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2 Clinical Development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RMCL-001:</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RMCL-001 was a Phase 2, open-label safety and efficacy study of rilparencel in subjects with CKD and type 2 diabetes. The study commenced in May 2016 and ended in May 2017.</w:t>
      </w:r>
    </w:p>
    <w:p>
      <w:pPr>
        <w:spacing w:after="0" w:line="54" w:lineRule="exact"/>
        <w:rPr>
          <w:sz w:val="20"/>
          <w:szCs w:val="20"/>
          <w:color w:val="auto"/>
        </w:rPr>
      </w:pPr>
    </w:p>
    <w:p>
      <w:pPr>
        <w:ind w:firstLine="509"/>
        <w:spacing w:after="0" w:line="227" w:lineRule="auto"/>
        <w:rPr>
          <w:sz w:val="20"/>
          <w:szCs w:val="20"/>
          <w:color w:val="auto"/>
        </w:rPr>
      </w:pPr>
      <w:r>
        <w:rPr>
          <w:rFonts w:ascii="Times New Roman" w:cs="Times New Roman" w:eastAsia="Times New Roman" w:hAnsi="Times New Roman"/>
          <w:sz w:val="18"/>
          <w:szCs w:val="18"/>
          <w:color w:val="auto"/>
        </w:rPr>
        <w:t>The primary objective of this study was to assess the safety and efficacy of a second rilparencel injection using a minimally invasive percutaneous procedure that was done under conscious sedation as a same-day outpatient procedure. A single subject with an eGFR of 14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was enrolled from the Phase 1 study (TNG-CL011) described above. The second dose of rilparencel was manufactured from cryopreserved kidney cells obtained from the Phase 1 kidney biopsy. The subject was administered a dose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 The subject’s eGFR increased to approximately 20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for a period of eight months, after which the subject experienced a precipitous drop in kidney function and began hemodialysis. The study was terminated by the sponsor of the clinical trial after this subject went onto dialysis and resources were diverted to study RMCL-002.</w:t>
      </w:r>
    </w:p>
    <w:p>
      <w:pPr>
        <w:spacing w:after="0" w:line="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RMCL-002:</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RMCL-002 was a Phase 2, prospective, randomized, double-arm, deferred treatment, open-label, repeat dose, safety and efficacy study of rilparencel in subjects with type 2 diabetes and CKD. The first subject was enrolled in this study in February 2017, and all subjects have completed follow-up. The aggregate number of subjects enrolled in the Phase 2 clinical trial was 83. Upon withdrawal and/or replacement of two subjects, 81 subjects were enrolled as of December 2020, of which 41 subjects were enrolled into the active treatment group and 42 subjects were enrolled into the deferred treatment group.</w:t>
      </w:r>
    </w:p>
    <w:p>
      <w:pPr>
        <w:spacing w:after="0" w:line="75"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primary objective of this study was to assess the safety and efficacy of up to two rilparencel injections given six months (+ 4 weeks) apart in patients with CKD and type 2 diabetes with eGFRs between 20 and 50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with both doses delivered into the biopsied kidney using an outpatient, minimally invasive, percutaneous approach under conscious sedation completed in less than 90 minutes. Patients received two doses of rilparencel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 xml:space="preserve"> each.</w:t>
      </w:r>
    </w:p>
    <w:p>
      <w:pPr>
        <w:spacing w:after="0" w:line="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Patients were randomized (1:1) to the active treatment group and the deferred treatment group (i.e., the control group) following kidney biopsy. Subjects in the active treatment group received their first rilparencel injection as soon as the rilparencel product was manufactured and shipped to the clinical site. After six months (up to four weeks after target date), a second injection was given, as appropriate. In contrast, subjects in the deferred treatment group underwent a 12-month period of observation after kidney biopsy. The deferred treatment group allowed assessment of the rate of change in kidney function and co-morbidities in a nonexposed group compared to the active treatment arm. During this time, they received contemporaneous, standard-of-care therapy for CKD while undergoing follow-up evaluations every three months, similar to subjects in the active treatment group. After 12 months, subjects from the deferred treatment group received up to two rilparencel injections given six months apart (+/- four weeks of the target date), as appropriate. Consequently, the study design included a randomized control group receiving standard-of-care treatment for the first 12 months and a randomized, active treatment group receiving up to two rilparencel injections and follow-up evaluations during the same period of time.</w:t>
      </w:r>
    </w:p>
    <w:p>
      <w:pPr>
        <w:spacing w:after="0" w:line="9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final results for safety and efficacy were presented at the 61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ERA Congress in May 2024. The rate of progression of kidney function for the active treatment group, assessed via pre-randomized serial measurements of eGFR over 24 months after the last rilparencel injection, was compared to that of the deferred treatment group. In addition, each subject’s baseline rate of eGFR decline, derived from historical and clinical data, was compared to the individual subject’s rate of eGFR decline through 24 months following the final rilparencel injection. Patients were followed for 24 months after their last rilparencel injection in part 1 of the trial. An open label extension portion of the study (part 2) was added in February 2021 to follow all subjects for an additional 3 years. Visits are being conducted at 3-month intervals to provide a total of 5 years (part 1 + part 2) of follow-up after the last rilparencel injection.</w:t>
      </w:r>
    </w:p>
    <w:p>
      <w:pPr>
        <w:spacing w:after="0" w:line="9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Overall, the trial data final results demonstrated rilparencel’s potential for kidney function preservation in patients with advanced CKD and type 2 diabetes, with the most notable potential benefit shown in patients who had the highest risk of kidney failure (CKD Stage 4 with moderate to severe albuminuria). The results also indicated a safety profile in line with previously reported data from earlier Phase 1 and Phase 2 trials, with tolerability similar to that of a routine kidney biopsy.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REGEN-003:</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REGEN-003 is a completed Phase 2, prospective, open-label, single-arm, safety and tolerability study of rilparencel in subjects with CKD and type 2 diabetes, specifically those with high-risk late Stage 4 CKD. This study enrolled its first patient in March 2018. The early results were published online in January 2023 in the </w:t>
      </w:r>
      <w:r>
        <w:rPr>
          <w:rFonts w:ascii="Times New Roman" w:cs="Times New Roman" w:eastAsia="Times New Roman" w:hAnsi="Times New Roman"/>
          <w:sz w:val="18"/>
          <w:szCs w:val="18"/>
          <w:i w:val="1"/>
          <w:iCs w:val="1"/>
          <w:color w:val="auto"/>
        </w:rPr>
        <w:t>Journal of Blood Purification</w:t>
      </w:r>
      <w:r>
        <w:rPr>
          <w:rFonts w:ascii="Times New Roman" w:cs="Times New Roman" w:eastAsia="Times New Roman" w:hAnsi="Times New Roman"/>
          <w:sz w:val="18"/>
          <w:szCs w:val="18"/>
          <w:color w:val="auto"/>
        </w:rPr>
        <w:t xml:space="preserve"> in a manuscript entitled, “Renal Autologous Cell Therapy (REACT) in Type 2 Diabetes with Late Stage 4 Diabetes-Related Chronic Kidney Disease: Trial Design and Early Analysis” (DOI: doi.org/10.1159/000527582). Clinical study results were submitted to the FDA on September 8, 2023.</w:t>
      </w:r>
    </w:p>
    <w:p>
      <w:pPr>
        <w:spacing w:after="0" w:line="75"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primary objective of this study was to assess the safety and efficacy of up to two rilparencel injections given six months apart (up to four weeks after target date) in patients with CKD and type 2 diabetes and with eGFRs between 14 and 20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Subjects received up to two doses of rilparencel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 xml:space="preserve"> each delivered into the biopsied kidney using a minimally invasive percutaneous approach.</w:t>
      </w:r>
    </w:p>
    <w:p>
      <w:pPr>
        <w:spacing w:after="0" w:line="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This study enrolled a total of ten adults (five men and five women). Following a percutaneous kidney biopsy and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expansion of SRC that form rilparencel, the rilparencel product was injected into the cortex of the biopsied kidney with CT image guidance. Nine participants received two doses of the rilparencel product at six-month intervals; one participant received only one injection. A six-month observation period pre-trial was required to establish a patient’s “own” baseline and rate of CKD progression. There were no cell product-related serious adverse events reported. Serious renal-linked adverse events related to the rilparencel procedure were reported in three participants, including acute kidney injury, CKD progression, renal arteriovenous fistula and hematomas, each of which required observation without transfusion or angiographic interventions. At the final analysis, median time to dialysis was 19.4 months (interquartile range 13.3-27.9). Two patients (20%) completed the study (24 months after the second injection) without advancing to RRT. One patient died due to complications related to COVID, and an additional</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sectPr>
      </w:pPr>
    </w:p>
    <w:bookmarkStart w:id="14" w:name="page15"/>
    <w:bookmarkEnd w:id="14"/>
    <w:p>
      <w:pPr>
        <w:ind w:right="760"/>
        <w:spacing w:after="0" w:line="282" w:lineRule="auto"/>
        <w:rPr>
          <w:sz w:val="20"/>
          <w:szCs w:val="20"/>
          <w:color w:val="auto"/>
        </w:rPr>
      </w:pPr>
      <w:r>
        <w:rPr>
          <w:rFonts w:ascii="Times New Roman" w:cs="Times New Roman" w:eastAsia="Times New Roman" w:hAnsi="Times New Roman"/>
          <w:sz w:val="18"/>
          <w:szCs w:val="18"/>
          <w:color w:val="auto"/>
        </w:rPr>
        <w:t>subject died due to a myocardial infarction approximately 18 months after enrollment. The results from this study suggest that rilparencel has the potential to delay dialysis in high-risk Stage 4 and Stage 5 CKD patients.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REGEN-007:</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May 2025, we completed our REGEN-007 trial, a multi-center Phase 2 open-label 1:1 randomized two-arm trial of rilparencel in patients with diabetes, CKD, and an eGFR of 20-50 mL/min/1.73m². Full results were presented as a late-breaking clinical trial at the American Society of Nephrology Kidney Week 2025 and a more complete set of results were published in the Clinical Journal of the American Society of Nephrology in early 2026.</w:t>
      </w:r>
    </w:p>
    <w:p>
      <w:pPr>
        <w:spacing w:after="0" w:line="72" w:lineRule="exact"/>
        <w:rPr>
          <w:sz w:val="20"/>
          <w:szCs w:val="20"/>
          <w:color w:val="auto"/>
        </w:rPr>
      </w:pPr>
    </w:p>
    <w:p>
      <w:pPr>
        <w:ind w:right="20" w:firstLine="524"/>
        <w:spacing w:after="0" w:line="256" w:lineRule="auto"/>
        <w:rPr>
          <w:sz w:val="20"/>
          <w:szCs w:val="20"/>
          <w:color w:val="auto"/>
        </w:rPr>
      </w:pPr>
      <w:r>
        <w:rPr>
          <w:rFonts w:ascii="Times New Roman" w:cs="Times New Roman" w:eastAsia="Times New Roman" w:hAnsi="Times New Roman"/>
          <w:sz w:val="18"/>
          <w:szCs w:val="18"/>
          <w:color w:val="auto"/>
        </w:rPr>
        <w:t>At randomization, patients were assigned to one of two treatment groups using different dosing regimens. Group 1 replicated the dosing schedule of our ongoing Phase 3 PROACT 1 study in which patients receive two scheduled rilparencel injections (one in each kidney), approximately three months apart. Group 2 tested an exploratory dosing regimen to investigate whether disease progression triggers, rather than a time-based trigger, could optimize multiple administrations of rilparencel. In Group 2, patients received a single rilparencel injection in one kidney and a second injection in the contralateral kidney only if triggered by a sustained eGFR decline from baseline of ≥ 20%, and/or an increase of &gt;30% and &gt;30mg/g in the urine albumin to creatinine ratio (“UACR”) from baseline.</w:t>
      </w:r>
    </w:p>
    <w:p>
      <w:pPr>
        <w:spacing w:after="0" w:line="79" w:lineRule="exact"/>
        <w:rPr>
          <w:sz w:val="20"/>
          <w:szCs w:val="20"/>
          <w:color w:val="auto"/>
        </w:rPr>
      </w:pPr>
    </w:p>
    <w:p>
      <w:pPr>
        <w:ind w:right="20" w:firstLine="524"/>
        <w:spacing w:after="0" w:line="258" w:lineRule="auto"/>
        <w:rPr>
          <w:sz w:val="20"/>
          <w:szCs w:val="20"/>
          <w:color w:val="auto"/>
        </w:rPr>
      </w:pPr>
      <w:r>
        <w:rPr>
          <w:rFonts w:ascii="Times New Roman" w:cs="Times New Roman" w:eastAsia="Times New Roman" w:hAnsi="Times New Roman"/>
          <w:sz w:val="18"/>
          <w:szCs w:val="18"/>
          <w:color w:val="auto"/>
        </w:rPr>
        <w:t>The prespecified primary endpoint for REGEN-007 was the difference in annual eGFR slope (calculated using a linear mixed effects model) in the pre-injection period versus the period following the last rilparencel injection. The pre-injection period included all historical eGFR values collected up to 24 months before the screening visit as well as the on-study central laboratory eGFR results prior to first rilparencel injection. The period following the last injection included eGFR values from the last rilparencel injection to the end of study (“EOS”) visit. Median follow-up after the last injection was approximately 18 months in both Group 1 and Group 2.</w:t>
      </w:r>
    </w:p>
    <w:p>
      <w:pPr>
        <w:spacing w:after="0" w:line="75" w:lineRule="exact"/>
        <w:rPr>
          <w:sz w:val="20"/>
          <w:szCs w:val="20"/>
          <w:color w:val="auto"/>
        </w:rPr>
      </w:pPr>
    </w:p>
    <w:p>
      <w:pPr>
        <w:ind w:right="40" w:firstLine="524"/>
        <w:spacing w:after="0" w:line="258" w:lineRule="auto"/>
        <w:rPr>
          <w:sz w:val="20"/>
          <w:szCs w:val="20"/>
          <w:color w:val="auto"/>
        </w:rPr>
      </w:pPr>
      <w:r>
        <w:rPr>
          <w:rFonts w:ascii="Times New Roman" w:cs="Times New Roman" w:eastAsia="Times New Roman" w:hAnsi="Times New Roman"/>
          <w:sz w:val="18"/>
          <w:szCs w:val="18"/>
          <w:color w:val="auto"/>
        </w:rPr>
        <w:t>Fifty-three patients were randomized in the study, of whom 49 patients (mITT population) received at least one rilparencel injection. Four patients did not receive any rilparencel injections. The majority of patients were male (69%), and the mean age was 60 years. At baseline, 38 of 49 patients (78%) had type 2 diabetes mellitus and 11 (22%) had type 1 diabetes. Thirty-nine (80%) patients were receiving an ACEi or an ARB, and 18 (37%) were receiving a SGLT2 inhibitor. At baseline, the mean (SD) eGFR was 33±10 mL/min/1.73m². Notably, the median UACR was higher in Group 1 (792 mg/g) compared to Group 2 (229 mg/g).</w:t>
      </w:r>
    </w:p>
    <w:p>
      <w:pPr>
        <w:spacing w:after="0" w:line="75"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In Group 1 (n=24), kidney function stabilized after receiving rilparencel. The annual decline in eGFR slope improved by 78% from -5.8 mL/min/1.73m² in the pre-injection period to -1.3 mL/min/1.73m² in the period following the last rilparencel injection. This 4.6 mL/min/1.73m² per year difference was statistically significant (p&lt;0.001) and clinically meaningful. Among Group 1 patients, 15 of 24 (63%) met key Phase 3 PROACT 1 inclusion criteria. In this subgroup, treatment with rilparencel resulted in a 5.5 mL/min/1.73m² improvement in the annual decline in eGFR slope. This 85% improvement was statistically significant and clinically meaningful.</w:t>
      </w:r>
    </w:p>
    <w:p>
      <w:pPr>
        <w:spacing w:after="0" w:line="75" w:lineRule="exact"/>
        <w:rPr>
          <w:sz w:val="20"/>
          <w:szCs w:val="20"/>
          <w:color w:val="auto"/>
        </w:rPr>
      </w:pPr>
    </w:p>
    <w:p>
      <w:pPr>
        <w:ind w:right="100" w:firstLine="524"/>
        <w:spacing w:after="0" w:line="258" w:lineRule="auto"/>
        <w:rPr>
          <w:sz w:val="20"/>
          <w:szCs w:val="20"/>
          <w:color w:val="auto"/>
        </w:rPr>
      </w:pPr>
      <w:r>
        <w:rPr>
          <w:rFonts w:ascii="Times New Roman" w:cs="Times New Roman" w:eastAsia="Times New Roman" w:hAnsi="Times New Roman"/>
          <w:sz w:val="18"/>
          <w:szCs w:val="18"/>
          <w:color w:val="auto"/>
        </w:rPr>
        <w:t>In Group 2 (n=25), the annual change in kidney function as measured by eGFR slope was -3.4 mL/min/1.73m² in the pre-injection period versus -1.7 mL/min/1.73m² in the period following the last rilparencel injection, resulting in an improvement of 50%, or 1.7 mL/min/1.73m² per year. This difference was not statistically significant (p=0.085) but suggests evidence of a dose response. Out of the 25 patients in Group 2, 15 (60%) met the re-dosing trigger and received a second rilparencel injection. The median time between the first and second injections in these 15 patients was approximately 11 months.</w:t>
      </w:r>
    </w:p>
    <w:p>
      <w:pPr>
        <w:spacing w:after="0" w:line="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rilparencel-related serious adverse events were observed across all patients in the study who received at least one rilparencel injection (n=49).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overall study safety profile was consistent with previously reported study results and comparable to a kidney biopsy.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REGEN-015</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Multi-dose study REGEN-015 was a planned Phase 1 open-label study of rilparencel in subjects with CKD and type 1 or type 2 diabetes. The intended purpose of this study was to evaluate the safety of supplemental rilparencel injections in participants who have previously received rilparencel treatment. No patient received rilparencel and the study was closed in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REGEN-004</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REGEN-004 is a completed Phase 1, prospective, open-label, single-arm, safety, tolerability, and early efficacy study of rilparencel in subjects with CKD from CAKUT.</w:t>
      </w:r>
    </w:p>
    <w:p>
      <w:pPr>
        <w:spacing w:after="0" w:line="54" w:lineRule="exact"/>
        <w:rPr>
          <w:sz w:val="20"/>
          <w:szCs w:val="20"/>
          <w:color w:val="auto"/>
        </w:rPr>
      </w:pPr>
    </w:p>
    <w:p>
      <w:pPr>
        <w:ind w:right="380" w:firstLine="509"/>
        <w:spacing w:after="0" w:line="226" w:lineRule="auto"/>
        <w:rPr>
          <w:sz w:val="20"/>
          <w:szCs w:val="20"/>
          <w:color w:val="auto"/>
        </w:rPr>
      </w:pPr>
      <w:r>
        <w:rPr>
          <w:rFonts w:ascii="Times New Roman" w:cs="Times New Roman" w:eastAsia="Times New Roman" w:hAnsi="Times New Roman"/>
          <w:sz w:val="18"/>
          <w:szCs w:val="18"/>
          <w:color w:val="auto"/>
        </w:rPr>
        <w:t>The primary objective of this study was to assess the safety and efficacy of up to two rilparencel injections given six months (up to four weeks after target date) apart and delivered into the biopsied kidney using a minimally invasive percutaneous approach that can be delivered under conscious sedation in less than 90 minutes in patients with CKD with eGFRs between 14 and 50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due to CAKUT. Five subjects were enrolled in this trial. Subjects received two doses of rilparencel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 w:name="page16"/>
    <w:bookmarkEnd w:id="15"/>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All five subjects received their first injection, and four subjects received both injections. The trial concluded in January 2023 with the last patient, last visit. Small mean decreases from baseline in eGFR were noted at almost all time points during the study.</w:t>
      </w:r>
    </w:p>
    <w:p>
      <w:pPr>
        <w:spacing w:after="0" w:line="6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7"/>
          <w:szCs w:val="17"/>
          <w:color w:val="auto"/>
        </w:rPr>
        <w:t>Results show that the estimated rate (standard error) of eGFR decline was -0.4 (2.28) mL/min/1.73 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7"/>
          <w:szCs w:val="17"/>
          <w:color w:val="auto"/>
        </w:rPr>
        <w:t xml:space="preserve"> per year during the Pre-Injection Period, -2.1 (1.35) mL/min/1.73m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7"/>
          <w:szCs w:val="17"/>
          <w:color w:val="auto"/>
        </w:rPr>
        <w:t xml:space="preserve"> per year during the Post-Second Injection Period, and -1.4 (0.93) mL/min/1.73 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7"/>
          <w:szCs w:val="17"/>
          <w:color w:val="auto"/>
        </w:rPr>
        <w:t xml:space="preserve"> per year during the Post-Injection Period.</w:t>
      </w:r>
    </w:p>
    <w:p>
      <w:pPr>
        <w:ind w:left="520"/>
        <w:spacing w:after="0"/>
        <w:rPr>
          <w:sz w:val="20"/>
          <w:szCs w:val="20"/>
          <w:color w:val="auto"/>
        </w:rPr>
      </w:pPr>
      <w:r>
        <w:rPr>
          <w:rFonts w:ascii="Times New Roman" w:cs="Times New Roman" w:eastAsia="Times New Roman" w:hAnsi="Times New Roman"/>
          <w:sz w:val="18"/>
          <w:szCs w:val="18"/>
          <w:color w:val="auto"/>
        </w:rPr>
        <w:t>Final results of this study were reported to the FDA in December 2023. We are not pursuing this indication further at this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3 Clinical Development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Regenerative Medicine Advanced Therapy (“RMAT”) designation for rilparencel was granted by the FDA on October 28, 2021. As contemplated by the RMAT designation and as directed by the FDA, we requested a comprehensive, multidisciplinary Type B meeting with the FDA to review the status of preclinical data, clinical development activities and manufacturing of rilparencel and to discuss the planned clinical program intended to support approval of the product candidate. The FDA provided detailed written responses to our questions included in the meeting request, and the Type B meeting was held in March 2022 which informed our original Phase 3 trial design and endpoints. Since this original meeting with the FDA, we have held additional Type B meetings, which have further guided rilparencel’s registrational trial strategy. In 2024, we completed a comprehensive internal and external review to determine the optimal path to bring rilparencel to patients in the U.S. with advanced CKD and type 2 diabetes – a market where there is high unmet clinical and economic need. An important conclusion of this review, which was later confirmed by the FDA in a Type B meeting, was that eGFR slope in patients from the ongoing Phase 3 PROACT 1 study can serve as the surrogate endpoint and primary basis for a BLA submission of rilparencel under the accelerated approval pathway. Thus, REGEN-016 (PROACT 2), which was focused on enrollment outside the U.S., was discontinued.</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 Type B meeting held in July 2025, the FDA confirmed that the slope of eGFR in patients from the ongoing Phase 3 PROACT 1 study could serve as the surrogate endpoint and primary basis for a BLA submission of rilparencel under the accelerated approval pathway. The FDA also confirmed that PROACT 1 may serve as the confirmatory study to support full approval of rilparencel based on the primary time-to-event composite endpoint specified in the protocol. We will continue to maintain our ongoing dialogue with the FDA under rilparencel’s RMAT designation.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REGEN-006/PROACT 1 trial:</w:t>
      </w:r>
    </w:p>
    <w:p>
      <w:pPr>
        <w:spacing w:after="0" w:line="121"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8"/>
          <w:szCs w:val="18"/>
          <w:color w:val="auto"/>
        </w:rPr>
        <w:t>REGEN-006 (PROACT 1) is an ongoing Phase 3, randomized, blinded, bi-lateral kidney dosing, sham controlled arm, efficacy and safety study of rilparencel in subjects with advanced CKD and type 2 diabetes. The related study protocol has been amended to focus on a subset of patients with Stage 4 CKD (eGFR between 20 and 30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and late Stage 3b CKD (eGFR between 30 and 35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with accompanying albuminuria UACR between 300 and 5000 mg/g). This study is being conducted in clinical centers in the United States, Mexico, and Taiwan.</w:t>
      </w:r>
    </w:p>
    <w:p>
      <w:pPr>
        <w:spacing w:after="0" w:line="9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primary objective of this study is to assess the efficacy of up to two rilparencel injections given three months apart and delivered into both kidneys using a minimally invasive percutaneous approach. Targeted enrollment is approximately 470 patients. Subjects will be randomized (1:1) to the treatment group and the sham control group prior to kidney biopsy. Subjects in the treatment group will receive two injections of rilparencel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Each of the subjects in the treatment group will receive the first rilparencel injection within about 14 weeks following kidney biopsy. After three months it is intended that a second dose be given into the contralateral kidney. In contrast, subjects in the control group will receive two sham injections, the first of which will be administered 14 weeks following sham biopsy, and the second of which will be administered three months after the first sham injection. All subjects will continue in the study until the trial end date is announced and an end of study visit is completed.</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surrogate endpoint to support a potential accelerated approval of rilparencel is annualized eGFR slope. The efficacy analysis set is expected to contain approximately 360 patients and will include all patients with at least 6 months of follow-up after first injection.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primary composite endpoint to support a potential confirmatory approval is the time from first injection to the earliest of:</w:t>
      </w:r>
    </w:p>
    <w:p>
      <w:pPr>
        <w:spacing w:after="0" w:line="225" w:lineRule="exact"/>
        <w:rPr>
          <w:sz w:val="20"/>
          <w:szCs w:val="20"/>
          <w:color w:val="auto"/>
        </w:rPr>
      </w:pPr>
    </w:p>
    <w:p>
      <w:pPr>
        <w:ind w:left="1300" w:hanging="465"/>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40% reduction in eGFR, using the 2021 CKD-EPI serum creatinine equation, sustained for 30 days;</w:t>
      </w:r>
    </w:p>
    <w:p>
      <w:pPr>
        <w:spacing w:after="0" w:line="225" w:lineRule="exact"/>
        <w:rPr>
          <w:rFonts w:ascii="Times New Roman" w:cs="Times New Roman" w:eastAsia="Times New Roman" w:hAnsi="Times New Roman"/>
          <w:sz w:val="18"/>
          <w:szCs w:val="18"/>
          <w:color w:val="auto"/>
        </w:rPr>
      </w:pPr>
    </w:p>
    <w:p>
      <w:pPr>
        <w:ind w:left="1300" w:right="100" w:hanging="465"/>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eGFR &lt;15 mL/min/1.73m² using the 2021 CKD-EPI serum creatinine equation, sustained for 30 days and/or chronic dialysis, and/or renal transplant; or</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renal or cardiovascular death.</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3" w:right="619" w:bottom="1440" w:gutter="0" w:footer="0" w:header="0"/>
        </w:sectPr>
      </w:pPr>
    </w:p>
    <w:bookmarkStart w:id="16" w:name="page17"/>
    <w:bookmarkEnd w:id="16"/>
    <w:p>
      <w:pPr>
        <w:ind w:firstLine="509"/>
        <w:spacing w:after="0" w:line="282" w:lineRule="auto"/>
        <w:rPr>
          <w:sz w:val="20"/>
          <w:szCs w:val="20"/>
          <w:color w:val="auto"/>
        </w:rPr>
      </w:pPr>
      <w:r>
        <w:rPr>
          <w:rFonts w:ascii="Times New Roman" w:cs="Times New Roman" w:eastAsia="Times New Roman" w:hAnsi="Times New Roman"/>
          <w:sz w:val="18"/>
          <w:szCs w:val="18"/>
          <w:color w:val="auto"/>
        </w:rPr>
        <w:t>We anticipate topline data readout of the surrogate endpoint (eGFR slope) in the second quarter of 2027 and anticipate topline data readout of the confirmatory endpoint (composite time-to-event) in the second half of 2029.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Discontinuation of REGEN-016/PROACT 2:</w:t>
      </w:r>
    </w:p>
    <w:p>
      <w:pPr>
        <w:spacing w:after="0" w:line="12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REGEN-016 (PROACT 2) was a planned Phase 3, randomized, blinded, sham control arm, bi-lateral kidney dosing, efficacy study of rilparencel in subjects with Stages 3b and 4 CKD and type 2 diabetes (specifically eGFR between 20 ml and 44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with moderate to severe albuminuria (UACR between 300 and 5,000 mg/g)). In 2024, we completed a comprehensive internal and external review to determine the optimal path to bring rilparencel to patients in the U.S. with advanced CKD and type 2 diabetes – a market where there is high unmet clinical and economic need. An important conclusion of this review, which was later confirmed by the FDA in a Type B meeting, was that eGFR slope in patients from the ongoing Phase 3 PROACT 1 study can serve as the surrogate endpoint and primary basis for a BLA submission of rilparencel under the accelerated approval pathway. Thus, REGEN-016 (PROACT 2), which was focused on enrollment outside the U.S., was discontinued.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REGEN-008</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REGEN-008 is an ongoing, prospective, open-label, observational, long term follow up master protocol study of rilparencel in subjects with diabetes and CKD who were previously enrolled and treated with rilparencel. There are two sub-studies under the REGEN-008 master protocol:</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REGEN-008 sub-study 1 is a multi-center, prospective, non-interventional, long-term observational extension study of participants who were enrolled and dosed in previous interventional clinical studies with the prior, fresh, rilparencel formulation. Participants will be monitored for up to five years.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REGEN-008 sub-study 2 is intended to follow study participants previously treated with the cryopreserved formulation of rilparencel.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will be followed for up to an additional five years for this study from completion of previous protocol End of Study Visit.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including developers of tubular and glomerular cell drug modulators, e.g., SGLT2 inhibitors, antifibrosis medications, e.g., MRAs, glucose-dependent insulin release stimulators, e.g., GLP-1 RAs, induced pluripotent cells, other autologous mesenchymal stem cells and mechanical renal assist devices such as implantable and wearable renal dialysis machines, and advances in peritoneal dialysis and home dialysis. Cell-based clinical trials by other companies are underway globally with umbilical, adipose and bone marrow derived mesenchymal stem cells for CKD. Early-phase human induced pluripotent stem cell therapies for kidney diseases are ongoing in Japan.</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 therapies and new therapies that may become available in the future. We believe that the key competitive factors affecting the success of any of our product candidates will include efficacy, safety profile, dosing, cost, effectiveness of promotional support and intellectual property protection. With respect specifically to rilparencel, we expect the key competitive factors affecting its success, if approved, will include the intended patient population, the relative convenience of dosing and administration, and efficacy.</w:t>
      </w:r>
    </w:p>
    <w:p>
      <w:pPr>
        <w:spacing w:after="0" w:line="75"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Many other companies working on medications for controlling CKD, either alone or with their collaboration partners, have significantly greater financial resources and expertise in research and development, preclinical testing, clinical trials, manufacturing, and marketing than we do. We believe that our principal competitors include developers of SGLT2 inhibitors, including canagliflozin (marketed as Invokana® by companies including Janssen Pharmaceuticals, Inc.), dapagliflozin (marketed under the brand names Farxiga® and Forxiga® by companies including AstraZeneca plc and Bristol-Myers Squibb Company), and empagliflozin (marketed as Jardiance® by companies including Boehringer Ingelheim and Eli Lilly and Company), and MRAs, which are small-molecule therapies recently approved to lower risks of CKD progression, notably finerenone (marketed as Kerendia® by companies including Bayer AG). Most recently, GLP-1 RAs, originally approved for type 2 diabetes and obesity, have been associated with lowering all-cause mortality among patients with type 2 diabetes, advanced-stage CKD and ESKD, including semaglutide (marketed under the brand names Ozempic®, Rybelsus® and Wegovy® by Novo Nordisk) and tirzepatide (marketed under the brand name Mounjaro® by Eli Lilly and Company). In January 2025, the FDA approved Ozempic® to reduce the risk of kidney disease worsening, kidney failure, and death from cardiovascular disease in adults with type 2 diabetes and CKD. Future collaborations, mergers and acquisitions may result in further resource concentration among a smaller number of competitors.</w:t>
      </w:r>
    </w:p>
    <w:p>
      <w:pPr>
        <w:spacing w:after="0" w:line="8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w:t>
      </w:r>
    </w:p>
    <w:p>
      <w:pPr>
        <w:jc w:val="center"/>
        <w:ind w:right="-2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17" w:name="page18"/>
    <w:bookmarkEnd w:id="17"/>
    <w:p>
      <w:pPr>
        <w:ind w:right="180"/>
        <w:spacing w:after="0" w:line="261" w:lineRule="auto"/>
        <w:rPr>
          <w:sz w:val="20"/>
          <w:szCs w:val="20"/>
          <w:color w:val="auto"/>
        </w:rPr>
      </w:pPr>
      <w:r>
        <w:rPr>
          <w:rFonts w:ascii="Times New Roman" w:cs="Times New Roman" w:eastAsia="Times New Roman" w:hAnsi="Times New Roman"/>
          <w:sz w:val="18"/>
          <w:szCs w:val="18"/>
          <w:color w:val="auto"/>
        </w:rPr>
        <w:t>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These competitors may also vie for a similar pool of qualified scientific and management talent, sites and patient populations for clinical trials, as well as for technologies complementary to, or necessary for, our programs.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and Manufacturing</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believe that over the last 20 years we have developed our manufacturing technology for chemistry, manufacturing, and controls (“CMC”). In doing so, we have established a considerable intellectual property estate, combined with extensive manufacturing know-how, to enable us to manufacture rilparencel with consistent quality.</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With support from high level manufacturing and regulatory expertise, our internal manufacturing capabilities have enabled us to progress rapidly through our clinical trials. We believe that our current manufacturing capacities enable us to provide sufficient quantities of clinical trial material to supply our clinical trials. The manufacturing facilities located in Winston-Salem, North Carolina and the quality systems are intended to be compliant with global quality standards. It typically takes approximately 12 weeks to produce the clinical rilparencel products.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An audit in 2023 by the Company’s contracted Qualified Person (“QP”) to evaluate our readiness for release and distribution of rilparencel in the EU identified certain deficiencies in the documentation of the quality management systems to be addressed prior to release and distribution of product for EU clinical sites. Manufacturing was subsequently paused while we optimized our capabilities to meet EU and global standards for our Phase 3 program. Of note, no safety events necessitated this pause. After undergoing a thorough remediation process in the first half of 2024, we resumed manufacturing for U.S. and non-European clinical study sites in June 2024, and in July 2024, we received the QP Declaration of Equivalence to European Union Good Manufacturing Practice (“GMP”) standards. We believe the work done during the remediation has positioned the Company well to continue manufacturing under global standards for our Phase 3 program and we are well prepared for a transition to commercial manufacturing.</w:t>
      </w:r>
    </w:p>
    <w:p>
      <w:pPr>
        <w:spacing w:after="0" w:line="8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bioprocesses have been reviewed by the FDA and EMA and validation activities are ongoing in anticipation of being commercial-ready for the potential launch of rilparencel. We plan to continue to expand our manufacturing capacity to prepare for the potential commercialization of rilparencel.</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intend to improve bioprocess development to further reduce manufacturing costs of the commercial rilparencel product, assuming receipt of necessary regulatory approvals. Further, similar to our Phase 3 study, our final commercial rilparencel product is planned to be a cryopreserved formulation, which we expect will reduce manufacturing costs compared to our prior fresh rilparencel formulation. We expect to leverage bulk purchasing to actively negotiate pricing of materials to further drive cost reductions. However, there can be no assurance that the manufacturing costs for our Phase 3 trials will actually be lower when we manufacture rilparencel at commercial scale. A number of factors may contribute to an inability to achieve these cost reductions, including cost overruns or inefficiencies in the supply chain and any failure to improve the formulation or bioprocessing of rilparencel in a manner that results in lower costs.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0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pursuing and obtaining patent protection in the United States and in jurisdictions outside of the United States related to our proprietary technology, inventions, improvements, and product candidates that are important to the development and implementation of our business. For example, we have or are pursuing patents covering the composition of matter for each of our product candidates and we generally pursue patent protection covering methods-of-use for each clinical trial. We may also rely on trade secrets, know-how, continuing technological innovation and potential in-licensing opportunities to develop and maintain our proprietary position. Additionally, we expect to benefit, where appropriate, from statutory frameworks in the United States, Europe and other countries that provide a period of clinical data exclusivity to compensate for the time required for regulatory approval of our products.</w:t>
      </w:r>
    </w:p>
    <w:p>
      <w:pPr>
        <w:spacing w:after="0" w:line="175"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We continually assess and refine our intellectual property strategy as we develop new technologies and product candidates. We plan to file additional patent applications based on our intellectual property strategies where appropriate, including where we seek to adapt to competition or to improve business opportunities. Further, we plan to file patent applications, as we consider appropriate under the circumstances, to protect new technologies that we develop.</w:t>
      </w:r>
    </w:p>
    <w:p>
      <w:pPr>
        <w:spacing w:after="0" w:line="153"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To cover our proprietary technologies, proprietary cell-based rilparencel product and related methods, such as methods of use, we have filed patent applications representing 21 patent families. As of December 31, 2025, our patent estate, which is solely owned, included 454 total issued patents or pending patent applications with 14 issued U.S. patents, 14 pending U.S.</w:t>
      </w:r>
    </w:p>
    <w:p>
      <w:pPr>
        <w:spacing w:after="0" w:line="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18" w:name="page19"/>
    <w:bookmarkEnd w:id="18"/>
    <w:p>
      <w:pPr>
        <w:ind w:right="120"/>
        <w:spacing w:after="0" w:line="282" w:lineRule="auto"/>
        <w:rPr>
          <w:sz w:val="20"/>
          <w:szCs w:val="20"/>
          <w:color w:val="auto"/>
        </w:rPr>
      </w:pPr>
      <w:r>
        <w:rPr>
          <w:rFonts w:ascii="Times New Roman" w:cs="Times New Roman" w:eastAsia="Times New Roman" w:hAnsi="Times New Roman"/>
          <w:sz w:val="18"/>
          <w:szCs w:val="18"/>
          <w:color w:val="auto"/>
        </w:rPr>
        <w:t>non-provisional patent applications, four pending Patent Cooperation Treaty (“PCT”) applications, 272 issued foreign patents and 150 pending foreign patent applications in various foreign jurisdictions.</w:t>
      </w:r>
    </w:p>
    <w:p>
      <w:pPr>
        <w:spacing w:after="0" w:line="14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Specifically, our patent family with claims directed to cells formulated in rilparencel, implantable constructs, and methods of using the same to, for example, treat kidney disease, includes 37 issued patents and six pending patent applications. Patents in this family have been issued in ten jurisdictions, including the United States (three issued patents), Europe (two issued patents, each separately validated in seven countries), China (two issued patents), Japan (three issued patents), and South Korea (four issued patents). Issued patents and any further patents that may be issued from this family’s six pending applications are expected to expire in 2029 absent any patent term adjustments or extensions.</w:t>
      </w:r>
    </w:p>
    <w:p>
      <w:pPr>
        <w:spacing w:after="0" w:line="15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also own two patent families directed to our rilparencel formulations and methods of preparing the formulations. Across these families, we have 28 issued patents in eleven jurisdictions, including the United States, Europe (validated in 11 countries), China, Japan, South Korea, and Canada. We also have four patent applications that are pending in jurisdictions, including Europe, Canada and Australia. Patents across these two patent families, including any patents that may be issued from the pending applications, are expected to expire between 2031 and 2038, depending upon their respective filing dates and absent any patent term adjustments or extensions.</w:t>
      </w:r>
    </w:p>
    <w:p>
      <w:pPr>
        <w:spacing w:after="0" w:line="17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we own two patent families with claims directed to quality control methods for ensuring that renal cells for formulation in rilparencel, prepared by our proprietary methods, have phenotypic and functional profiles indicative of therapeutic activity. Within the first patent family, we have 82 issued patents in various jurisdictions, including the United States (three issued patents), Europe (three issued patents, a first of which has been validated in 21 countries, a second of which has been validated in 20 countries, and a third of which has been validated in 13 countries), China (two issued patents), Japan (two issued patents), South Korea (four issued patents), Hong Kong (four issued patents), Australia (three issued patents), and New Zealand (two issued patents). We also have nine patent applications in this family that are pending in multiple jurisdictions, including the United States, Europe, Australia, China, and South Korea. Issued patents, and any further patents that may be issued from this family’s nine pending applications, are expected to expire in 2033 absent any patent term adjustments or extensions. Our second patent family includes a PCT and a Taiwanese patent application. Any patents that issue as a result of having filed these applications are expected to expire in 2045 absent any patent term adjustments or extensions.</w:t>
      </w:r>
    </w:p>
    <w:p>
      <w:pPr>
        <w:spacing w:after="0" w:line="1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further own three patent families directed to methods of improving kidney function and/or in treating kidney disease, e.g., chronic kidney disease with diabetes or chronic kidney disease resulting from a congenital anomaly. Across these families, we have nine issued patents, including three U.S. patents and 38 pending patent applications filed in 16 jurisdictions, including the United States, Europe, Hong Kong, China, Korea, Japan, Australia, Brazil, Mexico, Israel, Canada, and Mexico. Our issued U.S. patents are expected to expire in 2037 absent any patent term adjustments or extensions. Patents across all three patent families, if issued, are expected to expire between 2036 and 2042, depending upon their respective filing dates and absent any patent term adjustments or extensions.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we plan to file additional applications on aspects of our innovations that may have patent terms that extend beyond these dates.</w:t>
      </w:r>
    </w:p>
    <w:p>
      <w:pPr>
        <w:spacing w:after="0" w:line="21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laws of the countries in which they are obtained. In the countries in which we currently file, the patent term is 20 years from the earliest date of filing of a non-provisional patent application, which serves as a priority application. However, the term of a U.S. patent may be extended to compensate for the time required to obtain regulatory approval to sell a medicine (a patent term extension) or by delays encountered during patent prosecution that are caused by the United States Patent and Trademark Office (the “USPTO”) (referred to as patent term adjustment). For example, the Hatch-Waxman Act permits a patent term extension for FDA-approved medicines of up to five years beyond the expiration of the patent. The length of the patent term extension is related to the length of time the medicine is under regulatory review and diligence during the review process. Patent term extensions cannot extend the remaining term of a patent beyond a total of 14 years from the date of product approval and only one patent covering an approved medicine or its method of use may be extended. A similar kind of patent extension, referred to as a Supplementary Protection Certificate, is available in Europe. Legal frameworks are also available in certain other jurisdictions to extend the term of a patent. We currently intend to seek patent term extensions on any of our issued patents in any jurisdiction where we have a qualifying patent and the extension is available; however there is no guarantee that the applicable regulatory authorities, including the FDA in the United States, will agree with our assessment of whether such extensions should be granted, and even if granted, the length of such extensions. Further, even if our patent is extended, the patent, including the extended portion of the patent, may be held invalid or unenforceable by a court of final jurisdiction in the United States or a foreign country.</w:t>
      </w:r>
    </w:p>
    <w:p>
      <w:pPr>
        <w:spacing w:after="0" w:line="17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obtain and maintain a proprietary position on our product candidates and technologies will depend on our success in obtaining effective patent claims on these pending patents and enforcing those claims if granted. However, our pending patent applications, and any patent applications that we may in the future file or license from third parties, may not result in the issuance of patents. We also cannot predict the breadth of claims that may be</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74" w:right="599" w:bottom="1440" w:gutter="0" w:footer="0" w:header="0"/>
        </w:sectPr>
      </w:pPr>
    </w:p>
    <w:bookmarkStart w:id="19" w:name="page20"/>
    <w:bookmarkEnd w:id="19"/>
    <w:p>
      <w:pPr>
        <w:ind w:right="20"/>
        <w:spacing w:after="0" w:line="255" w:lineRule="auto"/>
        <w:rPr>
          <w:sz w:val="20"/>
          <w:szCs w:val="20"/>
          <w:color w:val="auto"/>
        </w:rPr>
      </w:pPr>
      <w:r>
        <w:rPr>
          <w:rFonts w:ascii="Times New Roman" w:cs="Times New Roman" w:eastAsia="Times New Roman" w:hAnsi="Times New Roman"/>
          <w:sz w:val="18"/>
          <w:szCs w:val="18"/>
          <w:color w:val="auto"/>
        </w:rPr>
        <w:t>allowed or enforced in our patents. Furthermore, our competitors may be able to independently develop and commercialize products with similar mechanisms of action and duplicate our methods of treatments or strategies without infringing our patents. Because of the extensive time required for clinical development and regulatory review of a therapeutic product we may develop, it is possible that, before any of our products can be commercialized, any related patent may expire or remain in force for only a short period following commercialization, thereby reducing any advantage of any such patent. Moreover, even our issued patents do not guarantee us the right to practice our technology in relation to the commercialization of our clinical candidates. The area of patent and other intellectual property rights in pharmaceuticals is an evolving one with many risks and uncertainties, and third parties may have blocking patents that could be used to prevent us from commercializing our clinical candidates.</w:t>
      </w:r>
    </w:p>
    <w:p>
      <w:pPr>
        <w:spacing w:after="0" w:line="1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Our ability to obtain and maintain our proprietary position for our product candidates and technology will depend on our success in enforcing the claims that have been granted or may grant. However, any of our patents, including patents that we may rely on to protect our market for approved therapeutics, may be held invalid or unenforceable by a court of final jurisdiction. Alternatively, we may decide that it is in our interest to settle a litigation in a manner that affects the term or enforceability of our patent. Changes in either the patent laws or in interpretations of patent laws in the United States and other countries may diminish our ability to protect our inventions and enforce our intellectual property rights. Accordingly, we cannot predict the breadth or enforceability of claims that have been or may be granted in our patents or in third-party patents.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 addition to patents, we may rely upon unpatented trade secrets and know-how and continuing technological innovation to develop and maintain our competitive position. We seek to protect our proprietary information, in part, using confidentiality agreements with our commercial partners, collaborators, employees, and consultants, and invention assignment agreements with our employees.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biological products, including cell-based regenerative therapy products, are subject to regulation under the Federal Food, Drug, and Cosmetic Act (the “FD&amp;C Act”), the Public Health Service Act (the “PHS Act”) and other federal, state, local and foreign statutes and regulations. Both the FD&amp;C Act and the PHS Act and their corresponding regulations govern, among other things, the research, development, clinical trial, testing, manufacturing, safety, efficacy, labeling, packaging, storage, record keeping, distribution, reporting, advertising and other promotional practices involving biological products. Each clinical trial protocol for a cell-based therapy product must be reviewed by the FDA. FDA approval must be obtained before the marketing of any biological product in the United States. The process of obtaining regulatory approvals and the subsequent compliance with appropriate federal, state, local and foreign statutes and regulations requires the expenditure of substantial time and financial resources and we may not be able to obtain the required regulatory approvals.</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Ethical, social and legal concerns about gene or cell-based therapies, genetic testing and genetic research could result in additional laws and regulations restricting or prohibiting the processes we may use. Federal and state legislatures, agencies, congressional committees and foreign governments have expressed interest in further regulating biotechnology. More restrictive laws and regulations or interpretations of existing laws or regulations, or claims that our product candidates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biological products development process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a biological product may be marketed in the United States generally involves the following:</w:t>
      </w:r>
    </w:p>
    <w:p>
      <w:pPr>
        <w:spacing w:after="0" w:line="225" w:lineRule="exact"/>
        <w:rPr>
          <w:sz w:val="20"/>
          <w:szCs w:val="20"/>
          <w:color w:val="auto"/>
        </w:rPr>
      </w:pPr>
    </w:p>
    <w:p>
      <w:pPr>
        <w:ind w:left="1300" w:right="500" w:hanging="465"/>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Good Laboratory Practices (“GLPs”), and applicable requirements for the humane use of laboratory animals or other applicable regulations;</w:t>
      </w:r>
    </w:p>
    <w:p>
      <w:pPr>
        <w:spacing w:after="0" w:line="161" w:lineRule="exact"/>
        <w:rPr>
          <w:rFonts w:ascii="Times New Roman" w:cs="Times New Roman" w:eastAsia="Times New Roman" w:hAnsi="Times New Roman"/>
          <w:sz w:val="18"/>
          <w:szCs w:val="18"/>
          <w:color w:val="auto"/>
        </w:rPr>
      </w:pPr>
    </w:p>
    <w:p>
      <w:pPr>
        <w:ind w:left="1300" w:right="300" w:hanging="465"/>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investigational new drug (“IND”) application which must become effective before human clinical trials may begin;</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74" w:right="599" w:bottom="1440" w:gutter="0" w:footer="0" w:header="0"/>
        </w:sectPr>
      </w:pPr>
    </w:p>
    <w:bookmarkStart w:id="20" w:name="page21"/>
    <w:bookmarkEnd w:id="20"/>
    <w:p>
      <w:pPr>
        <w:ind w:left="1300" w:hanging="465"/>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protocol and related documentation by an investigational review board (“IRB”) or ethics committee at each clinical trial site before each clinical trial may be initiated;</w:t>
      </w:r>
    </w:p>
    <w:p>
      <w:pPr>
        <w:spacing w:after="0" w:line="161" w:lineRule="exact"/>
        <w:rPr>
          <w:rFonts w:ascii="Times New Roman" w:cs="Times New Roman" w:eastAsia="Times New Roman" w:hAnsi="Times New Roman"/>
          <w:sz w:val="18"/>
          <w:szCs w:val="18"/>
          <w:color w:val="auto"/>
        </w:rPr>
      </w:pPr>
    </w:p>
    <w:p>
      <w:pPr>
        <w:ind w:left="1300" w:right="140" w:hanging="465"/>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applicable IND regulations, good clinical practices, or Good Clinical Practices (“GCPs”) and other clinical-trial related regulation, to evaluate the safety and efficacy of the investigational biological product for each proposed indication;</w:t>
      </w:r>
    </w:p>
    <w:p>
      <w:pPr>
        <w:spacing w:after="0" w:line="175" w:lineRule="exact"/>
        <w:rPr>
          <w:rFonts w:ascii="Times New Roman" w:cs="Times New Roman" w:eastAsia="Times New Roman" w:hAnsi="Times New Roman"/>
          <w:sz w:val="18"/>
          <w:szCs w:val="18"/>
          <w:color w:val="auto"/>
        </w:rPr>
      </w:pPr>
    </w:p>
    <w:p>
      <w:pPr>
        <w:ind w:left="1300" w:right="200" w:hanging="465"/>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Biologics License Application (“BLA”) for marketing approval that includes sufficient evidence of establishing the safety, purity, and potency of the proposed biological product for each proposed indication, including from results of non-clinical testing and clinical trials;</w:t>
      </w:r>
    </w:p>
    <w:p>
      <w:pPr>
        <w:spacing w:after="0" w:line="175" w:lineRule="exact"/>
        <w:rPr>
          <w:rFonts w:ascii="Times New Roman" w:cs="Times New Roman" w:eastAsia="Times New Roman" w:hAnsi="Times New Roman"/>
          <w:sz w:val="18"/>
          <w:szCs w:val="18"/>
          <w:color w:val="auto"/>
        </w:rPr>
      </w:pPr>
    </w:p>
    <w:p>
      <w:pPr>
        <w:ind w:left="1300" w:right="120" w:hanging="465"/>
        <w:spacing w:after="0" w:line="261"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biological product is produced to assess compliance with cGMPs to assure that the facilities, methods and controls are adequate to preserve the biological product’s identity, strength, quality, potency and purity and, if applicable, compliance with the FDA’s current Good Tissue Practices (“cGTPs”) for the use of human cellular and tissue products;</w:t>
      </w:r>
    </w:p>
    <w:p>
      <w:pPr>
        <w:spacing w:after="0" w:line="179" w:lineRule="exact"/>
        <w:rPr>
          <w:rFonts w:ascii="Times New Roman" w:cs="Times New Roman" w:eastAsia="Times New Roman" w:hAnsi="Times New Roman"/>
          <w:sz w:val="18"/>
          <w:szCs w:val="18"/>
          <w:color w:val="auto"/>
        </w:rPr>
      </w:pPr>
    </w:p>
    <w:p>
      <w:pPr>
        <w:ind w:left="1300" w:right="20" w:hanging="465"/>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inspection of the non-clinical study and clinical trial sites to assure compliance with GLPs and GCPs and the integrity of the clinical data submitted in support of the BLA;</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where appropriate or if applicable;</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(unless a fee waiver applies); and</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Testing</w:t>
      </w:r>
    </w:p>
    <w:p>
      <w:pPr>
        <w:spacing w:after="0" w:line="11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 xml:space="preserve">Before testing any biological product candidate, including a cell-based regenerative therapy product, in humans, the product candidate enters the preclinical testing stage. Preclinical tests, also referred to as nonclinical studies, include laboratory evaluations of a product candidate’s biological characteristics, chemistry, toxicity, stability and formulation, as well as animal studies to assess the potential safety and activity of the product candidate.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 In December 2022, Congress amended the Federal Food, Drug, and Cosmetic Act (the “FDCA”) and the Public Health Service Act to specify that nonclinical testing for drugs and biologics may, but is not required to, include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testing. According to the amended language, a sponsor may fulfill nonclinical testing requirements by completing various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(e.g., cell-based assays, organ chips, or microphysiological systems),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studies (i.e., computer modeling), other human or nonhuman biology-based tests (e.g., bioprinting), 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tests.</w:t>
      </w:r>
    </w:p>
    <w:p>
      <w:pPr>
        <w:spacing w:after="0" w:line="8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conduct of the preclinical tests must comply with federal regulations and requirements including GLP. Some long-term preclinical testing, such as animal tests of reproductive adverse events and carcinogenicity, may continue after an IND for an investigational drug candidate is submitted to the FDA and human clinical trials have been initiated.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 BLA</w:t>
      </w:r>
    </w:p>
    <w:p>
      <w:pPr>
        <w:spacing w:after="0" w:line="119"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human subjects under the supervision of qualified investigators and in accordance with GCP requirements and protocols detailing the objectives of the study, the parameters to be used in monitoring the safety and effectiveness criteria to be evaluated. Each protocol must be submitted to the FDA as part of the IND. Study subjects must sign an informed consent form before participating in a clinical trial. There are also requirements governing the reporting of on-going clinical trials and clinical trial results to public registries.</w:t>
      </w:r>
    </w:p>
    <w:p>
      <w:pPr>
        <w:spacing w:after="0" w:line="75"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An IND provides an exemption from the FD&amp;C Act that allows an unapproved product candidate to be shipped in interstate commerce for use in an investigational clinical trial and is also a request for FDA authorization to administer such investigational product to humans. Such authorization must be secured prior to interstate shipment and administration of any biologic product candidate that is not the subject of an approved BLA. In support of a request for an IND, an applicant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An IND automatically becomes effective 30 days after receipt by the FDA, unless before that time the FDA issues a notice expressly authorizing the proposed trial to proceed or raises concerns or questions related to one or more proposed clinical trials and places the clinical trial on a clinical hold. If FDA raises concerns or places the trial on clinical hold, the IND sponsor and the agency must resolve any outstanding concerns before the proposed trials can begin.</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submission of an IND may not result in the FDA allowing clinical trials to commence.</w:t>
      </w:r>
    </w:p>
    <w:p>
      <w:pPr>
        <w:spacing w:after="0" w:line="117"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Following commencement of a clinical trial, the FDA may also place a clinical hold or partial clinical hold on that trial. A clinical hold is an order issued by the FDA to the sponsor to delay a proposed clinical investigation or to suspend an ongoing</w:t>
      </w: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5" w:right="499" w:bottom="1023" w:gutter="0" w:footer="0" w:header="0"/>
        </w:sectPr>
      </w:pPr>
    </w:p>
    <w:bookmarkStart w:id="21" w:name="page22"/>
    <w:bookmarkEnd w:id="21"/>
    <w:p>
      <w:pPr>
        <w:ind w:right="20"/>
        <w:spacing w:after="0" w:line="266" w:lineRule="auto"/>
        <w:rPr>
          <w:sz w:val="20"/>
          <w:szCs w:val="20"/>
          <w:color w:val="auto"/>
        </w:rPr>
      </w:pPr>
      <w:r>
        <w:rPr>
          <w:rFonts w:ascii="Times New Roman" w:cs="Times New Roman" w:eastAsia="Times New Roman" w:hAnsi="Times New Roman"/>
          <w:sz w:val="18"/>
          <w:szCs w:val="18"/>
          <w:color w:val="auto"/>
        </w:rPr>
        <w:t>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w:t>
      </w:r>
    </w:p>
    <w:p>
      <w:pPr>
        <w:spacing w:after="0" w:line="6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trial under an IND. When a foreign clinical trial is conducted under an IND, all FDA IND requirements must be met unless waived. When a foreign clinical trial is not conducted under an IND, the sponsor must ensure that the study complies with certain regulatory requirements of the FDA in order to use the study as support for an IND or application for marketing approval or licensing. In particular, such studies must be conducted in accordance with GCP, including review and approval by an IRB or independent ethics committee (an “IEC”) and informed consent from subjects and must meet other clinical trial requirements, such as sufficient patient population size and statistical powering. The FDA must be able to validate the data through an onsite inspection, if deemed necessary by the FDA.</w:t>
      </w:r>
    </w:p>
    <w:p>
      <w:pPr>
        <w:spacing w:after="0" w:line="79"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An IRB or IEC representing each institution participating in the clinical trial must review and approve the plan for any clinical trial before it commences at that institution, and the IRB or IEC must conduct continuing review and reapprove the study at least annually. The IRB or IEC must review and approve, among other things, the study protocol and informed consent information to be provided to study subjects. An IRB or IEC must operate in compliance with FDA regulations. An IRB or IEC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7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Some trials are overseen by an independent group of qualified experts organized by the trial sponsor, known as a Data Safety Monitoring Board (“DSMB”). This group provides authorization as to whether or not a trial may move forward at designated check points based on access that only the group maintains to available data from the study.</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Information about certain clinical trials, including details of the protocol and eventually study results, also must be submitted within specific timeframes to the National Institutes of Health for public dissemination on the ClinicalTrials.gov data registry. Information related to the product,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Both NIH and FDA have brought enforcement actions against non-compliant clinical trial sponsors.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 trials typically are conducted in three sequential phases that may overlap or be combined:</w:t>
      </w:r>
    </w:p>
    <w:p>
      <w:pPr>
        <w:spacing w:after="0" w:line="223" w:lineRule="exact"/>
        <w:rPr>
          <w:sz w:val="20"/>
          <w:szCs w:val="20"/>
          <w:color w:val="auto"/>
        </w:rPr>
      </w:pPr>
    </w:p>
    <w:p>
      <w:pPr>
        <w:ind w:left="1300" w:right="40" w:hanging="465"/>
        <w:spacing w:after="0" w:line="261"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product candidate is initially introduced into healthy human subjects and tested for safety, dosage tolerance, absorption,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metabolism, distribution and excretion. In the case of some product candidates for severe or life-threatening diseases, especially when the product candidate may be too inherently toxic to ethically administer to healthy volunteers, the initial human testing is often conducted in patients.</w:t>
      </w:r>
    </w:p>
    <w:p>
      <w:pPr>
        <w:spacing w:after="0" w:line="179" w:lineRule="exact"/>
        <w:rPr>
          <w:rFonts w:ascii="Times New Roman" w:cs="Times New Roman" w:eastAsia="Times New Roman" w:hAnsi="Times New Roman"/>
          <w:sz w:val="18"/>
          <w:szCs w:val="18"/>
          <w:color w:val="auto"/>
        </w:rPr>
      </w:pPr>
    </w:p>
    <w:p>
      <w:pPr>
        <w:ind w:left="1300" w:right="180" w:hanging="465"/>
        <w:spacing w:after="0" w:line="267"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product candidate is evaluated in a limited patient population to identify possible adverse effects and safety risks,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preliminarily evaluate the efficacy of the product candidate for specific targeted diseases and to determine dosage tolerance, optimal dosage and dosing schedule.</w:t>
      </w:r>
    </w:p>
    <w:p>
      <w:pPr>
        <w:spacing w:after="0" w:line="173" w:lineRule="exact"/>
        <w:rPr>
          <w:rFonts w:ascii="Times New Roman" w:cs="Times New Roman" w:eastAsia="Times New Roman" w:hAnsi="Times New Roman"/>
          <w:sz w:val="18"/>
          <w:szCs w:val="18"/>
          <w:color w:val="auto"/>
        </w:rPr>
      </w:pPr>
    </w:p>
    <w:p>
      <w:pPr>
        <w:ind w:left="1300" w:hanging="465"/>
        <w:spacing w:after="0" w:line="258"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potency, and safety in an expanded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population at geographically dispersed clinical trial sites. These clinical trials are intended to establish the overall risk/benefit ratio of the product candidate and provide, if appropriate, an adequate basis for approval and product labeling. These trials may include comparisons with placebo and/or other comparator treatments. The duration of treatment is often extended to mimic the actual use of a product during marketing.</w:t>
      </w:r>
    </w:p>
    <w:p>
      <w:pPr>
        <w:spacing w:after="0" w:line="293"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In certain instances, the FDA may mandate the performance of Phase 4 clinical trials as a condition of approval of a BLA.</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Consolidated Appropriations Act for 2023 amended the FDCA to require sponsors of a Phase 3 clinical trial, or other “pivotal study” of a new drug or biologic to support marketing authorization, to submit a diversity action plan for such clinical trial. The action plan must include the sponsor’s diversity goals for enrollment, as well as a rationale for the goals and a description of how the sponsor will meet them. A sponsor must submit a diversity action plan to the FDA by the time the sponsor submits the trial protocol to the agency for review. The FDA may grant a waiver for some or all of the requirements for a diversity action plan. If the FDA objects to a sponsor’s diversity action plan and requires the sponsor to amend the plan or take other actions, it may delay trial initiation.</w:t>
      </w:r>
    </w:p>
    <w:p>
      <w:pPr>
        <w:spacing w:after="0" w:line="79" w:lineRule="exact"/>
        <w:rPr>
          <w:sz w:val="20"/>
          <w:szCs w:val="20"/>
          <w:color w:val="auto"/>
        </w:rPr>
      </w:pPr>
    </w:p>
    <w:p>
      <w:pPr>
        <w:ind w:right="220" w:firstLine="509"/>
        <w:spacing w:after="0" w:line="257"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the responsible IRBs and the</w:t>
      </w:r>
    </w:p>
    <w:p>
      <w:pPr>
        <w:spacing w:after="0" w:line="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93" w:right="579" w:bottom="1440" w:gutter="0" w:footer="0" w:header="0"/>
        </w:sectPr>
      </w:pPr>
    </w:p>
    <w:bookmarkStart w:id="22" w:name="page23"/>
    <w:bookmarkEnd w:id="22"/>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investigators for serious and unexpected adverse events, any findings from other studies,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such information. Phase 1, Phase 2 and Phase 3 clinical trials may not be completed successfully within any specified period, if at all.</w:t>
      </w:r>
    </w:p>
    <w:p>
      <w:pPr>
        <w:spacing w:after="0" w:line="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Human cell-based products administered directly into kidney tissue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purity and potency of human cell-based therapy products, or that the data generated in these studies will be acceptable to the FDA to support marketing approval.</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candidate,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To support marketing approval, the data submitted must be sufficient in quality and quantity to establish the safety, purity, potency and efficacy of the investigational product for its proposed indication or indications to the satisfaction of the FDA. The testing and approval processes require substantial time and effort and there can be no assurance that the FDA will accept the BLA for filing and, even if filed, that any approval will be granted on a timely basis, if at all.</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Under the Prescription Drug User Fee Act, as amended (“PDUFA”), each BLA must be accompanied by a significant user fee. The FDA adjusts the PDUFA user fees on an annual basis. PDUFA also imposes an annual program fee for registered biological product manufacturers. Fee waivers or reductions are available in certain circumstances, including a waiver of the application fee for the first application filed by a small business.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conducts an initial review to determine if the BLA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pure, potent and effective for its proposed indication or indications and whether the product is being manufactured in accordance with cGMPs to ensure the continued safety, purity and potency of such product.</w:t>
      </w:r>
    </w:p>
    <w:p>
      <w:pPr>
        <w:spacing w:after="0" w:line="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Under the performance goals and policies implemented by the FDA under PDUFA, for original BLAs, the FDA targets 10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due to FDA requests for additional information or clarification. The review process and the PDUFA goal date may be extended by the FDA for three additional months to consider new information or in the case of a clarification provided by the applicant to address an outstanding deficiency identified by the FDA following the original submission.</w:t>
      </w:r>
    </w:p>
    <w:p>
      <w:pPr>
        <w:spacing w:after="0" w:line="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cell-based therapy product, the FDA also will not approve the product if the manufacturer is not in compliance with the cGTPs. These are FDA regulations that govern the methods used in, and the facilities and controls used for, the manufacture of human cells, tissues, and cellular and tissue-based products (“HCT/ Ps”), which are human cells or tissue intended for implantation, transplant, infusion, or transfer into a human recipient. The primary intent of the cGTP requirements is to ensure that HCT/Ps are manufactured in a manner designed to prevent the introduction, transmission and spread of communicable disease. FDA regulations also require</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1" w:right="599" w:bottom="1440" w:gutter="0" w:footer="0" w:header="0"/>
        </w:sectPr>
      </w:pPr>
    </w:p>
    <w:bookmarkStart w:id="23" w:name="page24"/>
    <w:bookmarkEnd w:id="23"/>
    <w:p>
      <w:pPr>
        <w:ind w:right="20"/>
        <w:spacing w:after="0" w:line="261" w:lineRule="auto"/>
        <w:rPr>
          <w:sz w:val="20"/>
          <w:szCs w:val="20"/>
          <w:color w:val="auto"/>
        </w:rPr>
      </w:pPr>
      <w:r>
        <w:rPr>
          <w:rFonts w:ascii="Times New Roman" w:cs="Times New Roman" w:eastAsia="Times New Roman" w:hAnsi="Times New Roman"/>
          <w:sz w:val="18"/>
          <w:szCs w:val="18"/>
          <w:color w:val="auto"/>
        </w:rPr>
        <w:t>tissue establishments to register and list their HCT/Ps with the FDA and, when applicable, to evaluate donors through appropriate screening and testing. Additionally, before approving a BLA, the FDA will typically inspect one or more clinical sites to assure that the clinical trials were conducted in compliance with IND study requirements and GCP requirements. To assure cGMP, cGTP and GCP compliance, an applicant must incur significant expenditure of time, money and effort in the areas of training, record keeping, production and quality control.</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Additionally, the FDA may refer any BLA, including applications for novel biologic candidates which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The FDA likely will re-analyze the clinical trial data, which could result in extensive discussions between the FDA and the applicant during the review process. The FDA also may require submission of a Risk Evaluation and Mitigation Strategy (“REMS”) if it determines that a REMS is necessary to ensure that the benefits of the medicine outweigh its risks and to assure the safe use of the medicine or biological product. The REMS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BLA must submit a proposed REMS. The FDA will not approve a BLA without a REMS, if required.</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(“PREA”), a BLA or supplement to a BLA for a novel product (e.g., new active ingredient, new indication, etc.)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FDA may grant deferrals for submission of data or full or partial waivers. The PREA requires a sponsor who is planning to submit a marketing application for a product that includes a new active ingredient, new indication, new dosage form, new dosing regimen or new route of administration to submit an initial Pediatric Study Plan (“PSP”), within 60 days of an end-of-Phase 2 meeting or, if there is no such meeting, as early as practicable before the initiation of the Phase 3 or Phase 2/3 clinical trial. The initial PSP must include an outline of the pediatric study or studies that the 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 upon initial PSP at any time if changes to the pediatric plan need to be considered based on data collected from preclinical studies, early phase clinical trials or other clinical development programs.</w:t>
      </w:r>
    </w:p>
    <w:p>
      <w:pPr>
        <w:spacing w:after="0" w:line="8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FDA reviews a BLA to determine, among other things whether the product is safe, pure and potent and the facility in which it is manufactured, processed, packed or held meets standards designed to assure the product’s continued safety, purity and potency. The approval process is lengthy and often difficult, and the FDA may refuse to approve a BLA if the applicable regulatory criteria are not satisfied or may require additional clinical or other data and information. On the basis of the FDA’s evaluation of the BLA and accompanying information, including the results of the inspection of the manufacturing facilities, the FDA may issue either an approval letter or a Complete Response Letter (“CRL”). An approval letter authorizes commercial marketing of the product with specific prescribing information for specific indications. 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nonclinical studies or manufacturing. If a CRL is issued, the applicant may choose to either resubmit the BLA addressing all of the deficiencies identified in the letter, or withdraw the application. In September 2025, the FDA began publishing CRLs, with trade secret and confidential commercial information redacted, soon after issuing them to the respective sponsors, breaking with long standing agency tradition of publishing CRLs with approval documentation after the product is approved. If and when the deficiencies described in a CRL have been addressed to the FDA’s satisfaction in a resubmission of the BLA, the FDA will issue an approval letter. The FDA has committed to reviewing such resubmissions in response to an issued CRL in either two or six months depending on the type of information included. Even with the submission of this additional information, however, the FDA ultimately may decide that the application does not satisfy the regulatory criteria for approval.</w:t>
      </w:r>
    </w:p>
    <w:p>
      <w:pPr>
        <w:spacing w:after="0" w:line="87" w:lineRule="exact"/>
        <w:rPr>
          <w:sz w:val="20"/>
          <w:szCs w:val="20"/>
          <w:color w:val="auto"/>
        </w:rPr>
      </w:pPr>
    </w:p>
    <w:p>
      <w:pPr>
        <w:ind w:right="200" w:firstLine="509"/>
        <w:spacing w:after="0" w:line="253" w:lineRule="auto"/>
        <w:rPr>
          <w:sz w:val="20"/>
          <w:szCs w:val="20"/>
          <w:color w:val="auto"/>
        </w:rPr>
      </w:pPr>
      <w:r>
        <w:rPr>
          <w:rFonts w:ascii="Times New Roman" w:cs="Times New Roman" w:eastAsia="Times New Roman" w:hAnsi="Times New Roman"/>
          <w:sz w:val="18"/>
          <w:szCs w:val="18"/>
          <w:color w:val="auto"/>
        </w:rPr>
        <w:t>If a product receives regulatory approval from the FDA, the approval is limited to the conditions of use (e.g., patient population, indication) described in the application. Further, depending on the specific risk(s) to be addressed, the FDA may require that contraindications, warnings or precautions be included in the product labeling, require that post-approval trials,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24" w:name="page25"/>
    <w:bookmarkEnd w:id="24"/>
    <w:p>
      <w:pPr>
        <w:ind w:right="520"/>
        <w:spacing w:after="0" w:line="282" w:lineRule="auto"/>
        <w:rPr>
          <w:sz w:val="20"/>
          <w:szCs w:val="20"/>
          <w:color w:val="auto"/>
        </w:rPr>
      </w:pPr>
      <w:r>
        <w:rPr>
          <w:rFonts w:ascii="Times New Roman" w:cs="Times New Roman" w:eastAsia="Times New Roman" w:hAnsi="Times New Roman"/>
          <w:sz w:val="18"/>
          <w:szCs w:val="18"/>
          <w:color w:val="auto"/>
        </w:rPr>
        <w:t>programs. After approval, some types of changes to the approved product, such as adding new indications, manufacturing changes and additional labeling claims, are subject to further testing requirements and FDA review and approval.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RMAT, Priority Review Designations and Commissioner’s National Priority Voucher</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RMAT designation, priority review, and the Commissioner’s National Priority Voucher program that are intended to expedite or simplify the process for the development or FDA review of medicines and biologics that are intended for the treatment of serious or life-threatening diseases or conditions. These programs do not change the standards for approval but may help expedite the development or approval process.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be eligible for fast-track designation, the FDA must determine, based on the request of a sponsor, that a new medicine or biological product is intended to treat a serious or life-threatening condition and demonstrates the potential to address an unmet medical need by providing a therapy where none exists or a therapy that may be potentially superior to existing therapy based on efficacy or safety factors. Fast track designation provides opportunities for more frequent interactions with the FDA review team to expedite development and review of the product. The FDA may also review sections of the NDA or BLA for a fast track product on a rolling basis before the complete application is submitted, if the sponsor and the FDA agree on a schedule for the submission of the application sections and the sponsor pays any required user fees upon submission of the first section of the NDA or BLA. In addition, fast track designation may be withdrawn by the sponsor or rescinded by the FDA if the designation is no longer supported by data emerging from the clinical trial process.</w:t>
      </w:r>
    </w:p>
    <w:p>
      <w:pPr>
        <w:spacing w:after="0" w:line="8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As part of the 21st Century Cures Act (the “Cures Act”), enacted in December 2016, Congress amended the FD&amp;C Act to facilitate an efficient development program for, and expedite review of regenerative medicine advanced therapies, or RMATs, which include cell and gene therapies, therapeutic tissue engineered products, human cell and tissue products, and combination products using any such therapies or products. Rilparencel has received RMAT designation from the FDA. RMAT designation does not include HCT/Ps regulated solely under section 361 of the PHS Act and 21 Code of Federal Regulations Part 1271. This program is intended to facilitate efficient development and expedite review of regenerative medicine therapies that are intended to treat, modify, reverse, or cure a serious or life-threatening disease or condition. A sponsor may request that FDA designate a medicine as a RMAT concurrently with or at any time after submission of an IND. The FDA has 60 calendar days to determine whether the medicine meets the criteria, including whether there is preliminary clinical evidence indicating that the medicine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trials, patient registries, or other sources of real-world evidence, such as electronic health records; the collection of larger confirmatory data sets; or post-approval monitoring of all patients treated with such therapy prior to its approval.</w:t>
      </w:r>
    </w:p>
    <w:p>
      <w:pPr>
        <w:spacing w:after="0" w:line="8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FDA may designate a product for priority review if it is a medicine or biologic that treats a serious condition and, if approved, would provide a significant improvement in safety or effectiveness. The FDA determines at the time that the marketing application is submitted, on a case-by-case basis, whether the proposed medicine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10 months to six months for an original BLA or for a New Molecular Entity NDA from the date of filing.</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2025, the FDA created a new pilot program called the Commissioner’s National Priority Voucher (“CNPV”) with the goal of radically expediting the drug and biological product review and approval process. The agency may award a CNPV to a company or a specific product candidate that demonstrates alignment with certain national health priorities. The FDA aims to take action on a marketing application for which a CNPV is used within one to two months after the filing date.</w:t>
      </w:r>
    </w:p>
    <w:p>
      <w:pPr>
        <w:spacing w:after="0" w:line="7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none of these programs change the standards for approval and may not ultimately expedite the development or approval process.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 pathway</w:t>
      </w:r>
    </w:p>
    <w:p>
      <w:pPr>
        <w:spacing w:after="0" w:line="121" w:lineRule="exact"/>
        <w:rPr>
          <w:sz w:val="20"/>
          <w:szCs w:val="20"/>
          <w:color w:val="auto"/>
        </w:rPr>
      </w:pPr>
    </w:p>
    <w:p>
      <w:pPr>
        <w:ind w:right="600" w:firstLine="509"/>
        <w:spacing w:after="0" w:line="261" w:lineRule="auto"/>
        <w:rPr>
          <w:sz w:val="20"/>
          <w:szCs w:val="20"/>
          <w:color w:val="auto"/>
        </w:rPr>
      </w:pPr>
      <w:r>
        <w:rPr>
          <w:rFonts w:ascii="Times New Roman" w:cs="Times New Roman" w:eastAsia="Times New Roman" w:hAnsi="Times New Roman"/>
          <w:sz w:val="18"/>
          <w:szCs w:val="18"/>
          <w:color w:val="auto"/>
        </w:rPr>
        <w:t>In addition, products studied for their safety and effectiveness in treating serious or life-threatening illnesses and that provide meaningful therapeutic benefit over existing treatments may receive accelerated approval from the FDA and may be approved on</w:t>
      </w:r>
    </w:p>
    <w:p>
      <w:pPr>
        <w:jc w:val="center"/>
        <w:ind w:right="-2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25" w:name="page26"/>
    <w:bookmarkEnd w:id="25"/>
    <w:p>
      <w:pPr>
        <w:ind w:right="20"/>
        <w:spacing w:after="0" w:line="254" w:lineRule="auto"/>
        <w:rPr>
          <w:sz w:val="20"/>
          <w:szCs w:val="20"/>
          <w:color w:val="auto"/>
        </w:rPr>
      </w:pPr>
      <w:r>
        <w:rPr>
          <w:rFonts w:ascii="Times New Roman" w:cs="Times New Roman" w:eastAsia="Times New Roman" w:hAnsi="Times New Roman"/>
          <w:sz w:val="18"/>
          <w:szCs w:val="18"/>
          <w:color w:val="auto"/>
        </w:rPr>
        <w:t>the basis of adequate and well-controlled clinical trials establishing that the product has an effect on a surrogate endpoint that is reasonably likely to predict clinical benefit. The FDA may also grant accelerated approval for such a medicine or biologic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As a condition of approval, the FDA may require that a sponsor of a medicine receiving accelerated approval perform post- marketing clinical trials to verify and describe the predicted effect on IMM or other clinical endpoint, and the product may be subject to expedited withdrawal procedures. Drugs and biologics granted accelerated approval must meet the same statutory standards for safety and effectiveness as those granted traditional approval.</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medicine, such as an effect on IMM.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medicine.</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medicine, even if the effect on the surrogate or intermediate clinical endpoint occurs rapidly. For example, accelerated approval has been used extensively in the development and approval of medicines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medicine’s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the predicted clinical benefit of the product during post-marketing studies, would allow the FDA to withdraw approval of the medicine. As part of the Consolidated Appropriations Act for 2023, Congress provided FDA additional statutory authority to mitigate potential risks to patients from continued marketing of ineffective drugs previously granted accelerated approval. Under the act’s amendments to the FDCA, FDA may require the sponsor of a product granted accelerated approval to have a confirmatory trial underway prior to approval. The sponsor must also submit progress reports on a confirmatory trial every six months until the trial is complete, and such reports are published on FDA’s website. The amendments also give FDA the option of using expedited procedures to withdraw product approval if the sponsor’s confirmatory trial fails to verify the claimed clinical benefits of the product.</w:t>
      </w:r>
    </w:p>
    <w:p>
      <w:pPr>
        <w:spacing w:after="0" w:line="8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All promotional materials for product candidates being considered and approved under the accelerated approval program are subject to prior review by the FDA.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and local statutes and regulations requires the expenditure of substantial time and financial resources. Following approval of a new product, the manufacturer and the approved product are subject to pervasive and continuing regulation by the FDA, including, among other things, monitoring and recordkeeping activities, reporting of adverse experiences with the product, product sampling and distribution restrictions, complying with promotion and advertising requirements.</w:t>
      </w:r>
    </w:p>
    <w:p>
      <w:pPr>
        <w:spacing w:after="0" w:line="72"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approved facilities and in accordance with cGMP.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We must comply with applicable requirements in the cGMP and cGTP regulations, including quality control and quality assurance and maintenance of records and documentation. Entities involved in the manufacture and distribution of approved biologics and HCT/Ps are required to register their establishments with the FDA and certain state agencies, as well as applicable foreign counterparts, and are subject to periodic unannounced inspections by such governmental authorities for compliance with cGMPs, cGTPs and other laws and regulations. Accordingly, we must continue to expend time, money and effort in the area of production and quality control to maintain cGMP compliance. Future inspections by governmental authorities may identify compliance issues at our facilities that may disrupt production or distribution or require substantial resources to correct. In addition, the discovery of conditions that violate these rules, including failure to conform to cGMPs or cGTPs, could result in enforcement actions, and the discovery of problems with a</w:t>
      </w:r>
    </w:p>
    <w:p>
      <w:pPr>
        <w:spacing w:after="0" w:line="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26" w:name="page27"/>
    <w:bookmarkEnd w:id="26"/>
    <w:p>
      <w:pPr>
        <w:ind w:right="300"/>
        <w:spacing w:after="0" w:line="282" w:lineRule="auto"/>
        <w:rPr>
          <w:sz w:val="20"/>
          <w:szCs w:val="20"/>
          <w:color w:val="auto"/>
        </w:rPr>
      </w:pPr>
      <w:r>
        <w:rPr>
          <w:rFonts w:ascii="Times New Roman" w:cs="Times New Roman" w:eastAsia="Times New Roman" w:hAnsi="Times New Roman"/>
          <w:sz w:val="18"/>
          <w:szCs w:val="18"/>
          <w:color w:val="auto"/>
        </w:rPr>
        <w:t>product after approval may result in restrictions on a product, manufacturer or holder of an approved BLA, including voluntary recall and regulatory sanctions as described below.</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also must comply with the FDA’s advertising and promotion requirements, such as those related to direct-to-consumer advertising, industry-sponsored scientific and educational activities, and promotional activities involving the internet, as well as the prohibition on promoting products for uses or in patient populations that are not described in the product’s approved labeling (known as “off-label use”).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If there are any modifications to the product, including changes in indications, labeling or manufacturing processes or facilities, the applicant may be required to submit and obtain FDA approval of a new BLA or a BLA supplement, which may require the applicant to develop additional data or conduct additional nonclinical studies or clinical trials. 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8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Once an approval or clearance of a medicine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spacing w:after="0" w:line="183" w:lineRule="exact"/>
        <w:rPr>
          <w:sz w:val="20"/>
          <w:szCs w:val="20"/>
          <w:color w:val="auto"/>
        </w:rPr>
      </w:pPr>
    </w:p>
    <w:p>
      <w:pPr>
        <w:ind w:left="1300" w:hanging="465"/>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enforcement-related letters or clinical holds on post-approval clinical trials;</w:t>
      </w:r>
    </w:p>
    <w:p>
      <w:pPr>
        <w:spacing w:after="0" w:line="225" w:lineRule="exact"/>
        <w:rPr>
          <w:rFonts w:ascii="Times New Roman" w:cs="Times New Roman" w:eastAsia="Times New Roman" w:hAnsi="Times New Roman"/>
          <w:sz w:val="18"/>
          <w:szCs w:val="18"/>
          <w:color w:val="auto"/>
        </w:rPr>
      </w:pPr>
    </w:p>
    <w:p>
      <w:pPr>
        <w:ind w:left="1300" w:right="40" w:hanging="465"/>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NDAs/BLAs or supplements to approved NDAs/BLAs, or suspension or revocation of product approvals;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225" w:lineRule="exact"/>
        <w:rPr>
          <w:rFonts w:ascii="Times New Roman" w:cs="Times New Roman" w:eastAsia="Times New Roman" w:hAnsi="Times New Roman"/>
          <w:sz w:val="18"/>
          <w:szCs w:val="18"/>
          <w:color w:val="auto"/>
        </w:rPr>
      </w:pPr>
    </w:p>
    <w:p>
      <w:pPr>
        <w:ind w:left="1300" w:hanging="465"/>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 care programs; or mandated modification of promotional materials and labeling and the issuance of corrective information.</w:t>
      </w:r>
    </w:p>
    <w:p>
      <w:pPr>
        <w:spacing w:after="0" w:line="270" w:lineRule="exact"/>
        <w:rPr>
          <w:sz w:val="20"/>
          <w:szCs w:val="20"/>
          <w:color w:val="auto"/>
        </w:rPr>
      </w:pPr>
    </w:p>
    <w:p>
      <w:pPr>
        <w:ind w:right="340" w:firstLine="509"/>
        <w:spacing w:after="0" w:line="252"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which sets minimum standards for the registration and regulation of pharmaceutical distributors by the states. Furthermore, the Drug Supply Chain Security Act (the “DSCSA”) was enacted with the aim of building an electronic system to identify and trace certain prescription medicines distributed in the United States, including most biological products. The DSCSA mandates resource-intensive obligations for pharmaceutical manufacturers, wholesale distributors, and dispensers. The DSCSA also replaced certain provisions from the PDMA pertaining to wholesale distribution of prescription drugs with a more comprehensive statutory scheme, requiring uniform national standards for wholesale distribution and, for the first time, for third-party logistics providers. 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spacing w:after="0" w:line="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93" w:right="5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product candidates, some of our U.S.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trials and other factors involved in the filing of the relevant BLA.</w:t>
      </w:r>
    </w:p>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biological product may also obtain pediatric market exclusivity in the United States. Pediatric exclusivity is a type of non-patent marketing exclusivity available in the United States and, if granted, it provides for the attachment of an additional six months of marketing protection to the term of any existing regulatory exclusivity or listed patents.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The issuance of a Written Request does not require the sponsor to undertake the described studies.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Reference product exclusivity for biological products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(the “ACA”) was enacted in the United States and included the Biologics Price Competition and Innovation Act (the “BPCIA”). The BPCIA amended the Public Health Service Act (the “PHSA”) to create an abbreviated approval pathway for biological products that are biosimilar to or interchangeable with an FDA-licensed reference biological product. To date, the FDA has approved a number of biosimilars, and numerous biosimilars have been approved in Europe. The FDA has also issued several guidance documents outlining its approach to reviewing and approving biosimilars and interchangeable biosimilars.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biosimilar product is defined as one that is highly similar to a reference product notwithstanding minor differences in clinically inactive components and for which there are no clinically meaningful differences between the biological product and the reference product in terms of the safety, purity and potency of the product. An interchangeable product is a biosimilar product that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Upon licensure by the FDA, an interchangeable biosimilar may be substituted for the reference product without the intervention of the health care provider who prescribed the reference product. The FDA approved the first interchangeable biosimilars, including an interchangeable monoclonal antibody biosimilar, in 2021.</w:t>
      </w:r>
    </w:p>
    <w:p>
      <w:pPr>
        <w:spacing w:after="0" w:line="8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biosimilar applicant must demonstrate that the product is biosimilar based on data from (1) analytical studies showing that the biosimilar product is highly similar to the reference product; (2) animal studies (including toxicity); and (3) one or more clinical studies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 reference biological product is granted 12 years of data exclusivity from the time of first licensure of the product, and the first approved interchangeable biologic product will be granted an exclusivity period of up to one year after it is first commercially marketed. As part of the Consolidated Appropriations Act for 2023, Congress amended the PHSA in order to permit multiple interchangeable products approved on the same day to receive and benefit from this one-year exclusivity period. If pediatric studies are performed and accepted by the FDA as responsive to a Written Request, the 12-year exclusivity period will be extended for an additional six months. In addition,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supplement for the reference product for a subsequent application filed by the same sponsor or manufacturer of the reference product (or licensor, predecessor in interest or other related</w:t>
      </w:r>
    </w:p>
    <w:p>
      <w:pPr>
        <w:spacing w:after="0" w:line="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05" w:right="619" w:bottom="1440" w:gutter="0" w:footer="0" w:header="0"/>
        </w:sectPr>
      </w:pPr>
    </w:p>
    <w:bookmarkStart w:id="28" w:name="page29"/>
    <w:bookmarkEnd w:id="28"/>
    <w:p>
      <w:pPr>
        <w:spacing w:after="0" w:line="256" w:lineRule="auto"/>
        <w:rPr>
          <w:sz w:val="20"/>
          <w:szCs w:val="20"/>
          <w:color w:val="auto"/>
        </w:rPr>
      </w:pPr>
      <w:r>
        <w:rPr>
          <w:rFonts w:ascii="Times New Roman" w:cs="Times New Roman" w:eastAsia="Times New Roman" w:hAnsi="Times New Roman"/>
          <w:sz w:val="18"/>
          <w:szCs w:val="18"/>
          <w:color w:val="auto"/>
        </w:rPr>
        <w:t>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79"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The BPCIA is complex and is still being interpreted and implemented by the FDA. In addition, various government proposals have sought to reduce the 12-year reference product exclusivity period. Other aspects of the BPCIA, some of which may impact the BPCIA exclusivity provisions, have also been the subject of litigation. As a result, the ultimate impact, implementation and meaning of the BPCIA is subject to significant uncertainty.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121" w:lineRule="exact"/>
        <w:rPr>
          <w:sz w:val="20"/>
          <w:szCs w:val="20"/>
          <w:color w:val="auto"/>
        </w:rPr>
      </w:pPr>
    </w:p>
    <w:p>
      <w:pPr>
        <w:ind w:right="200" w:firstLine="509"/>
        <w:spacing w:after="0" w:line="274" w:lineRule="auto"/>
        <w:rPr>
          <w:sz w:val="20"/>
          <w:szCs w:val="20"/>
          <w:color w:val="auto"/>
        </w:rPr>
      </w:pPr>
      <w:r>
        <w:rPr>
          <w:rFonts w:ascii="Times New Roman" w:cs="Times New Roman" w:eastAsia="Times New Roman" w:hAnsi="Times New Roman"/>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6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Furthermore, some countries have enacted or are considering enacting legal restrictions on the import or export of human genetic materials, cells or tissues. For example, in China, the Ministry of Science and Technology (“MOST”) and the former Ministry of Health in June 1998 jointly established the Interim Measures for the Administration of Human Genetic Resources in China. In July 2015, the MOST issued the Service Guide for the Examination and Approval of Sampling, Collecting, Trading, Exporting Human Genetic Resources, which provides that foreign entities that collect and use patients’ human genetic resources in clinical trials shall be required to file for an advance approval with the Human Genetic Resources Administration Office (“HGRAO”) through its online system.</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October 2017, the MOST issued the Circular on Optimizing the Administrative Examination and Approval of Human Genetic Resources, which simplified the approval process for collecting and using human genetic resources for the purpose of seeking marketing authorization of medicines in China.</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May 2019, the State Council of China issued the Regulation on the Administration of Human Genetic Resources (the “HGR Regulation”), which stipulates the approval requirements pertinent to research collaborations between Chinese and foreign-owned entities. Pursuant to this new rule, a new filing system (as opposed to the advance approval approach originally in place) is put in place for international clinical trials using Chinese patients’ biospecimens at clinical study sites without involving the export of such biospecimens outside of China. A notification filing that specifies the type, quantity and usage of the biospecimens, among others, with the HGRAO is required before conducting such clinical trials. The collection, use, and outbound transfer of Chinese patients’ biospecimens in international collaboration for basic scientific research involving export are still subject to the advance approval of the HGRAO.</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October 2020, the Standing Committee of the National People’s Congress promulgated the China Biosecurity Law, which became effective on April 15, 2021. The China Biosecurity Law reaffirms the regulatory requirements stipulated by the HGR Regulation while potentially increasing the administrative fines significantly in cases in which foreign entities are alleged to have collected, preserved or exported Chinese human genetic resources.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Foreign Corrupt Practices Act</w:t>
      </w:r>
    </w:p>
    <w:p>
      <w:pPr>
        <w:spacing w:after="0" w:line="121"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The U.S. Foreign Corrupt Practices Act (the “FCPA”), to which we are subject, prohibits corporations and individuals from engaging in certain activities to obtain or retain business or to influence a person working in an official capacity. Under the FCPA,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In February 2025, President Trump issued an executive order directing the U.S. Department of Justice to pause initiation of new FCPA investigations and enforcement during a 180-day review period (subject to extension) and to issue updated guidelines though the FCPA remains in force and foreign anti-corruption laws continue to apply. However, it is unclear how this presidential directive may affect the biopharmaceutical industry as a whole or our business in particular.</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products. Because biologically sourced raw materials are subject to unique contamination risks, their use may be restricted in some countries.</w:t>
      </w:r>
    </w:p>
    <w:p>
      <w:pPr>
        <w:spacing w:after="0" w:line="72"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 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controls</w:t>
      </w:r>
    </w:p>
    <w:p>
      <w:pPr>
        <w:spacing w:after="0" w:line="121" w:lineRule="exact"/>
        <w:rPr>
          <w:sz w:val="20"/>
          <w:szCs w:val="20"/>
          <w:color w:val="auto"/>
        </w:rPr>
      </w:pPr>
    </w:p>
    <w:p>
      <w:pPr>
        <w:ind w:right="1200" w:firstLine="509"/>
        <w:spacing w:after="0" w:line="282"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These include the following:</w:t>
      </w:r>
    </w:p>
    <w:p>
      <w:pPr>
        <w:spacing w:after="0" w:line="162" w:lineRule="exact"/>
        <w:rPr>
          <w:sz w:val="20"/>
          <w:szCs w:val="20"/>
          <w:color w:val="auto"/>
        </w:rPr>
      </w:pPr>
    </w:p>
    <w:p>
      <w:pPr>
        <w:ind w:left="1300" w:hanging="465"/>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391" w:lineRule="exact"/>
        <w:rPr>
          <w:rFonts w:ascii="Times New Roman" w:cs="Times New Roman" w:eastAsia="Times New Roman" w:hAnsi="Times New Roman"/>
          <w:sz w:val="18"/>
          <w:szCs w:val="18"/>
          <w:color w:val="auto"/>
        </w:rPr>
      </w:pPr>
    </w:p>
    <w:p>
      <w:pPr>
        <w:ind w:left="1300" w:right="180" w:hanging="465"/>
        <w:spacing w:after="0" w:line="25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marketing authorization applications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187" w:lineRule="exact"/>
        <w:rPr>
          <w:rFonts w:ascii="Times New Roman" w:cs="Times New Roman" w:eastAsia="Times New Roman" w:hAnsi="Times New Roman"/>
          <w:sz w:val="18"/>
          <w:szCs w:val="18"/>
          <w:color w:val="auto"/>
        </w:rPr>
      </w:pPr>
    </w:p>
    <w:p>
      <w:pPr>
        <w:ind w:left="1300" w:right="300" w:hanging="465"/>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advertising and promotional activities for the product must be consistent with the approved Summary of Product Characteristics (“SmPC”), and therefore all off-label promotion is prohibited.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 care laws and compliance requirements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candidates are approved in the United States, we will have to comply with various U.S. federal and state laws, rules and regulations pertaining to health care fraud and abuse, including anti-kickback laws and false claims laws, rules and regulations. Violations of the fraud and abuse laws are punishable by criminal and civil sanctions, including, in some instances, exclusion from participation in federal and state health care programs, including Medicare and Medicaid. These laws include:</w:t>
      </w:r>
    </w:p>
    <w:p>
      <w:pPr>
        <w:spacing w:after="0" w:line="180" w:lineRule="exact"/>
        <w:rPr>
          <w:sz w:val="20"/>
          <w:szCs w:val="20"/>
          <w:color w:val="auto"/>
        </w:rPr>
      </w:pPr>
    </w:p>
    <w:p>
      <w:pPr>
        <w:ind w:left="1300" w:hanging="465"/>
        <w:spacing w:after="0" w:line="254"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(the “AKS”),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arrangement or recommendation of any good, facility, item or service for which payment may be made, in whole or in part, under a federal health care program, such as the Medicare and Medicaid programs; a person or entity does not need to have actual knowledge of the AKS or specific intent to violate it to have committed a violation. In addition, the government may assert that a claim including items or services resulting from a violation of the AKS constitutes a false or fraudulent claim for purposes of the federal False Claims Act (the “FCA”) or federal civil money penalties statute;</w:t>
      </w:r>
    </w:p>
    <w:p>
      <w:pPr>
        <w:spacing w:after="0" w:line="191" w:lineRule="exact"/>
        <w:rPr>
          <w:rFonts w:ascii="Times New Roman" w:cs="Times New Roman" w:eastAsia="Times New Roman" w:hAnsi="Times New Roman"/>
          <w:sz w:val="18"/>
          <w:szCs w:val="18"/>
          <w:color w:val="auto"/>
        </w:rPr>
      </w:pPr>
    </w:p>
    <w:p>
      <w:pPr>
        <w:ind w:left="1300" w:hanging="465"/>
        <w:spacing w:after="0" w:line="254"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 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payers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1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5" w:right="479" w:bottom="1440" w:gutter="0" w:footer="0" w:header="0"/>
        </w:sectPr>
      </w:pPr>
    </w:p>
    <w:bookmarkStart w:id="30" w:name="page31"/>
    <w:bookmarkEnd w:id="30"/>
    <w:p>
      <w:pPr>
        <w:ind w:left="1300" w:right="40" w:hanging="465"/>
        <w:spacing w:after="0" w:line="261"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Law (beneficiary 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79" w:lineRule="exact"/>
        <w:rPr>
          <w:rFonts w:ascii="Times New Roman" w:cs="Times New Roman" w:eastAsia="Times New Roman" w:hAnsi="Times New Roman"/>
          <w:sz w:val="18"/>
          <w:szCs w:val="18"/>
          <w:color w:val="auto"/>
        </w:rPr>
      </w:pPr>
    </w:p>
    <w:p>
      <w:pPr>
        <w:ind w:left="1300" w:hanging="465"/>
        <w:spacing w:after="0" w:line="254"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which created new federal criminal statutes that prohibit knowingly and willfully executing, or attempting to execute, a scheme to defraud any health care benefit program or obtain, by means of false or fraudulent pretenses, representations, or promises, any of the money or property owned by, or under the custody or control of, any health 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 care benefits, items or services relating to health care matters; similar to the AKS, a person or entity does not need to have actual knowledge of the statute or specific intent to violate it in order to have committed a violation;</w:t>
      </w:r>
    </w:p>
    <w:p>
      <w:pPr>
        <w:spacing w:after="0" w:line="191" w:lineRule="exact"/>
        <w:rPr>
          <w:rFonts w:ascii="Times New Roman" w:cs="Times New Roman" w:eastAsia="Times New Roman" w:hAnsi="Times New Roman"/>
          <w:sz w:val="18"/>
          <w:szCs w:val="18"/>
          <w:color w:val="auto"/>
        </w:rPr>
      </w:pPr>
    </w:p>
    <w:p>
      <w:pPr>
        <w:ind w:left="1300" w:right="60" w:hanging="465"/>
        <w:spacing w:after="0" w:line="255"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ACA, including the provision commonly referred to as the Physician Payments Sunshine Act, and its implementing regulations, which requires applicable manufacturers of medicines, devices, biologics and medical supplies for which payment is available under the Medicare, Medicaid or the Children’s Health Insurance Program to report annually to the U.S. Centers for Medicare and Medicaid Services (“CMS”) information related to payments or other transfers of value made to physicians (defined to include doctors, dentists, optometrists, podiatrists and chiropractors), physician assistants, nurse practitioners, clinical nurse specialists, certified registered nurse anesthetists, anesthesiologist assistants, certified nurse midwives and teaching hospitals, as well as ownership and investment interests held by physicians and their immediate family; and</w:t>
      </w:r>
    </w:p>
    <w:p>
      <w:pPr>
        <w:spacing w:after="0" w:line="188" w:lineRule="exact"/>
        <w:rPr>
          <w:rFonts w:ascii="Times New Roman" w:cs="Times New Roman" w:eastAsia="Times New Roman" w:hAnsi="Times New Roman"/>
          <w:sz w:val="18"/>
          <w:szCs w:val="18"/>
          <w:color w:val="auto"/>
        </w:rPr>
      </w:pPr>
    </w:p>
    <w:p>
      <w:pPr>
        <w:ind w:left="1300" w:right="280" w:hanging="465"/>
        <w:spacing w:after="0" w:line="258"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FCPA and other anti-corruption laws and regulations pertaining to our financial relationships and interactions with foreign government officials, which prohibit U.S. companies and their employees, officers, and representatives from paying, offering to pay, promising, or authorizing the payment of anything of value to any foreign government official (including, potentially, healthcare professionals in countries in which we operate or may sell our products), government staff member, political party, or political candidate to obtain or retain business or to otherwise seek favorable treatment.</w:t>
      </w:r>
    </w:p>
    <w:p>
      <w:pPr>
        <w:spacing w:after="0" w:line="200" w:lineRule="exact"/>
        <w:rPr>
          <w:sz w:val="20"/>
          <w:szCs w:val="20"/>
          <w:color w:val="auto"/>
        </w:rPr>
      </w:pPr>
    </w:p>
    <w:p>
      <w:pPr>
        <w:spacing w:after="0" w:line="307"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Additionally, we are subject to state and foreign equivalents of each of the health care laws and regulations described above, among others, some of which may be broader in scope and may apply regardless of the payor. Many U.S. states have adopted laws similar to the AKS and FCA, and may apply to our business practices, including, but not limited to, research, distribution, sales or marketing arrangements and claims involving health 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 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80"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54"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Violations of fraud and abuse laws may be punishable by criminal and/or civil sanctions, including penalties, fines, imprisonment and/or exclusion or suspension from federal and state health care programs such as Medicare and Medicaid and debarment from contracting with the U.S. government. In addition, private individuals have the ability to bring actions on behalf of the U.S. government under the FCA as well as under the false claims laws of several states.</w:t>
      </w:r>
    </w:p>
    <w:p>
      <w:pPr>
        <w:spacing w:after="0" w:line="72"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Law enforcement authorities are increasingly focused on enforcing health care fraud and abuse laws, and it is possible that some of our practices may be challenged under these laws. Efforts to ensure that our current and future business arrangements with third parties, and our business generally, will comply with applicable health care laws and regulations will involve substantial costs. If our operations, including our arrangements with physicians and other health care providers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 care programs (such as Medicare and Medicaid), and imprisonment, any of which could adversely affect our ability to operate our business and our financial results. The approval and commercialization of any of our product candidates outside the United States will also subject us to foreign equivalents of the health care laws mentioned above, among other foreign laws.</w:t>
      </w:r>
    </w:p>
    <w:p>
      <w:pPr>
        <w:spacing w:after="0" w:line="80" w:lineRule="exact"/>
        <w:rPr>
          <w:sz w:val="20"/>
          <w:szCs w:val="20"/>
          <w:color w:val="auto"/>
        </w:rPr>
      </w:pPr>
    </w:p>
    <w:p>
      <w:pPr>
        <w:ind w:right="240" w:firstLine="509"/>
        <w:spacing w:after="0" w:line="257" w:lineRule="auto"/>
        <w:rPr>
          <w:sz w:val="20"/>
          <w:szCs w:val="20"/>
          <w:color w:val="auto"/>
        </w:rPr>
      </w:pPr>
      <w:r>
        <w:rPr>
          <w:rFonts w:ascii="Times New Roman" w:cs="Times New Roman" w:eastAsia="Times New Roman" w:hAnsi="Times New Roman"/>
          <w:sz w:val="18"/>
          <w:szCs w:val="18"/>
          <w:color w:val="auto"/>
        </w:rPr>
        <w:t>If any of the physicians or other health care providers or entities with whom we expect to do business are found to be not in compliance with applicable laws, they may be subject to criminal, civil or administrative sanctions, including exclusions from government-funded health care programs, which may also adversely affect our business.</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bookmarkStart w:id="31" w:name="page32"/>
    <w:bookmarkEnd w:id="31"/>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these laws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a health care company may violate one or more of the requirements. Efforts to ensure that our business arrangements with third parties will comply with applicable health care laws and regulations will involve substantial cost.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There are federal, state and foreign laws governing the privacy and security of health information and personal information, many of which differ from each other in significant ways and apply simultaneously, thus complicating compliance efforts.</w:t>
      </w:r>
    </w:p>
    <w:p>
      <w:pPr>
        <w:spacing w:after="0" w:line="54"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(“HITECH”), and its implementing regulations, strengthens and expands requirements relating to the privacy, security, and transmission of individually identifiable health information; and requires notification to affected individuals and regulatory authorities of certain breaches of security of individually identifiable health information.</w:t>
      </w:r>
    </w:p>
    <w:p>
      <w:pPr>
        <w:spacing w:after="0" w:line="68"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8"/>
          <w:szCs w:val="18"/>
          <w:color w:val="auto"/>
        </w:rPr>
        <w:t>HITECH strengthened and expanded HIPAA and increased penalties for violations. Under HITECH, regulated entities are subject to enforcement by the federal government and by state Attorneys General, who were given authority to enforce HIPAA under HITECH. Many state laws also impose privacy protections even more stringent than HIPAA and data security requirements applicable to information beyond health care information (for example, the California Consumer Privacy Act of 2018 (the “CCPA”)). These state laws create an additional level of enforcement and may require additional reporting in the event of breach. Most of the health care providers in the United States with whom we collaborate to develop and test our products must comply with HIPAA and applicable state law. We may not be directly subject to these laws, however, we must structure our activities in compliance with these laws to ensure that we can access and use health information to support our research, development and other activities. Our failure to comply with these privacy and security laws or a breach of health information or personal data could prompt enforcement against our health care provider partners, create third party liability for our company and/or cause significant financial or reputational harm to our company.</w:t>
      </w:r>
    </w:p>
    <w:p>
      <w:pPr>
        <w:spacing w:after="0" w:line="86" w:lineRule="exact"/>
        <w:rPr>
          <w:sz w:val="20"/>
          <w:szCs w:val="20"/>
          <w:color w:val="auto"/>
        </w:rPr>
      </w:pPr>
    </w:p>
    <w:p>
      <w:pPr>
        <w:ind w:right="180" w:firstLine="509"/>
        <w:spacing w:after="0" w:line="252" w:lineRule="auto"/>
        <w:rPr>
          <w:sz w:val="20"/>
          <w:szCs w:val="20"/>
          <w:color w:val="auto"/>
        </w:rPr>
      </w:pPr>
      <w:r>
        <w:rPr>
          <w:rFonts w:ascii="Times New Roman" w:cs="Times New Roman" w:eastAsia="Times New Roman" w:hAnsi="Times New Roman"/>
          <w:sz w:val="18"/>
          <w:szCs w:val="18"/>
          <w:color w:val="auto"/>
        </w:rPr>
        <w:t>Numerous other countries have, or are developing, laws governing the collection, use and transmission of personal data as well. For example, the European Parliament and the Council of the European Union adopted a comprehensive general data privacy framework called the General Data Protection Regulation ("GDPR"), which went into effect in 2018 and implemented a broad data protection framework that expanded the scope of EU data protection law, and applies to entities located inside and outside of the EU that process, or control the processing of, personal data relating to individuals located in the EU, including clinical trial data. Also in China, the Personal Information Protection Law, which took effect on November 1, 2021, introduced stringent protection requirements for processing personal information, which are in many ways akin to the requirements of the GDPR. We also continue to see other jurisdictions proposing and enacting data localization laws. Evolving legal, contractual, and other privacy and data protection obligations, could impose significant limitations, require changes to our business, or restrict our collection, use, storage or processing of personal data, which may increase our compliance expenses and make our business more costly or less efficient to conduct. In addition, any such changes could impact our ability to develop an adequate marketing strategy and pursue our growth strategy effectively, or even prevent us from providing our products in jurisdictions in which we receive marketing authorization, or potentially cause us to incur liability in an effort to comply, which, in turn, could adversely affect our business, financial condition, results of operations and prospects. Complying with these numerous, complex and often evolving requirements is expensive and difficult, and suspected and actual failure to comply, whether by us, our service providers, CROs, business partners or other third parties, or any inadvertent or unauthorized access to or use or disclosure of data that we store or handle as part of operating our business, could adversely affect our business, financial condition, results of operations and prospects.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Artificial Intelligence (“AI”) is an emerging and rapidly evolving technology. We currently evaluate and monitor potential uses of AI that may present business opportunities to support our business operations and overall business strategy. At the same time, the use, development, and deployment of AI are subject to evolving laws, regulations, and regulatory guidance in the jurisdictions in which we operate.</w:t>
      </w:r>
    </w:p>
    <w:p>
      <w:pPr>
        <w:spacing w:after="0" w:line="122" w:lineRule="exact"/>
        <w:rPr>
          <w:sz w:val="20"/>
          <w:szCs w:val="20"/>
          <w:color w:val="auto"/>
        </w:rPr>
      </w:pPr>
    </w:p>
    <w:p>
      <w:pPr>
        <w:ind w:right="280" w:firstLine="509"/>
        <w:spacing w:after="0" w:line="289" w:lineRule="auto"/>
        <w:rPr>
          <w:sz w:val="20"/>
          <w:szCs w:val="20"/>
          <w:color w:val="auto"/>
        </w:rPr>
      </w:pPr>
      <w:r>
        <w:rPr>
          <w:rFonts w:ascii="Times New Roman" w:cs="Times New Roman" w:eastAsia="Times New Roman" w:hAnsi="Times New Roman"/>
          <w:sz w:val="17"/>
          <w:szCs w:val="17"/>
          <w:color w:val="auto"/>
        </w:rPr>
        <w:t>In the United States, federal and state authorities have adopted, and continue to consider, laws and regulations governing AI, including in jurisdictions where we operate. These requirements are intended to address risks associated with AI, including potential bias, discrimination, privacy, transparency, and accountability concerns, and may impose compliance obligations, increase our costs, and affect our business operations and strategy.</w:t>
      </w:r>
    </w:p>
    <w:p>
      <w:pPr>
        <w:spacing w:after="0" w:line="10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addition, the European Union’s Artificial Intelligence Act (the “AI Act”), which entered into force on August 1, 2024 and is being implemented in phases, establishes a regulatory framework governing AI systems, including requirements for certain high-risk</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32" w:name="page33"/>
    <w:bookmarkEnd w:id="32"/>
    <w:p>
      <w:pPr>
        <w:spacing w:after="0" w:line="266" w:lineRule="auto"/>
        <w:rPr>
          <w:sz w:val="20"/>
          <w:szCs w:val="20"/>
          <w:color w:val="auto"/>
        </w:rPr>
      </w:pPr>
      <w:r>
        <w:rPr>
          <w:rFonts w:ascii="Times New Roman" w:cs="Times New Roman" w:eastAsia="Times New Roman" w:hAnsi="Times New Roman"/>
          <w:sz w:val="18"/>
          <w:szCs w:val="18"/>
          <w:color w:val="auto"/>
        </w:rPr>
        <w:t>uses and restrictions on specified applications. The AI Act may apply to entities that develop, deploy, or use AI systems in the European Union and provides for significant penalties for non-compliance, including fines of up to €35 million or up to 7% of total worldwide annual turnover for the preceding financial year, whichever is greater.</w:t>
      </w:r>
    </w:p>
    <w:p>
      <w:pPr>
        <w:spacing w:after="0" w:line="12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regulatory frameworks, industry standards, and AI technologies continue to evolve, we will continue to monitor developments in AI to assess potential business opportunities as well as associated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w:t>
      </w:r>
    </w:p>
    <w:p>
      <w:pPr>
        <w:spacing w:after="0" w:line="121" w:lineRule="exact"/>
        <w:rPr>
          <w:sz w:val="20"/>
          <w:szCs w:val="20"/>
          <w:color w:val="auto"/>
        </w:rPr>
      </w:pPr>
    </w:p>
    <w:p>
      <w:pPr>
        <w:ind w:right="220" w:firstLine="509"/>
        <w:spacing w:after="0" w:line="252"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 care system that could prevent or delay marketing approval of product and therapeutic candidates, restrict or regulate post-approval activities, and affect the ability to profitably sell product and therapeutic candidates that obtain marketing approval. The FDA’s and other regulatory authorities’ policies may change and additional government regulations may be enacted that could prevent, limit or delay regulatory approval of our product and therapeutic candidates. In addition, future legislative and regulatory proposals may materially impact the ability of the FDA and other regulatory agencies to operate as they have historically operated. We cannot be sure whether additional legislative changes will be enacted, or whether any of the FDA’s regulations, guidance or interpretations will be changed, or what the impact of such changes on the agency and its scientific review staff, if any, may be. For example, negotiations on the next FDA user fee reauthorization package began in mid-2025, and the resulting agreement is expected to be sent to Congress in early 2027 for purposes of initiating the legislative process. Reauthorization of the prescription drug user fee program must be finalized by Congress by the end of September 2027 in order to avoid a disruption in FDA’s review goals for BLAs and other activities supported by user fees assessed against industry.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89" w:lineRule="exact"/>
        <w:rPr>
          <w:sz w:val="20"/>
          <w:szCs w:val="20"/>
          <w:color w:val="auto"/>
        </w:rPr>
      </w:pPr>
    </w:p>
    <w:p>
      <w:pPr>
        <w:ind w:right="380" w:firstLine="509"/>
        <w:spacing w:after="0" w:line="253"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and state governments and the prices of therapeutics have been a focus in this effort. The U.S. government, state legislatures and foreign governments have shown significant interest in implementing cost-containment programs to limit the growth of government-paid healthcare costs, including price controls, restrictions on reimbursement, and requirements for substitution of generic and biosimilar products for branded prescription medicines, respectively. In recent years, the U.S. Congress has considered reductions in Medicare reimbursement levels for medicines and biologics administered by physicians. CMS, the agency that administers the Medicare and Medicaid programs, also has authority to revise reimbursement rates and to implement coverage restrictions for most drugs and biologics. Cost reduction initiatives and changes in coverage implemented through legislation or regulation could decrease utilization of and reimbursement for any approved products we may market in the future. While Medicare regulations apply only to pharmaceutical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86"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8"/>
          <w:szCs w:val="18"/>
          <w:color w:val="auto"/>
        </w:rPr>
        <w:t>The ACA, as amended by the Health Care and Education Affordability Reconciliation Act, was enacted in 2010 and substantially changed the way health care is financed by both governmental and private insurers in the United States, and significantly impacted the pharmaceutical industry. The ACA was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manufacturers, and impose additional health policy reforms. With regard to biopharmaceutical products, the ACA, among other things, addressed a new methodology by which rebates owed by manufacturers under the Medicaid Drug Rebate Program are calculated for therapeutics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on manufacturers of certain branded prescription medicines, created a new Medicare Part D coverage gap discount program, and expanded the 340B drug discount program. As another example, the 2021 Consolidated Appropriations Act signed into law on December 27, 2020 incorporated extensive health care provisions and amendments to existing laws, including a requirement that all manufacturers of medicines and biological products covered under Medicare Part B report the product’s average sales price, to the DHHS beginning on January 1, 2022, subject to enforcement via civil money penalties.</w:t>
      </w:r>
    </w:p>
    <w:p>
      <w:pPr>
        <w:spacing w:after="0" w:line="82" w:lineRule="exact"/>
        <w:rPr>
          <w:sz w:val="20"/>
          <w:szCs w:val="20"/>
          <w:color w:val="auto"/>
        </w:rPr>
      </w:pPr>
    </w:p>
    <w:p>
      <w:pPr>
        <w:ind w:right="360" w:firstLine="509"/>
        <w:spacing w:after="0" w:line="255" w:lineRule="auto"/>
        <w:rPr>
          <w:sz w:val="20"/>
          <w:szCs w:val="20"/>
          <w:color w:val="auto"/>
        </w:rPr>
      </w:pPr>
      <w:r>
        <w:rPr>
          <w:rFonts w:ascii="Times New Roman" w:cs="Times New Roman" w:eastAsia="Times New Roman" w:hAnsi="Times New Roman"/>
          <w:sz w:val="18"/>
          <w:szCs w:val="18"/>
          <w:color w:val="auto"/>
        </w:rPr>
        <w:t>Legislative and regulatory changes under the ACA remain possible, but it is unknown what form any such changes or any law would take and how or whether it may affect the biopharmaceutical industry as a whole or our business in the future. We expect that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United States.</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3" w:name="page34"/>
    <w:bookmarkEnd w:id="33"/>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there has been heightened governmental scrutiny over the manner in which biopharmaceutical manufacturers set prices for their marketed products. Such scrutiny has resulted in several recent U.S. Congressional inquiries and proposed and enacted federal and state legislation designed to, among other things, bring more transparency to medicine pricing, review the relationship between pricing and manufacturer patient programs, reduce the cost of medicines under Medicare, and reform government program reimbursement methodologies for pharmaceutical products. Notably, on December 20, 2019, the Further Consolidated Appropriations Act for 2020 became law (P.L. 116-94) and included a piece of bipartisan legislation called the Creating and Restoring Equal Access to Equivalent Samples Act of 2019 (the “CREATES Act”). The CREATES Act was enacted to address the concern articulated by both the FDA and others in the industry that some brand manufacturers had improperly restricted the distribution of their products, including by invoking the existence of a REMS for certain products, to deny generic and biosimilar product developers access to samples of brand products. Because generic and biosimilar product developers need samples of a reference product to conduct certain comparative testing required by the FDA, some attributed the inability to timely obtain samples as a cause of delay in the entry of generic and biosimilar products. To remedy this concern, the CREATES Act establishes a private cause of action that permits a generic or biosimilar product developer to sue the brand manufacturer to compel it to furnish the necessary samples on “commercially reasonable, market-based terms.” Although lawsuits have been filed under the CREATES Act since its enactment, those lawsuits have settled privately; therefore to date no federal court has reviewed or opined on the statutory language and there continues to be uncertainty regarding the scope and application of the law.</w:t>
      </w:r>
    </w:p>
    <w:p>
      <w:pPr>
        <w:spacing w:after="0" w:line="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August 2022, the Inflation Reduction Act of 2022 (the “IRA”) became law. Among other things, the IRA has multiple provisions that may impact the prices of drug products that are both sold into the Medicare program and throughout the United States. For example, a manufacturer of a drug or biological product covered by Medicare Parts B or D must pay a rebate to the federal government if the drug product’s price increases faster than the rate of inflation. This calculation is made on a product by product basis and the amount of the rebate owed to the federal government is directly dependent on the volume of a drug product that is paid for by Medicare Parts B or D. Additionally, CMS will negotiate drug prices annually for a select number of single-source Part D drugs, including biologics that have been on the market for 13 years, without generic or biosimilar competition. CMS will also negotiate drug prices for a select number of Part B drugs, including biologics that have been on the market for 13 years, starting for payment year 2028. If a drug product is selected by CMS for negotiation, it is expected that the revenue generated from such drug will decrease. CMS has begun to implement these new authorities announcing the first round of negotiated “maximum fair prices” for the first 10 drug products in August 2024, which will become applicable for payment year 2026. The second round of negotiated prices for 15 drug products was announced in November 2025, and CMS published the next group of drug products selected for negotiation in January 2026. However, the IRA’s impact on the 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Those lawsuits are currently ongoing.</w:t>
      </w:r>
    </w:p>
    <w:p>
      <w:pPr>
        <w:spacing w:after="0" w:line="89"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Separately, the Trump Administration announced the creation of a government website called TrumpRx, which will allow consumers to purchase certain drugs at reduced prices as negotiated between the drug manufacturers and the administration. As of December 2025, the Trump Administration secured deals with five major drug manufacturers to offer certain drugs at most-favored-nation prices</w:t>
      </w:r>
    </w:p>
    <w:p>
      <w:pPr>
        <w:spacing w:after="0" w:line="6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Federal Trade Commission in mid-2022 also launched sweeping investigations into the practices of the PBM industry, and published interim reports with its findings in mid-2024 and January 2025, that also appear to be contributing to additional federal and state legislative and regulatory proposals, as well as enforcement action and private litigation, targeting PBM operations, pharmacy networks, and financial arrangements. In February 2026, President Trump signed into law several PBM regulatory reforms as part of a federal budget package, including but not limited to requirements for PBMs to pass back 100% of rebates and fees to commercial health plan sponsors; to provide extensive informational disclosures related to patients’ coverage and benefits; and to accept only bona fide service fees from drug companies when providing services under Medicare Part D. The Department of Labor (DOL) also issued a proposed rule in January 2026 that would mandate specific PBM fee disclosures to self-insured plan fiduciaries under the Employment Retirement Income Security Act (ERISA). If finalized as proposed, the DOL rule would also allow plan fiduciaries to audit those PBM disclosures to confirm accuracy. Additional proposals and legislative changes aimed at PBMs and their business practices are likely to continue to be introduced and considered in Congress and by executive agencies. Significant efforts to change the PBM industry as it currently exists in the United States may affect the entire pharmaceutical supply chain and the business of other stakeholders, including biopharmaceutical developers like us.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89"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8"/>
          <w:szCs w:val="18"/>
          <w:color w:val="auto"/>
        </w:rPr>
        <w:t>At the state level in the United States, legislatures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in recent years, several states have formed prescription drug affordability boards (“PDABs”). Much like the IRA’s drug price negotiation program, these PDABs have attempted to implement upper payment limits (“UPLs”) on drugs sold in their respective states in both public and commercial health plans. In August 2023,</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34" w:name="page35"/>
    <w:bookmarkEnd w:id="34"/>
    <w:p>
      <w:pPr>
        <w:ind w:right="140"/>
        <w:spacing w:after="0" w:line="258" w:lineRule="auto"/>
        <w:rPr>
          <w:sz w:val="20"/>
          <w:szCs w:val="20"/>
          <w:color w:val="auto"/>
        </w:rPr>
      </w:pPr>
      <w:r>
        <w:rPr>
          <w:rFonts w:ascii="Times New Roman" w:cs="Times New Roman" w:eastAsia="Times New Roman" w:hAnsi="Times New Roman"/>
          <w:sz w:val="18"/>
          <w:szCs w:val="18"/>
          <w:color w:val="auto"/>
        </w:rPr>
        <w:t>Colorado’s PDAB announced a list of five prescription drugs that would undergo an affordability review. The effects of these efforts remain uncertain pending the outcomes of several federal lawsuits challenging state authority to regulate prescription drug payment limits. Furthermore, in December 2020, the U.S. Supreme Court held unanimously that federal law does not preempt the states’ ability to regulate pharmaceutical benefit managers and other members of the healthcare and pharmaceutical supply chain, an important decision that may lead to further and more aggressive efforts by states in this area.</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either in the United States or abroad. 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cell-based regenerative therapies for which we may obtain regulatory approval. In the United States and markets in other countries, sales of any cell-based therapies for which we receive regulatory approval for commercial sale will depend, in part, on the availability of coverage and reimbursement from payors. Payors include government authorities, managed care providers, private health insurers and other organizations. Patients who are prescribed treatments for their conditions and providers who prescribe such treatments generally rely on these third-party payors to reimburse all or part of the treatment and other associated health care costs. The process for determining whether a payor will provide coverage for a medicine, device or biologic product may be separate from the process for setting the reimbursement rate that the payor will pay for the product. Payors may limit coverage to specific products on an approved list, or formulary, which might not include all of the FDA-approved products for a particular indication. A decision by a payor not to cover our cell-based therapies could reduce physician utilization of our products, if they are approved, and have a material adverse effect on our sales, results of operations and financial condition.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 and manufacturing costs.</w:t>
      </w:r>
    </w:p>
    <w:p>
      <w:pPr>
        <w:spacing w:after="0" w:line="8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coverage and reimbursement for products can differ significantly from payor to payor. One payor’s decision to cover a particular medical product or service does not ensure that other payors will also provide coverage for the medical product or service, or will provide coverage at an adequate reimbursement rate. In the United States, the principal decisions about reimbursement for new medicines are typically made by CMS. CMS decides whether and to what extent a new medicine will be covered and reimbursed under Medicare and private payors tend to follow CMS to a substantial degree. Furthermore, recent U.S. federal actions include initiatives incorporating “most favored nation” (international reference pricing) concepts for certain prescription drugs, as well as agency testing of new payment models that could tie Medicare reimbursement or manufacturer rebates to prices in specified reference countries.</w:t>
      </w:r>
    </w:p>
    <w:p>
      <w:pPr>
        <w:spacing w:after="0" w:line="8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Additionally, the coverage determination process will require us to provide scientific and clinical support for the use of our products to each payor separately and will be a time-consuming process.</w:t>
      </w:r>
    </w:p>
    <w:p>
      <w:pPr>
        <w:spacing w:after="0" w:line="5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Payors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evidence generation studies in order to demonstrate the medical necessity and cost-effectiveness of such a product, in addition to the costs required to obtain regulatory approvals. If payors do not consider a product to be cost-effective compared to current standards of care, they may not cover the product as a benefit under their plans or, if they do, the level of payment may not be sufficient to allow a company to cover its costs or make a profit.</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with the government authority. Furthermore, some countries may require the completion of additional studies that compare the effectiveness and/or cost-effectiveness of a particular therapy to current standards of care as part of so-called health technology assessments in order to obtain reimbursement or pricing approval. Additionally, there may be a need for activities to secure reimbursement for procedures associated with products administered in a hospital setting under the diagnosis-related group system, whereby a billing code may not exist or may be currently insufficient to cover the cost of the procedure. In other instances, countries may monitor and control product volumes and issue guidance to physicians to limit prescriptions in the form of treatment policies. Efforts to control prices and utilization of pharmaceutical products and medical devices will likely continue as countries attempt to manage health care expenditures.</w:t>
      </w:r>
    </w:p>
    <w:p>
      <w:pPr>
        <w:spacing w:after="0" w:line="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08"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ProKidney had 231 full-time employees. This included 71 in research and development, 120 in manufacturing, operations, quality control and quality assurance, and 40 in general and administrative functions. We have no collective bargaining agreements with our employees, and we have not experienced any work stoppages. We consider our relations with our employees to be good.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 and Directors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 w:type="dxa"/>
            <w:vAlign w:val="bottom"/>
          </w:tcPr>
          <w:p>
            <w:pPr>
              <w:spacing w:after="0"/>
              <w:rPr>
                <w:sz w:val="20"/>
                <w:szCs w:val="20"/>
                <w:color w:val="auto"/>
              </w:rPr>
            </w:pPr>
          </w:p>
        </w:tc>
        <w:tc>
          <w:tcPr>
            <w:tcW w:w="6840" w:type="dxa"/>
            <w:vAlign w:val="bottom"/>
            <w:tcBorders>
              <w:bottom w:val="single" w:sz="8" w:color="auto"/>
            </w:tcBorders>
          </w:tcPr>
          <w:p>
            <w:pPr>
              <w:ind w:left="31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80" w:type="dxa"/>
            <w:vAlign w:val="bottom"/>
            <w:shd w:val="clear" w:color="auto" w:fill="CFF0FC"/>
          </w:tcPr>
          <w:p>
            <w:pPr>
              <w:spacing w:after="0"/>
              <w:rPr>
                <w:sz w:val="18"/>
                <w:szCs w:val="18"/>
                <w:color w:val="auto"/>
              </w:rPr>
            </w:pPr>
          </w:p>
        </w:tc>
        <w:tc>
          <w:tcPr>
            <w:tcW w:w="684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Bruce Culleton, M.D.</w:t>
            </w:r>
          </w:p>
        </w:tc>
        <w:tc>
          <w:tcPr>
            <w:tcW w:w="280" w:type="dxa"/>
            <w:vAlign w:val="bottom"/>
          </w:tcPr>
          <w:p>
            <w:pPr>
              <w:spacing w:after="0"/>
              <w:rPr>
                <w:sz w:val="18"/>
                <w:szCs w:val="18"/>
                <w:color w:val="auto"/>
              </w:rPr>
            </w:pPr>
          </w:p>
        </w:tc>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Coulston, CPA</w:t>
            </w:r>
          </w:p>
        </w:tc>
        <w:tc>
          <w:tcPr>
            <w:tcW w:w="280" w:type="dxa"/>
            <w:vAlign w:val="bottom"/>
            <w:shd w:val="clear" w:color="auto" w:fill="CFF0FC"/>
          </w:tcPr>
          <w:p>
            <w:pPr>
              <w:spacing w:after="0"/>
              <w:rPr>
                <w:sz w:val="18"/>
                <w:szCs w:val="18"/>
                <w:color w:val="auto"/>
              </w:rPr>
            </w:pPr>
          </w:p>
        </w:tc>
        <w:tc>
          <w:tcPr>
            <w:tcW w:w="6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Todd C. Girolamo</w:t>
            </w:r>
          </w:p>
        </w:tc>
        <w:tc>
          <w:tcPr>
            <w:tcW w:w="280" w:type="dxa"/>
            <w:vAlign w:val="bottom"/>
          </w:tcPr>
          <w:p>
            <w:pPr>
              <w:spacing w:after="0"/>
              <w:rPr>
                <w:sz w:val="18"/>
                <w:szCs w:val="18"/>
                <w:color w:val="auto"/>
              </w:rPr>
            </w:pPr>
          </w:p>
        </w:tc>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16"/>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Darin J. Weber, Ph.D.</w:t>
            </w:r>
          </w:p>
        </w:tc>
        <w:tc>
          <w:tcPr>
            <w:tcW w:w="280" w:type="dxa"/>
            <w:vAlign w:val="bottom"/>
            <w:shd w:val="clear" w:color="auto" w:fill="CFF0FC"/>
          </w:tcPr>
          <w:p>
            <w:pPr>
              <w:spacing w:after="0"/>
              <w:rPr>
                <w:sz w:val="18"/>
                <w:szCs w:val="18"/>
                <w:color w:val="auto"/>
              </w:rPr>
            </w:pPr>
          </w:p>
        </w:tc>
        <w:tc>
          <w:tcPr>
            <w:tcW w:w="6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Chief Regulatory Officer</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Pablo Legorreta</w:t>
            </w:r>
          </w:p>
        </w:tc>
        <w:tc>
          <w:tcPr>
            <w:tcW w:w="280" w:type="dxa"/>
            <w:vAlign w:val="bottom"/>
            <w:shd w:val="clear" w:color="auto" w:fill="CFF0FC"/>
          </w:tcPr>
          <w:p>
            <w:pPr>
              <w:spacing w:after="0"/>
              <w:rPr>
                <w:sz w:val="18"/>
                <w:szCs w:val="18"/>
                <w:color w:val="auto"/>
              </w:rPr>
            </w:pPr>
          </w:p>
        </w:tc>
        <w:tc>
          <w:tcPr>
            <w:tcW w:w="6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Chairman of the Board, Director</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William F. Doyle</w:t>
            </w:r>
          </w:p>
        </w:tc>
        <w:tc>
          <w:tcPr>
            <w:tcW w:w="280" w:type="dxa"/>
            <w:vAlign w:val="bottom"/>
          </w:tcPr>
          <w:p>
            <w:pPr>
              <w:spacing w:after="0"/>
              <w:rPr>
                <w:sz w:val="18"/>
                <w:szCs w:val="18"/>
                <w:color w:val="auto"/>
              </w:rPr>
            </w:pPr>
          </w:p>
        </w:tc>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16"/>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Jennifer Fox</w:t>
            </w:r>
          </w:p>
        </w:tc>
        <w:tc>
          <w:tcPr>
            <w:tcW w:w="280" w:type="dxa"/>
            <w:vAlign w:val="bottom"/>
            <w:shd w:val="clear" w:color="auto" w:fill="CFF0FC"/>
          </w:tcPr>
          <w:p>
            <w:pPr>
              <w:spacing w:after="0"/>
              <w:rPr>
                <w:sz w:val="18"/>
                <w:szCs w:val="18"/>
                <w:color w:val="auto"/>
              </w:rPr>
            </w:pPr>
          </w:p>
        </w:tc>
        <w:tc>
          <w:tcPr>
            <w:tcW w:w="6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José Ignacio Jimenez Santos</w:t>
            </w:r>
          </w:p>
        </w:tc>
        <w:tc>
          <w:tcPr>
            <w:tcW w:w="280" w:type="dxa"/>
            <w:vAlign w:val="bottom"/>
          </w:tcPr>
          <w:p>
            <w:pPr>
              <w:spacing w:after="0"/>
              <w:rPr>
                <w:sz w:val="18"/>
                <w:szCs w:val="18"/>
                <w:color w:val="auto"/>
              </w:rPr>
            </w:pPr>
          </w:p>
        </w:tc>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Alan M. Lotvin, M.D.</w:t>
            </w:r>
          </w:p>
        </w:tc>
        <w:tc>
          <w:tcPr>
            <w:tcW w:w="280" w:type="dxa"/>
            <w:vAlign w:val="bottom"/>
            <w:shd w:val="clear" w:color="auto" w:fill="CFF0FC"/>
          </w:tcPr>
          <w:p>
            <w:pPr>
              <w:spacing w:after="0"/>
              <w:rPr>
                <w:sz w:val="18"/>
                <w:szCs w:val="18"/>
                <w:color w:val="auto"/>
              </w:rPr>
            </w:pPr>
          </w:p>
        </w:tc>
        <w:tc>
          <w:tcPr>
            <w:tcW w:w="6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Brian J.G. Pereira, M.D.</w:t>
            </w:r>
          </w:p>
        </w:tc>
        <w:tc>
          <w:tcPr>
            <w:tcW w:w="280" w:type="dxa"/>
            <w:vAlign w:val="bottom"/>
          </w:tcPr>
          <w:p>
            <w:pPr>
              <w:spacing w:after="0"/>
              <w:rPr>
                <w:sz w:val="18"/>
                <w:szCs w:val="18"/>
                <w:color w:val="auto"/>
              </w:rPr>
            </w:pPr>
          </w:p>
        </w:tc>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Uma Sinha, Ph.D.</w:t>
            </w:r>
          </w:p>
        </w:tc>
        <w:tc>
          <w:tcPr>
            <w:tcW w:w="280" w:type="dxa"/>
            <w:vAlign w:val="bottom"/>
            <w:shd w:val="clear" w:color="auto" w:fill="CFF0FC"/>
          </w:tcPr>
          <w:p>
            <w:pPr>
              <w:spacing w:after="0"/>
              <w:rPr>
                <w:sz w:val="18"/>
                <w:szCs w:val="18"/>
                <w:color w:val="auto"/>
              </w:rPr>
            </w:pPr>
          </w:p>
        </w:tc>
        <w:tc>
          <w:tcPr>
            <w:tcW w:w="6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Available on the Internet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internet address is https://www.prokidney.com. We use our website as a routine channel for distribution of information that may be material to investors, including news releases, financial information, presentations and corporate governance information. This Annual Report on Form 10-K and our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(http://www.sec.gov) that contains reports, proxy and information statements, and other information regarding issuers that file electronically with the SEC. We include our web site address in this Annual Report only as an inactive textual reference. Information contained in or connected to our website does not constitute a part of, and is not incorporated by reference in, this report or our other filings with the SEC.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following risk factors and all of the other information set forth in this Annual Report on Form 10-K, including the section titled “Management’s Discussion and Analysis of Financial Condition and Results of Operations” and our consolidated financial statements and related notes, and in other documents that we file with the SEC, in evaluating our company and our business. Investing in our securities involves a high degree of risk. If any of the following risks and uncertainties develop into actual events, these events could have a material adverse effect on our business, financial condition or results of operations and future growth prospects could be materially and adversely affected and the trading price of our Class A common stock could decline. Our actual results could differ materially from those anticipated in the forward-looking statements as a result of factors that are described below and elsewhere in this Annual Report on Form 10-K.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inception and we expect to continue to incur significant net losses for the foreseeable future.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incurred significant net losses since our inception. We continue to incur significant research and development and other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our ongoing operations. For the years ended December 31, 2025, 2024 and 2023, we reported net losses before noncontrolling interest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$151.6 million, $163.3 million and $135.4 million, respectively. As of December 31, 2025 and 2024, we had an accumulated deficit of $1,269.8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$1,200.8 million, respectively. We have devoted substantially all of our resources and efforts to research and development, and we expect that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several years, if ever, before we generate revenue from product sales. Even if we receive marketing approval for, and commercialize our lead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 rilparencel, we expect that we will continue to incur substantial research and development and other expenses to develop and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potential product candidates.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6" w:name="page37"/>
    <w:bookmarkEnd w:id="36"/>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product candidate, rilparencel, is still in clinical testing. We expect to continue to incur significant losses for the foreseeable future, and we anticipate that our expenses will increase substantially if, and as, we:</w:t>
      </w:r>
    </w:p>
    <w:p>
      <w:pPr>
        <w:spacing w:after="0" w:line="162" w:lineRule="exact"/>
        <w:rPr>
          <w:sz w:val="20"/>
          <w:szCs w:val="20"/>
          <w:color w:val="auto"/>
        </w:rPr>
      </w:pPr>
    </w:p>
    <w:p>
      <w:pPr>
        <w:ind w:left="1300" w:right="100" w:hanging="465"/>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rilparencel and any other future product candidates through clinical development, and, if successful, later-stage and confirmatory clinical trials;</w:t>
      </w:r>
    </w:p>
    <w:p>
      <w:pPr>
        <w:spacing w:after="0" w:line="161" w:lineRule="exact"/>
        <w:rPr>
          <w:rFonts w:ascii="Times New Roman" w:cs="Times New Roman" w:eastAsia="Times New Roman" w:hAnsi="Times New Roman"/>
          <w:sz w:val="18"/>
          <w:szCs w:val="18"/>
          <w:color w:val="auto"/>
        </w:rPr>
      </w:pPr>
    </w:p>
    <w:p>
      <w:pPr>
        <w:ind w:left="1300" w:hanging="465"/>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or interruptions to any future preclinical studies, our current clinical trials, our receipt of services from our third-party service providers on whom we rely, or our supply chain, including delays due to health crises or events or circumstances beyond our control;</w:t>
      </w:r>
    </w:p>
    <w:p>
      <w:pPr>
        <w:spacing w:after="0" w:line="17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future product candidates that may successfully complete clinical trials;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rilparencel and any future product candidates, if approved;</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research and development activities to discover and develop product candidates and line extensions;</w:t>
      </w:r>
    </w:p>
    <w:p>
      <w:pPr>
        <w:spacing w:after="0" w:line="225" w:lineRule="exact"/>
        <w:rPr>
          <w:rFonts w:ascii="Times New Roman" w:cs="Times New Roman" w:eastAsia="Times New Roman" w:hAnsi="Times New Roman"/>
          <w:sz w:val="18"/>
          <w:szCs w:val="18"/>
          <w:color w:val="auto"/>
        </w:rPr>
      </w:pPr>
    </w:p>
    <w:p>
      <w:pPr>
        <w:ind w:left="1300" w:right="320" w:hanging="465"/>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the materials needed for clinical trials or, following receipt of necessary regulatory approvals, commercial sales, at our manufacturing facilities;</w:t>
      </w:r>
    </w:p>
    <w:p>
      <w:pPr>
        <w:spacing w:after="0" w:line="161" w:lineRule="exact"/>
        <w:rPr>
          <w:rFonts w:ascii="Times New Roman" w:cs="Times New Roman" w:eastAsia="Times New Roman" w:hAnsi="Times New Roman"/>
          <w:sz w:val="18"/>
          <w:szCs w:val="18"/>
          <w:color w:val="auto"/>
        </w:rPr>
      </w:pPr>
    </w:p>
    <w:p>
      <w:pPr>
        <w:ind w:left="1300" w:right="340" w:hanging="465"/>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validate commercial-scale cGMP manufacturing facilities and partner with Contract Development and Manufacturing Organizations (“CDMOs”);</w:t>
      </w:r>
    </w:p>
    <w:p>
      <w:pPr>
        <w:spacing w:after="0" w:line="161" w:lineRule="exact"/>
        <w:rPr>
          <w:rFonts w:ascii="Times New Roman" w:cs="Times New Roman" w:eastAsia="Times New Roman" w:hAnsi="Times New Roman"/>
          <w:sz w:val="18"/>
          <w:szCs w:val="18"/>
          <w:color w:val="auto"/>
        </w:rPr>
      </w:pPr>
    </w:p>
    <w:p>
      <w:pPr>
        <w:ind w:left="1300" w:right="860" w:hanging="465"/>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161" w:lineRule="exact"/>
        <w:rPr>
          <w:rFonts w:ascii="Times New Roman" w:cs="Times New Roman" w:eastAsia="Times New Roman" w:hAnsi="Times New Roman"/>
          <w:sz w:val="18"/>
          <w:szCs w:val="18"/>
          <w:color w:val="auto"/>
        </w:rPr>
      </w:pPr>
    </w:p>
    <w:p>
      <w:pPr>
        <w:ind w:left="1300" w:right="80" w:hanging="465"/>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executives in clinical development, regulatory, manufacturing, quality control, quality assurance, scientific, general and administrative and management personnel;</w:t>
      </w:r>
    </w:p>
    <w:p>
      <w:pPr>
        <w:spacing w:after="0" w:line="161" w:lineRule="exact"/>
        <w:rPr>
          <w:rFonts w:ascii="Times New Roman" w:cs="Times New Roman" w:eastAsia="Times New Roman" w:hAnsi="Times New Roman"/>
          <w:sz w:val="18"/>
          <w:szCs w:val="18"/>
          <w:color w:val="auto"/>
        </w:rPr>
      </w:pPr>
    </w:p>
    <w:p>
      <w:pPr>
        <w:ind w:left="1300" w:right="700" w:hanging="465"/>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and manufacturing efforts and general and administrative functions;</w:t>
      </w:r>
    </w:p>
    <w:p>
      <w:pPr>
        <w:spacing w:after="0" w:line="161" w:lineRule="exact"/>
        <w:rPr>
          <w:rFonts w:ascii="Times New Roman" w:cs="Times New Roman" w:eastAsia="Times New Roman" w:hAnsi="Times New Roman"/>
          <w:sz w:val="18"/>
          <w:szCs w:val="18"/>
          <w:color w:val="auto"/>
        </w:rPr>
      </w:pPr>
    </w:p>
    <w:p>
      <w:pPr>
        <w:ind w:left="1300" w:right="100" w:hanging="465"/>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domestic and global sales, marketing, medical affairs and distribution infrastructure to commercialize any products for which we may obtain marketing approval and intend to commercialize on our own or jointly with third parties;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or in-license other technologies or product candidates.</w:t>
      </w:r>
    </w:p>
    <w:p>
      <w:pPr>
        <w:spacing w:after="0" w:line="333"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products with significant market potential. This will require us to be successful in a range of challenging activities, including completing nonclinical studies and clinical trials, obtaining marketing approval for rilparencel and any future product candidates, manufacturing, marketing and selling products for which we may obtain marketing approval and satisfying any post-marketing requirements. Because of the numerous risks and uncertainties associated with biopharmaceutical product development, we are unable to accurately predict the timing or amount of increased expenses or when, or if, we will be able to achieve profitability.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292" w:lineRule="exact"/>
        <w:rPr>
          <w:sz w:val="20"/>
          <w:szCs w:val="20"/>
          <w:color w:val="auto"/>
        </w:rPr>
      </w:pPr>
    </w:p>
    <w:p>
      <w:pPr>
        <w:jc w:val="both"/>
        <w:ind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require substantial additional capital to finance our operations. If we are unable to raise such capital when needed, or on acceptable terms, we may be forced to delay, reduce and/or eliminate one or more of our research and product development programs, future commercialization efforts or other operations.</w:t>
      </w:r>
    </w:p>
    <w:p>
      <w:pPr>
        <w:spacing w:after="0" w:line="67"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ongoing and planned clinical trials of rilparencel and any future product candidates that we may develop, seek regulatory approvals for rilparencel and our future product candidates, and manufacture, launch and commercialize any products for which we receive regulatory approval. Accordingly, we will need to obtain substantial additional funding in order to maintain our continuing operations. If we are unable to raise capital when needed or on acceptable terms, we may be forced to delay, reduce or eliminate one or more of our research and product development programs or future commercialization efforts.</w:t>
      </w:r>
    </w:p>
    <w:p>
      <w:pPr>
        <w:spacing w:after="0" w:line="8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2025, we had approximately $270.0 million in cash, cash equivalents and short-term investments. Based on our current operating plan, we believe that our cash, cash equivalents and short-term investments will be sufficient to fund our operating expenses and capital expenditure requirements into mid-2027. However, this does not reflect the possibility that we may not be able to access a portion of our existing cash, cash equivalents and investments due to market conditions. If banks or other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Furthermore, our future capital requirements and the period for which our existing resources will support our operations may vary significantly from what we expect, and we will in any event require additional capital to complete clinical development of any of our current programs.</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1093" w:right="479" w:bottom="267"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monthly spending levels will vary based on new and ongoing development and corporate activities. Because the length of time and activities associated with development of rilparencel and any future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spacing w:after="0" w:line="180" w:lineRule="exact"/>
        <w:rPr>
          <w:sz w:val="20"/>
          <w:szCs w:val="20"/>
          <w:color w:val="auto"/>
        </w:rPr>
      </w:pPr>
    </w:p>
    <w:p>
      <w:pPr>
        <w:ind w:left="1300" w:hanging="465"/>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rilparencel and any future product candidates;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development plans we establish for these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develop;</w:t>
      </w:r>
    </w:p>
    <w:p>
      <w:pPr>
        <w:spacing w:after="0" w:line="225" w:lineRule="exact"/>
        <w:rPr>
          <w:rFonts w:ascii="Times New Roman" w:cs="Times New Roman" w:eastAsia="Times New Roman" w:hAnsi="Times New Roman"/>
          <w:sz w:val="18"/>
          <w:szCs w:val="18"/>
          <w:color w:val="auto"/>
        </w:rPr>
      </w:pPr>
    </w:p>
    <w:p>
      <w:pPr>
        <w:ind w:left="1300" w:right="420" w:hanging="465"/>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w:t>
      </w:r>
    </w:p>
    <w:p>
      <w:pPr>
        <w:spacing w:after="0" w:line="161" w:lineRule="exact"/>
        <w:rPr>
          <w:rFonts w:ascii="Times New Roman" w:cs="Times New Roman" w:eastAsia="Times New Roman" w:hAnsi="Times New Roman"/>
          <w:sz w:val="18"/>
          <w:szCs w:val="18"/>
          <w:color w:val="auto"/>
        </w:rPr>
      </w:pPr>
    </w:p>
    <w:p>
      <w:pPr>
        <w:ind w:left="1300" w:right="40" w:hanging="465"/>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able to enter into and maintain collaboration agreements, including the terms of and timing of payments under any such agreements;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1300" w:hanging="465"/>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 rilparencel or any of our future product candidates;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clinical, technological and market developments;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our own commercial-scale cGMP manufacturing facility;</w:t>
      </w:r>
    </w:p>
    <w:p>
      <w:pPr>
        <w:spacing w:after="0" w:line="225" w:lineRule="exact"/>
        <w:rPr>
          <w:rFonts w:ascii="Times New Roman" w:cs="Times New Roman" w:eastAsia="Times New Roman" w:hAnsi="Times New Roman"/>
          <w:sz w:val="18"/>
          <w:szCs w:val="18"/>
          <w:color w:val="auto"/>
        </w:rPr>
      </w:pPr>
    </w:p>
    <w:p>
      <w:pPr>
        <w:ind w:left="1300" w:right="220" w:hanging="465"/>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161" w:lineRule="exact"/>
        <w:rPr>
          <w:rFonts w:ascii="Times New Roman" w:cs="Times New Roman" w:eastAsia="Times New Roman" w:hAnsi="Times New Roman"/>
          <w:sz w:val="18"/>
          <w:szCs w:val="18"/>
          <w:color w:val="auto"/>
        </w:rPr>
      </w:pPr>
    </w:p>
    <w:p>
      <w:pPr>
        <w:ind w:left="1300" w:right="540" w:hanging="465"/>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rilparencel and any of our future product candidates for which we receive marketing approval; and</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333"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We currently do not have any committed external source of funds or other support for our development efforts, and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shareholders.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rilparencel and any future product candidates, technologies, future revenue streams or research programs or grant licenses on terms that may not be favorable to us. We also may be required to seek collaborators for rilparencel or any of our future product candidates at an earlier stage than otherwise would be desirable or relinquish our rights to rilparencel and any future product candidates or technologies that we otherwise would seek to develop or commercialize ourselves. Market volatility could also adversely impact our ability to access capital as and when needed. If we are unable to raise additional capital in sufficient amounts or on terms acceptable to us, we may have to significantly delay, scale back or discontinue the development or commercialization of rilparencel or any of our future product candidates or one or more of our other research and development initiatives. Any of the above events could significantly harm our business, prospects, financial condition and results of operations and cause the price of our common stock to decline.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Research and Development of Rilparencel and Our Future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not generated any revenue to date, and may never become profitable.</w:t>
      </w:r>
    </w:p>
    <w:p>
      <w:pPr>
        <w:spacing w:after="0" w:line="121"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We have no products approved for commercial sale and have not generated any revenue. Our operations to date have been limited to organizing and staffing our company, business planning, raising capital, undertaking nonclinical studies, conducting clinical trials, developing a network of key opinion leaders, and performing research and development of rilparencel. Our approach to the discovery and development of product candidates is unproven, and we do not know whether we will be able to develop any products of commercial value. Rilparencel and any other product candidates we develop will require substantial additional development and clinical research time and resources before we would be able to apply for or receive regulatory approvals and begin generating revenue from product sales. We have not yet demonstrated the ability to progress any product candidate through later-stage clinical trials leading to successful marketing authorization. We may be unable to obtain regulatory approval, manufacture a commercial scale product, or arrange for a third party to do so on our behalf, achieve market access, and acceptance with insurers and health care providers, or conduct sales and marketing activities necessary for successful product commercialization.</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483" w:gutter="0" w:footer="0" w:header="0"/>
        </w:sectPr>
      </w:pPr>
    </w:p>
    <w:bookmarkStart w:id="39" w:name="page40"/>
    <w:bookmarkEnd w:id="39"/>
    <w:p>
      <w:pPr>
        <w:ind w:firstLine="509"/>
        <w:spacing w:after="0" w:line="254"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If and when one of our product candidates were to receive regulatory approval, we would need to transition from a company with a research and development focus to a company capable of supporting commercial activities. We may not be successful in such a transition. In addition, as a business with a limited operating history, we may encounter unforeseen expenses, difficulties, complications, delays and other known and unknown factors and risks frequently experienced by early-stage biopharmaceutical companies in rapidly evolving and complex fields. Consequently, we have no meaningful history of operations upon which to evaluate our business, and predictions about our future success or viability may not be as accurate as they could be if we had a longer operating history or a history of successfully developing and commercializing medical products.</w:t>
      </w:r>
    </w:p>
    <w:p>
      <w:pPr>
        <w:spacing w:after="0" w:line="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Due to the uncertainties and risks associated with these activities, we are unable to accurately and precisely predict the timing and amount of revenues, the extent of any further losses or if or when we might achieve profitability. We may never succeed in these activities and, even if we succeed in commercializing one or more of our product candidates, we may never generate revenue that is significant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Our failure to become and remain profitable could decrease the value of our shares and impair our ability to raise capital, maintain our research and development efforts, expand our business or continue our operations.</w:t>
      </w:r>
    </w:p>
    <w:p>
      <w:pPr>
        <w:spacing w:after="0" w:line="29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biologics and for the treatment of kidney disease is highly competitive. If we fail to effectively compete, our business, financial condition and operating results will suffer.</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face significant competition in the biologics market and in the area of treatment of kidney disease. We face competition from companies that develop and manufacture cell therapies, including major and specialty pharmaceutical and biotechnology companies, developers of tubular and glomerular cell drug modulators, antifibrosis medications, induced pluripotent cells, other autologous mesenchymal stem cells and mechanical renal assist devices such as implantable and wearable renal dialysis machines, and advances in peritoneal dialysis and home dialysis. Cell-based clinical trials by other companies are underway globally with umbilical, adipose and bone marrow derived mesenchymal stem cells for CKD. Early-phase human induced pluripotent stem cell therapies for kidney diseases are ongoing in Japan. We believe that our principal competitors include developers of SGLT2 inhibitors and MRAs, which are small-molecule therapies recently approved to lower risks of CKD progression.</w:t>
      </w:r>
    </w:p>
    <w:p>
      <w:pPr>
        <w:spacing w:after="0" w:line="8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Many of our current competitors may have competitive advantages over us, including significantly greater financial resources and expertise in research and development, preclinical testing, clinical trials, manufacturing and marketing than we have.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principal competitive factors in our target markets include:</w:t>
      </w:r>
    </w:p>
    <w:p>
      <w:pPr>
        <w:spacing w:after="0" w:line="225" w:lineRule="exact"/>
        <w:rPr>
          <w:sz w:val="20"/>
          <w:szCs w:val="20"/>
          <w:color w:val="auto"/>
        </w:rPr>
      </w:pPr>
    </w:p>
    <w:p>
      <w:pPr>
        <w:ind w:left="1300" w:hanging="465"/>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including sensitivity and specificity, and reproducibility of results;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among customers;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in offerings or products, if approved;</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safety profile;</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promotional support;</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protection;</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patient population; and</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of dosing and administration.</w:t>
      </w:r>
    </w:p>
    <w:p>
      <w:pPr>
        <w:spacing w:after="0" w:line="33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Even if approved, our products may not compete favorably or may not be successful in the face of increasing competition from new products and technologies introduced by existing competitors or new companies entering our target markets. Notably, we may face additional competition from GLP-1 RAs approved for type 2 diabetes, obesity, and most recently kidney disease (Ozempic® was approved in January 2025 for kidney disease), which have shown to reduce mortality in patients with advanced-stage CKD and ESKD, slow the progression of CKD and may lead to long term weight loss. Ongoing and increased adoption of GLP-1 RAs or other new or innovative technologies, drugs or other treatments have the potential to impact the rate of growth of our intended patient population or decrease the size of our addressable market. Any sustained or significant decline in the rate of growth of our intended patient population or demand for our products, whether as a result of developments related to new or innovative technologies, drugs, treatments or otherwise, may adversely impact our business. In addition, our competitors may have or develop products or technologies that currently or in the future will enable them to produce competitive products with greater capabilities or at lower costs than ours. Any failure to compete effectively could materially and adversely affect our business, financial condition and operating results.</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40" w:name="page41"/>
    <w:bookmarkEnd w:id="40"/>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lead product candidate, rilparencel, as well as any other future product candidates that we may advance into clinical development. Rilparencel and our future product candidates will require significant additional clinical development and funding before we may be able to seek regulatory approval for and launch a product commercially.</w:t>
      </w:r>
    </w:p>
    <w:p>
      <w:pPr>
        <w:spacing w:after="0" w:line="67"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We currently have no products that are approved for commercial sale and may never be able to develop marketable products. Rilparencel, our lead product candidate, is in Phase 3 clinical development. We cannot offer any assurances or predict with any certainty that such Phase 3 clinical development will be successfully completed, that positive clinical data will be obtained from such Phase 3 clinical development efforts or that regulatory authorities will grant marketing approval for rilparencel, in any such case on the expected timelines. Furthermore, regulatory approvals for rilparencel, even if obtained, may limit the type of patients in which rilparencel may be used for CKD or otherwise require specific warning or labeling language, each of which may reduce the commercial potential of rilparencel. Even if approved, we might not be successful in commercializing rilparencel. Should we fail to obtain regulatory approvals for rilparencel or fail to successfully commercialize rilparencel upon such regulatory approvals, our business and financial condition could be materially harmed and we may be more heavily dependent on the success of our other therapeutic programs.</w:t>
      </w:r>
    </w:p>
    <w:p>
      <w:pPr>
        <w:spacing w:after="0" w:line="80"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As an organization, we have not previously conducted any later stage or pivotal clinical trials, have limited experience in preparing, submitting and pursuing regulatory filings and have not previously submitted a BLA for any product candidate. Before we can generate any revenue from sales of our lead product candidate, rilparencel, or any of our future product candidates, we must complete clinical development, regulatory review and approval in one or more jurisdictions. We also need to obtain substantial additional funding to support our continuing operations and pursue our growth strategy. In addition, if rilparencel or any of our future product candidates is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rilparencel or any of our future product candidates.</w:t>
      </w:r>
    </w:p>
    <w:p>
      <w:pPr>
        <w:spacing w:after="0" w:line="8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setbacks that could delay or prevent regulatory approval of, or our ability to commercialize, rilparencel and any of our future product candidates, including:</w:t>
      </w:r>
    </w:p>
    <w:p>
      <w:pPr>
        <w:spacing w:after="0" w:line="162" w:lineRule="exact"/>
        <w:rPr>
          <w:sz w:val="20"/>
          <w:szCs w:val="20"/>
          <w:color w:val="auto"/>
        </w:rPr>
      </w:pPr>
    </w:p>
    <w:p>
      <w:pPr>
        <w:ind w:left="1300" w:right="60" w:hanging="465"/>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positive results from the clinical trials of others for product candidates similar to ours leading to their approval, leading to a decision or requirement to conduct additional preclinical testing or clinical trials or to abandon a program;</w:t>
      </w:r>
    </w:p>
    <w:p>
      <w:pPr>
        <w:spacing w:after="0" w:line="175" w:lineRule="exact"/>
        <w:rPr>
          <w:rFonts w:ascii="Times New Roman" w:cs="Times New Roman" w:eastAsia="Times New Roman" w:hAnsi="Times New Roman"/>
          <w:sz w:val="18"/>
          <w:szCs w:val="18"/>
          <w:color w:val="auto"/>
        </w:rPr>
      </w:pPr>
    </w:p>
    <w:p>
      <w:pPr>
        <w:ind w:left="1300" w:right="100" w:hanging="465"/>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or adverse events experienced by patients or subjects in our clinical trials or by individuals using medicines or therapeutics that we, the FDA, other regulators or others view as relevant to the development of rilparencel or any of our future product candidates;</w:t>
      </w:r>
    </w:p>
    <w:p>
      <w:pPr>
        <w:spacing w:after="0" w:line="175" w:lineRule="exact"/>
        <w:rPr>
          <w:rFonts w:ascii="Times New Roman" w:cs="Times New Roman" w:eastAsia="Times New Roman" w:hAnsi="Times New Roman"/>
          <w:sz w:val="18"/>
          <w:szCs w:val="18"/>
          <w:color w:val="auto"/>
        </w:rPr>
      </w:pPr>
    </w:p>
    <w:p>
      <w:pPr>
        <w:ind w:left="1300" w:right="140" w:hanging="465"/>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161" w:lineRule="exact"/>
        <w:rPr>
          <w:rFonts w:ascii="Times New Roman" w:cs="Times New Roman" w:eastAsia="Times New Roman" w:hAnsi="Times New Roman"/>
          <w:sz w:val="18"/>
          <w:szCs w:val="18"/>
          <w:color w:val="auto"/>
        </w:rPr>
      </w:pPr>
    </w:p>
    <w:p>
      <w:pPr>
        <w:ind w:left="1300" w:right="300" w:hanging="465"/>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regarding the scope and design of our clinical trials, including our clinical endpoints, and any requirement for additional confirmatory trials;</w:t>
      </w:r>
    </w:p>
    <w:p>
      <w:pPr>
        <w:spacing w:after="0" w:line="161" w:lineRule="exact"/>
        <w:rPr>
          <w:rFonts w:ascii="Times New Roman" w:cs="Times New Roman" w:eastAsia="Times New Roman" w:hAnsi="Times New Roman"/>
          <w:sz w:val="18"/>
          <w:szCs w:val="18"/>
          <w:color w:val="auto"/>
        </w:rPr>
      </w:pPr>
    </w:p>
    <w:p>
      <w:pPr>
        <w:ind w:left="1300" w:right="400" w:hanging="465"/>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subjects in clinical trials and completion of clinical trials, including under the FDA’s GCPs, the guidelines from International Conference on Harmonization (“ICH Guidelines”), GLP, and cGTPs;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compliance with regulatory requirements, including cGMPs, and complying effectively with other procedures;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subjects from clinical trials;</w:t>
      </w:r>
    </w:p>
    <w:p>
      <w:pPr>
        <w:spacing w:after="0" w:line="225" w:lineRule="exact"/>
        <w:rPr>
          <w:rFonts w:ascii="Times New Roman" w:cs="Times New Roman" w:eastAsia="Times New Roman" w:hAnsi="Times New Roman"/>
          <w:sz w:val="18"/>
          <w:szCs w:val="18"/>
          <w:color w:val="auto"/>
        </w:rPr>
      </w:pPr>
    </w:p>
    <w:p>
      <w:pPr>
        <w:ind w:left="1300" w:right="180" w:hanging="465"/>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rilparencel or our future product candidates or other materials necessary for the conduct of our clinical trials;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compete with other therapies;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efficacy of rilparencel or our future product candidates during clinical trials;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results taking longer than anticipated;</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trials being subjected to fraud or data capture failure or other technical mishaps leading to the invalidation of our trial results;</w:t>
      </w:r>
    </w:p>
    <w:p>
      <w:pPr>
        <w:spacing w:after="0" w:line="225" w:lineRule="exact"/>
        <w:rPr>
          <w:rFonts w:ascii="Times New Roman" w:cs="Times New Roman" w:eastAsia="Times New Roman" w:hAnsi="Times New Roman"/>
          <w:sz w:val="18"/>
          <w:szCs w:val="18"/>
          <w:color w:val="auto"/>
        </w:rPr>
      </w:pPr>
    </w:p>
    <w:p>
      <w:pPr>
        <w:ind w:left="1300" w:right="300" w:hanging="465"/>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trials not supporting application for conditional approval in the European Union, the Asia-Pacific region, and Latin America;</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225" w:lineRule="exact"/>
        <w:rPr>
          <w:rFonts w:ascii="Times New Roman" w:cs="Times New Roman" w:eastAsia="Times New Roman" w:hAnsi="Times New Roman"/>
          <w:sz w:val="18"/>
          <w:szCs w:val="18"/>
          <w:color w:val="auto"/>
        </w:rPr>
      </w:pPr>
    </w:p>
    <w:p>
      <w:pPr>
        <w:ind w:left="1300" w:right="600" w:hanging="465"/>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296" w:lineRule="exact"/>
        <w:rPr>
          <w:rFonts w:ascii="Times New Roman" w:cs="Times New Roman" w:eastAsia="Times New Roman" w:hAnsi="Times New Roman"/>
          <w:sz w:val="18"/>
          <w:szCs w:val="18"/>
          <w:color w:val="auto"/>
        </w:rPr>
      </w:pPr>
    </w:p>
    <w:p>
      <w:pPr>
        <w:ind w:left="1300" w:hanging="465"/>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development generally or with respect to our technology in particular;</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ectPr>
          <w:pgSz w:w="11900" w:h="16838" w:orient="portrait"/>
          <w:cols w:equalWidth="0" w:num="1">
            <w:col w:w="11140"/>
          </w:cols>
          <w:pgMar w:left="320" w:top="1305" w:right="439" w:bottom="0" w:gutter="0" w:footer="0" w:header="0"/>
        </w:sectPr>
      </w:pPr>
    </w:p>
    <w:bookmarkStart w:id="41" w:name="page42"/>
    <w:bookmarkEnd w:id="41"/>
    <w:p>
      <w:pPr>
        <w:ind w:left="465" w:hanging="465"/>
        <w:spacing w:after="0"/>
        <w:tabs>
          <w:tab w:leader="none" w:pos="4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Health Technology Assessment (“HTA”) procedures with governmental authorities;</w:t>
      </w:r>
    </w:p>
    <w:p>
      <w:pPr>
        <w:sectPr>
          <w:pgSz w:w="11900" w:h="16838" w:orient="portrait"/>
          <w:cols w:equalWidth="0" w:num="1">
            <w:col w:w="9304"/>
          </w:cols>
          <w:pgMar w:left="1155" w:top="94" w:right="1440" w:bottom="1440" w:gutter="0" w:footer="0" w:header="0"/>
        </w:sectPr>
      </w:pPr>
    </w:p>
    <w:p>
      <w:pPr>
        <w:spacing w:after="0" w:line="226" w:lineRule="exact"/>
        <w:rPr>
          <w:sz w:val="20"/>
          <w:szCs w:val="20"/>
          <w:color w:val="auto"/>
        </w:rPr>
      </w:pPr>
    </w:p>
    <w:p>
      <w:pPr>
        <w:jc w:val="center"/>
        <w:ind w:right="-285"/>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04"/>
          </w:cols>
          <w:pgMar w:left="1155" w:top="94" w:right="1440" w:bottom="1440" w:gutter="0" w:footer="0" w:header="0"/>
          <w:type w:val="continuous"/>
        </w:sectPr>
      </w:pPr>
    </w:p>
    <w:bookmarkStart w:id="42" w:name="page43"/>
    <w:bookmarkEnd w:id="42"/>
    <w:p>
      <w:pPr>
        <w:ind w:left="1300" w:hanging="465"/>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policy level review of rilparencel by CMS;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on our other ongoing or future programs;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scientific discovery and technology of cell-based therapies and bioprocessing; or</w:t>
      </w:r>
    </w:p>
    <w:p>
      <w:pPr>
        <w:spacing w:after="0" w:line="225" w:lineRule="exact"/>
        <w:rPr>
          <w:rFonts w:ascii="Times New Roman" w:cs="Times New Roman" w:eastAsia="Times New Roman" w:hAnsi="Times New Roman"/>
          <w:sz w:val="18"/>
          <w:szCs w:val="18"/>
          <w:color w:val="auto"/>
        </w:rPr>
      </w:pPr>
    </w:p>
    <w:p>
      <w:pPr>
        <w:ind w:left="1300" w:right="460" w:hanging="465"/>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obsolescence of manufacturing automation which could require a re-design of parts or equipment to ensure quality replacement component, the delays of which could cause significant delays in manufacturing and loss of sales.</w:t>
      </w:r>
    </w:p>
    <w:p>
      <w:pPr>
        <w:spacing w:after="0" w:line="27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28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Rilparencel is based on a novel technology, which makes it difficult to predict the time and cost of product development and of subsequently obtaining regulatory approval.</w:t>
      </w:r>
    </w:p>
    <w:p>
      <w:pPr>
        <w:spacing w:after="0" w:line="37"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clinical trial requirements of the FDA and regulatory authorities in other jurisdictions,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Regulatory requirements in the United States and in other countries governing cell therapy products are evolving and the FDA or other regulatory bodies may change the requirements, or identify different regulatory pathways, for approval for rilparencel or any of our future product candidates. For example, the FDA has established the Office of Tissues and Advanced Therapies within the Center for Biologics Evaluation and Research (“CBER”) to consolidate the review of cell therapy and related products, and has established the Cellular, Tissue and Gene Therapies Advisory Committee to advise CBER in its review when called upon. It is possible that over time new or different divisions may be established or be granted the responsibility for regulating cell therapy products, including regenerative cell-based products, such as ours. Further, additional regulatory involvement from FDA advisory bodies, including the Cardio-Renal Advisory Committee, may delay review or make additional recommendations requiring further investigation. As a result, we may be required to change our regulatory strategy or to modify our applications for regulatory approval, which could delay and impair our ability to complete the nonclinical and clinical development and manufacture of, and obtain regulatory approval for, rilparencel or any future product candidates. Changes in regulatory authorities and advisory groups, or any new requirements or guidelines they promulgate, may lengthen the regulatory review process, require us to perform additional studies, increase our development and manufacturing costs, lead to changes in regulatory pathways, positions and interpretations, delay or prevent approval and commercialization of rilparencel or any future product candidates or lead to significant post-approval limitations or restrictions.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concentrated our research and development efforts on utilizing regenerative renal cell-based therapies. To date, the FDA has approved a relatively small number of cell-based therapies for commercialization, and no regenerative renal-based cell therapy has been approved for commercial use by any regulatory authority. The processes and requirements imposed by the FDA or other applicable regulatory authorities may cause delays and additional costs in obtaining approvals for marketing authorization for rilparencel or any future product candidates. Because our platform is novel, and cell-based therapies are relatively new, regulatory agencies may lack experience in evaluating product candidates like rilparencel. This novelty may lengthen the regulatory review process, including the time it takes for the FDA to review our IND applications if and when submitted, increase our development costs and delay or prevent commercialization of rilparencel. Additionally, advancing novel CKD therapies creates significant challenges for us, including:</w:t>
      </w:r>
    </w:p>
    <w:p>
      <w:pPr>
        <w:spacing w:after="0" w:line="192" w:lineRule="exact"/>
        <w:rPr>
          <w:sz w:val="20"/>
          <w:szCs w:val="20"/>
          <w:color w:val="auto"/>
        </w:rPr>
      </w:pPr>
    </w:p>
    <w:p>
      <w:pPr>
        <w:ind w:left="1300" w:right="540" w:hanging="465"/>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side-effect profile of rilparencel and, as the clinical development program progresses, on observed side effects with rilparencel;</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medical personnel on the proper use and delivery of rilparencel;</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enrolling sufficient numbers of subjects in clinical trials; and</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develop a manufacturing process to support the clinical development of rilparencel.</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must be able to overcome these challenges in order for us to develop, commercialize and manufacture rilparencel.</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we advance rilparencel, we will be required to consult with the FDA and other regulatory authorities, and rilparencel will likely be reviewed by an FDA advisory committee. We also must comply with applicable requirements, and if we fail to do so, we may be required to delay or discontinue development of rilparencel. Delays or unexpected costs in obtaining, or the failure to obtain, the regulatory approval necessary to bring a potential product to market could impair our ability to generate sufficient product revenues to maintain our business.</w:t>
      </w:r>
    </w:p>
    <w:p>
      <w:pPr>
        <w:spacing w:after="0" w:line="72"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In addition, adverse developments in preclinical studies or clinical trials conducted by others in the field of cell therapy products may cause the FDA and other regulatory bodies to revise the requirements for approval of any product candidates we may develop, and may otherwise negatively affect our ability to develop and commercialize rilparencel or future product candidates.</w:t>
      </w:r>
    </w:p>
    <w:p>
      <w:pPr>
        <w:spacing w:after="0" w:line="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85" w:right="639" w:bottom="1440" w:gutter="0" w:footer="0" w:header="0"/>
        </w:sectPr>
      </w:pPr>
    </w:p>
    <w:bookmarkStart w:id="43" w:name="page44"/>
    <w:bookmarkEnd w:id="43"/>
    <w:p>
      <w:pPr>
        <w:ind w:right="340" w:firstLine="509"/>
        <w:spacing w:after="0" w:line="256" w:lineRule="auto"/>
        <w:rPr>
          <w:sz w:val="20"/>
          <w:szCs w:val="20"/>
          <w:color w:val="auto"/>
        </w:rPr>
      </w:pPr>
      <w:r>
        <w:rPr>
          <w:rFonts w:ascii="Times New Roman" w:cs="Times New Roman" w:eastAsia="Times New Roman" w:hAnsi="Times New Roman"/>
          <w:sz w:val="18"/>
          <w:szCs w:val="18"/>
          <w:color w:val="auto"/>
        </w:rPr>
        <w:t>The regulatory review committees and advisory groups described above and the new guidelines they promulgate may lengthen the regulatory review process, require us to perform additional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spacing w:after="0" w:line="29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complex and expensive process, with an uncertain outcome, and the results of nonclinical studies, previous clinical trials, or interim results of ongoing clinical trials of rilparencel and any of our future product candidates may not be predictive of future results. Further, we may encounter substantial delays in completing the development of rilparencel and any of our future product candidates.</w:t>
      </w:r>
    </w:p>
    <w:p>
      <w:pPr>
        <w:spacing w:after="0" w:line="67" w:lineRule="exact"/>
        <w:rPr>
          <w:sz w:val="20"/>
          <w:szCs w:val="20"/>
          <w:color w:val="auto"/>
        </w:rPr>
      </w:pPr>
    </w:p>
    <w:p>
      <w:pPr>
        <w:ind w:right="340"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 rilparencel, is in clinical development, and its risk of failure is high. The clinical trials, manufacturing and marketing of rilparencel or any of our future product candidates, if approved, are and will continue to be subject to extensive and rigorous review and regulation by numerous government authorities in the United States and in other countries where we intend to test and market rilparencel and any of our future product candidates. Before obtaining regulatory approvals for the commercial sale of rilparencel or any of our future product candidates, we must demonstrate through lengthy, complex and expensive testing and clinical trials that our product candidates are both safe and effective for use in each target indication. In particular, because rilparencel is subject to regulation as a biological product, we will need to demonstrate that it is safe, pure and potent for use in its target indication and lacks latent untoward cell effects. Rilparencel and any other product candidate we may develop must demonstrate an adequate risk versus benefit profile in its intended patient population and for its intended use. The process of administration of rilparencel involves taking a small biopsy of tissue from the kidney. The risks associated with a biopsy include bleeding, pain, hematoma, or bruising, scarring, and infarcts, or loss of blood supply resulting in loss of function.</w:t>
      </w:r>
    </w:p>
    <w:p>
      <w:pPr>
        <w:spacing w:after="0" w:line="86" w:lineRule="exact"/>
        <w:rPr>
          <w:sz w:val="20"/>
          <w:szCs w:val="20"/>
          <w:color w:val="auto"/>
        </w:rPr>
      </w:pPr>
    </w:p>
    <w:p>
      <w:pPr>
        <w:ind w:right="180" w:firstLine="509"/>
        <w:spacing w:after="0" w:line="252"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In particular, the general approach for FDA approval of a new therapeutic modality includes dispositive data from adequate and well-controlled clinical trials of the relevant product in the relevant patient population, but in certain cases, the agency may determine that confirmatory post-market evidence is needed to establish effectiveness and support approval for the target indication. Our Phase 3 development program may have significant costs and take years to complete. A product candidate can fail at any stage of testing, even after observing promising signals of activity in earlier nonclinical studies or clinical trials. The outcome of nonclinical studies and early clinical trials of rilparencel and our future product candidates may not be predictive of the success of the Phase 3 registrational development program, and interim results of a clinical trial do not necessarily predict final results.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nonclinical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therapeutic products and there can be no assurance that any of our future clinical trials will ultimately be successful or support further clinical development of rilparencel or any of our future product candidates. Product candidates and delivery methods for cellular therapeutics and tissue engineered products that appear promising in the early phases of development may fail to reach the market for several reasons, including:</w:t>
      </w:r>
    </w:p>
    <w:p>
      <w:pPr>
        <w:spacing w:after="0" w:line="196" w:lineRule="exact"/>
        <w:rPr>
          <w:sz w:val="20"/>
          <w:szCs w:val="20"/>
          <w:color w:val="auto"/>
        </w:rPr>
      </w:pPr>
    </w:p>
    <w:p>
      <w:pPr>
        <w:ind w:left="1300" w:hanging="465"/>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or preclinical studies or clinical trials may show the product candidates to be less effective than expected (e.g., a clinical trial could fail to meet its primary endpoint(s)) or to have unacceptable side effects or toxicities associated with the product or delivery method;</w:t>
      </w:r>
    </w:p>
    <w:p>
      <w:pPr>
        <w:spacing w:after="0" w:line="17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clinical endpoints that applicable regulatory authorities would consider clinically meaningful and relevant;</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w:t>
      </w:r>
    </w:p>
    <w:p>
      <w:pPr>
        <w:spacing w:after="0" w:line="225" w:lineRule="exact"/>
        <w:rPr>
          <w:rFonts w:ascii="Times New Roman" w:cs="Times New Roman" w:eastAsia="Times New Roman" w:hAnsi="Times New Roman"/>
          <w:sz w:val="18"/>
          <w:szCs w:val="18"/>
          <w:color w:val="auto"/>
        </w:rPr>
      </w:pPr>
    </w:p>
    <w:p>
      <w:pPr>
        <w:ind w:left="1300" w:right="260" w:hanging="465"/>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costs, formulation issues, pricing or reimbursement issues, mechanism of action, logistical constraints or other factors that make a product candidate uneconomical; and</w:t>
      </w:r>
    </w:p>
    <w:p>
      <w:pPr>
        <w:spacing w:after="0" w:line="161" w:lineRule="exact"/>
        <w:rPr>
          <w:rFonts w:ascii="Times New Roman" w:cs="Times New Roman" w:eastAsia="Times New Roman" w:hAnsi="Times New Roman"/>
          <w:sz w:val="18"/>
          <w:szCs w:val="18"/>
          <w:color w:val="auto"/>
        </w:rPr>
      </w:pPr>
    </w:p>
    <w:p>
      <w:pPr>
        <w:ind w:left="1300" w:right="400" w:hanging="465"/>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one of our product candidates from being commercialized.</w:t>
      </w:r>
    </w:p>
    <w:p>
      <w:pPr>
        <w:spacing w:after="0" w:line="270"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marketing approval of their products. Additionally, our earlier stage trials are open-label studies, where both the subject and investigator know whether the subject is receiving rilparencel or standard of care therapy. Most typically, open-label clinical trials test only the investigational product candidate and sometimes do so at different dose levels. Open-label clinical trials are subject to various limitations and biases that may exaggerate any therapeutic effect as subjects in</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44" w:name="page45"/>
    <w:bookmarkEnd w:id="44"/>
    <w:p>
      <w:pPr>
        <w:ind w:right="180"/>
        <w:spacing w:after="0" w:line="256" w:lineRule="auto"/>
        <w:rPr>
          <w:sz w:val="20"/>
          <w:szCs w:val="20"/>
          <w:color w:val="auto"/>
        </w:rPr>
      </w:pPr>
      <w:r>
        <w:rPr>
          <w:rFonts w:ascii="Times New Roman" w:cs="Times New Roman" w:eastAsia="Times New Roman" w:hAnsi="Times New Roman"/>
          <w:sz w:val="18"/>
          <w:szCs w:val="18"/>
          <w:color w:val="auto"/>
        </w:rPr>
        <w:t>open-label clinical trials are aware when they are receiving treatment. In addition, open-label clinical trials may be subject to an “investigator bias” where those assessing and reviewing the physiological outcomes of the clinical trials are aware of which subjects have received treatment and may interpret the information of the treated group more favorably given this knowledge. Given that our earlier stage trials include an open-label dosing design, while we believe our trials utilize objective assessment measures for measuring our endpoints and therefore are unlikely to be influenced in any manner by subject or investigator bias, it is unknown whether the open-label design may not be predictive of future clinical trial results with this or other product candidates for which we conduct an open-label clinical trial when studied in a controlled environment or with only objective endpoints.</w:t>
      </w:r>
    </w:p>
    <w:p>
      <w:pPr>
        <w:spacing w:after="0" w:line="7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Furthermore, the standards that the FDA and comparable foreign regulatory authorities use when regulating products like rilparencel require judgment and may change over time, which makes it difficult to predict with certainty how they will be applied. Any analysis we perform of data from nonclinical and clinical activities is subject to validation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Specifically, some countries have enacted or are considering enacting restrictions on the import and export of human genetic materials, cells and tissues. Such laws and regulations could impair our ability to import and export human cells and cell-based therapies, which could have a material adverse impact on our business. We cannot predict whether legislative changes will be enacted,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84"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completed any pivotal trials required for the approval of rilparencel. We may experience delays in conducting any clinical trials because of the redesign of clinical trials, and/or our ability to recruit and enroll subjects on time or at all. Clinical trials can be delayed suspended or terminated for a variety of reasons, including in connection with:</w:t>
      </w:r>
    </w:p>
    <w:p>
      <w:pPr>
        <w:spacing w:after="0" w:line="176" w:lineRule="exact"/>
        <w:rPr>
          <w:sz w:val="20"/>
          <w:szCs w:val="20"/>
          <w:color w:val="auto"/>
        </w:rPr>
      </w:pPr>
    </w:p>
    <w:p>
      <w:pPr>
        <w:ind w:left="1300" w:right="160" w:hanging="465"/>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standardizing or controlling a manufacturing process and quality criteria suitable for advanced clinical trials;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or other regulatory authorities as to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additional regulatory authorizations to conduct future clinical trials;</w:t>
      </w:r>
    </w:p>
    <w:p>
      <w:pPr>
        <w:spacing w:after="0" w:line="225" w:lineRule="exact"/>
        <w:rPr>
          <w:rFonts w:ascii="Times New Roman" w:cs="Times New Roman" w:eastAsia="Times New Roman" w:hAnsi="Times New Roman"/>
          <w:sz w:val="18"/>
          <w:szCs w:val="18"/>
          <w:color w:val="auto"/>
        </w:rPr>
      </w:pPr>
    </w:p>
    <w:p>
      <w:pPr>
        <w:ind w:left="1300" w:right="440" w:hanging="465"/>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agreements on acceptable terms with additional/future clinical trial sites or prospective CROs, the terms of which can be subject to extensive negotiation and may vary significantly among different clinical trial sites;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or Ethics Committee approval at each additional/future trial site;</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subjects complete a clinical trial or return for post-treatment follow-up;</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clinical trial sites or operations by applicable regulatory authorities, or the imposition of a clinical hold;</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trial protocol or dropping out of a trial;</w:t>
      </w:r>
    </w:p>
    <w:p>
      <w:pPr>
        <w:spacing w:after="0" w:line="225" w:lineRule="exact"/>
        <w:rPr>
          <w:rFonts w:ascii="Times New Roman" w:cs="Times New Roman" w:eastAsia="Times New Roman" w:hAnsi="Times New Roman"/>
          <w:sz w:val="18"/>
          <w:szCs w:val="18"/>
          <w:color w:val="auto"/>
        </w:rPr>
      </w:pPr>
    </w:p>
    <w:p>
      <w:pPr>
        <w:ind w:left="1300" w:right="560" w:hanging="465"/>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applicable regulatory requirements, including FDA’s GCP requirements, or applicable regulatory requirements in other countries;</w:t>
      </w:r>
    </w:p>
    <w:p>
      <w:pPr>
        <w:spacing w:after="0" w:line="161" w:lineRule="exact"/>
        <w:rPr>
          <w:rFonts w:ascii="Times New Roman" w:cs="Times New Roman" w:eastAsia="Times New Roman" w:hAnsi="Times New Roman"/>
          <w:sz w:val="18"/>
          <w:szCs w:val="18"/>
          <w:color w:val="auto"/>
        </w:rPr>
      </w:pPr>
    </w:p>
    <w:p>
      <w:pPr>
        <w:ind w:left="1300" w:right="340" w:hanging="465"/>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 including occurrence of adverse events associated with the product candidate or the delivery procedure that are viewed to outweigh its potential benefits;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for use in clinical trials;</w:t>
      </w:r>
    </w:p>
    <w:p>
      <w:pPr>
        <w:spacing w:after="0" w:line="225" w:lineRule="exact"/>
        <w:rPr>
          <w:rFonts w:ascii="Times New Roman" w:cs="Times New Roman" w:eastAsia="Times New Roman" w:hAnsi="Times New Roman"/>
          <w:sz w:val="18"/>
          <w:szCs w:val="18"/>
          <w:color w:val="auto"/>
        </w:rPr>
      </w:pPr>
    </w:p>
    <w:p>
      <w:pPr>
        <w:ind w:left="1300" w:right="840" w:hanging="465"/>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 which could result in improper storage, transport or development conditions for our product components, whose treatment is time-sensitive and temperature-sensitive and which are patient-specific; or</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our manufacturing processes, which could lead to our inability to properly administer treatment.</w:t>
      </w:r>
    </w:p>
    <w:p>
      <w:pPr>
        <w:spacing w:after="0" w:line="333" w:lineRule="exact"/>
        <w:rPr>
          <w:sz w:val="20"/>
          <w:szCs w:val="20"/>
          <w:color w:val="auto"/>
        </w:rPr>
      </w:pPr>
    </w:p>
    <w:p>
      <w:pPr>
        <w:ind w:right="540" w:firstLine="509"/>
        <w:spacing w:after="0" w:line="312" w:lineRule="auto"/>
        <w:rPr>
          <w:sz w:val="20"/>
          <w:szCs w:val="20"/>
          <w:color w:val="auto"/>
        </w:rPr>
      </w:pPr>
      <w:r>
        <w:rPr>
          <w:rFonts w:ascii="Times New Roman" w:cs="Times New Roman" w:eastAsia="Times New Roman" w:hAnsi="Times New Roman"/>
          <w:sz w:val="17"/>
          <w:szCs w:val="17"/>
          <w:color w:val="auto"/>
        </w:rPr>
        <w:t>We may experience numerous unforeseen events during, or as a result of, clinical trials that could delay or prevent our ability to receive marketing approval or commercialize rilparencel or any of our future product candidates or significantly increase the cost of such trials, including:</w:t>
      </w:r>
    </w:p>
    <w:p>
      <w:pPr>
        <w:spacing w:after="0" w:line="140" w:lineRule="exact"/>
        <w:rPr>
          <w:sz w:val="20"/>
          <w:szCs w:val="20"/>
          <w:color w:val="auto"/>
        </w:rPr>
      </w:pPr>
    </w:p>
    <w:p>
      <w:pPr>
        <w:ind w:left="1300" w:hanging="465"/>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guidance, or receive feedback from regulatory authorities that requires us to modify the design of our clinical trials;</w:t>
      </w:r>
    </w:p>
    <w:p>
      <w:pPr>
        <w:spacing w:after="0" w:line="161" w:lineRule="exact"/>
        <w:rPr>
          <w:rFonts w:ascii="Times New Roman" w:cs="Times New Roman" w:eastAsia="Times New Roman" w:hAnsi="Times New Roman"/>
          <w:sz w:val="18"/>
          <w:szCs w:val="18"/>
          <w:color w:val="auto"/>
        </w:rPr>
      </w:pPr>
    </w:p>
    <w:p>
      <w:pPr>
        <w:ind w:left="1300" w:right="460" w:hanging="465"/>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rilparencel or our future product candidates may produce negative or inconclusive results, and we may decide, or regulators may require us, to conduct additional clinical trials or abandon development programs;</w:t>
      </w:r>
    </w:p>
    <w:p>
      <w:pPr>
        <w:spacing w:after="0" w:line="161" w:lineRule="exact"/>
        <w:rPr>
          <w:rFonts w:ascii="Times New Roman" w:cs="Times New Roman" w:eastAsia="Times New Roman" w:hAnsi="Times New Roman"/>
          <w:sz w:val="18"/>
          <w:szCs w:val="18"/>
          <w:color w:val="auto"/>
        </w:rPr>
      </w:pPr>
    </w:p>
    <w:p>
      <w:pPr>
        <w:ind w:left="1300" w:right="80" w:hanging="465"/>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rilparencel or our future product candidates may be larger than we anticipate, enrollment in these clinical trials may be slower than we anticipate or subjects may drop out of these clinical trials at a higher rate than we anticipate;</w:t>
      </w:r>
    </w:p>
    <w:p>
      <w:pPr>
        <w:sectPr>
          <w:pgSz w:w="11900" w:h="16838" w:orient="portrait"/>
          <w:cols w:equalWidth="0" w:num="1">
            <w:col w:w="11080"/>
          </w:cols>
          <w:pgMar w:left="320" w:top="1093" w:right="499" w:bottom="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6" w:name="page47"/>
    <w:bookmarkEnd w:id="46"/>
    <w:p>
      <w:pPr>
        <w:ind w:left="1300" w:right="500" w:hanging="465"/>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161" w:lineRule="exact"/>
        <w:rPr>
          <w:rFonts w:ascii="Times New Roman" w:cs="Times New Roman" w:eastAsia="Times New Roman" w:hAnsi="Times New Roman"/>
          <w:sz w:val="18"/>
          <w:szCs w:val="18"/>
          <w:color w:val="auto"/>
        </w:rPr>
      </w:pPr>
    </w:p>
    <w:p>
      <w:pPr>
        <w:ind w:left="1300" w:hanging="465"/>
        <w:spacing w:after="0" w:line="289" w:lineRule="auto"/>
        <w:tabs>
          <w:tab w:leader="none" w:pos="1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investigators might have to suspend or terminate clinical trials of rilparencel or our future product candidates for various reasons, including non-compliance with regulatory requirements, a finding that rilparencel or our future product candidates have undesirable side effects or other unexpected characteristics, or a finding that the subjects are being exposed to unacceptable health risks;</w:t>
      </w:r>
    </w:p>
    <w:p>
      <w:pPr>
        <w:spacing w:after="0" w:line="157" w:lineRule="exact"/>
        <w:rPr>
          <w:rFonts w:ascii="Times New Roman" w:cs="Times New Roman" w:eastAsia="Times New Roman" w:hAnsi="Times New Roman"/>
          <w:sz w:val="17"/>
          <w:szCs w:val="17"/>
          <w:color w:val="auto"/>
        </w:rPr>
      </w:pPr>
    </w:p>
    <w:p>
      <w:pPr>
        <w:ind w:left="1300" w:right="40" w:hanging="465"/>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rilparencel or our future product candidates may be greater than we anticipate and we may not have funds to cover the costs;</w:t>
      </w:r>
    </w:p>
    <w:p>
      <w:pPr>
        <w:spacing w:after="0" w:line="161" w:lineRule="exact"/>
        <w:rPr>
          <w:rFonts w:ascii="Times New Roman" w:cs="Times New Roman" w:eastAsia="Times New Roman" w:hAnsi="Times New Roman"/>
          <w:sz w:val="18"/>
          <w:szCs w:val="18"/>
          <w:color w:val="auto"/>
        </w:rPr>
      </w:pPr>
    </w:p>
    <w:p>
      <w:pPr>
        <w:ind w:left="1300" w:right="40" w:hanging="465"/>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rilparencel or our future product candidates or other materials necessary to conduct clinical trials of our product candidates may be insufficient or inadequate;</w:t>
      </w:r>
    </w:p>
    <w:p>
      <w:pPr>
        <w:spacing w:after="0" w:line="161" w:lineRule="exact"/>
        <w:rPr>
          <w:rFonts w:ascii="Times New Roman" w:cs="Times New Roman" w:eastAsia="Times New Roman" w:hAnsi="Times New Roman"/>
          <w:sz w:val="18"/>
          <w:szCs w:val="18"/>
          <w:color w:val="auto"/>
        </w:rPr>
      </w:pPr>
    </w:p>
    <w:p>
      <w:pPr>
        <w:ind w:left="1300" w:right="160" w:hanging="465"/>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rilparencel or our future product candidates, or such requirements may not be as we anticipate; and</w:t>
      </w:r>
    </w:p>
    <w:p>
      <w:pPr>
        <w:spacing w:after="0" w:line="161" w:lineRule="exact"/>
        <w:rPr>
          <w:rFonts w:ascii="Times New Roman" w:cs="Times New Roman" w:eastAsia="Times New Roman" w:hAnsi="Times New Roman"/>
          <w:sz w:val="18"/>
          <w:szCs w:val="18"/>
          <w:color w:val="auto"/>
        </w:rPr>
      </w:pPr>
    </w:p>
    <w:p>
      <w:pPr>
        <w:ind w:left="1300" w:right="100" w:hanging="465"/>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conduct clinical trials in ways they view as advantageous to them but that are suboptimal for us.</w:t>
      </w:r>
    </w:p>
    <w:p>
      <w:pPr>
        <w:spacing w:after="0" w:line="27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rilparencel or any of our future product candidates beyond those that we currently contemplate, if we are unable to successfully complete clinical trials of rilparencel or our future product candidates or other testing, if the results of these trials or tests are not positive or are only modestly positive or if there are safety concerns, we may:</w:t>
      </w:r>
    </w:p>
    <w:p>
      <w:pPr>
        <w:spacing w:after="0" w:line="176" w:lineRule="exact"/>
        <w:rPr>
          <w:sz w:val="20"/>
          <w:szCs w:val="20"/>
          <w:color w:val="auto"/>
        </w:rPr>
      </w:pPr>
    </w:p>
    <w:p>
      <w:pPr>
        <w:ind w:left="1300" w:hanging="465"/>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225" w:lineRule="exact"/>
        <w:rPr>
          <w:rFonts w:ascii="Times New Roman" w:cs="Times New Roman" w:eastAsia="Times New Roman" w:hAnsi="Times New Roman"/>
          <w:sz w:val="18"/>
          <w:szCs w:val="18"/>
          <w:color w:val="auto"/>
        </w:rPr>
      </w:pPr>
    </w:p>
    <w:p>
      <w:pPr>
        <w:ind w:left="1300" w:right="140" w:hanging="465"/>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rilparencel or any of our future product candidates or not obtain marketing approval at all;</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1300" w:right="320" w:hanging="465"/>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 including boxed warnings or REMS;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 or</w:t>
      </w:r>
    </w:p>
    <w:p>
      <w:pPr>
        <w:spacing w:after="0" w:line="225" w:lineRule="exact"/>
        <w:rPr>
          <w:rFonts w:ascii="Times New Roman" w:cs="Times New Roman" w:eastAsia="Times New Roman" w:hAnsi="Times New Roman"/>
          <w:sz w:val="18"/>
          <w:szCs w:val="18"/>
          <w:color w:val="auto"/>
        </w:rPr>
      </w:pPr>
    </w:p>
    <w:p>
      <w:pPr>
        <w:ind w:left="1300" w:right="20" w:hanging="465"/>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to impose restrictions on its distribution after obtaining marketing approval.</w:t>
      </w:r>
    </w:p>
    <w:p>
      <w:pPr>
        <w:spacing w:after="0" w:line="27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rilparencel or one of our future product candidates, changes in governmental regulations or administrative actions or lack of adequate funding to continue the clinical trial.</w:t>
      </w:r>
    </w:p>
    <w:p>
      <w:pPr>
        <w:spacing w:after="0" w:line="7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Rilparencel, our lead product candidate, will require extensive clinical testing before we are prepared to submit a BLA for regulatory approval. We cannot predict with any certainty if or when we might complete the clinical development for rilparencel and submit a BLA for regulatory approval of rilparencel or whether any such BLA will be approved. We may also seek feedback from the FDA or other regulatory authorities on our clinical development program, and the FDA or such other regulatory authorities may not provide such feedback on a timely basis, or such feedback may not be favorable, which could further delay our development programs.</w:t>
      </w:r>
    </w:p>
    <w:p>
      <w:pPr>
        <w:spacing w:after="0" w:line="75"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8"/>
          <w:szCs w:val="18"/>
          <w:color w:val="auto"/>
        </w:rPr>
        <w:t>If we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from foreign regulatory agencies may differ from that required to obtain FDA approval. Approval by the FDA does not ensure approval by regulatory authorities outside the United States and vice versa. 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1023" w:gutter="0" w:footer="0" w:header="0"/>
        </w:sectPr>
      </w:pPr>
    </w:p>
    <w:bookmarkStart w:id="47" w:name="page48"/>
    <w:bookmarkEnd w:id="47"/>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topline data or interim analyses from our nonclinical studies and clinical trials that may be announced or published from time to time may change as more data becomes available and will remain subject to audit and verification procedures that could result in material changes in the final data.</w:t>
      </w:r>
    </w:p>
    <w:p>
      <w:pPr>
        <w:spacing w:after="0" w:line="6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have disclosed interim analyses of certain ongoing clinical trials and may continue to disclose publicly interim or topline data from its nonclinical studies and clinical trials in the future. These interim updates will be based on a preliminary analysis of then-available data, and the results and related findings and conclusions will be subject to change following a more comprehensive review of the data related to the particular study or trial. We will be required to make assumptions, estimations, calculations and conclusions as part of our analyses of data, and we may not have received or had the opportunity to fully and carefully evaluate all data. As a result, the interim or topline results that we may report might differ from future results of the same studies or trials, or different conclusions or considerations may qualify such results, once additional data have been received and fully evaluated. Interim and topline data will remain subject to audit and verification procedures that may result in the final data being materially different from the data we previously published. As a result, any interim or topline data should be viewed with caution until the final data are available. Interim data from clinical trials that we may complete will be subject to the risk that one or more of the clinical outcomes may materially change as patient enrollment continues and more patient data becomes available.</w:t>
      </w:r>
    </w:p>
    <w:p>
      <w:pPr>
        <w:spacing w:after="0" w:line="8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us in general. In addition, the information we choose to publicly disclose regarding a particular study or clinical trial is based on what is typically extensive information, investors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or topline data that we report differ from actual results, or if others, including regulatory authorities, disagree with the conclusions reached, our ability to obtain approval for, and commercialize, our product candidate may be harmed, which could harm our business, operating results, prospects or financial condition.</w:t>
      </w:r>
    </w:p>
    <w:p>
      <w:pPr>
        <w:spacing w:after="0" w:line="29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time-consuming and inherently unpredictable. If we are not able to obtain required regulatory approval for rilparencel, our lead product candidate, or any of our future product candidates, our business may be materially and adversely affected.</w:t>
      </w:r>
    </w:p>
    <w:p>
      <w:pPr>
        <w:spacing w:after="0" w:line="67" w:lineRule="exact"/>
        <w:rPr>
          <w:sz w:val="20"/>
          <w:szCs w:val="20"/>
          <w:color w:val="auto"/>
        </w:rPr>
      </w:pPr>
    </w:p>
    <w:p>
      <w:pPr>
        <w:jc w:val="both"/>
        <w:ind w:right="300" w:firstLine="509"/>
        <w:spacing w:after="0" w:line="254" w:lineRule="auto"/>
        <w:rPr>
          <w:sz w:val="20"/>
          <w:szCs w:val="20"/>
          <w:color w:val="auto"/>
        </w:rPr>
      </w:pPr>
      <w:r>
        <w:rPr>
          <w:rFonts w:ascii="Times New Roman" w:cs="Times New Roman" w:eastAsia="Times New Roman" w:hAnsi="Times New Roman"/>
          <w:sz w:val="18"/>
          <w:szCs w:val="18"/>
          <w:color w:val="auto"/>
        </w:rPr>
        <w:t>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Neither we nor any current or future collaborator is permitted to market any biologic product candidates in the United States until we receive regulatory approval of a BLA from the FDA, and we cannot market it in jurisdictions outside of the United States until we obtain the applicable regulatory authorization required in such other jurisdictions. To date, we have had only limited discussions with domestic and foreign regulatory agencies regarding clinical development programs or regulatory approval for any product candidate within such jurisdictions.</w:t>
      </w:r>
    </w:p>
    <w:p>
      <w:pPr>
        <w:spacing w:after="0" w:line="8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Prior to obtaining approval to commercialize any biologic product candidate in the United States or abroad, we must demonstrate with substantial evidence from well-controlled clinical trials, and to the satisfaction of the FDA or other foreign regulatory agencies, that such product candidates are safe and effective for their intended uses. Results from nonclinical or preclinical studies and clinical trials may be interpreted differently by different regulatory agencies. Even if we believe the nonclinical or clinical data for rilparencel are promising, such data may be insufficient to support approval by the FDA and other regulatory authorities. The FDA may also require us to conduct additional nonclinical studies or clinical trials for rilparencel either prior to or after approval, or it may object to elements of our clinical development programs.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Rilparencel could fail to receive regulatory approval for many reasons, including the following:</w:t>
      </w:r>
    </w:p>
    <w:p>
      <w:pPr>
        <w:spacing w:after="0" w:line="225" w:lineRule="exact"/>
        <w:rPr>
          <w:sz w:val="20"/>
          <w:szCs w:val="20"/>
          <w:color w:val="auto"/>
        </w:rPr>
      </w:pPr>
    </w:p>
    <w:p>
      <w:pPr>
        <w:ind w:left="1300" w:hanging="465"/>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1300" w:hanging="465"/>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161" w:lineRule="exact"/>
        <w:rPr>
          <w:rFonts w:ascii="Times New Roman" w:cs="Times New Roman" w:eastAsia="Times New Roman" w:hAnsi="Times New Roman"/>
          <w:sz w:val="18"/>
          <w:szCs w:val="18"/>
          <w:color w:val="auto"/>
        </w:rPr>
      </w:pPr>
    </w:p>
    <w:p>
      <w:pPr>
        <w:ind w:left="1300" w:right="80" w:hanging="465"/>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225" w:lineRule="exact"/>
        <w:rPr>
          <w:rFonts w:ascii="Times New Roman" w:cs="Times New Roman" w:eastAsia="Times New Roman" w:hAnsi="Times New Roman"/>
          <w:sz w:val="18"/>
          <w:szCs w:val="18"/>
          <w:color w:val="auto"/>
        </w:rPr>
      </w:pPr>
    </w:p>
    <w:p>
      <w:pPr>
        <w:ind w:left="1300" w:right="460" w:hanging="465"/>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our manufacturing processes or facilities of third-party suppliers with which we contract for clinical and commercial supplies; and</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48" w:name="page49"/>
    <w:bookmarkEnd w:id="48"/>
    <w:p>
      <w:pPr>
        <w:ind w:left="1300" w:right="60" w:hanging="465"/>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authorities may significantly change in a manner rendering our clinical data insufficient for approval.</w:t>
      </w:r>
    </w:p>
    <w:p>
      <w:pPr>
        <w:spacing w:after="0" w:line="27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Of the large number of product candidates developed by biologics manufacturers,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rilparencel or any of our future product candidates, which would significantly harm our business, financial condition, results of operations and prospects.</w:t>
      </w:r>
    </w:p>
    <w:p>
      <w:pPr>
        <w:spacing w:after="0" w:line="72"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development of rilparencel. Our business is dependent on our ability to successfully complete nonclinical and clinical development of, obtain regulatory approval for, and, if approved, successfully commercialize rilparencel and any future product candidates in a timely manner.</w:t>
      </w:r>
    </w:p>
    <w:p>
      <w:pPr>
        <w:spacing w:after="0" w:line="68"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 BLA or foreign marketing application for rilparencel or any future product candidates, the FDA or the applicable foreign regulatory agency may grant approval or other marketing authorization contingent on the performance of costly additional clinical trials, including post-marketing clinical trials. The FDA or the applicable foreign regulatory agency also may approve or authorize for marketing a product candidate for a more limited indication or patient population than we originally request and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FDA and other regulatory authorities may change their policies, issue additional regulations or revise existing regulations, or take other actions, which may prevent or delay approval of our future product candidates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8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nonclinical studies and clinical trials may fail to demonstrate substantial evidence of the safety and efficacy of rilparencel or our future product candidates, or serious adverse or unacceptable side effects may be identified during the development of rilparencel or any of our future product candidates, which could prevent, delay or limit the scope of regulatory approval of rilparencel or any of our future product candidates, limit their commercialization, increase our costs or necessitate the abandonment or limitation of the development of rilparencel or our future product candidates.</w:t>
      </w:r>
    </w:p>
    <w:p>
      <w:pPr>
        <w:spacing w:after="0" w:line="75" w:lineRule="exact"/>
        <w:rPr>
          <w:sz w:val="20"/>
          <w:szCs w:val="20"/>
          <w:color w:val="auto"/>
        </w:rPr>
      </w:pPr>
    </w:p>
    <w:p>
      <w:pPr>
        <w:ind w:right="260" w:firstLine="509"/>
        <w:spacing w:after="0" w:line="273" w:lineRule="auto"/>
        <w:rPr>
          <w:sz w:val="20"/>
          <w:szCs w:val="20"/>
          <w:color w:val="auto"/>
        </w:rPr>
      </w:pPr>
      <w:r>
        <w:rPr>
          <w:rFonts w:ascii="Times New Roman" w:cs="Times New Roman" w:eastAsia="Times New Roman" w:hAnsi="Times New Roman"/>
          <w:sz w:val="17"/>
          <w:szCs w:val="17"/>
          <w:color w:val="auto"/>
        </w:rPr>
        <w:t>To obtain the requisite regulatory approvals for the commercial sale of rilparencel and any of our future product candidates, we must demonstrate through lengthy, complex and expensive nonclinical testing and clinical trials that our product candidates are safe, pure, potent and effective for use in each target indication. Nonclinical testing and clinical trials are expensive and time consuming, and their outcomes are inherently uncertain. Failures can occur at any time during the development process. The outcome of nonclinical studies and early clinical trials may not be predictive of the results of later clinical trials, and interim results of a clinical trial do not necessarily predict final results. Moreover, nonclinical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63"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may fail to demonstrate with substantial evidence from adequate and well-controlled trials, and to the satisfaction of the FDA or comparable foreign regulatory authorities, that rilparencel is safe and potent for its intended uses.</w:t>
      </w:r>
    </w:p>
    <w:p>
      <w:pPr>
        <w:spacing w:after="0" w:line="54"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Possible adverse side effects that could occur with treatment with autologous cell therapy products include thrombocytopenia, chills, anemia, febrile neutropenia, diarrhea, neutropenia, vomiting, hypotension, dyspnea, cytokine release syndrome and neurotoxicity. Side effects may be unrecognized and mismanaged by medical personnel and considered unrelated due to unfamiliarity with the rilparencel cell-based treatments. Rilparencel treatment necessitates a renal biopsy to obtain tissue to manufacture the bioactive component and subsequent injections to deposit the rilparencel product into the kidney. Each intervention poses well-known risks of adverse events such as renal bleeding, cortical scarring, decline in kidney function or other adverse events that may require hospitalization, blood transfusion or angiographic intervention.</w:t>
      </w:r>
    </w:p>
    <w:p>
      <w:pPr>
        <w:spacing w:after="0" w:line="79" w:lineRule="exact"/>
        <w:rPr>
          <w:sz w:val="20"/>
          <w:szCs w:val="20"/>
          <w:color w:val="auto"/>
        </w:rPr>
      </w:pPr>
    </w:p>
    <w:p>
      <w:pPr>
        <w:ind w:right="160" w:firstLine="509"/>
        <w:spacing w:after="0" w:line="252" w:lineRule="auto"/>
        <w:rPr>
          <w:sz w:val="20"/>
          <w:szCs w:val="20"/>
          <w:color w:val="auto"/>
        </w:rPr>
      </w:pPr>
      <w:r>
        <w:rPr>
          <w:rFonts w:ascii="Times New Roman" w:cs="Times New Roman" w:eastAsia="Times New Roman" w:hAnsi="Times New Roman"/>
          <w:sz w:val="18"/>
          <w:szCs w:val="18"/>
          <w:color w:val="auto"/>
        </w:rPr>
        <w:t>In the RMCL-002 trial, which used a different formulation of the rilparencel product and a different procedure than that presently used in our Phase 3 trials, one participant experienced serious adverse events that included scarring or fibrosis and a decrease in kidney function. A second participant experienced decreased kidney blood flow observed on computed tomography (“CT”) imaging and a decrease in kidney function. If other adverse events, or other unexpected serious adverse events, occur, our clinical trials could be suspended or terminated. If we cannot demonstrate that adverse events experienced by subjects enrolled in our current and planned clinical trials were not caused by the rilparencel product candidate or procedure, the FDA or other foreign regulatory authorities could order us to cease further development of, or deny approval of, our product candidate for any or all targeted indications. Even if we are able to demonstrate that serious adverse events experienced by subjects enrolled in our current and planned clinical trials are not product-related, such occurrences could affect patient recruitment or the ability of enrolled subjects to complete the trial. Moreover, if we elect, or are required, to delay, suspend or terminate any future clinical trial of any of</w:t>
      </w:r>
    </w:p>
    <w:p>
      <w:pPr>
        <w:spacing w:after="0" w:line="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85" w:right="599" w:bottom="1440" w:gutter="0" w:footer="0" w:header="0"/>
        </w:sectPr>
      </w:pPr>
    </w:p>
    <w:bookmarkStart w:id="49" w:name="page50"/>
    <w:bookmarkEnd w:id="49"/>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68"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Furthermore, if rilparencel or any of our future product candidates is associated with undesirable effects in nonclinical studies or clinical trials or have characteristics that are unexpected, we may decide or be required to perform additional nonclinical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The FDA and other health authorities, an IRB, or an IEC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 stage testing have later been found to cause side effects that prevented further development of the product candidate.</w:t>
      </w:r>
    </w:p>
    <w:p>
      <w:pPr>
        <w:spacing w:after="0" w:line="80"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Additionally, if rilparencel or any of our future product candidates receives marketing approval, and we or others identify unacceptable side effects caused by such products, a number of potentially significant negative consequences could result, including:</w:t>
      </w:r>
    </w:p>
    <w:p>
      <w:pPr>
        <w:spacing w:after="0" w:line="162" w:lineRule="exact"/>
        <w:rPr>
          <w:sz w:val="20"/>
          <w:szCs w:val="20"/>
          <w:color w:val="auto"/>
        </w:rPr>
      </w:pPr>
    </w:p>
    <w:p>
      <w:pPr>
        <w:ind w:left="1300" w:right="500" w:hanging="465"/>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withdraw or limit approvals of such product, or seek an injunction against its manufacture or distribution;</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225" w:lineRule="exact"/>
        <w:rPr>
          <w:rFonts w:ascii="Times New Roman" w:cs="Times New Roman" w:eastAsia="Times New Roman" w:hAnsi="Times New Roman"/>
          <w:sz w:val="18"/>
          <w:szCs w:val="18"/>
          <w:color w:val="auto"/>
        </w:rPr>
      </w:pPr>
    </w:p>
    <w:p>
      <w:pPr>
        <w:ind w:left="1300" w:hanging="465"/>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nonclinical studies or clinical trials;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 from the market;</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 and</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33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agencies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 opinion and increased regulatory scrutiny of autologous cell therapy using rilparencel may adversely impact the development or commercial success of our current and future product candidates.</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clinical and commercial success of rilparencel will depend in part on public acceptance of the use of autologous cell therapy for treatment of kidney disease. Any adverse public attitudes about the use of rilparencel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72"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More restrictive government regulations or negative public opinion would have a negative effect on our business or financial condition and may delay or impair the development and commercialization of rilparencel or any of our future product candidates or demand for any products once approved. Adverse events in our or others’ clinical trials, even if not ultimately attributable to our product candidates, and the resulting publicity could result in increased governmental regulation, unfavorable public perception, potential regulatory delays in the testing or approval of rilparencel or our future product candidates, stricter labeling requirements for those product candidates that are approved and a decrease in demand for any such product candidates, all of which would have a negative impact on our business and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conducting our first Phase 3 clinical trial and may be unable to successfully complete it or any future clinical trials.</w:t>
      </w:r>
    </w:p>
    <w:p>
      <w:pPr>
        <w:spacing w:after="0" w:line="121"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The conduct of a Phase 3 clinical trial is a complicated process. Although members of our management team have conducted Phase 3 clinical trials in the past while employed at other companies, we as a company are currently conducting our first Phase 3 development program, and as a result may require more time and incur greater costs than we anticipate. Failure to include the correct treatment regimen, complete, or delays in, our Phase 3 clinical trial could prevent us from or delay us in commencing future clinical trials for rilparencel, obtaining regulatory approval of and commercializing rilparencel, which would adversely impact our</w:t>
      </w:r>
    </w:p>
    <w:p>
      <w:pPr>
        <w:spacing w:after="0" w:line="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sectPr>
      </w:pPr>
    </w:p>
    <w:bookmarkStart w:id="50" w:name="page51"/>
    <w:bookmarkEnd w:id="50"/>
    <w:p>
      <w:pPr>
        <w:ind w:right="40"/>
        <w:spacing w:after="0" w:line="282" w:lineRule="auto"/>
        <w:rPr>
          <w:sz w:val="20"/>
          <w:szCs w:val="20"/>
          <w:color w:val="auto"/>
        </w:rPr>
      </w:pPr>
      <w:r>
        <w:rPr>
          <w:rFonts w:ascii="Times New Roman" w:cs="Times New Roman" w:eastAsia="Times New Roman" w:hAnsi="Times New Roman"/>
          <w:sz w:val="18"/>
          <w:szCs w:val="18"/>
          <w:color w:val="auto"/>
        </w:rPr>
        <w:t>financial performance. In addition, some of our competitors are currently conducting clinical trials for product candidates that treat the same indications as rilparencel, and patients who are otherwise eligible for our clinical trials may instead enroll in clinical trials of our competitors’ product candidates.</w:t>
      </w:r>
    </w:p>
    <w:p>
      <w:pPr>
        <w:spacing w:after="0" w:line="26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continue to encounter difficulties enrolling patients in our clinical trials, and our clinical development activities have been and may continue to be delayed or otherwise adversely affected.</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eligible for our clinical trials with competitors which may have ongoing clinical trials for product candidates that are under development to treat the same indications as one or more of our product candidates, or may have approved products for the conditions for which we are developing our product candidates.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Clinical trials may be subject to delays as a result of patient enrollment taking longer than anticipated or greater than anticipated subject withdrawal. We may not be able to initiate or continue clinical trials for rilparencel or our future product candidates if we are unable to locate and enroll a sufficient number of eligible patients to participate in these trials as required by the FDA or foreign regulatory authorities. We cannot predict how successful we will be at enrolling subjects in future clinical trials. The enrollment of patients depends on many factors, including:</w:t>
      </w:r>
    </w:p>
    <w:p>
      <w:pPr>
        <w:spacing w:after="0" w:line="180" w:lineRule="exact"/>
        <w:rPr>
          <w:sz w:val="20"/>
          <w:szCs w:val="20"/>
          <w:color w:val="auto"/>
        </w:rPr>
      </w:pPr>
    </w:p>
    <w:p>
      <w:pPr>
        <w:ind w:left="1300" w:hanging="465"/>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and exclusion criteria defined in the protocol;</w:t>
      </w:r>
    </w:p>
    <w:p>
      <w:pPr>
        <w:spacing w:after="0" w:line="225" w:lineRule="exact"/>
        <w:rPr>
          <w:rFonts w:ascii="Times New Roman" w:cs="Times New Roman" w:eastAsia="Times New Roman" w:hAnsi="Times New Roman"/>
          <w:sz w:val="18"/>
          <w:szCs w:val="18"/>
          <w:color w:val="auto"/>
        </w:rPr>
      </w:pPr>
    </w:p>
    <w:p>
      <w:pPr>
        <w:ind w:left="1300" w:right="160" w:hanging="465"/>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demographics of the patient population required for analysis of the clinical trial’s primary endpoints and the process for identifying patients;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subjects to clinical trial sites;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1300" w:right="40" w:hanging="465"/>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product candidates’ clinical trials;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clinical trial subject informed consents; and</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subjects enrolled in clinical trials will drop out of the trials before completion.</w:t>
      </w:r>
    </w:p>
    <w:p>
      <w:pPr>
        <w:spacing w:after="0" w:line="33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For example, we are initially developing rilparencel for the treatment of patients with advanced CKD and type 2 diabetes. We have and may continue to encounter difficulties enrolling subjects in our clinical trials of rilparencel due, in part, to the stringent inclusion criteria for subjects, the novelty of the treatment modality and the fact that it involves a physically invasive procedure. In addition, our clinical trials compete with other clinical trials for product candidates that are in the same therapeutic areas as rilparencel, and this competition has and may continue to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may reduce the number of patients who are available for our clinical trials in such clinical trial site.</w:t>
      </w:r>
    </w:p>
    <w:p>
      <w:pPr>
        <w:spacing w:after="0" w:line="8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would result in significant delays and could require us to abandon one or more clinical trials altogether. Delays in patient enrollment have and may continue to result in increased costs and have and may continue to affect the timing or outcome of our future clinical trials, which could prevent completion of these trials and adversely affect our ability to advance the development of rilparencel or any of our future product candidates. Furthermore, we expect to rely on CROs and clinical trial sites to ensure the proper and timely conduct of our clinical trials and we will have limited influence over their performance.</w:t>
      </w:r>
    </w:p>
    <w:p>
      <w:pPr>
        <w:spacing w:after="0" w:line="75"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Furthermore, due to the follow-up period, lengthy study duration and the requirement for on-site visits, subjects may drop out of our clinical trials at a higher rate than we anticipate or may elect to participate in alternative clinical trials sponsored by our competitors with product candidates that treat the same indications as rilparencel and any future product candidates. Even if we are able to enroll a sufficient number of subjects for our clinical trials, we may have difficulty maintaining enrollment of such subjects in our clinical trials.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design or execution of our ongoing and future clinical trials may not support marketing approval.</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design or execution of a clinical trial can determine whether its results will support marketing approval, and flaws in the design or execution of a clinical trial may not become apparent until the clinical trial is well advanced. 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by investigators and subject to protocol requirements and the rate of dropout among clinical trial subjects. We do not know whether</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51" w:name="page52"/>
    <w:bookmarkEnd w:id="51"/>
    <w:p>
      <w:pPr>
        <w:ind w:right="80"/>
        <w:spacing w:after="0" w:line="282" w:lineRule="auto"/>
        <w:rPr>
          <w:sz w:val="20"/>
          <w:szCs w:val="20"/>
          <w:color w:val="auto"/>
        </w:rPr>
      </w:pPr>
      <w:r>
        <w:rPr>
          <w:rFonts w:ascii="Times New Roman" w:cs="Times New Roman" w:eastAsia="Times New Roman" w:hAnsi="Times New Roman"/>
          <w:sz w:val="18"/>
          <w:szCs w:val="18"/>
          <w:color w:val="auto"/>
        </w:rPr>
        <w:t>any clinical trials we conduct will demonstrate consistent or adequate efficacy and safety to obtain the marketing approvals necessary to commercialize rilparencel or any of our future product candidates.</w:t>
      </w:r>
    </w:p>
    <w:p>
      <w:pPr>
        <w:spacing w:after="0" w:line="5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Further, the FDA and comparable foreign regulatory authorities have substantial discretion in the approval process and in determining when or whether marketing approval will be obtained for rilparencel or any of our future product candidates. Rilparencel may not be approved even if it achieves its primary endpoints in our ongoing Phase 3 clinical trial or other future registrational trials. The FDA or comparable foreign regulatory authorities may disagree with our trial designs and our interpretation of data from nonclinical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which may not provide sufficient confirmatory evidence to support continued marketing approval. The FDA or comparable foreign regulatory authorities may not approve the labeling claims that we believe would be necessary or desirable for the successful commercialization of rilparencel or any of our future product candidates, if approved.</w:t>
      </w:r>
    </w:p>
    <w:p>
      <w:pPr>
        <w:spacing w:after="0" w:line="29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obtained RMAT Designation from the FDA for rilparencel, but this may not lead to a faster development or regulatory review process, and such designation does not increase the likelihood that any of our product candidates will receive marketing approval in the United States and the FDA may withdraw such designation.</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RMAT designation is intended to expedite the development and review of product candidates that are designed to treat serious or life-threatening diseases and unmet need when “preliminary clinical evidence indicates that a product candidate may demonstrate substantial improvement over existing therapies on one or more clinically significant endpoints, such as substantial treatment effects observed early in clinical development.” The designation of rilparencel with expedited designation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cell therapy program, beginning as early as Phase 1; organizational commitment involving senior managers; and eligibility for rolling review and priority review if supported by clinical data at the time of the submission of the BLA.</w:t>
      </w:r>
    </w:p>
    <w:p>
      <w:pPr>
        <w:spacing w:after="0" w:line="8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Cell and gene therapies, therapeutic tissue engineered products, human cell and tissue products, and combination products using any such therapies or products that are intended to treat, modify, reverse, or cure a serious or life-threatening disease or condition are eligible for designation by the FDA as RMATs. The RMAT designation is intended to facilitate efficient development and expedite review of regenerative medicine therapies by offering eligibility for priority review or accelerated approval, as well as early interactions with FDA to discuss any potential surrogate or intermediate endpoint to be used to support accelerated approval.</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applied for RMAT designation for rilparencel, which was granted by the FDA on October 28, 2021. As contemplated by the RMAT designation and as directed by the FDA, we requested a comprehensive, multidisciplinary Type B meeting with the FDA to review the status of preclinical and clinical development and manufacturing of rilparencel, and to discuss the planned clinical program intended to support approval of the product candidate. The FDA provided detailed written responses to our questions included in the meeting request, and the Type B meeting was held in March 2022. As a result of that meeting, we will continue to advance the clinical development program for rilparencel in the United States with the benefit of enhanced clarity as to the FDA’s expectations and requirements for a registrational program, including the design of the trials needed for approval, manufacturing assays, and comparability studies. In 2025, we had a Type B meeting with the FDA in which the FDA confirmed that the slope of eGFR in patients from the ongoing Phase 3 PROACT 1 study can serve as the surrogate endpoint and primary basis for a BLA submission of rilparencel under the accelerated approval pathway. The FDA’s input is more fully set forth under the heading “Phase 3 Clinical Development: REGEN-006 (PROACT 1)” in the section titled “</w:t>
      </w:r>
      <w:r>
        <w:rPr>
          <w:rFonts w:ascii="Times New Roman" w:cs="Times New Roman" w:eastAsia="Times New Roman" w:hAnsi="Times New Roman"/>
          <w:sz w:val="18"/>
          <w:szCs w:val="18"/>
          <w:i w:val="1"/>
          <w:iCs w:val="1"/>
          <w:color w:val="auto"/>
        </w:rPr>
        <w:t>Part I—Item 1, Business.</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Even though we obtained RMAT designation in October 2021, such a designation does not change the standards for product approval, and there is no assurance that this designation will result in expedited review or approval or that the approved indication will not be narrower than the indication covered by RMAT designation. Thus, even though RMAT designation was granted for rilparencel, we may not experience a faster development process, review or marketing approval compared to conventional FDA procedures. The FDA may withdraw RMAT designation if it believes that the product no longer meets the qualifying criteria. It is also possible that the FDA could provide further input on our trial design, in which case our timelines to completion of the clinical development of rilparencel could be delayed. Our business may be harmed if we are unable to avail ourselves of these or any other expedited development and regulatory pathways.</w:t>
      </w:r>
    </w:p>
    <w:p>
      <w:pPr>
        <w:spacing w:after="0" w:line="15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jc w:val="both"/>
        <w:ind w:right="80" w:firstLine="509"/>
        <w:spacing w:after="0" w:line="257"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such, we are only focused on the development of rilparencel for the treatment of CKD. As a result, we may forego or delay pursuit of opportunities with other product candidates or for other</w:t>
      </w:r>
    </w:p>
    <w:p>
      <w:pPr>
        <w:spacing w:after="0" w:line="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52" w:name="page53"/>
    <w:bookmarkEnd w:id="52"/>
    <w:p>
      <w:pPr>
        <w:ind w:right="180"/>
        <w:spacing w:after="0" w:line="256" w:lineRule="auto"/>
        <w:rPr>
          <w:sz w:val="20"/>
          <w:szCs w:val="20"/>
          <w:color w:val="auto"/>
        </w:rPr>
      </w:pPr>
      <w:r>
        <w:rPr>
          <w:rFonts w:ascii="Times New Roman" w:cs="Times New Roman" w:eastAsia="Times New Roman" w:hAnsi="Times New Roman"/>
          <w:sz w:val="18"/>
          <w:szCs w:val="18"/>
          <w:color w:val="auto"/>
        </w:rPr>
        <w:t>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in the future continue to conduct additional clinical trials for rilparencel outside the United States, and the FDA and similar foreign regulatory authorities may not accept data from such trials conducted in locations outside of their jurisdiction.</w:t>
      </w:r>
    </w:p>
    <w:p>
      <w:pPr>
        <w:spacing w:after="0" w:line="37"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have conducted additional clinical trials for rilparencel in the Asia-Pacific region, European Union, and Latin America, and may in the future continue to conduct clinical trials outside the United States or other foreign jurisdictions. The acceptance of data from clinical trials conducted outside the United States by the FDA may be subject to certain conditions or may be rejected.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in compliance with GCP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clinical trials would be subject to the applicable local laws of the foreign jurisdictions where the trials are conducted. There can be no assurance that the FDA or any similar foreign regulatory authority will accept data from clinical trials conducted outside of the United States or the applicable jurisdiction. If the FDA or any similar foreign regulatory authority does not accept such data, it would result in the need for additional clinical trials, which would be costly and time-consuming and delay aspects of our business plan, and which may result in rilparencel not receiving approval or clearance for commercialization in the applicable jurisdiction.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in the future.</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research programs may initially show promise in identifying potential product candidates, yet fail to yield product candidates for clinical development for a number of reasons, including:</w:t>
      </w:r>
    </w:p>
    <w:p>
      <w:pPr>
        <w:spacing w:after="0" w:line="162" w:lineRule="exact"/>
        <w:rPr>
          <w:sz w:val="20"/>
          <w:szCs w:val="20"/>
          <w:color w:val="auto"/>
        </w:rPr>
      </w:pPr>
    </w:p>
    <w:p>
      <w:pPr>
        <w:ind w:left="1300" w:hanging="465"/>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design such product candidates with the pharmacological properties that we desire or attractive pharmacokinetics;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design and develop a suitable manufacturing process; or</w:t>
      </w:r>
    </w:p>
    <w:p>
      <w:pPr>
        <w:spacing w:after="0" w:line="225" w:lineRule="exact"/>
        <w:rPr>
          <w:rFonts w:ascii="Times New Roman" w:cs="Times New Roman" w:eastAsia="Times New Roman" w:hAnsi="Times New Roman"/>
          <w:sz w:val="18"/>
          <w:szCs w:val="18"/>
          <w:color w:val="auto"/>
        </w:rPr>
      </w:pPr>
    </w:p>
    <w:p>
      <w:pPr>
        <w:ind w:left="1300" w:hanging="465"/>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270"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Research programs to identify new product candidates require substantial technical, financial and human resources. If we are unable to identify suitable compounds for clinical development, we will not be able to obtain product revenue in future periods, which likely would result in significant harm to our financial position.</w:t>
      </w:r>
    </w:p>
    <w:p>
      <w:pPr>
        <w:spacing w:after="0" w:line="280"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5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may seek to accelerate our development timelines, including by initiating certain clinical trials of rilparencel or our future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81"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ever be able to identify additional therapeutic opportunities for rilparencel or our future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0" w:right="539" w:bottom="1440" w:gutter="0" w:footer="0" w:header="0"/>
        </w:sectPr>
      </w:pPr>
    </w:p>
    <w:bookmarkStart w:id="53" w:name="page54"/>
    <w:bookmarkEnd w:id="53"/>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products may be delayed or never achieved.</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rilparencel or any of our future product candidates.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Rilparencel and Our Future Product Candidates</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Cell therapies are complex and difficult to manufacture, and we have experienced and may continue to experience manufacturing problems that result in delays in the development or commercialization of rilparencel, our lead product candidate, or otherwise harm our business.</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manufacture of cell therapy products is technically complex and necessitates substantial expertise and capital investment. Production difficulties caused by unforeseen events may delay the availability of material for our clinical trials. Further, we are not aware of any other cell therapy that has been manufactured for a market of the anticipated size for rilparencel. If rilparencel is approved for commercial sale, as to which no assurance can be given, we may be unable to meet market demand for the product in a timely manner due to the complex processes that are involved in its manufacturing.</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Additionally, all entities involved in the preparation of therapeutics for clinical trials or commercial sale are subject to extensive cGMP, state and federal regulations, as well as foreign requirements when applicable. An audit in 2023 by the Company’s contracted Qualified Person (QP) to evaluate our readiness for release and distribution of rilparencel in the EU identified certain deficiencies in the documentation of the quality management systems to be addressed prior to release and distribution of product for EU clinical sites. Manufacturing was subsequently paused while we optimized our capabilities to meet EU and global standards for our Phase 3 program. Of note, no safety events necessitated this pause. After undergoing a thorough remediation process in the first half of 2024, we resumed manufacturing for U.S. and non-European clinical study sites in June 2024, and in July 2024, we received the Qualified Person (QP) Declaration of Equivalence to European Union Good Manufacturing Practice (GMP) standards.</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Components of a finished therapeutic product approved for commercial sale or used in late-stage clinical trials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rilparencel that may not be detectable in final product testing. We must supply all necessary documentation in support of a BLA on a timely basis. Our facilities and quality systems, including those of any third parties we contract with to manufacture any critical component of the final product, must pass a pre-approval inspection for compliance with the applicable regulations as a condition of regulatory approval of rilparencel or any of our other potential products. In addition, the FDA and other regulatory authorities may, at any time, audit or inspect a manufacturing facility involved with the preparation of rilparencel or our other potential products or the associated quality systems for compliance with the regulations applicable to the activities being conducted at such facilities, and they could put a hold on one or more of our clinical trials if our facilities, or those of our contracted third parties, do not pass such audits or inspections. If such facilities do not pass a pre-approval plant inspection, FDA approval of the products will not be granted. Any failure to adhere to or document compliance with such regulatory requirements could lead to a delay or interruption in the availability of rilparencel for clinical trials or enforcement action from the FDA or foreign regulatory authorities. If we or our suppliers were to fail to comply with the requirements of the FDA or other regulatory authority, it could result in regulatory actions or sanctions being imposed on us, including the issuance of Form FDA 483 notices of inspectional observations, warning letters or untitled letters,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rilparencel. Our potential future dependence upon others for the manufacture of rilparencel may also adversely affect our future profit margins and our ability to commercialize rilparencel or any future product candidates that receive regulatory approval on a timely and competitive basis.</w:t>
      </w:r>
    </w:p>
    <w:p>
      <w:pPr>
        <w:spacing w:after="0" w:line="8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Biological products are inherently difficult to manufacture. Rilparencel is manufactured using technically complex processes requiring specialized equipment and facilities, highly specific raw materials, autologous cells collected from patients, and reagents, and the process involves various production constraints. Even though we aim to have backup supplies of raw materials and reagents whenever possible, we cannot be certain they will be sufficient if our primary sources are unavailable. A shortage of a critical raw material or reagent, or a technical issue during manufacturing may lead to delays in clinical development or commercialization</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sectPr>
      </w:pPr>
    </w:p>
    <w:bookmarkStart w:id="54" w:name="page55"/>
    <w:bookmarkEnd w:id="54"/>
    <w:p>
      <w:pPr>
        <w:ind w:right="840"/>
        <w:spacing w:after="0" w:line="282" w:lineRule="auto"/>
        <w:rPr>
          <w:sz w:val="20"/>
          <w:szCs w:val="20"/>
          <w:color w:val="auto"/>
        </w:rPr>
      </w:pPr>
      <w:r>
        <w:rPr>
          <w:rFonts w:ascii="Times New Roman" w:cs="Times New Roman" w:eastAsia="Times New Roman" w:hAnsi="Times New Roman"/>
          <w:sz w:val="18"/>
          <w:szCs w:val="18"/>
          <w:color w:val="auto"/>
        </w:rPr>
        <w:t>plans. Any changes in the manufacturing of components of the raw materials we use could result in unanticipated or unfavorable effects in our manufacturing processes, resulting in delays.</w:t>
      </w:r>
    </w:p>
    <w:p>
      <w:pPr>
        <w:spacing w:after="0" w:line="54"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Delays or failures in the manufacture of cell therapies can result in a patient being unable to receive their cell therapy or a requirement to re-manufacture which itself then causes delays in manufacture for other patients. Any delay or failure or inability to manufacture on a timely basis can adversely affect a patient’s outcomes and delay the timelines for our clinical trials. Such delays or failure or inability to manufacture can result from:</w:t>
      </w:r>
    </w:p>
    <w:p>
      <w:pPr>
        <w:spacing w:after="0" w:line="176" w:lineRule="exact"/>
        <w:rPr>
          <w:sz w:val="20"/>
          <w:szCs w:val="20"/>
          <w:color w:val="auto"/>
        </w:rPr>
      </w:pPr>
    </w:p>
    <w:p>
      <w:pPr>
        <w:jc w:val="both"/>
        <w:ind w:left="1300" w:right="80" w:hanging="465"/>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manufacturing process itself, for example by an error in manufacturing equipment or reagent failure, failure in any step of the manufacturing process, failure to maintain a cGMP environment or failure in quality systems applicable to manufacture, sterility failures, or contamination during process;</w:t>
      </w:r>
    </w:p>
    <w:p>
      <w:pPr>
        <w:spacing w:after="0" w:line="175" w:lineRule="exact"/>
        <w:rPr>
          <w:rFonts w:ascii="Times New Roman" w:cs="Times New Roman" w:eastAsia="Times New Roman" w:hAnsi="Times New Roman"/>
          <w:sz w:val="18"/>
          <w:szCs w:val="18"/>
          <w:color w:val="auto"/>
        </w:rPr>
      </w:pPr>
    </w:p>
    <w:p>
      <w:pPr>
        <w:ind w:left="1300" w:hanging="465"/>
        <w:spacing w:after="0" w:line="261"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loss or failure due to logistical issues associated with the collection of a patient’s autologous cells or other samples, shipping that material to analytical laboratories, and shipping the final cell therapy back to the location using cold chain distribution where it will be administered to the patient, manufacturing issues associated with the differences in patient starting materials, inconsistency in cell growth and variability in product characteristics;</w:t>
      </w:r>
    </w:p>
    <w:p>
      <w:pPr>
        <w:spacing w:after="0" w:line="179" w:lineRule="exact"/>
        <w:rPr>
          <w:rFonts w:ascii="Times New Roman" w:cs="Times New Roman" w:eastAsia="Times New Roman" w:hAnsi="Times New Roman"/>
          <w:sz w:val="18"/>
          <w:szCs w:val="18"/>
          <w:color w:val="auto"/>
        </w:rPr>
      </w:pPr>
    </w:p>
    <w:p>
      <w:pPr>
        <w:ind w:left="1300" w:right="80" w:hanging="465"/>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reliability or reproducibility in the manufacturing process itself, leading to variability in end manufacture of the cell therapy, which may lead to regulatory authorities placing a hold on a clinical trial or requesting further information on the process, which could in turn result in delays to the clinical trials;</w:t>
      </w:r>
    </w:p>
    <w:p>
      <w:pPr>
        <w:spacing w:after="0" w:line="175" w:lineRule="exact"/>
        <w:rPr>
          <w:rFonts w:ascii="Times New Roman" w:cs="Times New Roman" w:eastAsia="Times New Roman" w:hAnsi="Times New Roman"/>
          <w:sz w:val="18"/>
          <w:szCs w:val="18"/>
          <w:color w:val="auto"/>
        </w:rPr>
      </w:pPr>
    </w:p>
    <w:p>
      <w:pPr>
        <w:ind w:left="1300" w:right="360" w:hanging="465"/>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loss or failure due to logistical issues including issues associated with the differences between patients’ autologous cells or characteristics, interruptions to process, contamination, failure to supply patient apheresis material within required timescales (for example, as a result of an import or export hold-up) or supplier error;</w:t>
      </w:r>
    </w:p>
    <w:p>
      <w:pPr>
        <w:spacing w:after="0" w:line="17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have enough manufacturing slots to manufacture cell therapies for patients as and when those patients require manufacture;</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starting materials or to manufacture starting materials;</w:t>
      </w:r>
    </w:p>
    <w:p>
      <w:pPr>
        <w:spacing w:after="0" w:line="225" w:lineRule="exact"/>
        <w:rPr>
          <w:rFonts w:ascii="Times New Roman" w:cs="Times New Roman" w:eastAsia="Times New Roman" w:hAnsi="Times New Roman"/>
          <w:sz w:val="18"/>
          <w:szCs w:val="18"/>
          <w:color w:val="auto"/>
        </w:rPr>
      </w:pPr>
    </w:p>
    <w:p>
      <w:pPr>
        <w:ind w:left="1300" w:right="40" w:hanging="465"/>
        <w:spacing w:after="0" w:line="261"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our supply chain, which may require us to find an alternative manufacturer or supplier for one or more components that we need in the manufacture of rilparencel, which would in turn require such manufacturer or supplier to be qualified through a BLA supplement, could lead the regulatory agencies to require additional studies if a new manufacturer is relied upon for commercial production, and may involve substantial costs and delays related to switching manufacturers;</w:t>
      </w:r>
    </w:p>
    <w:p>
      <w:pPr>
        <w:spacing w:after="0" w:line="179" w:lineRule="exact"/>
        <w:rPr>
          <w:rFonts w:ascii="Times New Roman" w:cs="Times New Roman" w:eastAsia="Times New Roman" w:hAnsi="Times New Roman"/>
          <w:sz w:val="18"/>
          <w:szCs w:val="18"/>
          <w:color w:val="auto"/>
        </w:rPr>
      </w:pPr>
    </w:p>
    <w:p>
      <w:pPr>
        <w:ind w:left="1300" w:right="380" w:hanging="465"/>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close-down of any manufacturing facility used in the manufacture of our cell therapies, or the inability to find alternative manufacturing capability in a timely fashion;</w:t>
      </w:r>
    </w:p>
    <w:p>
      <w:pPr>
        <w:spacing w:after="0" w:line="161" w:lineRule="exact"/>
        <w:rPr>
          <w:rFonts w:ascii="Times New Roman" w:cs="Times New Roman" w:eastAsia="Times New Roman" w:hAnsi="Times New Roman"/>
          <w:sz w:val="18"/>
          <w:szCs w:val="18"/>
          <w:color w:val="auto"/>
        </w:rPr>
      </w:pPr>
    </w:p>
    <w:p>
      <w:pPr>
        <w:ind w:left="1300" w:right="900" w:hanging="465"/>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contamination of patient starting material, requiring the starting material to be obtained again from the patient or the manufacturing process to be re-started; and</w:t>
      </w:r>
    </w:p>
    <w:p>
      <w:pPr>
        <w:spacing w:after="0" w:line="161" w:lineRule="exact"/>
        <w:rPr>
          <w:rFonts w:ascii="Times New Roman" w:cs="Times New Roman" w:eastAsia="Times New Roman" w:hAnsi="Times New Roman"/>
          <w:sz w:val="18"/>
          <w:szCs w:val="18"/>
          <w:color w:val="auto"/>
        </w:rPr>
      </w:pPr>
    </w:p>
    <w:p>
      <w:pPr>
        <w:jc w:val="both"/>
        <w:ind w:left="1300" w:right="120" w:hanging="465"/>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modify or make changes to any manufacturing process, which may also require comparability testing that delays our ability to make the required modifications or perform any required comparability testing in a timely fashion, require further regulatory approval or require successful tech transfer to CDMOs to continue manufacturing.</w:t>
      </w:r>
    </w:p>
    <w:p>
      <w:pPr>
        <w:spacing w:after="0" w:line="28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rilparencel, cause us to incur higher costs and prevent us from commercializing rilparencel successfully, if approved.</w:t>
      </w:r>
    </w:p>
    <w:p>
      <w:pPr>
        <w:spacing w:after="0" w:line="54"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We intend to improve bioprocess development to reduce manufacturing costs of the commercial rilparencel product, assuming receipt of necessary regulatory approvals. Culture media represents the highest cost in rilparencel processing, and we are exploring reduced culture media usage via bioprocess and automation improvements. Further, our final commercial rilparencel product is planned to be a cryopreserved formulation, which is projected to reduce manufacturing costs compared to our fresh rilparencel formulation. We expect to leverage bulk purchasing to actively negotiate pricing of materials to further drive cost reductions. However, there can be no assurance that we will be able to lower the manufacturing costs for rilparencel when we manufacture it at commercial scale. A number of factors may contribute to an inability to achieve these cost reductions, including any failures to achieve the automation efficiencies that we anticipate, cost overruns or inefficiencies in the supply chain, and any failure to improve the formulation or bioprocessing of rilparencel in a manner that results in lower costs.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our own manufacturing capabilities, which may result in increased costs being incurred by us.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manufacturing facility for rilparencel is within our Winston-Salem, North Carolina facility, and this facility currently manufactures SRC for use in our clinical trials. Regulatory authorities, in particular the FDA, might not continue to approve our ability to manufacture SRC or other cell therapies at the Winston-Salem facility.</w:t>
      </w:r>
    </w:p>
    <w:p>
      <w:pPr>
        <w:spacing w:after="0" w:line="6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Our ability to successfully manufacture our own cell therapies at the Winston-Salem facility within a reasonable period of time and within currently projected costs is dependent on a number of factors, including:</w:t>
      </w:r>
    </w:p>
    <w:p>
      <w:pPr>
        <w:spacing w:after="0" w:line="162" w:lineRule="exact"/>
        <w:rPr>
          <w:sz w:val="20"/>
          <w:szCs w:val="20"/>
          <w:color w:val="auto"/>
        </w:rPr>
      </w:pPr>
    </w:p>
    <w:p>
      <w:pPr>
        <w:ind w:left="1300" w:right="780" w:hanging="465"/>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the required employees at a suitable level and experience and within required timescales and to maintain employment of such required employees;</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717" w:gutter="0" w:footer="0" w:header="0"/>
        </w:sectPr>
      </w:pPr>
    </w:p>
    <w:bookmarkStart w:id="55" w:name="page56"/>
    <w:bookmarkEnd w:id="55"/>
    <w:p>
      <w:pPr>
        <w:ind w:left="1300" w:right="120" w:hanging="465"/>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the facility and for the manufacture of cell therapies at the facility and to satisfy regulatory authorities on an ongoing basis;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cell therapies reliably and reproducibly and to timescales sufficient to support required patient administration;</w:t>
      </w:r>
    </w:p>
    <w:p>
      <w:pPr>
        <w:spacing w:after="0" w:line="225" w:lineRule="exact"/>
        <w:rPr>
          <w:rFonts w:ascii="Times New Roman" w:cs="Times New Roman" w:eastAsia="Times New Roman" w:hAnsi="Times New Roman"/>
          <w:sz w:val="18"/>
          <w:szCs w:val="18"/>
          <w:color w:val="auto"/>
        </w:rPr>
      </w:pPr>
    </w:p>
    <w:p>
      <w:pPr>
        <w:ind w:left="1300" w:hanging="465"/>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cell therapies in compliance with the applicable regulatory requirements, including requirements applicable in both the United States and the European Union, including cGMP, enforced by the FDA and state regulatory authorities;</w:t>
      </w:r>
    </w:p>
    <w:p>
      <w:pPr>
        <w:spacing w:after="0" w:line="161" w:lineRule="exact"/>
        <w:rPr>
          <w:rFonts w:ascii="Times New Roman" w:cs="Times New Roman" w:eastAsia="Times New Roman" w:hAnsi="Times New Roman"/>
          <w:sz w:val="18"/>
          <w:szCs w:val="18"/>
          <w:color w:val="auto"/>
        </w:rPr>
      </w:pPr>
    </w:p>
    <w:p>
      <w:pPr>
        <w:ind w:left="1300" w:right="640" w:hanging="465"/>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internal quality controls and processes sufficient to enable manufacture and supply of cell therapies at our Winston-Salem facility;</w:t>
      </w:r>
    </w:p>
    <w:p>
      <w:pPr>
        <w:spacing w:after="0" w:line="161" w:lineRule="exact"/>
        <w:rPr>
          <w:rFonts w:ascii="Times New Roman" w:cs="Times New Roman" w:eastAsia="Times New Roman" w:hAnsi="Times New Roman"/>
          <w:sz w:val="18"/>
          <w:szCs w:val="18"/>
          <w:color w:val="auto"/>
        </w:rPr>
      </w:pPr>
    </w:p>
    <w:p>
      <w:pPr>
        <w:ind w:left="1300" w:right="40" w:hanging="465"/>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comparability with currently used manufacturing processes and for such comparability data to be accepted by the appropriate regulatory authorities; and</w:t>
      </w:r>
    </w:p>
    <w:p>
      <w:pPr>
        <w:spacing w:after="0" w:line="161" w:lineRule="exact"/>
        <w:rPr>
          <w:rFonts w:ascii="Times New Roman" w:cs="Times New Roman" w:eastAsia="Times New Roman" w:hAnsi="Times New Roman"/>
          <w:sz w:val="18"/>
          <w:szCs w:val="18"/>
          <w:color w:val="auto"/>
        </w:rPr>
      </w:pPr>
    </w:p>
    <w:p>
      <w:pPr>
        <w:ind w:left="1300" w:right="260" w:hanging="465"/>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ongoing development, including equipment requirements necessary for successful manufacture of cell therapies at our facility.</w:t>
      </w:r>
    </w:p>
    <w:p>
      <w:pPr>
        <w:spacing w:after="0" w:line="270"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Any further delay or failure in manufacture at our facility could result in delays to the supply of cell therapies for our clinical trials. Should we become unable to produce cell therapies for use in our clinical trials or be unable to produce cell therapies at the required level, then we will be unable to support such clinical trials until alternative manufacturing capability is secured.</w:t>
      </w:r>
    </w:p>
    <w:p>
      <w:pPr>
        <w:spacing w:after="0" w:line="280"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 development and manufacturing organizations have a finite cell manufacturing capacity, which could inhibit the long-term growth prospects of our business.</w:t>
      </w:r>
    </w:p>
    <w:p>
      <w:pPr>
        <w:spacing w:after="0" w:line="51"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We currently produce materials for our clinical trials at our facility in Winston-Salem, North Carolina. It is possible that the demand for our products could exceed existing manufacturing capacity. We expect that, as our own cell therapy development programs progress and demand for cell therapy services in the industry expand, it may become necessary or desirable for us to expand our manufacturing vendors for cell therapy services and products in the future, which may require us to invest significant amounts of capital and to obtain regulatory approvals. If manufacturers are unable to meet our rising demand for products and services on a timely basis or unable to maintain cGMP/cGTP compliance standards, then it is likely that the progress of our own programs will be impaired which could materially and adversely affect the overall success of our development programs.</w:t>
      </w:r>
    </w:p>
    <w:p>
      <w:pPr>
        <w:spacing w:after="0" w:line="7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Components of therapeutic products approved for commercial sale or used in late-stage clinical trials must be manufactured in accordance with cGMPs and manufacturers of cell-based product candidates must comply with cGTPs. In addition, manufacturers of therapeutic products may be required to modify their manufacturing processes from time to time in response to regulatory requests. The manufacture of live cellular-based products is complex and imposes significant regulatory burdens that may change over time. We may encounter difficulties in the production of our product candidates due to our limited manufacturing experience.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autologous cell therapy products are patient-specific, and we need to ensure that the correct product is administered to the correct patient.</w:t>
      </w:r>
    </w:p>
    <w:p>
      <w:pPr>
        <w:spacing w:after="0" w:line="121" w:lineRule="exact"/>
        <w:rPr>
          <w:sz w:val="20"/>
          <w:szCs w:val="20"/>
          <w:color w:val="auto"/>
        </w:rPr>
      </w:pPr>
    </w:p>
    <w:p>
      <w:pPr>
        <w:ind w:right="180" w:firstLine="509"/>
        <w:spacing w:after="0" w:line="251" w:lineRule="auto"/>
        <w:rPr>
          <w:sz w:val="20"/>
          <w:szCs w:val="20"/>
          <w:color w:val="auto"/>
        </w:rPr>
      </w:pPr>
      <w:r>
        <w:rPr>
          <w:rFonts w:ascii="Times New Roman" w:cs="Times New Roman" w:eastAsia="Times New Roman" w:hAnsi="Times New Roman"/>
          <w:sz w:val="18"/>
          <w:szCs w:val="18"/>
          <w:color w:val="auto"/>
        </w:rPr>
        <w:t>Administration of autologous cell therapies is patient-specific and personalized medicine. The process requires careful handling of patient-specific products and fail-safe tracking to ensure that the tracking process is without error and that patient samples are tracked from patient collection, through manufacturing and re-administration to the same patient. While such mechanisms are in place, should the tracking process fail, whether at our own facility, a third-party facility or at any point in the manufacturing process and supply chain, a patient could receive another patient’s SRC, resulting in significant toxicity and potentially patient fatality. We will need to invest in enhanced systems, such as bar coding and electronic chain of identity and chain of custody systems to further ensure fail-safe tracking. There is always a risk of a failure in any such system. Inability to develop or adopt an acceptable fail-safe tracking methodology and handling regime may delay or prevent us from receiving regulatory approval and/or result in significant toxicity and potentially patient fatality if a patient receives another patient’s SRC. This risk may be increased where autologous cell therapies are used in clinical trials that we do not control or sponsor and, should an error be made in the administration of our autologous cell therapies in such clinical trials, this could affect the steps required in our own clinical trials and manufacturing process requiring the addition of further tracking mechanisms to ensure fail-safe tracking. The tracking systems required to further ensure safe patient administration may also require enhanced procedures and administration to satisfy other regulatory requirements, for example, data protection requirements in Europe. The need to ensure tracking systems are adequate and to comply with these additional regulatory requirements may result in delay to the start of clinical trials or the need to obtain additional regulatory licenses or consents prior to starting such trials.</w:t>
      </w:r>
    </w:p>
    <w:p>
      <w:pPr>
        <w:spacing w:after="0" w:line="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bookmarkStart w:id="56" w:name="page57"/>
    <w:bookmarkEnd w:id="56"/>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Delays in obtaining regulatory approval of the manufacturing process and facility to produce rilparencel or disruptions in the manufacturing process may delay or disrupt our commercialization efforts. Very few cGMP cell therapy manufacturing facilities in the United States have received approval from the FDA for the manufacture of an approved cell therapy product.</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Before we can begin to commercially manufacture rilparencel or any of our future product candidates, we must obtain regulatory approval from the FDA for our manufacturing processes and for the facility in which manufacturing is performed. Very few cGMP cell therapy manufacturing facilities in the United States have received approval from the FDA for the manufacture of an approved cell therapy product and, therefore, the timeframe required for us to obtain regulatory approval for our product candidates is uncertain. In addition, we must pass a pre-approval inspection of the manufacturing facility, including any facilities that produce any component of rilparencel, by the FDA and other relevant regulatory authorities before rilparencel or any of our future cell therapy product candidates can obtain marketing approval.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86"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order to obtain approval, we will need to ensure that all of our processes, quality systems, methods, equipment, policies and procedures are compliant with cGMP and other applicable regulations, and perform extensive audits of vendors, contract laboratories, and suppliers. If any of our vendors, contract laboratories, or suppliers is found to be out of compliance with cGMP or other applicable regulations relating to rilparencel, we may experience delays or disruptions in manufacturing while we work with such third parties to remedy the violation or while we work to identify suitable replacement vendors. The cGMP requirements govern, among other things, quality control of the manufacturing process and documentation policies and procedures. In complying with cGMP regulations, we will be obligated to spend time, money and effort in production, record keeping and quality control to assure that the product meets applicable specifications and other requirements. If we fail to comply with these requirements, we may be subject to regulatory enforcement actions or other legal sanctions and may not be permitted to sell any products that we may develop.</w:t>
      </w:r>
    </w:p>
    <w:p>
      <w:pPr>
        <w:spacing w:after="0" w:line="8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experience as a company managing a complex supply chain or satisfying manufacturing-related regulatory requirements.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FDA and other foreign regulatory authorities may require us to submit samples of any lot of any approved product together with the protocols showing the results of applicable lot release tests at any time. Under some circumstances, the FDA or other foreign regulatory authorities may require that we not distribute a product lot until the relevant agency authorizes its release. Slight deviations in the manufacturing process, including those affecting quality attributes and stability, may result in unacceptable changes in a cell therapy product that could lead to lot failures or product recalls. Lot failures or product recalls could cause us to delay product launches or clinical trials, which could be costly to us and otherwise harm our business, financial condition, results of operations and prospects. Problems in our manufacturing processes could restrict our ability to meet market demand for our products.</w:t>
      </w:r>
    </w:p>
    <w:p>
      <w:pPr>
        <w:spacing w:after="0" w:line="29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Managing an autologous ex vivo cell therapy supply chain is highly complex. We must identify, engage, and coordinate with treatment centers where patients’ cellular source material must be collected, prepared and transported to the manufacturing facility and the cryopreserved therapeutic product must be returned to the treatment center for administration to the patient using vapor phase liquid nitrogen shipping containers. Additionally, we are dependent on highly specialized vendors to provide raw materials and components for our manufacturing process.</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Once collected from the patient, the cellular source material must be prepared and stored according to specified procedures. While we intend to standardize the processes at treatment centers, if there is a deviation of the processes, the cellular source material from a patient could be adversely impacted and potentially result in manufacturing failures. The patient’s cellular materials must be transported to the manufacturing facility using a shipping container that maintains the material at a sufficiently cold temperature and must typically be delivered and processed within four days of collection. While we intend to use reputable couriers and agents for the transport of such materials, if the shipping container is opened or damaged such that the appropriate storage/shipping temperature is not maintained, the cellular source material may be adversely impacted and it may not be feasible to manufacture a cell therapy product for the patient. Similarly, if a shipment is delayed due to adverse weather, misrouting, being held up at a customs point or other events, the cellular source material may not be delivered within a time window that will allow for its use for the successful manufacture of a cell therapy product.</w:t>
      </w:r>
    </w:p>
    <w:p>
      <w:pPr>
        <w:spacing w:after="0" w:line="8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Similarly, the patient’s autologous cell therapy product must be returned to the clinical site for administration to the patient using a specialized shipping container that maintains the material at a very low temperature. While we intend to use reputable</w:t>
      </w:r>
    </w:p>
    <w:p>
      <w:pPr>
        <w:jc w:val="center"/>
        <w:ind w:right="-2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sectPr>
      </w:pPr>
    </w:p>
    <w:bookmarkStart w:id="57" w:name="page58"/>
    <w:bookmarkEnd w:id="57"/>
    <w:p>
      <w:pPr>
        <w:spacing w:after="0" w:line="258" w:lineRule="auto"/>
        <w:rPr>
          <w:sz w:val="20"/>
          <w:szCs w:val="20"/>
          <w:color w:val="auto"/>
        </w:rPr>
      </w:pPr>
      <w:r>
        <w:rPr>
          <w:rFonts w:ascii="Times New Roman" w:cs="Times New Roman" w:eastAsia="Times New Roman" w:hAnsi="Times New Roman"/>
          <w:sz w:val="18"/>
          <w:szCs w:val="18"/>
          <w:color w:val="auto"/>
        </w:rPr>
        <w:t>couriers and agents for the transport of our products, if the shipping container is opened or damaged such that the very low temperature is not maintained, the cell therapy product may be adversely impacted and it may not be feasible to administer it to the patient or, if administered, it could cause harm to the patient. Similarly, if a shipment is delayed due to adverse weather, misrouting, being held up at a customs point or other events, and is not delivered to the clinical site within the time period that the very low temperature is maintained, the cell therapy product may be adversely affected and be unable to be administered or, if administered, could cause harm to the patient.</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may be delayed or unable to identify, engage, successfully coordinate with or qualify treatment centers in the regions we are targeting as part of our commercial launch strategy, which could delay or prevent patients from receiving cell therapy treatments, if approved. If our treatment centers fail to perform satisfactorily, we may suffer reputational, operational, and business harm.</w:t>
      </w:r>
    </w:p>
    <w:p>
      <w:pPr>
        <w:spacing w:after="0" w:line="6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Any of the above events, should they happen, could adversely affect our development timelines and our business, financial condition, results of operations and prospects.</w:t>
      </w:r>
    </w:p>
    <w:p>
      <w:pPr>
        <w:spacing w:after="0" w:line="26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materials that are necessary for the conduct of clinical trials of rilparencel, our lead product candidate, and the loss of these third-party suppliers or their inability to supply us with sufficient quantities of adequate materials, or to do so at acceptable quality levels and on a timely basis, could harm our business.</w:t>
      </w:r>
    </w:p>
    <w:p>
      <w:pPr>
        <w:spacing w:after="0" w:line="67"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Manufacturing rilparencel, our lead product candidate,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rilparencel.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or interruption in receiving key materials and equipment to support clinical or commercial manufacturing. Any significant delay or interruption in the supply of components or sub-assemblies, or our inability to obtain substitute components, sub-assemblies or materials from alternate sources at acceptable prices in a timely manner, could impair our ability to meet the demand of our customers and harm our business.</w:t>
      </w:r>
    </w:p>
    <w:p>
      <w:pPr>
        <w:spacing w:after="0" w:line="6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some of these reagents, equipment, and materials, we rely and may in the future rely on sole source vendors or a limited number of vendors. The supply of the reagents and other specialty materials and equipment that are necessary to produce rilparencel could be reduced or interrupted at any time. In such case, identifying and engaging an alternative supplier could result in delay, and we may not be able to find other acceptable suppliers on acceptable terms, or at all. Switching suppliers may involve substantial costs and is likely to result in a delay in our desired clinical and commercial timelines. If we change suppliers for commercial production, applicable regulatory agencies may require us to conduct additional studies or trials. If key suppliers are lost, or if the supply of the materials is diminished or discontinued, we may not be able to develop, manufacture and market rilparencel in a timely and competitive manner, or at all. An inability to continue to source products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rilparencel, which could adversely and materially affect our product sales and operating results or our ability to conduct clinical trials, either of which could significantly harm our business.</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or equipment on commercially reasonable terms, or at all, and if we are unable to alter our process in a commercially viable manner to avoid the use of such materials or equipment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development, the change may require us to perform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comparability studies and to collect additional data from subjects prior to undertaking more advanced clinical trials. These factors could cause the delay of nonclinical studies or clinical trials, regulatory submissions, required approvals or commercialization of rilparencel or future product candidates that we develop, cause us to incur higher costs and prevent us from commercializing our product candidates successfully.</w:t>
      </w:r>
    </w:p>
    <w:p>
      <w:pPr>
        <w:spacing w:after="0" w:line="29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microbial contamination in the manufacturing process for our cell-based product, shortages of raw materials or failure of any of our key suppliers to deliver necessary components could result in delays in our clinical development or marketing schedules.</w:t>
      </w:r>
    </w:p>
    <w:p>
      <w:pPr>
        <w:spacing w:after="0" w:line="51" w:lineRule="exact"/>
        <w:rPr>
          <w:sz w:val="20"/>
          <w:szCs w:val="20"/>
          <w:color w:val="auto"/>
        </w:rPr>
      </w:pPr>
    </w:p>
    <w:p>
      <w:pPr>
        <w:jc w:val="both"/>
        <w:ind w:right="180" w:firstLine="509"/>
        <w:spacing w:after="0" w:line="257" w:lineRule="auto"/>
        <w:rPr>
          <w:sz w:val="20"/>
          <w:szCs w:val="20"/>
          <w:color w:val="auto"/>
        </w:rPr>
      </w:pPr>
      <w:r>
        <w:rPr>
          <w:rFonts w:ascii="Times New Roman" w:cs="Times New Roman" w:eastAsia="Times New Roman" w:hAnsi="Times New Roman"/>
          <w:sz w:val="18"/>
          <w:szCs w:val="18"/>
          <w:color w:val="auto"/>
        </w:rPr>
        <w:t>Given the nature of cell product manufacturing, there is a risk of microbial contamination. Any microbial contamination could adversely affect our ability to produce, release or administer our cell therapies on schedule and could, therefore, harm our results of operations and cause reputational damage.</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58" w:name="page59"/>
    <w:bookmarkEnd w:id="58"/>
    <w:p>
      <w:pPr>
        <w:ind w:firstLine="509"/>
        <w:spacing w:after="0" w:line="261" w:lineRule="auto"/>
        <w:rPr>
          <w:sz w:val="20"/>
          <w:szCs w:val="20"/>
          <w:color w:val="auto"/>
        </w:rPr>
      </w:pPr>
      <w:r>
        <w:rPr>
          <w:rFonts w:ascii="Times New Roman" w:cs="Times New Roman" w:eastAsia="Times New Roman" w:hAnsi="Times New Roman"/>
          <w:sz w:val="18"/>
          <w:szCs w:val="18"/>
          <w:color w:val="auto"/>
        </w:rPr>
        <w:t>Some of the raw materials required in our manufacturing processes are derived from biologic sources. Such raw materials are difficult to procure and may be subject to contamination or recall. A material shortage, contamination, recall or restriction on the use of biologically derived substances in the manufacture of rilparencel could adversely impact or disrupt the commercial manufacturing or the production of clinical material, which could adversely affect our development timelines and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Rilparencel requires cryopreservation with specific storage, handling and administration at the clinical sites.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Rilparencel requires cryopreservation and must be stored at very low temperatures in specialized liquid nitrogen tanks or specialized shipping containers until immediately prior to use. For administration, the cryopreserved product must be carefully removed from storage, rapidly thawed under controlled temperature conditions in an area proximal to the patient’s bedside and immediately administered to the patient. The handling, thawing and administration of the cryopreserved cell therapy product must be performed according to specific instructions, typically using specific disposables, and some steps must be completed within specific time periods. Failure to correctly handle the product, follow the instructions for thawing and administration and or failure to administer the product within the specified period post-thaw could negatively impact the efficacy and or safety of the product.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clinical trials to marketing approval and commercialization, various aspects of the development program, such as manufacturing methods and the product’s formulation, may be altered along the way in an effort to optimize yield, manufacturing batch size, minimize costs and achieve consistent quality and results. These changes carry the risk that they will not achieve their intended objectives. Any of these changes could cause rilparencel or any of our future product candidates to perform differently and affect the results of planned clinical trials or other future clinical trials conducted with the altered materials. This could delay completion of our ongoing or planned clinical trials, require us to perform bridging clinical trials or repeat one or more clinical trials, increase clinical trial costs, delay any potential approval of rilparencel or any of our future product candidates and jeopardize our ability to commercialize rilparencel or any of our future product candidates and generate revenue.</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there are risks associated with process development and large-scale manufacturing for clinical trials or commercial distribution including, among others, cost overruns, potential problems with process scale-up, process reproducibility, stability issues, compliance with cGMP, lot consistency and timely availability of raw materials. Even if we obtain marketing approval for any of our product candidates, there is no assurance that we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the manufacturing processes for biological products is more complex and expensive than with small-molecule products, and additional manufacturing suppliers may be needed to manufacture clinical trial supplies for these development programs. If we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29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operations are concentrated in a number of locations, including a single manufacturing facility in North Carolina. We or the third parties upon whom we depend may be adversely affected by earthquakes, wildfires or other natural disasters, as well as epidemics, pandemics and other incidents, and our business continuity and disaster recovery plans may not adequately protect us from a serious disaster.</w:t>
      </w:r>
    </w:p>
    <w:p>
      <w:pPr>
        <w:spacing w:after="0" w:line="6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Any unplanned event, such as flood, fire, explosion, earthquake, extreme weather condition, medical epidemics or pandemics, power shortage, telecommunication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rilparencel or any of our future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manufacturing facilities, or otherwise disrupted operations, it may be difficult or, in certain cases, impossible, for us to continue our business for a substantial period of time. The disaster recovery and business continuity plans we have in place, including use of contract manufacturers and inherent risks associated therewith with respect to technology transfer and quality issues,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are unable to operate because of an accident or incident or for any other reason, even for a short period of time, any or all of our research and</w:t>
      </w:r>
    </w:p>
    <w:p>
      <w:pPr>
        <w:spacing w:after="0" w:line="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93" w:right="639" w:bottom="1440" w:gutter="0" w:footer="0" w:header="0"/>
        </w:sectPr>
      </w:pPr>
    </w:p>
    <w:bookmarkStart w:id="59" w:name="page60"/>
    <w:bookmarkEnd w:id="59"/>
    <w:p>
      <w:pPr>
        <w:ind w:right="140"/>
        <w:spacing w:after="0" w:line="282" w:lineRule="auto"/>
        <w:rPr>
          <w:sz w:val="20"/>
          <w:szCs w:val="20"/>
          <w:color w:val="auto"/>
        </w:rPr>
      </w:pPr>
      <w:r>
        <w:rPr>
          <w:rFonts w:ascii="Times New Roman" w:cs="Times New Roman" w:eastAsia="Times New Roman" w:hAnsi="Times New Roman"/>
          <w:sz w:val="18"/>
          <w:szCs w:val="18"/>
          <w:color w:val="auto"/>
        </w:rPr>
        <w:t>development programs may be harmed. Any business interruption may have a material and adverse effect on our business, financial condition, results of operations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Rilparencel and Our Future Product Candidates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rilparencel or a future product candidate we develop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Even if rilparencel or any other product candidates we develop receives marketing approval, it may nonetheless fail to gain sufficient market acceptance by physicians, patients, third-party payors, such as Medicare and Medicaid programs and managed care organizations,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degree of market acceptance of any product candidate, if approved for commercial sale, will depend on a number of factors, including:</w:t>
      </w:r>
    </w:p>
    <w:p>
      <w:pPr>
        <w:spacing w:after="0" w:line="225" w:lineRule="exact"/>
        <w:rPr>
          <w:sz w:val="20"/>
          <w:szCs w:val="20"/>
          <w:color w:val="auto"/>
        </w:rPr>
      </w:pPr>
    </w:p>
    <w:p>
      <w:pPr>
        <w:ind w:left="1300" w:hanging="465"/>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current or future product candidates compared to alternative treatments;</w:t>
      </w:r>
    </w:p>
    <w:p>
      <w:pPr>
        <w:spacing w:after="0" w:line="225" w:lineRule="exact"/>
        <w:rPr>
          <w:rFonts w:ascii="Times New Roman" w:cs="Times New Roman" w:eastAsia="Times New Roman" w:hAnsi="Times New Roman"/>
          <w:sz w:val="18"/>
          <w:szCs w:val="18"/>
          <w:color w:val="auto"/>
        </w:rPr>
      </w:pPr>
    </w:p>
    <w:p>
      <w:pPr>
        <w:ind w:left="1300" w:hanging="465"/>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foreign regulatory authorities, including any limitations or warnings contained in a product’s approved labeling, including any black box warning or REMS;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current or future product candidates are approved;</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commercially launched in the future;</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competitive prices;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225" w:lineRule="exact"/>
        <w:rPr>
          <w:rFonts w:ascii="Times New Roman" w:cs="Times New Roman" w:eastAsia="Times New Roman" w:hAnsi="Times New Roman"/>
          <w:sz w:val="18"/>
          <w:szCs w:val="18"/>
          <w:color w:val="auto"/>
        </w:rPr>
      </w:pPr>
    </w:p>
    <w:p>
      <w:pPr>
        <w:ind w:left="1300" w:right="40" w:hanging="465"/>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 including where there may be a perception that our therapies, if approved, involve an increased risk of adverse events;</w:t>
      </w:r>
    </w:p>
    <w:p>
      <w:pPr>
        <w:spacing w:after="0" w:line="161" w:lineRule="exact"/>
        <w:rPr>
          <w:rFonts w:ascii="Times New Roman" w:cs="Times New Roman" w:eastAsia="Times New Roman" w:hAnsi="Times New Roman"/>
          <w:sz w:val="18"/>
          <w:szCs w:val="18"/>
          <w:color w:val="auto"/>
        </w:rPr>
      </w:pPr>
    </w:p>
    <w:p>
      <w:pPr>
        <w:ind w:left="1300" w:right="80" w:hanging="465"/>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with respect to our product candidates in guidelines published by various scientific organizations applicable to us and our product candidates;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United States;</w:t>
      </w:r>
    </w:p>
    <w:p>
      <w:pPr>
        <w:spacing w:after="0" w:line="225" w:lineRule="exact"/>
        <w:rPr>
          <w:rFonts w:ascii="Times New Roman" w:cs="Times New Roman" w:eastAsia="Times New Roman" w:hAnsi="Times New Roman"/>
          <w:sz w:val="18"/>
          <w:szCs w:val="18"/>
          <w:color w:val="auto"/>
        </w:rPr>
      </w:pPr>
    </w:p>
    <w:p>
      <w:pPr>
        <w:ind w:left="1300" w:right="220" w:hanging="465"/>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 for our products, including necessary reimbursement codes;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rFonts w:ascii="Times New Roman" w:cs="Times New Roman" w:eastAsia="Times New Roman" w:hAnsi="Times New Roman"/>
          <w:sz w:val="18"/>
          <w:szCs w:val="18"/>
          <w:color w:val="auto"/>
        </w:rPr>
      </w:pPr>
    </w:p>
    <w:p>
      <w:pPr>
        <w:ind w:left="1300" w:hanging="465"/>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Current Procedural Terminology (“CPT”) Codes and Resource-Based Relative Value Scale for appropriate provider reimbursement;</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designated International Classification of Diseases (“ICD-10”) codes from the WHO for disease designation;</w:t>
      </w:r>
    </w:p>
    <w:p>
      <w:pPr>
        <w:spacing w:after="0" w:line="225" w:lineRule="exact"/>
        <w:rPr>
          <w:rFonts w:ascii="Times New Roman" w:cs="Times New Roman" w:eastAsia="Times New Roman" w:hAnsi="Times New Roman"/>
          <w:sz w:val="18"/>
          <w:szCs w:val="18"/>
          <w:color w:val="auto"/>
        </w:rPr>
      </w:pPr>
    </w:p>
    <w:p>
      <w:pPr>
        <w:ind w:left="1300" w:right="820" w:hanging="465"/>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provider proceduralists to perform invasive kidney procedures that may cause increased medical liability from procedural-related or cell based adverse events; and</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advanced procedural training for delivery of product candidates.</w:t>
      </w:r>
    </w:p>
    <w:p>
      <w:pPr>
        <w:spacing w:after="0" w:line="333" w:lineRule="exact"/>
        <w:rPr>
          <w:sz w:val="20"/>
          <w:szCs w:val="20"/>
          <w:color w:val="auto"/>
        </w:rPr>
      </w:pPr>
    </w:p>
    <w:p>
      <w:pPr>
        <w:ind w:right="280" w:firstLine="509"/>
        <w:spacing w:after="0" w:line="253" w:lineRule="auto"/>
        <w:rPr>
          <w:sz w:val="20"/>
          <w:szCs w:val="20"/>
          <w:color w:val="auto"/>
        </w:rPr>
      </w:pPr>
      <w:r>
        <w:rPr>
          <w:rFonts w:ascii="Times New Roman" w:cs="Times New Roman" w:eastAsia="Times New Roman" w:hAnsi="Times New Roman"/>
          <w:sz w:val="18"/>
          <w:szCs w:val="18"/>
          <w:color w:val="auto"/>
        </w:rPr>
        <w:t>Sales of cell-based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 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 If government and other third-party payors do not provide coverage and adequate reimbursement levels for any products we commercialize, market acceptance and commercial success would be reduced. Rilparencel is percutaneously injected into the kidney and requires additional proceduralist technical training with possible ongoing maintenance of certification. Facilities where rilparencel is delivered may require additional cell-based licensing by state, federal or laboratory certification agencies and require equipment with appropriate technology and inventories.</w:t>
      </w:r>
    </w:p>
    <w:p>
      <w:pPr>
        <w:spacing w:after="0" w:line="296" w:lineRule="exact"/>
        <w:rPr>
          <w:sz w:val="20"/>
          <w:szCs w:val="20"/>
          <w:color w:val="auto"/>
        </w:rPr>
      </w:pPr>
    </w:p>
    <w:p>
      <w:pPr>
        <w:ind w:right="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1093" w:right="459" w:bottom="0"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384810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capabilities or enter into agreements with third parties to market and sell any products for which we obtain regulatory approval, we may not be able to generate product revenue.</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have no internal sales, marketing or distribution capabilities, nor have we commercialized a product. If rilparencel or any of our future product candidates ultimately receives regulatory approval, we expect to establish a marketing and sales organization with technical expertise and supporting manufacturing and distribution capabilities to commercialize each such product in major markets, which will be expensive and time consuming. We have no prior experience as a company in the marketing, sale and distribution of biopharmaceutical products and there are significant risks involved in building and managing a sales organization.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market our products on our own include:</w:t>
      </w:r>
    </w:p>
    <w:p>
      <w:pPr>
        <w:spacing w:after="0" w:line="225" w:lineRule="exact"/>
        <w:rPr>
          <w:sz w:val="20"/>
          <w:szCs w:val="20"/>
          <w:color w:val="auto"/>
        </w:rPr>
      </w:pPr>
    </w:p>
    <w:p>
      <w:pPr>
        <w:ind w:left="1300" w:hanging="465"/>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1300" w:right="200" w:hanging="465"/>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including product administration and product delivery, once approved;</w:t>
      </w:r>
    </w:p>
    <w:p>
      <w:pPr>
        <w:spacing w:after="0" w:line="161" w:lineRule="exact"/>
        <w:rPr>
          <w:rFonts w:ascii="Times New Roman" w:cs="Times New Roman" w:eastAsia="Times New Roman" w:hAnsi="Times New Roman"/>
          <w:sz w:val="18"/>
          <w:szCs w:val="18"/>
          <w:color w:val="auto"/>
        </w:rPr>
      </w:pPr>
    </w:p>
    <w:p>
      <w:pPr>
        <w:ind w:left="1300" w:right="440" w:hanging="465"/>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33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and for which we receive regulatory approval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affected populations for rilparencel or any of our future product candidates may be smaller than we or third parties currently project, which may affect the addressable markets for rilparencel or our future product candidates.</w:t>
      </w:r>
    </w:p>
    <w:p>
      <w:pPr>
        <w:spacing w:after="0" w:line="5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Our projections of the number of people who have the diseases we are seeking to treat, as well as the subset of people with these diseases who have the potential to benefit from treatment with rilparencel or any of our future product candidates, are estimates based on our knowledge and understanding of these diseases. These estimates may prove to be incorrect, and new studies, medications, or medical practices may further reduce the estimated incidence or prevalence of this disease. The number of patients in the United States, the European Union and elsewhere may turn out to be lower than expected, may not be otherwise amenable to treatment with rilparencel or any of our future product candidates or patients may become increasingly difficult to identify and access, all of which would adversely affect our business, financial condition, results of operations and prospects. Further, even if we obtain approval for rilparencel or any of our future product candidates, the FDA or other regulators may limit their approved indications to more narrow uses or subpopulations within the populations for which we are targeting development of rilparencel or any of our future product candidates.</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total addressable market opportunity for rilparencel or any of our future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in this Annual Report should be viewed with caution. Further, the data and statistical information used in this Annual Report, including estimates derived from them, may differ from information and estimates made by our competitors or from current or future studies conducted by independent sources.</w:t>
      </w:r>
    </w:p>
    <w:p>
      <w:pPr>
        <w:spacing w:after="0" w:line="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sectPr>
      </w:pPr>
    </w:p>
    <w:bookmarkStart w:id="62" w:name="page63"/>
    <w:bookmarkEnd w:id="62"/>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rilparencel or any of our future product candidates in one jurisdiction does not mean that we will be successful in obtaining regulatory approval of rilparencel or future product candidates in other jurisdictions.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rilparencel or any of our future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similar foreign regulatory authorities must also approve the manufacturing, marketing and promotion of the product candidate in those countries. Approval and licensure procedures vary among jurisdictions and can involve requirements and administrative review periods different from, and greater than, those in the United States, including additional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8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similar foreign regulatory approvals and compliance with similar foreign regulatory requirements could result in significant delays, difficulties and costs for us and could delay or prevent the introduction of our products in certain countries. We do not have any product candidates approved for sale in any jurisdiction, including international markets, and we do not have experience in obtaining regulatory approval in international markets. If we fail to comply with the regulatory requirements in international markets and/or receive applicable marketing approvals, our target market will be reduced and our ability to realize the full market potential of rilparencel or any of our future product candidates will be harmed.</w:t>
      </w:r>
    </w:p>
    <w:p>
      <w:pPr>
        <w:spacing w:after="0" w:line="29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If we have any product candidate approved, our product labeling, advertising, and promotion will be subject to regulatory requirements and continuing regulatory review. In the United States, the FDA and the Federal Trade Commission (the “FTC”) strictly regulate the promotional claims that may be made about pharmaceutical products to ensure that any claims about such products are consistent with regulatory approvals, not misleading or false, and adequately substantiated by clinical data. The promotion of a medicine or biologic product in a manner that is false, misleading, unsubstantiated, or for unapproved (or off-label) uses may result in enforcement letters, inquiries and investigations and civil and criminal sanctions by the FDA, FTC, and other regulatory authorities.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and may result in false claims litigation under federal and state statutes, which can lead to consent decrees, civil monetary penalties, restitution, criminal fines and imprisonment, and exclusion from participation in Medicare, Medicaid and other federal and state health care programs. The federal government has levied large civil and criminal fines against companies for alleged improper promotion and has enjoined several companies from engaging in off-label promotion. The government has also required that companies enter into consent decrees and/or imposed permanent injunctions under which specified promotional conduct is changed or curtailed. Any off-label use of rilparencel or any of our future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might require significant financial and management resources and that could harm our reputation.</w:t>
      </w:r>
    </w:p>
    <w:p>
      <w:pPr>
        <w:spacing w:after="0" w:line="8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Additionally, advertising and promotion of any product candidate that obtains approval outside of the United States will be heavily scrutinized by comparable foreign regulatory authorities and stakeholders.</w:t>
      </w:r>
    </w:p>
    <w:p>
      <w:pPr>
        <w:spacing w:after="0" w:line="26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Rilparencel and our future product candidates for which we intend to seek approval as biologic products may face competition sooner than anticipated, and our operating results will suffer if we fail to compete effectively.</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Even if we are successful in achieving regulatory approval to commercialize a product candidate ahead of our competitors, rilparencel or any of our future product candidates may face competition from biosimilar products. In the United States, rilparencel is expected to be regulated by the FDA as a biological product, and we intend to seek approval for rilparencel pursuant to the BLA pathway. The Biologics Price Competition and Innovation Act of 2009 (the “BPCIA”) created an abbreviated pathway for FDA approval of biosimilar and interchangeable biological products based on a previously licensed reference product. Under the BPCIA, an application for a biosimilar biological product cannot be approved by the FDA until 12 years after the original reference</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sectPr>
      </w:pPr>
    </w:p>
    <w:bookmarkStart w:id="63" w:name="page64"/>
    <w:bookmarkEnd w:id="63"/>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biological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rilparencel.</w:t>
      </w:r>
    </w:p>
    <w:p>
      <w:pPr>
        <w:spacing w:after="0" w:line="6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believe that any of our current or future product candidates approved as a biological product under a BLA should qualify for the 12-year period of exclusivity available to reference biological products. However, there is a risk that this exclusivity could be shortened due to congressional action or otherwise, or that the FDA will not consider our product candidates to be reference biological products pursuant to its interpretation of the exclusivity provisions of the BPCIA for competing products, potentially creating the opportunity for generic follow-on biosimilar competition sooner than anticipated. Moreover, the extent to which a biosimilar product, once approved, will be substituted for any one of our reference products in a way that is similar to traditional generic substitution for non-biological products is not yet clear, and will depend on a number of marketplace and regulatory factors that are still developing, including whether a future competitor seeks an interchangeability designation for a biosimilar of one of our products. Under the BPCIA as well as state pharmacy laws, only interchangeable biosimilar products are considered substitutable for the reference biological product without the intervention of the health care provider who prescribed the original biological product. However, as with all prescribing decisions made in the context of a patient-provider relationship and a patient’s specific medical needs, health care providers are not restricted from prescribing biosimilar products in an off-label manner. In addition, a competitor could decide to forego the abbreviated approval pathway available for biosimilar products and to submit a full BLA for product licensure after completing its own nonclinical studies and clinical trials. In such a situation, any exclusivity to which we may be eligible under the BPCIA would not prevent the competitor from marketing its biological product as soon as it is approved.</w:t>
      </w:r>
    </w:p>
    <w:p>
      <w:pPr>
        <w:spacing w:after="0" w:line="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the CREATES Act was enacted in late 2019 to address concerns articulated by both the FDA and others in the industry that some brand manufacturers had improperly restricted the distribution of their products, including by invoking the existence of a REMS for certain products, to deny follow-on product developers access to samples of brand drug or biologic products. Because follow-on product developers need samples of the reference products to conduct certain comparative testing required by the FDA, some have attributed the inability to timely obtain samples as a cause of delay in the entry of follow-on products. To remedy this concern, the CREATES Act established a private cause of action that permits a follow-on product developer to sue the brand manufacturer to compel it to furnish the necessary samples on “commercially reasonable, market-based terms.” Therefore, a follow-on developer may request that we provide samples of rilparencel, if it receives marketing approval, in order to conduct comparative testing to support a follow-on biosimilar version, and if we refuse any such request, we may be subject to litigation under the CREATES Act. Although lawsuits have been filed under the CREATES Act since its enactment, those lawsuits have settled privately; therefore, to date no federal court has reviewed or opined on the statutory language and there continues to be uncertainty regarding the scope and application of the law.</w:t>
      </w:r>
    </w:p>
    <w:p>
      <w:pPr>
        <w:spacing w:after="0" w:line="298"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rilparencel or our future product candidates, if approved, which could make it difficult for us to sell any product candidates profitably.</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and in other countries, patients who are prescribed treatment for their conditions generally rely on third-party payors to reimburse all or part of the costs associated with their treatment. 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reimbursement from third-party payors. Third-party payors include government authorities such as Medicare, Medicaid, TRICARE, and the Veterans Administration, managed care providers, private health insurers, and other organizations. Coverage and adequate reimbursement from governmental health care programs, such as Medicare and Medicaid, and commercial payors is critical to new product acceptance. Even if any of our products obtains regulatory approval, patients are unlikely to use such products unless coverage is provided and reimbursement is adequate to cover a significant portion of the cost. We cannot be sure that coverage and reimbursement will be available for, or accurately estimate the potential revenue from, any of our products, if approved, or assure that coverage and reimbursement will be available for any product that we may develop. Rilparencel, due to the novel cell therapy and new indication for CKD, may require formulation of CPT codes with resource-based relative value unit appropriation and ICD-10 designation. Each are obtained through different processes and may lead to reimbursement delays of unknown lengths of times.</w:t>
      </w:r>
    </w:p>
    <w:p>
      <w:pPr>
        <w:spacing w:after="0" w:line="8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Government authorities and other third-party payors decide which treatments they will cover and the amount of reimbursement. Coverage and reimbursement by a third-party payor may depend upon a number of factors, including the third-party payor’s determination that use of a product is:</w:t>
      </w:r>
    </w:p>
    <w:p>
      <w:pPr>
        <w:spacing w:after="0" w:line="162" w:lineRule="exact"/>
        <w:rPr>
          <w:sz w:val="20"/>
          <w:szCs w:val="20"/>
          <w:color w:val="auto"/>
        </w:rPr>
      </w:pPr>
    </w:p>
    <w:p>
      <w:pPr>
        <w:ind w:left="1300" w:hanging="465"/>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peer-reviewed medical journals;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clinical practice guidelines;</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93" w:right="639" w:bottom="1440" w:gutter="0" w:footer="0" w:header="0"/>
        </w:sectPr>
      </w:pPr>
    </w:p>
    <w:bookmarkStart w:id="64" w:name="page65"/>
    <w:bookmarkEnd w:id="64"/>
    <w:p>
      <w:pPr>
        <w:ind w:left="1300" w:hanging="465"/>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33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ability to commercialize successfully any of our products for which we obtain regulatory approval will depend in part on the extent to which coverage and adequate reimbursement for these products and related treatments will be available from third-party payors, including government health care programs and private health insurers. Moreover, a payor’s decision to provide coverage for a biopharmaceutical product does not imply that an adequate reimbursement rate will be approved. If coverage and adequate reimbursement is not available, or is available only to limited levels, we may not be able to successfully commercialize rilparencel or any of our future product candidates. Even if coverage is provided, the approved reimbursement amount may not be high enough to allow us to establish or maintain pricing sufficient to realize a sufficient return on our investment.</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Therefore, coverage and reimbursement for our products can differ significantly from payor to payor.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rilparencel or any of our future product candidates, if approved.</w:t>
      </w:r>
    </w:p>
    <w:p>
      <w:pPr>
        <w:spacing w:after="0" w:line="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Changes to current laws and state and federal health care reform measures that may be adopted in the future may result in additional reductions in Medicare and other health care funding and otherwise affect the prices we may obtain for any product candidates for which we may obtain regulatory approval or the frequency with which any such product candidate is prescribed or used.</w:t>
      </w:r>
    </w:p>
    <w:p>
      <w:pPr>
        <w:spacing w:after="0" w:line="280" w:lineRule="exact"/>
        <w:rPr>
          <w:sz w:val="20"/>
          <w:szCs w:val="20"/>
          <w:color w:val="auto"/>
        </w:rPr>
      </w:pPr>
    </w:p>
    <w:p>
      <w:pPr>
        <w:ind w:right="1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financial or other liabilities and may be required to limit commercialization of rilparencel or our future product candidates.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testing rilparencel or any of our future product candidates in clinical trials and will face an even greater risk if we commercialize any products. For example, we may be sued if rilparencel or any of our future product candidates causes or is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rilparencel or any of our future product candidates. Even a successful defense of these claims would require significant financial and management resources. Regardless of the merits or eventual outcome, liability claims may result in:</w:t>
      </w:r>
    </w:p>
    <w:p>
      <w:pPr>
        <w:spacing w:after="0" w:line="192" w:lineRule="exact"/>
        <w:rPr>
          <w:sz w:val="20"/>
          <w:szCs w:val="20"/>
          <w:color w:val="auto"/>
        </w:rPr>
      </w:pPr>
    </w:p>
    <w:p>
      <w:pPr>
        <w:ind w:left="1300" w:hanging="465"/>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bring a product candidate to the market;</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subjects and inability to continue clinical trials;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 and</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share price.</w:t>
      </w:r>
    </w:p>
    <w:p>
      <w:pPr>
        <w:spacing w:after="0" w:line="333"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rilparencel continues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320" w:top="985" w:right="599" w:bottom="0"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316230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ind w:right="840"/>
        <w:spacing w:after="0" w:line="282" w:lineRule="auto"/>
        <w:rPr>
          <w:sz w:val="20"/>
          <w:szCs w:val="20"/>
          <w:color w:val="auto"/>
        </w:rPr>
      </w:pPr>
      <w:r>
        <w:rPr>
          <w:rFonts w:ascii="Times New Roman" w:cs="Times New Roman" w:eastAsia="Times New Roman" w:hAnsi="Times New Roman"/>
          <w:sz w:val="18"/>
          <w:szCs w:val="18"/>
          <w:color w:val="auto"/>
        </w:rPr>
        <w:t>capital to pay such amounts. Even if our agreements with any future corporate collaborators entitle us to indemnification against losses, such indemnification may not be available or adequate should any claim arise.</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now or in the future, fail to comply with environmental, health, and safety laws and regulations, we could become subject to fines or penalties or incur costs that could substantially harm our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and any CDMOs and suppliers we engage, now or in the future,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substantially harm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supervise and monitor a certain portion of our research and nonclinical testing and clinical trials for rilparencel, and if those third parties do not successfully carry out their contractual duties, comply with regulatory requirements or otherwise perform satisfactorily, we may not be able to obtain regulatory approval or commercialize rilparencel, or such approval or commercialization may be delayed, and our business may be substantially harmed.</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depend, or may depend in the future, upon third parties to conduct certain aspects of our nonclinical studies and clinical trials, and to monitor and manage data, under agreements with universities, medical institutions, CROs, strategic collaborators and others. We expect to have to negotiate budgets and contracts with such third parties, which may result in delays to our development timelines and increased costs. We expect to continue to rely on third parties, including clinical CROs, medical institutions and clinical investigators, to conduct those clinical trials. If any of our relationships with these third-party CROs or others terminate, we may not be able to enter into arrangements with alternative CROs or other third parties or to do so on commercially reasonable terms, if at all. 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third parties conducting aspects of our nonclinical studies or clinical trials will not be our employees and, except for remedies that may be available to us under our agreements with such third parties, we cannot control whether or not they devote sufficient time and resources to our nonclinical studies and clinical trials.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or if they need to be replaced or if the quality or accuracy of the nonclinical or clinical data they obtain is compromised due to the failure to adhere to our protocols or regulatory requirements or for other reasons, our product development timelines, including clinical development timelines, may be extended, delayed or terminated, and we may not be able to complete development of, obtain regulatory approval of or successfully commercialize rilparencel. As a result, our financial results and the commercial prospects for rilparencel would be harmed, our costs could increase and our ability to generate revenue could be delayed.</w:t>
      </w:r>
    </w:p>
    <w:p>
      <w:pPr>
        <w:spacing w:after="0" w:line="80" w:lineRule="exact"/>
        <w:rPr>
          <w:sz w:val="20"/>
          <w:szCs w:val="20"/>
          <w:color w:val="auto"/>
        </w:rPr>
      </w:pPr>
    </w:p>
    <w:p>
      <w:pPr>
        <w:jc w:val="both"/>
        <w:ind w:right="160" w:firstLine="509"/>
        <w:spacing w:after="0" w:line="257" w:lineRule="auto"/>
        <w:rPr>
          <w:sz w:val="20"/>
          <w:szCs w:val="20"/>
          <w:color w:val="auto"/>
        </w:rPr>
      </w:pPr>
      <w:r>
        <w:rPr>
          <w:rFonts w:ascii="Times New Roman" w:cs="Times New Roman" w:eastAsia="Times New Roman" w:hAnsi="Times New Roman"/>
          <w:sz w:val="18"/>
          <w:szCs w:val="18"/>
          <w:color w:val="auto"/>
        </w:rPr>
        <w:t>We will rely especially heavily on third parties over the course of our clinical trials and will have limited control over the clinical investigators and limited visibility into their day-to-day activities, including with respect to their compliance with the approved clinical trial protocol. Nevertheless, we are responsible for ensuring that each of our clinical trials is conducted in</w:t>
      </w:r>
    </w:p>
    <w:p>
      <w:pPr>
        <w:spacing w:after="0" w:line="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67" w:name="page68"/>
    <w:bookmarkEnd w:id="67"/>
    <w:p>
      <w:pPr>
        <w:ind w:right="20"/>
        <w:spacing w:after="0" w:line="253" w:lineRule="auto"/>
        <w:rPr>
          <w:sz w:val="20"/>
          <w:szCs w:val="20"/>
          <w:color w:val="auto"/>
        </w:rPr>
      </w:pPr>
      <w:r>
        <w:rPr>
          <w:rFonts w:ascii="Times New Roman" w:cs="Times New Roman" w:eastAsia="Times New Roman" w:hAnsi="Times New Roman"/>
          <w:sz w:val="18"/>
          <w:szCs w:val="18"/>
          <w:color w:val="auto"/>
        </w:rPr>
        <w:t>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clinical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nonclinical studies or clinical trials before approving our marketing applications. We cannot be certain that, upon inspection, such regulatory authorities will determine that any of our clinical trials comply with the GCP requirements. In addition, our clinical trials must be conducted with biologic product produced under cGMP, and likely cGTP, regulations and will require a large number of test subjects. Our failure or any failure by our contracted third parties, including CROs, to comply with these regulations or to recruit a sufficient number of subjects may require us to repeat clinical trials, which would delay the regulatory approval process. Moreover, our business may be implicated if any of these third parties violates federal or state fraud and abuse or false claims laws and regulations or health care privacy and security laws.</w:t>
      </w:r>
    </w:p>
    <w:p>
      <w:pPr>
        <w:spacing w:after="0" w:line="82"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spacing w:after="0" w:line="3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rilparencel or any of our future product candidates.</w:t>
      </w:r>
    </w:p>
    <w:p>
      <w:pPr>
        <w:spacing w:after="0" w:line="7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product supplies for our clinical trials. Any performance failure on the part of our distributors could delay clinical development or marketing approval of rilparencel or any of our future product candidates or commercialization of rilparencel or any of our future product candidates, producing additional losses and depriving us of potential revenue.</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materials, including tissue samples, required for our research and development activities, and if we are unable to reach agreements with these third parties our research and development activities would be delayed.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our ability to implement a key part of our development strategy will be compromised.</w:t>
      </w:r>
    </w:p>
    <w:p>
      <w:pPr>
        <w:spacing w:after="0" w:line="29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seek to enter into collaborations with third parties for the development and commercialization of rilparencel and/or our future product candidates, and our future collaborations will be important to our business. If we are unable to enter into collaborations, or if these collaborations are not successful, our business could be adversely affected.</w:t>
      </w:r>
    </w:p>
    <w:p>
      <w:pPr>
        <w:spacing w:after="0" w:line="6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 part of our strategy is to consider partnerships in indications and geographies where we believe partners can add significant commercial and/or development capabilities. Further, we have limited capabilities for product development and do not yet have any capability for commercialization. Accordingly, we have entered into and may in the future enter into collaborations with other companies to provide us with important technologies and funding for our programs and technology.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future collaborations we enter into may pose a number of risks, including the following:</w:t>
      </w:r>
    </w:p>
    <w:p>
      <w:pPr>
        <w:spacing w:after="0" w:line="225" w:lineRule="exact"/>
        <w:rPr>
          <w:sz w:val="20"/>
          <w:szCs w:val="20"/>
          <w:color w:val="auto"/>
        </w:rPr>
      </w:pPr>
    </w:p>
    <w:p>
      <w:pPr>
        <w:ind w:left="1300" w:hanging="465"/>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ind w:left="1300" w:right="100" w:hanging="465"/>
        <w:spacing w:after="0" w:line="261"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18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68" w:name="page69"/>
    <w:bookmarkEnd w:id="68"/>
    <w:p>
      <w:pPr>
        <w:ind w:left="1300" w:right="20" w:hanging="465"/>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jc w:val="both"/>
        <w:ind w:left="1300" w:right="60" w:hanging="465"/>
        <w:spacing w:after="0" w:line="260"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2" w:lineRule="exact"/>
        <w:rPr>
          <w:rFonts w:ascii="Times New Roman" w:cs="Times New Roman" w:eastAsia="Times New Roman" w:hAnsi="Times New Roman"/>
          <w:sz w:val="18"/>
          <w:szCs w:val="18"/>
          <w:color w:val="auto"/>
        </w:rPr>
      </w:pPr>
    </w:p>
    <w:p>
      <w:pPr>
        <w:ind w:left="1300" w:hanging="465"/>
        <w:spacing w:after="0" w:line="26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rilparencel or our future product candidates;</w:t>
      </w:r>
    </w:p>
    <w:p>
      <w:pPr>
        <w:spacing w:after="0" w:line="189" w:lineRule="exact"/>
        <w:rPr>
          <w:rFonts w:ascii="Times New Roman" w:cs="Times New Roman" w:eastAsia="Times New Roman" w:hAnsi="Times New Roman"/>
          <w:sz w:val="18"/>
          <w:szCs w:val="18"/>
          <w:color w:val="auto"/>
        </w:rPr>
      </w:pPr>
    </w:p>
    <w:p>
      <w:pPr>
        <w:ind w:left="1300" w:right="420" w:hanging="465"/>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175" w:lineRule="exact"/>
        <w:rPr>
          <w:rFonts w:ascii="Times New Roman" w:cs="Times New Roman" w:eastAsia="Times New Roman" w:hAnsi="Times New Roman"/>
          <w:sz w:val="18"/>
          <w:szCs w:val="18"/>
          <w:color w:val="auto"/>
        </w:rPr>
      </w:pPr>
    </w:p>
    <w:p>
      <w:pPr>
        <w:ind w:left="1300" w:right="680" w:hanging="465"/>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rilparencel or one or more of our future product candidates that achieve regulatory approval may not commit sufficient resources to the marketing and distribution of such product or products;</w:t>
      </w:r>
    </w:p>
    <w:p>
      <w:pPr>
        <w:spacing w:after="0" w:line="175" w:lineRule="exact"/>
        <w:rPr>
          <w:rFonts w:ascii="Times New Roman" w:cs="Times New Roman" w:eastAsia="Times New Roman" w:hAnsi="Times New Roman"/>
          <w:sz w:val="18"/>
          <w:szCs w:val="18"/>
          <w:color w:val="auto"/>
        </w:rPr>
      </w:pPr>
    </w:p>
    <w:p>
      <w:pPr>
        <w:ind w:left="1300" w:right="200" w:hanging="465"/>
        <w:spacing w:after="0" w:line="26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us with timely and accurate information regarding development progress and activity under any future license agreement, which could adversely impact our ability to report progress to our investors and otherwise plan development of rilparencel or our future product candidates;</w:t>
      </w:r>
    </w:p>
    <w:p>
      <w:pPr>
        <w:spacing w:after="0" w:line="121" w:lineRule="exact"/>
        <w:rPr>
          <w:rFonts w:ascii="Times New Roman" w:cs="Times New Roman" w:eastAsia="Times New Roman" w:hAnsi="Times New Roman"/>
          <w:sz w:val="18"/>
          <w:szCs w:val="18"/>
          <w:color w:val="auto"/>
        </w:rPr>
      </w:pPr>
    </w:p>
    <w:p>
      <w:pPr>
        <w:ind w:left="1300" w:right="20" w:hanging="465"/>
        <w:spacing w:after="0" w:line="261"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93" w:lineRule="exact"/>
        <w:rPr>
          <w:rFonts w:ascii="Times New Roman" w:cs="Times New Roman" w:eastAsia="Times New Roman" w:hAnsi="Times New Roman"/>
          <w:sz w:val="18"/>
          <w:szCs w:val="18"/>
          <w:color w:val="auto"/>
        </w:rPr>
      </w:pPr>
    </w:p>
    <w:p>
      <w:pPr>
        <w:ind w:left="1300" w:right="20" w:hanging="465"/>
        <w:spacing w:after="0" w:line="26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89"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38" w:lineRule="exact"/>
        <w:rPr>
          <w:rFonts w:ascii="Times New Roman" w:cs="Times New Roman" w:eastAsia="Times New Roman" w:hAnsi="Times New Roman"/>
          <w:sz w:val="18"/>
          <w:szCs w:val="18"/>
          <w:color w:val="auto"/>
        </w:rPr>
      </w:pPr>
    </w:p>
    <w:p>
      <w:pPr>
        <w:ind w:left="1300" w:right="300" w:hanging="465"/>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175" w:lineRule="exact"/>
        <w:rPr>
          <w:rFonts w:ascii="Times New Roman" w:cs="Times New Roman" w:eastAsia="Times New Roman" w:hAnsi="Times New Roman"/>
          <w:sz w:val="18"/>
          <w:szCs w:val="18"/>
          <w:color w:val="auto"/>
        </w:rPr>
      </w:pPr>
    </w:p>
    <w:p>
      <w:pPr>
        <w:ind w:left="1300" w:right="420" w:hanging="465"/>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27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If any future collaborations we enter into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Annual Report also apply to the activities of our collaborators.</w:t>
      </w:r>
    </w:p>
    <w:p>
      <w:pPr>
        <w:spacing w:after="0" w:line="72"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54" w:lineRule="exact"/>
        <w:rPr>
          <w:sz w:val="20"/>
          <w:szCs w:val="20"/>
          <w:color w:val="auto"/>
        </w:rPr>
      </w:pPr>
    </w:p>
    <w:p>
      <w:pPr>
        <w:ind w:right="160" w:firstLine="509"/>
        <w:spacing w:after="0" w:line="251"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for rilparencel and future product candidates, and the negotiation process is time-consuming and complex. In order for us to successfully establish a collaboration for rilparencel or any of our future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rilparencel or future product candidates, bring them to market and generate revenue from sales of such products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rilparencel or our future product candidates could delay their development and</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5" w:right="499" w:bottom="1440" w:gutter="0" w:footer="0" w:header="0"/>
        </w:sectPr>
      </w:pPr>
    </w:p>
    <w:bookmarkStart w:id="69" w:name="page70"/>
    <w:bookmarkEnd w:id="69"/>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commercialization and reduce their competitiveness even if it reaches the market. Finally, the pursuit of any collaboration with third parties will require investment of time and resources of the Company which may prove to be a distraction to management and, consequently, the business in the event that the Company is unable to consummate or enter into new strategic collaboration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1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 care providers, physicians, prescribers, purchasers, third-party payors, charitable organizations and patients will be subject to applicable anti-kickback, fraud and abuse and other health 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upon commercialization of rilparencel or any of our future product candidates, if approved, we will be subject to additional health care statutory and regulatory requirements and oversight by federal and state governments in the United States as well as foreign governments in the jurisdictions in which we conduct our business. Health care providers, including physicians, in the United States and elsewhere play a primary role in the recommendation and prescription of biopharmaceutical products. Arrangements with third-party payors and customers can expose biopharmaceutical manufacturers to broadly applicable fraud and abuse and other health care laws and regulations, including, without limitation, the AKS and the FCA, which may constrain the business or financial arrangements and relationships through which such companies sell, market and distribute biopharmaceutical products. In particular, the research of rilparencel or any of our future product candidates, as well as the promotion, sales and marketing of health care items and services, as well as certain business arrangements in the health 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8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health care laws that may affect us include: the federal fraud and abuse laws, including the AKS; false claims and civil monetary penalties laws, including the FCA and Civil Monetary Penalties Law; federal data privacy and security laws, including HIPAA, as amended by HITECH; and the federal Physician Payments Sunshine Act requiring reports of payments and/or other transfers of value made to or held by physicians (including doctors, dentists, optometrists, podiatrists, and chiropractors), certain non-physician health practitioners, and teaching hospitals, as well as certain ownership and investment interests held by physicians, during the previous year. In addition, many states have similar laws and regulations that may differ from each other and federal law in significant ways, thus complicating compliance efforts. Moreover, several states require biopharmaceutical companies to comply with the biopharmaceutical industry’s voluntary compliance guidelines and the relevant compliance guidance promulgated by the federal government and may require manufacturers to report information related to payments and other transfers of value to physicians and other health care providers or marketing expenditures. Additionally, some state and local laws require the registration of biopharmaceutical sales representatives in the jurisdiction.</w:t>
      </w:r>
    </w:p>
    <w:p>
      <w:pPr>
        <w:spacing w:after="0" w:line="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 care reform, especially in light of the lack of applicable precedent and regulations. Ensuring business arrangements comply with applicable health care laws, as well as responding to possible investigations by government authorities, can be time- and resource-consuming and can divert a company’s attention from other aspects of its business.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 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 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 care providers or entities with whom we expect to do business is found not to be in compliance with applicable laws, they may be subject to significant criminal, civil or administrative sanctions, including exclusions from government funded health care programs. Any action for violation of these laws, even if successfully defended, could cause a biopharmaceutical manufacturer to incur significant legal expenses and divert management’s attention from the operation of the business. Therefore, even if we are successful in defending against any such actions that may be brought against us, our business may be impaired. Prohibitions or restrictions on sales or withdrawal of future marketed products could materially affect business in an adverse way.</w:t>
      </w:r>
    </w:p>
    <w:p>
      <w:pPr>
        <w:spacing w:after="0" w:line="294" w:lineRule="exact"/>
        <w:rPr>
          <w:sz w:val="20"/>
          <w:szCs w:val="20"/>
          <w:color w:val="auto"/>
        </w:rPr>
      </w:pPr>
    </w:p>
    <w:p>
      <w:pPr>
        <w:ind w:right="4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product candidates, we will be subject to ongoing regulatory oversight and continued regulatory review, which may result in significant additional expense and we may be subject to penalties if we fail to</w:t>
      </w:r>
    </w:p>
    <w:p>
      <w:pPr>
        <w:spacing w:after="0" w:line="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comply with regulatory requirements or experience unanticipated problems with rilparencel or any of our future product candidates.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rilparencel or any of our future product candidates is approved, activities such as the manufacturing, labeling, packaging, storage, advertising, promotion, sampling, and record keeping for the products will be subject to extensive and ongoing regulatory requirements. These requirements include submissions of safety and other post-marketing information and reports, registration, as well as continued compliance with cGMP and cGTP regulations. Biopharmaceutical manufacturers and any CDMOs responsible for any product manufacturing processes are required to comply with extensive FDA and comparable foreign regulatory authority requirements, including ensuring that quality control and manufacturing procedures conform to cGMP and cGTP regulations and any applicable foreign equivalents. As such, we and any CDMOs we may employ in the future will be subject to continual review and inspections to assess compliance with cGMPs and cGTPs and adherence to commitments made in any BLA, other marketing application, and previous responses to inspectional observations. Accordingly, we and others with whom we work must continue to expend time, money, and effort in all areas of regulatory compliance, including manufacturing, production and quality control.</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FDA or a comparable foreign regulatory authority may also impose requirements for costly post-marketing nonclinical studies or clinical trials (often called Phase 4 trials) and post-marketing surveillance to monitor the safety or efficacy of the product. If we or a regulatory authority discover previously unknown problems with a product, such as adverse events of unanticipated severity or frequency, production problems or issues with the facility where the product is manufactured or processed, such as product contamination or significant noncompliance with applicable cGMP or cGTP regulations, a regulator may impose restrictions on that product, the manufacturing facility or us. If we or our third-party providers fail to comply fully with applicable regulations, then we may be required to initiate a recall or withdrawal of our products.</w:t>
      </w:r>
    </w:p>
    <w:p>
      <w:pPr>
        <w:spacing w:after="0" w:line="79" w:lineRule="exact"/>
        <w:rPr>
          <w:sz w:val="20"/>
          <w:szCs w:val="20"/>
          <w:color w:val="auto"/>
        </w:rPr>
      </w:pPr>
    </w:p>
    <w:p>
      <w:pPr>
        <w:jc w:val="both"/>
        <w:ind w:right="740" w:firstLine="509"/>
        <w:spacing w:after="0" w:line="266" w:lineRule="auto"/>
        <w:rPr>
          <w:sz w:val="20"/>
          <w:szCs w:val="20"/>
          <w:color w:val="auto"/>
        </w:rPr>
      </w:pPr>
      <w:r>
        <w:rPr>
          <w:rFonts w:ascii="Times New Roman" w:cs="Times New Roman" w:eastAsia="Times New Roman" w:hAnsi="Times New Roman"/>
          <w:sz w:val="18"/>
          <w:szCs w:val="18"/>
          <w:color w:val="auto"/>
        </w:rPr>
        <w:t>Later discovery of previously unknown problems with rilparencel or any of our future product candidates, including adverse events of unanticipated severity or frequency, or with our manufacturing processes, or failure to comply with regulatory requirements, may result in the following, among other things:</w:t>
      </w:r>
    </w:p>
    <w:p>
      <w:pPr>
        <w:spacing w:after="0" w:line="176" w:lineRule="exact"/>
        <w:rPr>
          <w:sz w:val="20"/>
          <w:szCs w:val="20"/>
          <w:color w:val="auto"/>
        </w:rPr>
      </w:pPr>
    </w:p>
    <w:p>
      <w:pPr>
        <w:ind w:left="1300" w:hanging="465"/>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manufacturing of the product, the approved manufacturers or the manufacturing process;</w:t>
      </w:r>
    </w:p>
    <w:p>
      <w:pPr>
        <w:spacing w:after="0" w:line="144"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76"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76"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76"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76"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292"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 from the FDA or comparable notice of violations from foreign regulatory authorities;</w:t>
      </w:r>
    </w:p>
    <w:p>
      <w:pPr>
        <w:spacing w:after="0" w:line="76"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or other applicable regulatory authority to approve pending applications or supplements to approved applications;</w:t>
      </w:r>
    </w:p>
    <w:p>
      <w:pPr>
        <w:spacing w:after="0" w:line="76"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76"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76"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of our ongoing clinical trials;</w:t>
      </w:r>
    </w:p>
    <w:p>
      <w:pPr>
        <w:spacing w:after="0" w:line="76"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76"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injunctions or the imposition of civil or criminal penalties.</w:t>
      </w:r>
    </w:p>
    <w:p>
      <w:pPr>
        <w:spacing w:after="0" w:line="333"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regulatory authorities’ policies (such as those of the FDA) may change, and additional government regulations may be enacted that could prevent, limit or delay regulatory approval of rilparencel or any of our future product candidates. If we are slow or unable to adapt to changes in existing requirements or the adoption of new requirements or policies, or if we are otherwise not able to maintain regulatory compliance, we may lose any marketing approval that we may have obtained, which would adversely affect our business, prospects and ability to achieve or sustain profitability.</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marketing approval of rilparencel or any of our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 care policies, laws and regulations, including legislative measures aimed at reducing health care costs, may impact our ability to obtain approval for, or commercialize rilparencel or any of our future product candidates, if approved.</w:t>
      </w:r>
    </w:p>
    <w:p>
      <w:pPr>
        <w:spacing w:after="0" w:line="51" w:lineRule="exact"/>
        <w:rPr>
          <w:sz w:val="20"/>
          <w:szCs w:val="20"/>
          <w:color w:val="auto"/>
        </w:rPr>
      </w:pPr>
    </w:p>
    <w:p>
      <w:pPr>
        <w:jc w:val="both"/>
        <w:ind w:right="240" w:firstLine="509"/>
        <w:spacing w:after="0" w:line="257"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litigation, and intellectual property rights, are subject to extensive legislation and regulation. Changes in applicable U.S. federal and state laws and agency regulation, as well as foreign laws and regulations, could have a materially negative impact on our business. In the</w:t>
      </w:r>
    </w:p>
    <w:p>
      <w:pPr>
        <w:spacing w:after="0" w:line="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05" w:right="619" w:bottom="1440" w:gutter="0" w:footer="0" w:header="0"/>
        </w:sectPr>
      </w:pPr>
    </w:p>
    <w:bookmarkStart w:id="71" w:name="page72"/>
    <w:bookmarkEnd w:id="71"/>
    <w:p>
      <w:pPr>
        <w:spacing w:after="0" w:line="253" w:lineRule="auto"/>
        <w:rPr>
          <w:sz w:val="20"/>
          <w:szCs w:val="20"/>
          <w:color w:val="auto"/>
        </w:rPr>
      </w:pPr>
      <w:r>
        <w:rPr>
          <w:rFonts w:ascii="Times New Roman" w:cs="Times New Roman" w:eastAsia="Times New Roman" w:hAnsi="Times New Roman"/>
          <w:sz w:val="18"/>
          <w:szCs w:val="18"/>
          <w:color w:val="auto"/>
        </w:rPr>
        <w:t>United States and in some other jurisdictions, there have been a number of legislative and regulatory changes and proposed changes regarding the health care system that could prevent or delay marketing approval of our product candidates or any potential future product candidates of ours, restrict or regulate post-approval activities, or affect our ability to profitably sell any product candidates for which we obtain marketing approval. Increased scrutiny by the U.S. Congress of the FDA’s approval process may significantly delay or prevent marketing approval, as well as subject us to more stringent product labeling and post-marketing testing and other requirements. Congress also must reauthorize the FDA’s user fee programs every five years and often makes changes to those programs in addition to policy or procedural changes that may be negotiated between the FDA and industry stakeholders as part of this periodic reauthorization process. Congress most recently reauthorized the user fee programs in September 2022 without any substantive policy changes. Negotiations on the next FDA user fee reauthorization package began in mid-2025, and the resulting agreement is expected to be sent to Congress in early 2027 for purposes of initiating the legislative process. Reauthorization of the prescription drug user fee program must be finalized by Congress by the end of September 2027 in order to avoid a disruption in FDA’s review goals for BLAs and other activities supported by user fees assessed against industry.</w:t>
      </w:r>
    </w:p>
    <w:p>
      <w:pPr>
        <w:spacing w:after="0" w:line="8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 care systems with the stated goals of containing health care costs, improving quality and/or expanding access. In the United States, the pharmaceutical industry has been a focus of these efforts and has been significantly affected by major legislative initiatives. In March 2010, Congress passed the ACA, which substantially changed the way health care is financed by both the government and private insurers, and significantly impacts the U.S. pharmaceutical industry.</w:t>
      </w:r>
    </w:p>
    <w:p>
      <w:pPr>
        <w:spacing w:after="0" w:line="75"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We expect that changes or additions to the ACA, the Medicare and Medicaid programs, and changes stemming from other health care reform measures, especially with regard to health care access, financing or other legislation in individual states, could have a material adverse effect on the health care industry in the United States.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DSCSA, which became fully effective and enforceable in November 2024, imposes obligations on manufacturers of pharmaceutical products related to product tracking and tracing. Furthermore, in February 2022, FDA released proposed regulations to amend the national standards for licensing of wholesale drug distributors by the states; establish new minimum standards for state licensing third-party logistics providers; and create a federal system for licensure for use in the absence of a state program, each of which is mandated by the DSCSA. Other legislative and regulatory proposals have been made to expand post-approval requirements and restrict sales and promotional activities for pharmaceutical products. We are unsure whether additional legislative changes will be enacted, or whether the current regulations, guidance or interpretations will be changed, or whether such changes will have any impact on our business.</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biopharmaceutical pricing practices considering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7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(“PBMs”) and other members of the health care and pharmaceutical supply chain, an important decision that may lead to further and more aggressive efforts by states in this area. Then, in mid-2022, the FTC launched sweeping investigations into the practices of the PBM industry that appear to be contributing to additional federal and state legislative and regulatory proposals, as well as enforcement action and private litigation, targeting PBM operations, pharmacy networks, or financial arrangements. In February 2026, President Trump signed into law several PBM regulatory reforms as part of a federal budget package, including but not limited to requirements for PBMs to pass back 100% of rebates and fees to commercial health plan sponsors; to provide extensive informational disclosures related to patients’ coverage and benefits; and to accept only bona fide service fees from drug companies when providing services under Medicare Part D. The DOL also issued a proposed rule in January 2026 that would mandate specific PBM fee disclosures to self-insured plan fiduciaries under ERISA, which would allow plan fiduciaries to audit those PBM disclosures to confirm accuracy. In addition, in the last few years, several states have formed PDABs, with the authority to implement UPLs, on drugs sold in their respective jurisdictions. There are several pending federal lawsuits challenging the authority of states to impose UPLs, however.</w:t>
      </w:r>
    </w:p>
    <w:p>
      <w:pPr>
        <w:spacing w:after="0" w:line="89"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Under the Inflation Reduction Act of 2022 (the “IRA”) a manufacturer of a drug or biological product covered by Medicare Parts B or D must pay a rebate to the federal government if the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72" w:name="page73"/>
    <w:bookmarkEnd w:id="72"/>
    <w:p>
      <w:pPr>
        <w:ind w:right="880" w:firstLine="509"/>
        <w:spacing w:after="0" w:line="312" w:lineRule="auto"/>
        <w:rPr>
          <w:sz w:val="20"/>
          <w:szCs w:val="20"/>
          <w:color w:val="auto"/>
        </w:rPr>
      </w:pPr>
      <w:r>
        <w:rPr>
          <w:rFonts w:ascii="Times New Roman" w:cs="Times New Roman" w:eastAsia="Times New Roman" w:hAnsi="Times New Roman"/>
          <w:sz w:val="17"/>
          <w:szCs w:val="17"/>
          <w:color w:val="auto"/>
        </w:rPr>
        <w:t>Any additional federal or state health care reform measures could limit the amounts that third-party payers will pay for future health care products and services, and, in turn, could significantly reduce the projected value of certain development projects and reduce our profitability.</w:t>
      </w:r>
    </w:p>
    <w:p>
      <w:pPr>
        <w:spacing w:after="0" w:line="24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and changes at the United States Food and Drug Administration (the “FDA”) and other government agencies from funding cuts, personnel losses and changes, regulatory reform, government shutdowns and other developments could hinder our ability to obtain guidance from the FDA regarding our clinical development program and develop and secure approval of our product candidates in a timely manner, which would negatively impact our business.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its ability to hire and retain key personnel and accept the payment of user fees, and statutory, regulatory, and policy changes. Average review times at the agency have fluctuated in recent years as a result. In addition, government funding of the FDA, the SEC and other government agencies on which our operations may rely, including those that fund research and development activities, is subject to the political process, which is inherently fluid and unpredictable.</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Future legislative and regulatory proposals may materially impact the ability of the FDA and other regulatory agencies to operate as they have historically operated. We cannot be sure whether additional legislative changes or executive orders will be enacted, or whether any of the FDA’s regulations, guidances or interpretations will be changed, or what the impact of such changes on the agency and its scientific review staff, if any, may be. For example, the FDA has experienced significant and rapid fluctuations in leadership and scientific review personnel, which may be key contributing factors in multiple reported delays in agency decision making on marketing applications and agency requests for additional data that are inconsistent with prior regulatory feedback. Additionally, the next FDA user fee reauthorization package entered stakeholder negotiations in mid-2025, and any agreement will be sent to Congress in early 2027. Reauthorization of the prescription drug user fee program must be finalized by Congress by the end of September 2027 in order to avoid a disruption in FDA’s review goals for NDAs or BLAs, and to other activities supported by user fees assessed against industry.</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Similarly, actions by the U.S. government have significantly disrupted the operations of U.S. government agencies such as the National Institutes of Health, National Science Foundation, Centers for Disease Control and Prevention, and the FDA, which have traditionally provided funding for basic research, research and development, and clinical testing. These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 Disruptions at the FDA and other agencies may slow the time necessary for clinical trial applications and/or marketing applications for new drugs to be reviewed or approved, which would adversely affect our business. For example, political disputes in Congress may result in a shutdown of the U.S. government and, in such cases, certain regulatory agencies, such as the FDA and the SEC, may have to furlough critical staff and stop critical activities during that period. Government shutdowns or slowdowns can increase the time needed for an agency to complete its review or make final approvals or other administrative decisions. If a prolonged government shutdown occurs, it could significantly impact the ability of the FDA to timely review and process our regulatory submissions and the ability of the SEC to timely review our public filings, to the extent such review is necessary, and our ability to access the public markets.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Accordingly, if any of the foregoing developments and others impact the ability of the FDA to provide us with guidance regarding our clinical development programs or delay the FDA’s review and processing of our regulatory submissions, including INDs and new drug applications or biologics license applications, our business would be negatively impacted. Further, any future government shutdown could impact our ability to access the public markets and obtain necessary capital in order to properly capitalize and continue our operations.</w:t>
      </w:r>
    </w:p>
    <w:p>
      <w:pPr>
        <w:spacing w:after="0" w:line="284"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5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may be or become subject to or affected by numerous federal, state and foreign laws and regulations, as well as regulatory guidance, governing the collection, use, disclosure, transfer,</w:t>
      </w: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ind w:right="140"/>
        <w:spacing w:after="0" w:line="256" w:lineRule="auto"/>
        <w:rPr>
          <w:sz w:val="20"/>
          <w:szCs w:val="20"/>
          <w:color w:val="auto"/>
        </w:rPr>
      </w:pPr>
      <w:r>
        <w:rPr>
          <w:rFonts w:ascii="Times New Roman" w:cs="Times New Roman" w:eastAsia="Times New Roman" w:hAnsi="Times New Roman"/>
          <w:sz w:val="18"/>
          <w:szCs w:val="18"/>
          <w:color w:val="auto"/>
        </w:rPr>
        <w:t>security and processing of personal data, such as information that we collect about subjects and health 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77"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HIPAA, as amended by HITECH, state data breach notification laws, state health information privacy laws and federal and state consumer protection laws (e.g., Section 5 of the Federal Trade Commission Act), that govern the collection, use, disclosure and protection of health-related and, in many cases,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or other privacy and data security laws. Depending on the facts and circumstances, we could be subject to criminal penalties if we knowingly obtain, use, or disclose protected health information maintained by a HIPAA-covered entity in a manner that is not authorized or permitted by HIPAA. However, determining whether protected health information has been handled in compliance with applicable privacy standards and our contractual obligations can be complex and may be subject to changing interpretation.</w:t>
      </w:r>
    </w:p>
    <w:p>
      <w:pPr>
        <w:spacing w:after="0" w:line="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protected health information or other personal, sensitive, or confidential information in our possession, we could be found to have breached our contracts. Further, if we fail to comply with applicable privacy laws, including applicable HIPAA privacy and security standards, we could face significant administrative, civil and criminal penalties. Enforcement activity can also result in financial liability and reputational harm, and responses to such enforcement activity can consume significant internal and outside resources. Furthermore, state attorneys general are authorized to bring civil actions seeking either injunctions or damages in response to violations that threaten the privacy of state residents.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Many state laws govern the privacy and security of personal information and data in specified circumstances, many of which differ from each other in significant ways, are often not pre-empted by HIPAA, and may have a more prohibitive effect than HIPAA, thus complicating compliance efforts. For example the CCPA, which went into effect in January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In addition, the California Consumer Rights Act (the “CPRA”) was enacted to strengthen elements of the CCPA and became effective on January 1, 2023. Many other states have implemented or are considering proposals for similar privacy laws, all of which increases the complexity of compliance and the risk of failures to comply. These privacy laws may impact our business activities and exemplify the vulnerability of our business to the evolving regulatory environment related to personal data.</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Numerous other countries have enacted, or are developing, laws governing the collection, use and transmission of personal data as well. For example, the European Parliament and the Council of the European Union adopted the General Data Protection Regulation ("GDPR"), and China enacted the Personal Information Protection Law. Such laws, as well as evolving contractual and other privacy and data protection obligations, increase the complexity and cost of compliance and could result in significant limitations or require changes to our business, or restrict our collection, use, storage or processing of personal data. In addition, data protection and privacy requirements in certain jurisdictions could impact our ability to develop an adequate marketing strategy and pursue our growth strategy effectively, or even prevent us from providing our products in such jurisdictions, even if we receive marketing authorization, or potentially cause us or our collaborators to incur liability in an effort to comply, which, in turn, could adversely affect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political and economic uncertainty relating to our international operations could negatively impact or restrict our operations.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must dedicate additional resources to comply with numerous laws and regulations in each jurisdiction in which we plan to operate.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w:t>
      </w:r>
    </w:p>
    <w:p>
      <w:pPr>
        <w:spacing w:after="0" w:line="72"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biopharmaceutical industry, because in many countries, hospitals are</w:t>
      </w:r>
    </w:p>
    <w:p>
      <w:pPr>
        <w:jc w:val="center"/>
        <w:ind w:right="-2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74" w:name="page75"/>
    <w:bookmarkEnd w:id="74"/>
    <w:p>
      <w:pPr>
        <w:ind w:right="60"/>
        <w:spacing w:after="0" w:line="256" w:lineRule="auto"/>
        <w:rPr>
          <w:sz w:val="20"/>
          <w:szCs w:val="20"/>
          <w:color w:val="auto"/>
        </w:rPr>
      </w:pPr>
      <w:r>
        <w:rPr>
          <w:rFonts w:ascii="Times New Roman" w:cs="Times New Roman" w:eastAsia="Times New Roman" w:hAnsi="Times New Roman"/>
          <w:sz w:val="18"/>
          <w:szCs w:val="18"/>
          <w:color w:val="auto"/>
        </w:rPr>
        <w:t>operated by the government, and doctors and other hospital employees are considered foreign officials. Certain payments to hospitals and health care providers in connection with clinical trials and other work have been deemed to be improper payments to government officials and have led to FCPA enforcement actions. In February 2025, President Trump issued an executive order directing the U.S. Department of Justice to pause initiation of new FCPA investigations and enforcement during a 180-day review period (subject to extension) and to issue updated guidelines, though the FCPA remains in force and foreign anti-corruption laws continue to apply. However, it is unclear how this presidential directive may affect the biopharmaceutical industry as a whole or our business in particular.</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As we expand our operations throughout the world, we will be required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 face serious consequences for violations.</w:t>
      </w:r>
    </w:p>
    <w:p>
      <w:pPr>
        <w:spacing w:after="0" w:line="9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(collectively, the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9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security holders and their respective affiliates may have competitive pecuniary interests that conflict with our interests.</w:t>
      </w:r>
    </w:p>
    <w:p>
      <w:pPr>
        <w:spacing w:after="0" w:line="5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business will depend in large part on obtaining and maintaining patent, trademark and trade secret protection of our proprietary technologies and rilparencel, our lead product candidate, its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rilparencel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The patenting process is subject to numerous risks and there can be no assurance that we will be successful in obtaining patents for which we have applied. In addition, we may not pursue, obtain, or maintain patent protection in all relevant markets. It is also possible that we will fail to identify patentable aspects</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75" w:name="page76"/>
    <w:bookmarkEnd w:id="75"/>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6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strength of patents in the biotechnology and biopharmaceutical field involves complex legal and scientific questions and can be uncertain. The patent applications that we own or in-license may fail to result in issued patents with claims that cover rilparencel or uses thereof in the United States or in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rilparencel, or prevent others from designing around the claims in our patents. If the breadth or strength of protection provided by the patent applications we hold with respect to rilparencel is threatened, it could dissuade companies from collaborating with us to develop, and threaten our ability to commercialize, rilparencel. Further, if we encounter delays in our clinical trials, the period of time during which we could market rilparencel under patent protection would be reduced.</w:t>
      </w:r>
    </w:p>
    <w:p>
      <w:pPr>
        <w:spacing w:after="0" w:line="8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cannot be certain that we were the first to file any patent application related to our technology, including rilparencel, and, if we were not, we may be precluded from obtaining patent protection for our technology, including rilparencel.</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7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rilparencel, or would be found by a court to be infringed by a competitor’s technology or product. We may analyze patents or patent applications of our competitors that we believe are relevant to our activities, and consider that we are free to operate in relation to rilparencel, but our competitors may achieve issued claims, including in patents we consider to be unrelated, which block our efforts or may potentially result in rilparencel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86"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Recent or future patent reform legislation could increase the uncertainties and costs surrounding the prosecution of our patent applications and the enforcement or defense of our issued patents. Under the enacted Leahy-Smith America Invents Act (the “America Invents Act”) after March 2013, the United States moved from a “first-to-invent”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In addition, the courts have yet to address many of these provisions and the applicability of the America Invents Act and new regulations on specific patents discussed herein, for which issues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8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2" w:lineRule="exact"/>
        <w:rPr>
          <w:sz w:val="20"/>
          <w:szCs w:val="20"/>
          <w:color w:val="auto"/>
        </w:rPr>
      </w:pPr>
    </w:p>
    <w:p>
      <w:pPr>
        <w:ind w:left="1300" w:right="60" w:hanging="465"/>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that are similar to the compositions of rilparencel but that are not covered by the claims of our patents or those of our licensors;</w:t>
      </w:r>
    </w:p>
    <w:p>
      <w:pPr>
        <w:spacing w:after="0" w:line="161" w:lineRule="exact"/>
        <w:rPr>
          <w:rFonts w:ascii="Times New Roman" w:cs="Times New Roman" w:eastAsia="Times New Roman" w:hAnsi="Times New Roman"/>
          <w:sz w:val="18"/>
          <w:szCs w:val="18"/>
          <w:color w:val="auto"/>
        </w:rPr>
      </w:pPr>
    </w:p>
    <w:p>
      <w:pPr>
        <w:ind w:left="1300" w:right="180" w:hanging="465"/>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regards to any in-licensed patents and patent applications invented or developed using U.S. government funding, leading to the loss of patent rights;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225" w:lineRule="exact"/>
        <w:rPr>
          <w:rFonts w:ascii="Times New Roman" w:cs="Times New Roman" w:eastAsia="Times New Roman" w:hAnsi="Times New Roman"/>
          <w:sz w:val="18"/>
          <w:szCs w:val="18"/>
          <w:color w:val="auto"/>
        </w:rPr>
      </w:pPr>
    </w:p>
    <w:p>
      <w:pPr>
        <w:ind w:left="1300" w:hanging="465"/>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or our licensors’ patents, as the case may be, or parts of our or their patents;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93" w:right="539" w:bottom="1440" w:gutter="0" w:footer="0" w:header="0"/>
        </w:sectPr>
      </w:pPr>
    </w:p>
    <w:bookmarkStart w:id="76" w:name="page77"/>
    <w:bookmarkEnd w:id="76"/>
    <w:p>
      <w:pPr>
        <w:ind w:left="1300" w:right="580" w:hanging="465"/>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ours;</w:t>
      </w:r>
    </w:p>
    <w:p>
      <w:pPr>
        <w:spacing w:after="0" w:line="161" w:lineRule="exact"/>
        <w:rPr>
          <w:rFonts w:ascii="Times New Roman" w:cs="Times New Roman" w:eastAsia="Times New Roman" w:hAnsi="Times New Roman"/>
          <w:sz w:val="18"/>
          <w:szCs w:val="18"/>
          <w:color w:val="auto"/>
        </w:rPr>
      </w:pPr>
    </w:p>
    <w:p>
      <w:pPr>
        <w:ind w:left="1300" w:right="140" w:hanging="465"/>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licensors’, as the case may be, proprietary rights to the same extent as the laws of the United States;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rilparencel;</w:t>
      </w:r>
    </w:p>
    <w:p>
      <w:pPr>
        <w:spacing w:after="0" w:line="225" w:lineRule="exact"/>
        <w:rPr>
          <w:rFonts w:ascii="Times New Roman" w:cs="Times New Roman" w:eastAsia="Times New Roman" w:hAnsi="Times New Roman"/>
          <w:sz w:val="18"/>
          <w:szCs w:val="18"/>
          <w:color w:val="auto"/>
        </w:rPr>
      </w:pPr>
    </w:p>
    <w:p>
      <w:pPr>
        <w:ind w:left="1300" w:right="360" w:hanging="465"/>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61" w:lineRule="exact"/>
        <w:rPr>
          <w:rFonts w:ascii="Times New Roman" w:cs="Times New Roman" w:eastAsia="Times New Roman" w:hAnsi="Times New Roman"/>
          <w:sz w:val="18"/>
          <w:szCs w:val="18"/>
          <w:color w:val="auto"/>
        </w:rPr>
      </w:pPr>
    </w:p>
    <w:p>
      <w:pPr>
        <w:jc w:val="both"/>
        <w:ind w:left="1300" w:right="300" w:hanging="465"/>
        <w:spacing w:after="0" w:line="266"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75" w:lineRule="exact"/>
        <w:rPr>
          <w:rFonts w:ascii="Times New Roman" w:cs="Times New Roman" w:eastAsia="Times New Roman" w:hAnsi="Times New Roman"/>
          <w:sz w:val="18"/>
          <w:szCs w:val="18"/>
          <w:color w:val="auto"/>
        </w:rPr>
      </w:pPr>
    </w:p>
    <w:p>
      <w:pPr>
        <w:ind w:left="1300" w:hanging="465"/>
        <w:spacing w:after="0" w:line="266"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75" w:lineRule="exact"/>
        <w:rPr>
          <w:rFonts w:ascii="Times New Roman" w:cs="Times New Roman" w:eastAsia="Times New Roman" w:hAnsi="Times New Roman"/>
          <w:sz w:val="18"/>
          <w:szCs w:val="18"/>
          <w:color w:val="auto"/>
        </w:rPr>
      </w:pPr>
    </w:p>
    <w:p>
      <w:pPr>
        <w:ind w:left="1300" w:right="580" w:hanging="465"/>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or diagnostic tests we develop may be covered by third parties’ patents or other exclusive rights;</w:t>
      </w:r>
    </w:p>
    <w:p>
      <w:pPr>
        <w:spacing w:after="0" w:line="225" w:lineRule="exact"/>
        <w:rPr>
          <w:rFonts w:ascii="Times New Roman" w:cs="Times New Roman" w:eastAsia="Times New Roman" w:hAnsi="Times New Roman"/>
          <w:sz w:val="18"/>
          <w:szCs w:val="18"/>
          <w:color w:val="auto"/>
        </w:rPr>
      </w:pPr>
    </w:p>
    <w:p>
      <w:pPr>
        <w:ind w:left="1300" w:right="100" w:hanging="465"/>
        <w:spacing w:after="0" w:line="266"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owned or in-licensed patents or applications were made with U.S. government funds, it is possible that the U.S. government may assert certain march-in rights to force us or our licensor to grant a license to third-parties to allow them to practice the claimed invention; or</w:t>
      </w:r>
    </w:p>
    <w:p>
      <w:pPr>
        <w:spacing w:after="0" w:line="17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00" w:lineRule="exact"/>
        <w:rPr>
          <w:sz w:val="20"/>
          <w:szCs w:val="20"/>
          <w:color w:val="auto"/>
        </w:rPr>
      </w:pPr>
    </w:p>
    <w:p>
      <w:pPr>
        <w:spacing w:after="0" w:line="34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5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licenses or agreements.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225" w:lineRule="exact"/>
        <w:rPr>
          <w:sz w:val="20"/>
          <w:szCs w:val="20"/>
          <w:color w:val="auto"/>
        </w:rPr>
      </w:pPr>
    </w:p>
    <w:p>
      <w:pPr>
        <w:ind w:left="1300" w:hanging="465"/>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1300" w:right="500" w:hanging="465"/>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rilparencel, our lead product candidate, or any other product candidate’s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225"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1300" w:right="440" w:hanging="465"/>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333"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81" w:lineRule="exact"/>
        <w:rPr>
          <w:sz w:val="20"/>
          <w:szCs w:val="20"/>
          <w:color w:val="auto"/>
        </w:rPr>
      </w:pPr>
    </w:p>
    <w:p>
      <w:pPr>
        <w:ind w:right="260" w:firstLine="509"/>
        <w:spacing w:after="0" w:line="253" w:lineRule="auto"/>
        <w:rPr>
          <w:sz w:val="20"/>
          <w:szCs w:val="20"/>
          <w:color w:val="auto"/>
        </w:rPr>
      </w:pPr>
      <w:r>
        <w:rPr>
          <w:rFonts w:ascii="Times New Roman" w:cs="Times New Roman" w:eastAsia="Times New Roman" w:hAnsi="Times New Roman"/>
          <w:sz w:val="18"/>
          <w:szCs w:val="18"/>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proceedings or defense activities may be less vigorous than had we conducted them ourselves.</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985" w:right="439" w:bottom="0"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384810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negatively impacted, and our business and competitive position would be harmed.</w:t>
      </w:r>
    </w:p>
    <w:p>
      <w:pPr>
        <w:spacing w:after="0" w:line="51" w:lineRule="exact"/>
        <w:rPr>
          <w:sz w:val="20"/>
          <w:szCs w:val="20"/>
          <w:color w:val="auto"/>
        </w:rPr>
      </w:pPr>
    </w:p>
    <w:p>
      <w:pPr>
        <w:ind w:right="260" w:firstLine="509"/>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rely heavily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the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8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75" w:lineRule="exact"/>
        <w:rPr>
          <w:sz w:val="20"/>
          <w:szCs w:val="20"/>
          <w:color w:val="auto"/>
        </w:rPr>
      </w:pPr>
    </w:p>
    <w:p>
      <w:pPr>
        <w:ind w:right="280" w:firstLine="509"/>
        <w:spacing w:after="0" w:line="254"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also plan to adopt policies and conduct training that provides guidance on our expectations, and our advice for best practices, in protecting our trade secrets.</w:t>
      </w:r>
    </w:p>
    <w:p>
      <w:pPr>
        <w:spacing w:after="0" w:line="29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use of AI presents risks and challenges that can impact our business, including by posing security risks to our confidential information, proprietary information, and personal data and could give rise to legal and/or regulatory actions, damage our reputation, or otherwise materially harm our business.</w:t>
      </w:r>
    </w:p>
    <w:p>
      <w:pPr>
        <w:spacing w:after="0" w:line="67" w:lineRule="exact"/>
        <w:rPr>
          <w:sz w:val="20"/>
          <w:szCs w:val="20"/>
          <w:color w:val="auto"/>
        </w:rPr>
      </w:pPr>
    </w:p>
    <w:p>
      <w:pPr>
        <w:ind w:right="300" w:firstLine="509"/>
        <w:spacing w:after="0" w:line="254" w:lineRule="auto"/>
        <w:rPr>
          <w:sz w:val="20"/>
          <w:szCs w:val="20"/>
          <w:color w:val="auto"/>
        </w:rPr>
      </w:pPr>
      <w:r>
        <w:rPr>
          <w:rFonts w:ascii="Times New Roman" w:cs="Times New Roman" w:eastAsia="Times New Roman" w:hAnsi="Times New Roman"/>
          <w:sz w:val="18"/>
          <w:szCs w:val="18"/>
          <w:color w:val="auto"/>
        </w:rPr>
        <w:t>AI is increasingly being used in the biopharmaceutical, pharmaceutical, technology, and consumer health industries. We currently evaluate and monitor potential uses of AI that may present business opportunities to support our business operations and overall business strategy. Issues relating to the use of new and evolving technologies such as AI, machine learning, generative AI, and large language models, may cause us to experience perceived or actual brand or reputational harm, technical harm, competitive harm, legal liability, cybersecurity risks, privacy risks, compliance risks, security risks, ethical issues, and new or enhanced governmental or regulatory scrutiny, and we may incur additional costs to resolve such issues. In the United States, federal and state authorities have adopted, and continue to consider, laws and regulations governing AI, including in jurisdictions where we operate. These requirements are intended to address risks associated with AI, including potential bias, discrimination, privacy, transparency, and accountability concerns, and may impose compliance obligations, increase our costs, and affect our business operations and strategy. In addition, the European Union’s AI Act entered into force in August of 2024, and which will be implemented in phases.</w:t>
      </w:r>
    </w:p>
    <w:p>
      <w:pPr>
        <w:spacing w:after="0" w:line="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necessary, we have developed policies governing the use of AI to encourage appropriate use of AI by our employees, contractors, and authorized agents and that our assets, including intellectual property, competitive information, personal information we may collect or process, and customer information, are protected. Any failure by our personnel, contractors, or other agents to adhere to any policies that we may establish could violate confidentiality obligations or applicable laws and regulations, jeopardize our intellectual property rights, cause or contribute to unlawful discrimination, or result in the misuse of personally identifiable information or the injection of malware into our systems, any of which could have a material adverse effect on our business, results of operations, and financial condition.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79" w:name="page80"/>
    <w:bookmarkEnd w:id="79"/>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be costly and time consuming to defend and could prevent or delay our product discovery, development and commercialization efforts.</w:t>
      </w:r>
    </w:p>
    <w:p>
      <w:pPr>
        <w:spacing w:after="0" w:line="5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rilparencel, our lead product candidate,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rilparencel and/or proprietary technologies infringe their intellectual property rights. Numerous U.S. and foreign issued patents and pending patent applications, which are owned by third parties, exist in the fields in which we are developing rilparencel. As the biotechnology and biopharmaceutical industries expand and more patents are issued, the risk increases that rilparencel may give rise to claims of infringement of the patent rights of others.</w:t>
      </w:r>
    </w:p>
    <w:p>
      <w:pPr>
        <w:spacing w:after="0" w:line="80"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Purple Book Continuity Act, enacted in December 2020 under Title II § 325, directs the FDA for the first time to publicly list certain patent information in the “Purple Book,” a database of approved biological products. Specifically, a reference product sponsor (“RPS”) is required to provide to FDA the list of patents and corresponding expiry dates (referred to here as the “initial list”), not later than 30 days after the RPS has provided the initial list to a 351(k) applicant under section 351(l)(3)(A) or (l)(7) of the Public Health Service Act. Accordingly, the RPS must only provide information on its patents to the FDA for listing in the Purple Book after it engages in the patent dance with a follow-on developer or biosimilar. As such, it is not always clear to industry participants, including us, which patents cover various types of medicines, products or their methods of use or manufacture, especially in the earlier stages of product discovery and development. Thus, because of the large number of patents issued and patent applications filed in our fields, there may be a risk that third parties may allege they have patent rights encompassing our product candidate, technologies or methods.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third party claims that we infringe its intellectual property rights, we may face a number of issues, including, but not limited to:</w:t>
      </w:r>
    </w:p>
    <w:p>
      <w:pPr>
        <w:spacing w:after="0" w:line="225" w:lineRule="exact"/>
        <w:rPr>
          <w:sz w:val="20"/>
          <w:szCs w:val="20"/>
          <w:color w:val="auto"/>
        </w:rPr>
      </w:pPr>
    </w:p>
    <w:p>
      <w:pPr>
        <w:ind w:left="1300" w:right="240" w:hanging="465"/>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13" w:lineRule="exact"/>
        <w:rPr>
          <w:rFonts w:ascii="Times New Roman" w:cs="Times New Roman" w:eastAsia="Times New Roman" w:hAnsi="Times New Roman"/>
          <w:sz w:val="18"/>
          <w:szCs w:val="18"/>
          <w:color w:val="auto"/>
        </w:rPr>
      </w:pPr>
    </w:p>
    <w:p>
      <w:pPr>
        <w:jc w:val="both"/>
        <w:ind w:left="1300" w:right="80" w:hanging="465"/>
        <w:spacing w:after="0" w:line="266"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or technology at issue infringes on or violates the third-party’s rights, and, if the court finds that the infringement was willful, we could be ordered to pay treble damages and the patent owner’s attorneys’ fees;</w:t>
      </w:r>
    </w:p>
    <w:p>
      <w:pPr>
        <w:spacing w:after="0" w:line="27" w:lineRule="exact"/>
        <w:rPr>
          <w:rFonts w:ascii="Times New Roman" w:cs="Times New Roman" w:eastAsia="Times New Roman" w:hAnsi="Times New Roman"/>
          <w:sz w:val="18"/>
          <w:szCs w:val="18"/>
          <w:color w:val="auto"/>
        </w:rPr>
      </w:pPr>
    </w:p>
    <w:p>
      <w:pPr>
        <w:ind w:left="1300" w:right="280" w:hanging="465"/>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rilparencel, or from using our proprietary technologies, unless the third-party licenses its product rights to us, which it is not required to do;</w:t>
      </w:r>
    </w:p>
    <w:p>
      <w:pPr>
        <w:spacing w:after="0" w:line="13" w:lineRule="exact"/>
        <w:rPr>
          <w:rFonts w:ascii="Times New Roman" w:cs="Times New Roman" w:eastAsia="Times New Roman" w:hAnsi="Times New Roman"/>
          <w:sz w:val="18"/>
          <w:szCs w:val="18"/>
          <w:color w:val="auto"/>
        </w:rPr>
      </w:pPr>
    </w:p>
    <w:p>
      <w:pPr>
        <w:jc w:val="both"/>
        <w:ind w:left="1300" w:hanging="465"/>
        <w:spacing w:after="0" w:line="266"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27" w:lineRule="exact"/>
        <w:rPr>
          <w:rFonts w:ascii="Times New Roman" w:cs="Times New Roman" w:eastAsia="Times New Roman" w:hAnsi="Times New Roman"/>
          <w:sz w:val="18"/>
          <w:szCs w:val="18"/>
          <w:color w:val="auto"/>
        </w:rPr>
      </w:pPr>
    </w:p>
    <w:p>
      <w:pPr>
        <w:ind w:left="1300" w:right="840" w:hanging="465"/>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rilparencel or processes so they do not infringe, which may not be possible or may require substantial monetary expenditures and time.</w:t>
      </w:r>
    </w:p>
    <w:p>
      <w:pPr>
        <w:spacing w:after="0" w:line="27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addition, there could be public announcements of the results of hearings, motions or other interim proceedings or developments, and, if securities analysts or investors perceive these results to be negative, it could have a substantial adverse effect on the price of our securities.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assert that we are employing their proprietary technology without authorization.</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There may be third-party patents of which we are currently unaware with claims to compositions of matter, materials, formulations, methods of manufacture or methods for treatment that encompass the composition, use or manufacture of rilparencel. There may be currently pending patent applications of which we are currently unaware which may later result in issued patents that rilparencel or their use or manufacture may infringe. In addition, third parties may obtain patents in the future and claim that use of our technologies infringes upon these patents. If any third-party patent were held by a court of competent jurisdiction to cover rilparencel, intermediates used in the manufacture of rilparencel or our materials generally, aspects of our formulations or methods of use, the holders of any such patent may be able to block our ability to develop and commercialize the product candidate unless</w:t>
      </w:r>
    </w:p>
    <w:p>
      <w:pPr>
        <w:spacing w:after="0" w:line="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80" w:name="page81"/>
    <w:bookmarkEnd w:id="80"/>
    <w:p>
      <w:pPr>
        <w:ind w:right="140"/>
        <w:spacing w:after="0" w:line="256" w:lineRule="auto"/>
        <w:rPr>
          <w:sz w:val="20"/>
          <w:szCs w:val="20"/>
          <w:color w:val="auto"/>
        </w:rPr>
      </w:pPr>
      <w:r>
        <w:rPr>
          <w:rFonts w:ascii="Times New Roman" w:cs="Times New Roman" w:eastAsia="Times New Roman" w:hAnsi="Times New Roman"/>
          <w:sz w:val="18"/>
          <w:szCs w:val="18"/>
          <w:color w:val="auto"/>
        </w:rPr>
        <w:t>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rilparencel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rilparencel.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rilparencel. We may fail to obtain any of these licenses at a reasonable cost or on reasonable terms, if at all. In that event, we would be unable to further develop and commercialize rilparencel, which could harm our business significantly.</w:t>
      </w:r>
    </w:p>
    <w:p>
      <w:pPr>
        <w:spacing w:after="0" w:line="29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trade secrets.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securities.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30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may be relevant to or necessary for the commercialization of rilparencel in any jurisdiction.</w:t>
      </w:r>
    </w:p>
    <w:p>
      <w:pPr>
        <w:spacing w:after="0" w:line="6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rilparencel. Our failure to identify and correctly interpret relevant patents may negatively impact our ability to develop and market our products.</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intellectual property rights to develop any future product candidates on acceptable terms.</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Rilparencel, our current product candidate, may require specific formulations to work effectively and efficiently and these rights may be held by others. We may develop products containing our compounds and pre-existing biopharmaceutical compounds.</w:t>
      </w:r>
    </w:p>
    <w:p>
      <w:pPr>
        <w:jc w:val="center"/>
        <w:ind w:right="-2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3" w:right="619" w:bottom="1440" w:gutter="0" w:footer="0" w:header="0"/>
        </w:sectPr>
      </w:pPr>
    </w:p>
    <w:bookmarkStart w:id="81" w:name="page82"/>
    <w:bookmarkEnd w:id="81"/>
    <w:p>
      <w:pPr>
        <w:ind w:right="100"/>
        <w:spacing w:after="0" w:line="255" w:lineRule="auto"/>
        <w:rPr>
          <w:sz w:val="20"/>
          <w:szCs w:val="20"/>
          <w:color w:val="auto"/>
        </w:rPr>
      </w:pPr>
      <w:r>
        <w:rPr>
          <w:rFonts w:ascii="Times New Roman" w:cs="Times New Roman" w:eastAsia="Times New Roman" w:hAnsi="Times New Roman"/>
          <w:sz w:val="18"/>
          <w:szCs w:val="18"/>
          <w:color w:val="auto"/>
        </w:rPr>
        <w:t>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rilparencel.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or challenging the patent rights of others, which could be expensive, time-consuming and unsuccessful.</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third-party’s U.S. patent by requesting that the USPTO review the patent claims in an ex-parte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third-party’s patent in patent opposition proceedings in the European Patent Office (the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rilparencel or our proprietary technologies.</w:t>
      </w:r>
    </w:p>
    <w:p>
      <w:pPr>
        <w:spacing w:after="0" w:line="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w:t>
      </w:r>
    </w:p>
    <w:p>
      <w:pPr>
        <w:jc w:val="center"/>
        <w:ind w:right="-3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93" w:right="639" w:bottom="1440" w:gutter="0" w:footer="0" w:header="0"/>
        </w:sectPr>
      </w:pPr>
    </w:p>
    <w:bookmarkStart w:id="82" w:name="page83"/>
    <w:bookmarkEnd w:id="82"/>
    <w:p>
      <w:pPr>
        <w:ind w:right="20"/>
        <w:spacing w:after="0" w:line="282" w:lineRule="auto"/>
        <w:rPr>
          <w:sz w:val="20"/>
          <w:szCs w:val="20"/>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If securities analysts or investors perceive these results to be negative, it could have a substantial adverse effect on the price of our securities.</w:t>
      </w:r>
    </w:p>
    <w:p>
      <w:pPr>
        <w:spacing w:after="0" w:line="266"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our owned and in-licensed issued patents and patent applications are or will be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patents covering rilparencel could be found invalid or unenforceable if challenged in court or the USPTO.</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If we or one of our licensors initiate legal proceedings against a third-party to enforce a patent covering rilparencel, the defendant could counterclaim that the patent covering rilparencel,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equivalent proceedings in foreign jurisdictions (e.g., opposition proceedings). Such proceedings could result in revocation or amendment to our patents in such a way that they no longer cover rilparencel.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rilparencel. Such a loss of patent protection could have a material adverse impact on our business and our ability to commercialize or license our technology and product candidates.</w:t>
      </w:r>
    </w:p>
    <w:p>
      <w:pPr>
        <w:spacing w:after="0" w:line="8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have a similar material adverse effect on our business, results of operations, financial condition and prospects.</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changes in the administration’s interpretation of the law, or changes in the law in other jurisdictions could diminish the value of patents in general, thereby impairing our ability to protect our products.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8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Because of a lower evidentiary standard in USPTO</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83" w:name="page84"/>
    <w:bookmarkEnd w:id="83"/>
    <w:p>
      <w:pPr>
        <w:ind w:right="20"/>
        <w:spacing w:after="0" w:line="255" w:lineRule="auto"/>
        <w:rPr>
          <w:sz w:val="20"/>
          <w:szCs w:val="20"/>
          <w:color w:val="auto"/>
        </w:rPr>
      </w:pPr>
      <w:r>
        <w:rPr>
          <w:rFonts w:ascii="Times New Roman" w:cs="Times New Roman" w:eastAsia="Times New Roman" w:hAnsi="Times New Roman"/>
          <w:sz w:val="18"/>
          <w:szCs w:val="18"/>
          <w:color w:val="auto"/>
        </w:rPr>
        <w:t>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9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and enforce our intellectual property rights throughout the world.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Although we have multiple patents in countries outside of the United States, we do not have intellectual property rights in all potential markets outside the United States where CKD is prevalent.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rilparencel or our future product candidates for an adequate amount of time, and if we do not obtain protection under the Hatch-Waxman Amendments and similar non-United States legislation for extending the term of patents covering rilparencel or our future product candidates, our business may be materially harmed.</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claimed U.S. non-provisional filing date. Various extensions, such as patent term adjustments and/or extensions, may be available, but the life of a patent, and the protection it affords, is limited. Even if patents covering rilparencel or any of our future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also known as the Hatch-Waxman Amendments. The Hatch-Waxman Amendments permit a patent extension term of up to five additional years beyond the expiration date as compensation for patent term lost during the FDA regulatory review process. A patent term extension cannot extend the remaining term of a patent beyond a total of 14</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84" w:name="page85"/>
    <w:bookmarkEnd w:id="84"/>
    <w:p>
      <w:pPr>
        <w:ind w:right="120"/>
        <w:spacing w:after="0" w:line="255" w:lineRule="auto"/>
        <w:rPr>
          <w:sz w:val="20"/>
          <w:szCs w:val="20"/>
          <w:color w:val="auto"/>
        </w:rPr>
      </w:pPr>
      <w:r>
        <w:rPr>
          <w:rFonts w:ascii="Times New Roman" w:cs="Times New Roman" w:eastAsia="Times New Roman" w:hAnsi="Times New Roman"/>
          <w:sz w:val="18"/>
          <w:szCs w:val="18"/>
          <w:color w:val="auto"/>
        </w:rPr>
        <w:t>years from the date of product approval and only one patent may be extended. However, we may not be granted the full extension because of, for example, failing to exercise due diligence during the testing phase or regulatory review process. Also, we may not be granted any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spacing w:after="0" w:line="29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otherwise violated, or successfully challenged, resulting in harm to our business.</w:t>
      </w:r>
    </w:p>
    <w:p>
      <w:pPr>
        <w:spacing w:after="0" w:line="51"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rilparencel, if approved for marketing, from the products of our competitors. Once we select new trademarks and apply to register them, our trademark applications may not be approved. Although we would be given an opportunity to respond to those rejections, we may be unable to overcome such rejections. Third parties may oppose or attempt to cancel our trademark applications or trademarks,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or otherwise violate our trademarks and we may not have adequate resources to enforce our trademarks. Any of the foregoing events may have a material adverse effect on our business. Moreover, any name we propose to use with rilparencel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Managing Our Business and Operations</w:t>
      </w:r>
    </w:p>
    <w:p>
      <w:pPr>
        <w:spacing w:after="0" w:line="11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clinical development and research and regulatory capabilities, our manufacturing and administrative capacities, and potentially implement sales, marketing and distribution capabilities, and as a result, we may encounter difficulties in managing our growth, which could adversely affect our operations.</w:t>
      </w:r>
    </w:p>
    <w:p>
      <w:pPr>
        <w:spacing w:after="0" w:line="5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we had approximately 231 full-time employees. As our clinical development and commercialization plans and strategies develop, and as we transition into operating as a public company, we will need to expand our managerial, clinical, regulatory, manufacturing, sales, marketing, financial, development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183" w:lineRule="exact"/>
        <w:rPr>
          <w:sz w:val="20"/>
          <w:szCs w:val="20"/>
          <w:color w:val="auto"/>
        </w:rPr>
      </w:pPr>
    </w:p>
    <w:p>
      <w:pPr>
        <w:ind w:left="1300" w:hanging="465"/>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76" w:lineRule="exact"/>
        <w:rPr>
          <w:rFonts w:ascii="Times New Roman" w:cs="Times New Roman" w:eastAsia="Times New Roman" w:hAnsi="Times New Roman"/>
          <w:sz w:val="18"/>
          <w:szCs w:val="18"/>
          <w:color w:val="auto"/>
        </w:rPr>
      </w:pPr>
    </w:p>
    <w:p>
      <w:pPr>
        <w:ind w:left="1300" w:hanging="465"/>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development and commercialization efforts effectively, including the clinical and FDA review process for rilparencel and any other product candidates, while complying with our contractual obligations to contractors and other third parties; and</w:t>
      </w:r>
    </w:p>
    <w:p>
      <w:pPr>
        <w:spacing w:after="0" w:line="13"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33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ability to continue to develop and, if approved, commercialize rilparencel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68"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rilparencel or any of our future product candidates or otherwise advance our business. There can be no assurance that we will be able to manage our existing consultants or find other competent outside contractors and consultants on economically reasonable terms, or at all.</w:t>
      </w:r>
    </w:p>
    <w:p>
      <w:pPr>
        <w:spacing w:after="0" w:line="81" w:lineRule="exact"/>
        <w:rPr>
          <w:sz w:val="20"/>
          <w:szCs w:val="20"/>
          <w:color w:val="auto"/>
        </w:rPr>
      </w:pPr>
    </w:p>
    <w:p>
      <w:pPr>
        <w:ind w:right="260" w:firstLine="509"/>
        <w:spacing w:after="0" w:line="257"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rilparencel or any other product candidates and, accordingly, may not achieve our research, development and commercialization goals.</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sectPr>
      </w:pPr>
    </w:p>
    <w:bookmarkStart w:id="85" w:name="page86"/>
    <w:bookmarkEnd w:id="85"/>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or if we fail to recruit additional highly skilled personnel, our ability to continue developing rilparencel or identify and develop new product candidates will be impaired, which could result in loss of markets or market share and could make us less competitive.</w:t>
      </w:r>
    </w:p>
    <w:p>
      <w:pPr>
        <w:spacing w:after="0" w:line="67"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and the loss of the services of any of our executive officers, other key employees, and other scientific and medical advisors, and our inability to find suitable replacements could result in delays in product development and harm our business.</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Competition for skilled personnel in our industry is intense and may limit our ability to hire and retain highly qualified personnel on acceptable terms or at all.</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intend to provide equity awards that vest over time, some of which may be in the form of unregistered shares and may dilute the voting and economic rights of our shareholders. The value to employees of such equity awards that vest over time may be significantly affected by movements in our share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Our success also depends on our ability to continue to attract, retain and motivate highly skilled junior, mid-level and senior scientific and medical personnel.</w:t>
      </w:r>
    </w:p>
    <w:p>
      <w:pPr>
        <w:spacing w:after="0" w:line="293"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 care laws and regulations, and laws that require the true, complete and accurate reporting of financial information or data. In particular, sales, marketing and business arrangements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 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9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reputation and ability to operate business operations, manufacturing and clinical studies rely on the performance and security of our computer systems and those of third parties that we utilize in our operations. These systems and those of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rilparencel or any of our future product candidates could be delayed.</w:t>
      </w:r>
    </w:p>
    <w:p>
      <w:pPr>
        <w:spacing w:after="0" w:line="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sectPr>
      </w:pPr>
    </w:p>
    <w:bookmarkStart w:id="86" w:name="page87"/>
    <w:bookmarkEnd w:id="86"/>
    <w:p>
      <w:pPr>
        <w:ind w:right="60"/>
        <w:spacing w:after="0" w:line="255" w:lineRule="auto"/>
        <w:rPr>
          <w:sz w:val="20"/>
          <w:szCs w:val="20"/>
          <w:color w:val="auto"/>
        </w:rPr>
      </w:pPr>
      <w:r>
        <w:rPr>
          <w:rFonts w:ascii="Times New Roman" w:cs="Times New Roman" w:eastAsia="Times New Roman" w:hAnsi="Times New Roman"/>
          <w:sz w:val="18"/>
          <w:szCs w:val="18"/>
          <w:color w:val="auto"/>
        </w:rPr>
        <w:t>disclose sensitive information in order to gain access to our data and/or systems. We may experience threats to our data and systems, including malicious codes and viruses, phishing and other cyber-attacks.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9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cloud services to operate certain aspects of our business and any disruption of or interference with our use of cloud services would impact our operations and our business would be adversely impacted.</w:t>
      </w:r>
    </w:p>
    <w:p>
      <w:pPr>
        <w:spacing w:after="0" w:line="5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cloud services we use provide distributed computing infrastructure platform and application hosting for our business operations. We have architected our software and computer systems to utilize application hosting, storage capabilities, communications and other services provided by cloud-based services. Given this, any disruption of, or interference with, our use of such services would impact our operations and our business would be adversely impacted.</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privacy and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Depending on the facts and circumstances, we could be subject to civil or criminal penalties if we obtain, use, or disclose individually identifiable health information maintained by a HIPAA-covered entity in a manner that is not authorized or permitted by HIPAA.</w:t>
      </w:r>
    </w:p>
    <w:p>
      <w:pPr>
        <w:spacing w:after="0" w:line="8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California recently enacted the CCPA, which creates new individual privacy rights for California consumers (as defined in the law) and places increased privacy and security obligations on entities handling personal data of consumers or households. The CCPA became effective on January 1, 2020, and was significantly amended by the CPRA, which became effective on January 1, 2023. Among other things, the CPRA established a new regulatory authority, the California Privacy Protection Agency, which is tasked with enacting new regulations under the CPRA and will have expanded enforcement authority. Various other states such as Colorado, Connecticut, Delaware, Florida, Indiana, Iowa, Kentucky, Maryland, Montana, Nebraska, New Hampshire, New Jersey, Oregon, Rhode Island, Tennessee, Texas, Utah, and Virginia have enacted their own privacy laws similar to the CCPA, and other states are considering proposals for such laws, all of which increases the complexity of compliance and the risk of failures to comply. These privacy laws may impact our business activities and exemplify the vulnerability of our business to the evolving and increasingly complex regulatory environment related to personal data.</w:t>
      </w:r>
    </w:p>
    <w:p>
      <w:pPr>
        <w:spacing w:after="0" w:line="80"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87" w:name="page88"/>
    <w:bookmarkEnd w:id="87"/>
    <w:p>
      <w:pPr>
        <w:ind w:right="20"/>
        <w:spacing w:after="0" w:line="266" w:lineRule="auto"/>
        <w:rPr>
          <w:sz w:val="20"/>
          <w:szCs w:val="20"/>
          <w:color w:val="auto"/>
        </w:rPr>
      </w:pPr>
      <w:r>
        <w:rPr>
          <w:rFonts w:ascii="Times New Roman" w:cs="Times New Roman" w:eastAsia="Times New Roman" w:hAnsi="Times New Roman"/>
          <w:sz w:val="18"/>
          <w:szCs w:val="18"/>
          <w:color w:val="auto"/>
        </w:rPr>
        <w:t>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 or policy could increase our effective tax rate and tax liability or the taxes payable by holders of our common stock, each of which could have a material adverse effect on our business, financial condition and results of operations.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could be adversely affected by changes in applicable tax laws, regulations, or administrative interpretations thereof. For example, the U.S. federal tax legislation commonly referred to as the Tax Cuts and Jobs Act (the “Tax Act”), enacted in December 2017, resulted in fundamental changes to the Internal Revenue Code of 1986, as amended (the “Code”) including, among many other things, a reduction to the federal corporate income tax rate, a partial limitation on the deductibility of business interest expense, a limitation on the deductibility of certain director and officer compensation expense, limitations on net operating loss carrybacks and carryovers and changes relating to the scope and timing of U.S. taxation on earnings from international business operations. Subsequent legislation, the Coronavirus Aid, Relief, and Economic Security Act (the “CARES Act”) enacted on March 27, 2020, relaxed certain of the limitations imposed by the Tax Act for certain taxable years, including the limitation on the use and carryback of net operating losses and the limitation on the deductibility of business interest expense. The exact impact of the Tax Act and the CARES Act for future years is difficult to quantify, but these changes could materially affect our investors, the companies in which our clients invest, or us. Legislative proposals in the U.S., if adopted, would increase the corporate income tax rate and capital gains tax rate. In addition, other changes could be enacted in the future to limit further the deductibility of interest, subject carried interests to more onerous taxation or effect other changes that could have a material adverse effect on our business, results of operations and financial condition.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accrued amounts.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or may become subject to taxation in more than one tax jurisdiction.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newly enacted tax legislation, changes in the mix of our profitability from jurisdiction to jurisdiction,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3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will be subject, directly or indirectly, to income taxes in various jurisdictions, and our tax liabilities will be subject to the allocation of expenses in differing jurisdictions. Our future effective tax rates could be subject to volatility or adversely affected by a number of factors, including:</w:t>
      </w:r>
    </w:p>
    <w:p>
      <w:pPr>
        <w:spacing w:after="0" w:line="162" w:lineRule="exact"/>
        <w:rPr>
          <w:sz w:val="20"/>
          <w:szCs w:val="20"/>
          <w:color w:val="auto"/>
        </w:rPr>
      </w:pPr>
    </w:p>
    <w:p>
      <w:pPr>
        <w:ind w:left="1300" w:hanging="465"/>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76"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76"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share-based compensation;</w:t>
      </w:r>
    </w:p>
    <w:p>
      <w:pPr>
        <w:spacing w:after="0" w:line="76"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76" w:lineRule="exact"/>
        <w:rPr>
          <w:rFonts w:ascii="Times New Roman" w:cs="Times New Roman" w:eastAsia="Times New Roman" w:hAnsi="Times New Roman"/>
          <w:sz w:val="18"/>
          <w:szCs w:val="18"/>
          <w:color w:val="auto"/>
        </w:rPr>
      </w:pPr>
    </w:p>
    <w:p>
      <w:pPr>
        <w:ind w:left="1300" w:hanging="465"/>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76" w:lineRule="exact"/>
        <w:rPr>
          <w:rFonts w:ascii="Times New Roman" w:cs="Times New Roman" w:eastAsia="Times New Roman" w:hAnsi="Times New Roman"/>
          <w:sz w:val="18"/>
          <w:szCs w:val="18"/>
          <w:color w:val="auto"/>
        </w:rPr>
      </w:pPr>
    </w:p>
    <w:p>
      <w:pPr>
        <w:ind w:left="1300" w:right="340" w:hanging="465"/>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lower-than-anticipated future earnings in jurisdictions where we have lower statutory tax rates and higher-than-anticipated future earnings in jurisdictions where we have higher statutory tax rates.</w:t>
      </w:r>
    </w:p>
    <w:p>
      <w:pPr>
        <w:spacing w:after="0" w:line="27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26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shareholders have significant influence over us, including over decisions that require the approval of shareholders, and their interests may conflict with the interests of holders of ProKidney Corp. Class A common stock.</w:t>
      </w:r>
    </w:p>
    <w:p>
      <w:pPr>
        <w:spacing w:after="0" w:line="51" w:lineRule="exact"/>
        <w:rPr>
          <w:sz w:val="20"/>
          <w:szCs w:val="20"/>
          <w:color w:val="auto"/>
        </w:rPr>
      </w:pPr>
    </w:p>
    <w:p>
      <w:pPr>
        <w:jc w:val="both"/>
        <w:ind w:right="100" w:firstLine="509"/>
        <w:spacing w:after="0" w:line="255" w:lineRule="auto"/>
        <w:rPr>
          <w:sz w:val="20"/>
          <w:szCs w:val="20"/>
          <w:color w:val="auto"/>
        </w:rPr>
      </w:pPr>
      <w:r>
        <w:rPr>
          <w:rFonts w:ascii="Times New Roman" w:cs="Times New Roman" w:eastAsia="Times New Roman" w:hAnsi="Times New Roman"/>
          <w:sz w:val="18"/>
          <w:szCs w:val="18"/>
          <w:color w:val="auto"/>
        </w:rPr>
        <w:t>Pablo Legorreta, as Chairperson of the Board, is affiliated with and majority owns and controls Tolerantia LLC (“Tolerantia”). Tolerantia and Control Empresarial de Capitales, S.A. de C.V. (“CEC”) together own a significant portion of our outstanding common stock. As a result, Tolerantia, CEC and their affiliates have significant influence over the management and affairs of the Company, and if these stockholders act together, effectively control the election, appointment or removal of any</w:t>
      </w:r>
    </w:p>
    <w:p>
      <w:pPr>
        <w:spacing w:after="0" w:line="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93" w:right="639" w:bottom="1440" w:gutter="0" w:footer="0" w:header="0"/>
        </w:sectPr>
      </w:pPr>
    </w:p>
    <w:bookmarkStart w:id="88" w:name="page89"/>
    <w:bookmarkEnd w:id="88"/>
    <w:p>
      <w:pPr>
        <w:ind w:right="140"/>
        <w:spacing w:after="0" w:line="266" w:lineRule="auto"/>
        <w:rPr>
          <w:sz w:val="20"/>
          <w:szCs w:val="20"/>
          <w:color w:val="auto"/>
        </w:rPr>
      </w:pPr>
      <w:r>
        <w:rPr>
          <w:rFonts w:ascii="Times New Roman" w:cs="Times New Roman" w:eastAsia="Times New Roman" w:hAnsi="Times New Roman"/>
          <w:sz w:val="18"/>
          <w:szCs w:val="18"/>
          <w:color w:val="auto"/>
        </w:rPr>
        <w:t>director and have indirect control over the approval of significant corporate transactions, including any merger, consolidation or sale of all or substantially all of our assets and the issuance or redemption of equity interests in certain circumstances, to the extent such matters require approval of the Board.</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interests of Tolerantia and CEC may not always coincide with, and in some cases may conflict with, our interests and the interests of our other shareholders, including the holders of ProKidney Class A common stock. This concentration of ownership may also affect the prevailing market price of ProKidney Class A common stock due to investors’ perceptions that conflicts of interest may exist or arise. As a result, this concentration of ownership may not be in your best interests.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because these shareholders hold their economic interest in our business primarily through PK Holdings, rather than through ProKidney Corp., their interests may further conflict with the interests of holders of ProKidney Class A common stock. These holders’ significant ownership in ProKidney Corp. and resulting ability, acting together, to effectively control us may discourage someone from making a significant equity investment in ProKidney Corp., or could discourage transactions involving a change in control, including transactions in which a holder of ProKidney Class A common stock might otherwise receive a premium for their shares over the then-current market price.</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governance documents and Delaware law may prevent or delay an acquisition of our business, which could decrease the market price of our common stock.</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corporate governance documents and Delaware law contain provisions that are intended to deter or delay coercive takeover practices and inadequate takeover bids, including placing limitations on convening stockholder meetings and stockholders acting by consent. Additionally, Delaware law imposes some restrictions on mergers and other business combinations between us and any holder of 15% or more of our outstanding common stock. These provisions may prevent or delay an acquisition that some stockholders may consider beneficial, which could decrease the market price of our common stock.</w:t>
      </w:r>
    </w:p>
    <w:p>
      <w:pPr>
        <w:spacing w:after="0" w:line="28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51"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We currently qualify as an “emerging growth company” as defined in Section 2(a)(19) of the Securities Act, as modified by the Jumpstart Our Business Startups Act of 2012, as amended (the “JOBS Act”). As such, we take advantage of certain exemptions from various reporting requirements applicable to other public companies that are not emerging growth companies for as long as we continue to be an emerging growth company, including:</w:t>
      </w:r>
    </w:p>
    <w:p>
      <w:pPr>
        <w:spacing w:after="0" w:line="1" w:lineRule="exact"/>
        <w:rPr>
          <w:sz w:val="20"/>
          <w:szCs w:val="20"/>
          <w:color w:val="auto"/>
        </w:rPr>
      </w:pPr>
    </w:p>
    <w:p>
      <w:pPr>
        <w:ind w:right="60" w:firstLine="8"/>
        <w:spacing w:after="0" w:line="251" w:lineRule="auto"/>
        <w:tabs>
          <w:tab w:leader="none" w:pos="2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exemption from the auditor attestation requirements with respect to internal control over financial reporting under Section 404 of SOX; (ii) the exemptions from say-on-pay, say-on-frequency and say-on-golden parachute voting requirements; and (iii) reduced disclosure obligations regarding executive compensation in our periodic reports and proxy statements. As a result, our shareholders may not have access to certain information they deem important. We will remain an emerging growth company until the earliest of (i) the last day of the fiscal year: (a) following July 2, 2026, the fifth (5th) anniversary of our initial public offering (consummated as Social Capital Suvretta Holdings Corp. III); (b) in which we have total annual gross revenue of at least $1.235 billion; or (c) in which we are deemed to be a large accelerated filer, which means the market value of our Class A common stock that is held by non-affiliates equals or exceeds $700 million as of the last business day of our prior second fiscal quarter, and (ii) the date on which we have issued more than $1.0 billion in non-convertible debt during the prior three-year period.</w:t>
      </w:r>
    </w:p>
    <w:p>
      <w:pPr>
        <w:spacing w:after="0" w:line="8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8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continue to qualify as a smaller reporting company as long as 1) our public float is less than $250 million as of the last business day of the prior second fiscal quarter, or 2) we have less than $100 million in annual revenues and public float of less than $700 million as of the last business day of the prior second fiscal quarter.</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89" w:name="page90"/>
    <w:bookmarkEnd w:id="89"/>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share price may be more volatile.</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5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to comply with the SEC’s rules implementing Sections 302 and 404 of the Sarbanes-Oxley Act of 2002, as amended, which require management to certify financial and other information in our quarterly and annual reports and provide an annual management report on the effectiveness of internal control over financial reporting. To comply with the requirements of being a public company, we may need to undertake various actions, such as implementing additional internal controls and procedures and hiring additional accounting or internal audit staff. As an emerging growth company and our status as a smaller reporting company with limited revenue, our independent registered public accounting firm is not required to formally attest to the effectiveness of our internal controls over financial reporting pursuant to Section 404 until the date we no longer meet the requirements for an exemption. At such time, our independent registered public accounting firm may issue a report that is adverse in the event that it is not satisfied with the level at which our controls are documented, designed or operating.</w:t>
      </w:r>
    </w:p>
    <w:p>
      <w:pPr>
        <w:spacing w:after="0" w:line="84"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Testing and maintaining these controls can divert our management’s attention from other matters that are important to the operation of our business. If we identify material weaknesses in our internal control over financial reporting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meet the requirements for an exemption,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prices and inflation could negatively impact our margin performance and our financial results.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Increased inflation, including rising prices for raw materials, parts and components, freight, packaging, labor and energy increases, the costs to manufacture and distribute our products, and we may be unable to pass these costs on to our customers. Additionally, we are exposed to fluctuations in other costs such as packaging, freight, labor and energy prices. If inflation in these costs increases beyond our ability to control for them through measures such as implementing operating efficiencies, we may not be able to increase prices to sufficiently offset the effect of various cost increases without negatively impacting customer demand, thereby negatively impacting our margin performance and results of operations.</w:t>
      </w:r>
    </w:p>
    <w:p>
      <w:pPr>
        <w:spacing w:after="0" w:line="28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risks could result in increased market volatility and uncertainty, which could negatively impact our business, financial condition, and results of operations.</w:t>
      </w:r>
    </w:p>
    <w:p>
      <w:pPr>
        <w:spacing w:after="0" w:line="51" w:lineRule="exact"/>
        <w:rPr>
          <w:sz w:val="20"/>
          <w:szCs w:val="20"/>
          <w:color w:val="auto"/>
        </w:rPr>
      </w:pPr>
    </w:p>
    <w:p>
      <w:pPr>
        <w:ind w:firstLine="554"/>
        <w:spacing w:after="0" w:line="254" w:lineRule="auto"/>
        <w:rPr>
          <w:sz w:val="20"/>
          <w:szCs w:val="20"/>
          <w:color w:val="auto"/>
        </w:rPr>
      </w:pPr>
      <w:r>
        <w:rPr>
          <w:rFonts w:ascii="Times New Roman" w:cs="Times New Roman" w:eastAsia="Times New Roman" w:hAnsi="Times New Roman"/>
          <w:sz w:val="18"/>
          <w:szCs w:val="18"/>
          <w:color w:val="auto"/>
        </w:rPr>
        <w:t>The uncertain nature, scope, magnitude, and duration of hostilities stemming from geopolitical conflicts, including the potential effects of such hostilities as well as sanctions, embargoes, asset freezes, cyberattacks and other actions taken in response to such hostilities on the world economy and markets, have disrupted global markets and contributed to increased market volatility and uncertainty, which could have an adverse impact on macroeconomic and other factors that affect our business and supply chain. Any disruption in our supply chain could reduce our revenue and adversely impact our financial results. Such a disruption could occur as a result of any number of events, including, but not limited to, military conflicts, geopolitical developments, war or terrorism, including the ongoing conflicts in Ukraine and Israel and disruptions in utility and other services. Any inability to obtain adequate deliveries or any other circumstance that would require us to seek alternative sources of supply or to manufacture, assemble, and test such components internally could significantly delay our ability to ship our products, which could damage relationships with current and prospective customers and could harm our reputation and brand and could adversely affect our business, financial condition, and results of operations.</w:t>
      </w:r>
    </w:p>
    <w:p>
      <w:pPr>
        <w:spacing w:after="0" w:line="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do not and cannot know if the ongoing conflicts and the economic sanctions imposed as a result of the conflicts, could escalate and result in broader economic and security concerns which could adversely affect our supply chain, suppliers, customers, and potential customers. It is not possible to predict the broader consequences of these conflicts, which could include further sanctions, embargoes, regional instability, geopolitical shifts and adverse effects on macroeconomic conditions, the availability and cost of materials, supplies, labor, currency exchange rates and financial markets, all of which could have a material adverse effect on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U.S. tariff and import/export regulations may have an adverse effect on our business, financial condition and results of operations.</w:t>
      </w:r>
    </w:p>
    <w:p>
      <w:pPr>
        <w:spacing w:after="0" w:line="121" w:lineRule="exact"/>
        <w:rPr>
          <w:sz w:val="20"/>
          <w:szCs w:val="20"/>
          <w:color w:val="auto"/>
        </w:rPr>
      </w:pPr>
    </w:p>
    <w:p>
      <w:pPr>
        <w:ind w:left="5540" w:right="1740" w:hanging="5016"/>
        <w:spacing w:after="0" w:line="282" w:lineRule="auto"/>
        <w:rPr>
          <w:sz w:val="20"/>
          <w:szCs w:val="20"/>
          <w:color w:val="auto"/>
        </w:rPr>
      </w:pPr>
      <w:r>
        <w:rPr>
          <w:rFonts w:ascii="Times New Roman" w:cs="Times New Roman" w:eastAsia="Times New Roman" w:hAnsi="Times New Roman"/>
          <w:sz w:val="18"/>
          <w:szCs w:val="18"/>
          <w:color w:val="auto"/>
        </w:rPr>
        <w:t>There have been significant changes and continue to be ongoing discussion and commentary regarding potential significant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90" w:name="page91"/>
    <w:bookmarkEnd w:id="90"/>
    <w:p>
      <w:pPr>
        <w:spacing w:after="0" w:line="258" w:lineRule="auto"/>
        <w:rPr>
          <w:sz w:val="20"/>
          <w:szCs w:val="20"/>
          <w:color w:val="auto"/>
        </w:rPr>
      </w:pPr>
      <w:r>
        <w:rPr>
          <w:rFonts w:ascii="Times New Roman" w:cs="Times New Roman" w:eastAsia="Times New Roman" w:hAnsi="Times New Roman"/>
          <w:sz w:val="18"/>
          <w:szCs w:val="18"/>
          <w:color w:val="auto"/>
        </w:rPr>
        <w:t>changes to U.S. trade policies, treaties and tariffs, creating significant uncertainty about the future relationship between the United States and other countries with respect to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have a material adverse effect on our business, financial condition, results of operations, and the market price of our common stock.</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stock market is volatile, and fluctuations in our operating results, removal from various indices and other factors could cause our stock price to decline.</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stock market has experienced, and may continue to experience, fluctuations that significantly impact the market prices of securities issued by many companies. Market fluctuations could adversely affect our stock price. These fluctuations have often been unrelated or disproportionate to the operating performance of particular companies. These broad market fluctuations, as well as general economic, systemic, political and market conditions, such as pandemics, recessions, loss of investor confidence, interest rate changes, government shutdowns, or trade wars, may negatively affect the market price of our Class A common stock. Moreover, our operating results may fluctuate and vary from period to period due to risk factors set forth herein and described in this Annual Report.</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Although our Class A common stock is quoted on The NASDAQ Capital Market (“NASDAQ”), the volume of trades on any given day has been limited historically, as a result of which stockholders might not have been able to sell or purchase our Class A common stock at the volume, price or time desired. In June 2023, our Class A common stock was added to the Russell 3000® Index. If our Class A common stock is removed from the Russell 3000® Index because it does not meet the criteria for continued inclusion in such index, index funds, institutional investors, or other holders attempting to track the composition of that index may be required to sell our Class A common stock, which would adversely impact the price and frequency at which it trades.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the de-listing of our Class A common stock.</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securities. Such a de-listing would likely have a negative effect on the price of our Class A common stock and would impair your ability to sell or purchase our Class A common stock when you wish to do so. In the event of a de-listing, we would take actions to restore our compliance with NASDAQ’s listing requirements, but we can provide no assurance that any such action taken by us would allow our Class A common stock to become listed again, stabilize the market price or improve the liquidity of our Class A common stock, prevent our Class A common stock from dropping below the NASDAQ minimum bid price requirement or prevent future non-compliance with NASDAQ’s listing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 is our interest in PK Holdings, and we are accordingly dependent upon distributions made by our subsidiaries to pay taxes, make payments under the Tax Receivable Agreement and pay dividends.</w:t>
      </w:r>
    </w:p>
    <w:p>
      <w:pPr>
        <w:spacing w:after="0" w:line="51" w:lineRule="exact"/>
        <w:rPr>
          <w:sz w:val="20"/>
          <w:szCs w:val="20"/>
          <w:color w:val="auto"/>
        </w:rPr>
      </w:pPr>
    </w:p>
    <w:p>
      <w:pPr>
        <w:ind w:right="300" w:firstLine="509"/>
        <w:spacing w:after="0" w:line="254" w:lineRule="auto"/>
        <w:rPr>
          <w:sz w:val="20"/>
          <w:szCs w:val="20"/>
          <w:color w:val="auto"/>
        </w:rPr>
      </w:pPr>
      <w:r>
        <w:rPr>
          <w:rFonts w:ascii="Times New Roman" w:cs="Times New Roman" w:eastAsia="Times New Roman" w:hAnsi="Times New Roman"/>
          <w:sz w:val="18"/>
          <w:szCs w:val="18"/>
          <w:color w:val="auto"/>
        </w:rPr>
        <w:t>We are a holding company with no material assets other than our ownership interest in PK Holdings. As a result, we have no independent means of generating revenue or cash flow. We are party to the Tax Receivable Agreement, as amended and restated as of July 1, 2025, (the “Tax Receivable Agreement” or “TRA”) by and among ProKidney Corp., the TRA party representative and the TRA Parties (as defined in the Tax Receivable Agreement). Our ability to pay taxes, make payments under the Tax Receivable Agreement and pay dividends, if any, will depend on the financial results and cash flows of PK Holdings and its subsidiaries and the distributions we receive from PK Holdings. Deterioration in the financial condition, earnings or cash flow of PK Holdings and its subsidiaries, for any reason, could limit or impair our ability to pay such distributions. Additionally, to the extent that we need funds and PK Holdings and/or any of its subsidiaries are restricted from making such distributions under applicable law or regulation or under the terms of any financing arrangements, or PK Holdings is otherwise unable to provide such funds, it could materially adversely affect our liquidity and financial condition.</w:t>
      </w:r>
    </w:p>
    <w:p>
      <w:pPr>
        <w:spacing w:after="0" w:line="80" w:lineRule="exact"/>
        <w:rPr>
          <w:sz w:val="20"/>
          <w:szCs w:val="20"/>
          <w:color w:val="auto"/>
        </w:rPr>
      </w:pPr>
    </w:p>
    <w:p>
      <w:pPr>
        <w:ind w:right="320" w:firstLine="509"/>
        <w:spacing w:after="0" w:line="252" w:lineRule="auto"/>
        <w:rPr>
          <w:sz w:val="20"/>
          <w:szCs w:val="20"/>
          <w:color w:val="auto"/>
        </w:rPr>
      </w:pPr>
      <w:r>
        <w:rPr>
          <w:rFonts w:ascii="Times New Roman" w:cs="Times New Roman" w:eastAsia="Times New Roman" w:hAnsi="Times New Roman"/>
          <w:sz w:val="18"/>
          <w:szCs w:val="18"/>
          <w:color w:val="auto"/>
        </w:rPr>
        <w:t>PK Holdings will continue to be treated as a partnership for U.S. federal income tax purposes and, as such, generally will not be subject to any entity-level U.S. federal income tax. Instead, the taxable income of PK Holdings will be allocated to holders of common units of PK Holdings (the “ProKidney Common Units”), including ProKidney Corp. Accordingly, we may be required to pay income taxes on our allocable share of any net taxable income of PK Holdings (e.g., U.S. federal income and branch profits tax to the extent such net taxable income is effectively connected to the conduct of a trade or business in the United States). Under the terms of the second amended and restated limited liability company agreement of PK Holdings, as amended (the “Second Amended and Restated ProKidney Limited Liability Company Agreement”), PK Holdings is obligated to make tax distributions to holders of ProKidney Common Units (including ProKidney Corp.) calculated at certain assumed tax rates. In addition to tax expenses, we will also incur expenses related to our operations, including payment obligations under the Tax Receivable Agreement (and the cost of administering such payment obligations), which could be significant and some of which may be reimbursed by PK Holdings (excluding payment obligations under the Tax Receivable Agreement). We intend to cause PK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1" w:name="page92"/>
    <w:bookmarkEnd w:id="91"/>
    <w:p>
      <w:pPr>
        <w:ind w:right="20"/>
        <w:spacing w:after="0" w:line="253" w:lineRule="auto"/>
        <w:rPr>
          <w:sz w:val="20"/>
          <w:szCs w:val="20"/>
          <w:color w:val="auto"/>
        </w:rPr>
      </w:pPr>
      <w:r>
        <w:rPr>
          <w:rFonts w:ascii="Times New Roman" w:cs="Times New Roman" w:eastAsia="Times New Roman" w:hAnsi="Times New Roman"/>
          <w:sz w:val="18"/>
          <w:szCs w:val="18"/>
          <w:color w:val="auto"/>
        </w:rPr>
        <w:t>Holdings to make distributions to holders of ProKidney Common Units pro rata, in amounts sufficient to cover all applicable income taxes (calculated at assumed tax rates), relevant operating expenses, payments required to be made by us under the Tax Receivable Agreement and dividends, if any, declared by us. However, as discussed below, PK Holdings’ ability to make such distributions may be subject to various limitations and restrictions including, but not limited to, restrictions on distributions that would either violate any contract or agreement to which PK Holdings is then a party, including debt agreements, or any applicable law, or that would have the effect of rendering PK Holdings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its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 which could be substantial.</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Additionally, although PK Holdings generally will not be subject to any entity-level U.S. federal income tax, it may be liable under federal tax legislation for adjustments to its tax return, absent an election to the contrary. In the event PK Holdings’ calculations of taxable income are incorrect, its members, including ProKidney Corp., in later years may be subject to material liabilities pursuant to this federal legislation and its related guidance.</w:t>
      </w:r>
    </w:p>
    <w:p>
      <w:pPr>
        <w:spacing w:after="0" w:line="6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anticipate that the distributions we will receive from PK Holdings may, in certain periods, exceed our actual tax liabilities and obligations to make payments under the Tax Receivable Agreement. The Board, in its sole discretion, may make any determination from time to time with respect to the use of any such excess cash so accumulated, which may include, among other uses, to pay dividends on ProKidney Class A common stock. We will have no obligation to distribute such cash (or other available cash other than any declared dividend) to our shareholders.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Dividends on ProKidney Class A common stock, if any, will be paid at the discretion of the Board, which will consider, among other things, our business, operating results, financial condition, current and expected cash needs, plans for expansion and any legal or contractual limitations on our ability to pay such dividends. Financing arrangements may include restrictive covenants that restrict our ability to pay dividends or make other distributions to our shareholders.</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ProKidney’s subsidiaries are generally subject to similar legal limitations on their ability to make distributions to ProKidney. If ProKidney does not have sufficient funds to make distributions, our ability to declare and pay cash dividends may also be restricted or impaired.</w:t>
      </w:r>
    </w:p>
    <w:p>
      <w:pPr>
        <w:spacing w:after="0" w:line="26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PK Holdings will be required to make distributions to us and the other holders of ProKidney Common Units, and the distributions that PK Holdings will be required to make may be substantial.</w:t>
      </w:r>
    </w:p>
    <w:p>
      <w:pPr>
        <w:spacing w:after="0" w:line="3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PK Holdings will generally be required from time to time to make pro rata distributions in cash to us and the other holders of ProKidney Common Units at certain assumed tax rates in amounts that are intended to be sufficient to cover the taxes on our and the other holders of ProKidney Common Units respective allocable shares of the taxable income of PK Holdings. As a result of (i) potential differences in the amount of net taxable income allocable to us and the other holders of ProKidney Common Units, (ii) the lower tax rate applicable to corporations than individuals, (iii) our status as a non-U.S. person and (iv) the use of an assumed tax rate (the highest effective marginal combined U.S. federal, state and local income tax rate prescribed for an individual or corporate resident of New York, New York) in calculating PK Holdings’s distribution obligations, we may receive tax distributions significantly in excess of our tax liabilities and obligations to make payments under the Tax Receivable Agreement. We will determine in our sole discretion the appropriate uses for any excess cash so accumulated, which may include, among other uses, dividends, the payment of obligations under the Tax Receivable Agreement and the payment of other expenses. We will have no obligation to distribute such excess cash (or other available cash other than any declared dividend) to the holders of ProKidney Class A common stock. No adjustments to the redemption or exchange ratio of ProKidney Common Units for ProKidney Class A common stock will be made as a result of either (i) any cash dividend by us or (ii) any cash that we retain and do not distribute to our shareholders. To the extent that we do not distribute such excess cash as dividends on ProKidney Class A common stock and instead, for example, holds such cash balances or lends them to PK Holdings, holders of ProKidney Common Units would benefit from any value attributable to such cash balances as a result of their ownership of ProKidney Class A common stock following a redemption or exchange of their ProKidney Common Units.</w:t>
      </w:r>
    </w:p>
    <w:p>
      <w:pPr>
        <w:spacing w:after="0" w:line="300"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Under the Tax Receivable Agreement, we are required to pay 85% of certain tax savings recognized by ProKidney Corp. as a result of the increases in tax basis of ProKidney assets attributable to the exchanges of ProKidney Common Units for ProKidney Class A common stock and certain other tax benefits, and those payments may be substantial.</w:t>
      </w:r>
    </w:p>
    <w:p>
      <w:pPr>
        <w:spacing w:after="0" w:line="6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Holders of ProKidney Common Units have exchanged and may in the future exchange additional ProKidney Common Units for ProKidney Class A common stock or, subject to certain restrictions, cash, pursuant to the Exchange Agreement, originally dated as of July 11, 2022, and amended and restated as of July 1, 2025 (the “Exchange Agreement”) by and among us, PK Holdings and holders of PKLP prior to the Closing (“Closing ProKidney Unitholders”), subject to certain conditions and transfer restrictions as</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3" w:right="619" w:bottom="1440" w:gutter="0" w:footer="0" w:header="0"/>
        </w:sectPr>
      </w:pPr>
    </w:p>
    <w:bookmarkStart w:id="92" w:name="page93"/>
    <w:bookmarkEnd w:id="92"/>
    <w:p>
      <w:pPr>
        <w:ind w:right="100"/>
        <w:spacing w:after="0" w:line="256" w:lineRule="auto"/>
        <w:rPr>
          <w:sz w:val="20"/>
          <w:szCs w:val="20"/>
          <w:color w:val="auto"/>
        </w:rPr>
      </w:pPr>
      <w:r>
        <w:rPr>
          <w:rFonts w:ascii="Times New Roman" w:cs="Times New Roman" w:eastAsia="Times New Roman" w:hAnsi="Times New Roman"/>
          <w:sz w:val="18"/>
          <w:szCs w:val="18"/>
          <w:color w:val="auto"/>
        </w:rPr>
        <w:t>set forth therein and in the Second Amended and Restated ProKidney Limited Liability Company Agreement. The exchanges that have occurred prior to the Domestication have not resulted in an increase in our allocable share of the tax basis of the tangible and intangible assets of PKLP since ProKidney Corp. was domiciled in a non-taxable jurisdiction. However, exchanges occurring after the Domestication and future exchanges may result in increases in our allocable share of the tax basis of the tangible and intangible assets of PK Holdings under certain circumstances. These increases in tax basis may increase (for tax purposes) depreciation and amortization deductions and therefore reduce the amount of income or franchise tax that we would otherwise be required to pay in the future had such exchanges never occurred.</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Tax Receivable Agreement generally provides for the payment by the Company of 85% of certain tax savings, if any, that we recognize as a result of these increases in tax basis and certain other tax attributes of PK Holdings and tax benefits related to entering into the Tax Receivable Agreement. These payments are the obligation of ProKidney Corp. and not of PK Holdings. The actual increase in our allocable share of ProKidney’s tax basis in its assets, as well as the amount and timing of any payments under the Tax Receivable Agreement, will vary depending upon a number of factors, including the timing of exchanges, the market price of the Class A common stock at the time of the exchange, the extent to which such exchanges are taxable and the amount and timing of the recognition of our income. Many of the factors that will determine the amount of payments that we will make under the Tax Receivable Agreement are outside of our control and such payments, if any, could be substantial and could have a material adverse effect on our financial condition. The payments under the Tax Receivable Agreement could be material.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Furthermore, our future obligation to make payments under the Tax Receivable Agreement could make it a less attractive target for an acquisition, particularly in the case of an acquirer that cannot use some or all of the tax benefits that may be deemed realized under the Tax Receivable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exceed the actual tax benefits we realize or may be accelerated.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IRS or any other taxing authorities may challenge all or any part of the tax basis increases, as well as other tax positions that we take, and a court may sustain such a challenge. In the event any tax benefits initially claimed by us are disallowed, the Closing ProKidney Unitholders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 the Tax Receivable Agreement in excess of our actual income or franchise tax savings, which could materially impair our financial condition.</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the Tax Receivable Agreement provides that, in the event that (i) we exercise our early termination rights under the Tax Receivable Agreement, (ii) the Tax Receivable Agreement is rejected by operation of law in a bankruptcy case, (iii) certain changes of control of ProKidney Corp. occur (as described in the Tax Receivable Agreement) or (iv) we are more than three months late in making a payment due under the Tax Receivable Agreement (unless we in good faith determine that we have insufficient funds to make such payment) or otherwise materially breach any of our material obligations under the Tax Receivable Agreement, our obligations under the Tax Receivable Agreement will accelerate, and we will be required to make an immediate lump-sum cash payment to the Closing ProKidney Unitholders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Closing ProKidney Unitholders could be substantial and could exceed the actual tax benefits that we realize subsequent to such payment because such payment would be calculated assuming, among other things, that we would be able to use the assumed potential tax benefits in future years, and that tax rates applicable to us would be the same as they were in the year of the termination.</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There may be a material negative effect on our liquidity if the payments under the Tax Receivable Agreement exceed the actual income or franchise tax savings that we realize. Furthermore, our obligations to make payments under the Tax Receivable Agreement could also have the effect of delaying, deferring or preventing certain mergers, asset sales, other forms of business combinations or other changes of control. We may need to incur additional indebtedness to finance payments under the Tax Receivable Agreement to the extent our cash resources are insufficient to meet our obligations under the Tax Receivable Agreement as a result of timing discrepancies or otherwise. Such indebtedness may have a material adverse effect on our financial condition.</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the ability of PK Holdings to make distributions to us. To the extent that we are unable to make</w:t>
      </w:r>
    </w:p>
    <w:p>
      <w:pPr>
        <w:jc w:val="center"/>
        <w:ind w:right="-2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93" w:name="page94"/>
    <w:bookmarkEnd w:id="93"/>
    <w:p>
      <w:pPr>
        <w:ind w:right="980"/>
        <w:spacing w:after="0" w:line="282" w:lineRule="auto"/>
        <w:rPr>
          <w:sz w:val="20"/>
          <w:szCs w:val="20"/>
          <w:color w:val="auto"/>
        </w:rPr>
      </w:pPr>
      <w:r>
        <w:rPr>
          <w:rFonts w:ascii="Times New Roman" w:cs="Times New Roman" w:eastAsia="Times New Roman" w:hAnsi="Times New Roman"/>
          <w:sz w:val="18"/>
          <w:szCs w:val="18"/>
          <w:color w:val="auto"/>
        </w:rPr>
        <w:t>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66"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as the sole and exclusive forum for specified types of actions and proceedings that may be initiated by our stockholders, which could limit our stockholders’ ability to obtain a favorable judicial forum for disputes with us or our Directors or employees.</w:t>
      </w:r>
    </w:p>
    <w:p>
      <w:pPr>
        <w:spacing w:after="0" w:line="67" w:lineRule="exact"/>
        <w:rPr>
          <w:sz w:val="20"/>
          <w:szCs w:val="20"/>
          <w:color w:val="auto"/>
        </w:rPr>
      </w:pPr>
    </w:p>
    <w:p>
      <w:pPr>
        <w:ind w:right="440" w:firstLine="509"/>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will be the sole and exclusive forum for specified types of litigation including derivative actions and claims related to a breach of a fiduciary duty. We believe these provisions may benefit us by providing increased consistency in the application of Delaware law, efficient administration of cases on a more expedited schedule relative to other forums and protection against the burdens of multi-forum litigation. However, these choice of forum provisions may limit a stockholder’s ability to bring a claim in a judicial forum that it finds favorable for disputes with us or our current or former Directors, officers or employees, which may discourage such lawsuits.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an enterprise-wide information security program designed to identify, protect, detect and respond to and manage reasonably foreseeable cybersecurity risks and threats. To protect our information systems from cybersecurity threats, we use various security tools that help prevent, identify, escalate, investigate, resolve and recover from identified vulnerabilities and security incidents in a timely manner.</w:t>
      </w:r>
    </w:p>
    <w:p>
      <w:pPr>
        <w:spacing w:after="0" w:line="7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Cybersecurity risks related to our business, manufacturing operations, clinical trials, privacy and compliance issues are identified and addressed through third party assessments, internal IT audits, IT security, risk and compliance reviews. To defend, detect and respond to cybersecurity incidents we conduct proactive cybersecurity reviews of systems and applications, perform penetration testing using external third-party tools and techniques to test security controls, conduct employee training, monitor emerging laws and regulations related to data protection and information security and implement appropriate changes.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processes also address cybersecurity threat risks associated with our use of third-party service providers, including our suppliers and manufacturers or who have access to patient and employee data or our systems. In addition, cybersecurity considerations affect the selection and oversight of our third-party service providers. We perform diligence on third parties that have access to our systems, data or facilities that house such systems or data, and continually monitor cybersecurity threat risks identified through such diligence.</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implemented incident response and breach management processes which are based on the National Institute of Standards and Technology (NIST) framework for incident response. This includes 1) defined roles and incident response initiation processes, 2) incident detection and analysis, 3) containment, eradication and recovery, and 4) post-incident analysis. Such incident responses and related matters of cybersecurity are overseen by leaders from our Information Technology, Manufacturing, Clinical Operations, Regulatory and Legal teams.</w:t>
      </w:r>
    </w:p>
    <w:p>
      <w:pPr>
        <w:spacing w:after="0" w:line="72"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We employ a range of tools and services, including regular network and endpoint monitoring, audits, vulnerability assessments and penetration testing to inform our risk identification and assessment. Additionally, we engage external auditors and consultants to assess our internal cybersecurity program and our compliance with applicable practices and standards.</w:t>
      </w:r>
    </w:p>
    <w:p>
      <w:pPr>
        <w:spacing w:after="0" w:line="68"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Security events and data incidents are evaluated, ranked by severity and prioritized for response and remediation. Incidents are evaluated to determine materiality as well as operational and business impact and reviewed for privacy impact.</w:t>
      </w:r>
    </w:p>
    <w:p>
      <w:pPr>
        <w:spacing w:after="0" w:line="54"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As part of the above processes, we engage external auditors and consultants to assess our internal cybersecurity programs and compliance with applicable practices and standards.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“Our internal computer systems, or those of our collaborators or other contractors or consultants, may fail or suffer security breaches, which could result in a material disruption of our product development programs,” which disclosures are incorporated by reference herein.</w:t>
      </w:r>
    </w:p>
    <w:p>
      <w:pPr>
        <w:spacing w:after="0" w:line="72" w:lineRule="exact"/>
        <w:rPr>
          <w:sz w:val="20"/>
          <w:szCs w:val="20"/>
          <w:color w:val="auto"/>
        </w:rPr>
      </w:pPr>
    </w:p>
    <w:p>
      <w:pPr>
        <w:jc w:val="center"/>
        <w:ind w:left="500" w:right="340"/>
        <w:spacing w:after="0" w:line="282" w:lineRule="auto"/>
        <w:rPr>
          <w:sz w:val="20"/>
          <w:szCs w:val="20"/>
          <w:color w:val="auto"/>
        </w:rPr>
      </w:pPr>
      <w:r>
        <w:rPr>
          <w:rFonts w:ascii="Times New Roman" w:cs="Times New Roman" w:eastAsia="Times New Roman" w:hAnsi="Times New Roman"/>
          <w:sz w:val="18"/>
          <w:szCs w:val="18"/>
          <w:color w:val="auto"/>
        </w:rPr>
        <w:t>We have not experienced any material cybersecurity incidents and the expenses we have incurred from cybersecurity incidents were immaterial.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Cybersecurity is an important part of our overall risk management processes and an area of focus for our Board and management. Our Audit Committee of the Board oversees our cybersecurity risk and receives reports from our Chief Information Officer on a quarterly basis. This includes existing and new cybersecurity risks, status on how management is addressing and/or mitigating those risks, cybersecurity and data privacy incidents (if any), status on key information security initiatives, industry trends, and other areas of importance.</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also established an information technology management committee which is led by our Chief Information Officer, Chief Financial Officer, and Chief Legal Officer. The members of this committee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own two buildings in Winston-Salem, North Carolina, portions of which buildings we previously occupied pursuant to real estate leases. The two buildings represent total usable space of approximately 180,000 square feet. The portion of the buildings we currently occupy are used for office, manufacturing and research space. The remaining portion of these buildings are leased by us to third parties under lease agreements that expire between 2026 and 2029.</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also leased approximately 14,700 square feet of office and warehouse space in Winston-Salem under leases that expire in 2027. Additionally, we have leased a total of approximately 16,300 square feet of office and laboratory space in the Research Triangle Park area of North Carolina under leases expiring in July 2027 and July 2031, respectively. Finally, we have leased approximately 7,400 square feet of office space in Boston, Massachusetts under a lease that expires in January 2029.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88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left="540"/>
        <w:spacing w:after="0"/>
        <w:rPr>
          <w:sz w:val="20"/>
          <w:szCs w:val="20"/>
          <w:color w:val="auto"/>
        </w:rPr>
      </w:pPr>
      <w:r>
        <w:rPr>
          <w:rFonts w:ascii="Times New Roman" w:cs="Times New Roman" w:eastAsia="Times New Roman" w:hAnsi="Times New Roman"/>
          <w:sz w:val="18"/>
          <w:szCs w:val="18"/>
          <w:color w:val="auto"/>
        </w:rPr>
        <w:t>Our Class A common stock are listed on the Nasdaq Capital Market under the symbol “PROK”.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cash dividends have ever been declared or paid on the common equity to date by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March 17, 2026, we had approximately 141,942,905 Class A common stock issued and outstanding held by 30 holders of record and approximately 159,973,180 Class B common stock issued and outstanding held by three holders of record. Because a large portion of our Class A common stock are held by brokers, nominees and other institutions on behalf of shareholders, we are unable to estimate the total number of shareholders represented by these record holders. There is no public market for our Class B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There were no repurchases of the Company’s Class A common stock during the quarter ended December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As used in this Annual Report on Form 10-K, the “Company”, the “Registrant”, “we” or “us” refer to ProKidney Corp. and its subsidiaries.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elsewhere in this report under “Part I—Item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with a proprietary cell therapy platform that has the potential to treat CKD using a patient’s own cells. Our approach seeks to redefine the treatment of CKD, shifting the emphasis away from management of kidney failure to the preservation of kidney function.</w:t>
      </w:r>
    </w:p>
    <w:p>
      <w:pPr>
        <w:spacing w:after="0" w:line="6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ProKidney’s lead product candidate, rilparencel (also known as REACT®), is a first-in-class, patented, proprietary autologous cell therapy being evaluated in the ongoing Phase 3 REGEN-006 (PROACT 1) for its potential to preserve kidney function in patients with advanced CKD and type 2 diabetes. Rilparencel received RMAT designation from the FDA.</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our company, business and scientific planning, conducting discovery and research activities, establishing and protecting our intellectual property portfolio, developing and progressing rilparencel, raising capital, sponsoring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Trends and Uncertainties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continue to monitor the impacts of ongoing macroeconomic conditions and geopolitical events. An escalation of geopolitical tensions or the implementation of global trade restrictions could adversely impact our business, financial condition or results of operations. Global conflicts, tariffs, labor disruptions, and regulations continue to create volatility in global markets and contribute to supply chain shortages and pricing volatility. We continue to actively collaborate with our suppliers to minimize shortages and reduce supply and price volatility.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the sale of products since our inception and do not expect to generate any revenue from the sale of products in the near future, if at all. If our development efforts for rilparencel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spacing w:after="0" w:line="7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Beginning in the year ended December 31, 2024, we recognized revenue related to leasing activities associated with existing lease agreements assumed through the acquisition of two buildings in Winston-Salem, North Carolina where we also conduct our manufacturing operations.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96" w:name="page97"/>
    <w:bookmarkEnd w:id="9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our research and development activities, including the development of rilparencel.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117"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CROs and other scientific development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other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and developing clinical trial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stock-based compensation expenses, for individuals involved in research and development activities;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insurance and other internal operating costs.</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or services to be received in the future for use in research and development activities are deferred and capitalized, even when there is no alternative future use for the research and development. The capitalized amounts are recorded as prepaid clinical and are expensed as the related goods are delivered or the services are performed.</w:t>
      </w:r>
    </w:p>
    <w:p>
      <w:pPr>
        <w:spacing w:after="0" w:line="187"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increase significantly for the foreseeable future as we continue to develop rilparencel and prepare for potential commercialization.</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successful development of rilparencel and any product candidates we may develop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rilparencel or potential future product candidates, if approved. This is due to the numerous risks and uncertainties associated with developing product candidates, many of which are outside of our control, including the uncertainty of:</w:t>
      </w:r>
    </w:p>
    <w:p>
      <w:pPr>
        <w:spacing w:after="0" w:line="75"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and patients involved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of, clinical trials, as well as drop out or discontinuation rates;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FDA and comparable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7" w:name="page98"/>
    <w:bookmarkEnd w:id="97"/>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patient claims or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rilparencel over other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rilparencel, if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rilparencel following approval.</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and administrative expenses.</w:t>
      </w:r>
    </w:p>
    <w:p>
      <w:pPr>
        <w:spacing w:after="0" w:line="7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for the foreseeable future as our business expands and we hire additional personnel to support our operations.</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consists primarily of interest income earned on cash, cash equivalents and marketable securities.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19"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Prior to the Domestication and other Restructuring transactions, income tax expense reflects federal and state taxes on income earned by our subsidiary that is organized as a C corporation for U.S. income tax purposes.</w:t>
      </w:r>
    </w:p>
    <w:p>
      <w:pPr>
        <w:spacing w:after="0" w:line="5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Domestication and other Restructuring transactions resulted in the Company becoming subject to corporate level income taxes in the U.S. Further, the Post-Domestication Reorganization, which was effective on September 1, 2025, resulted in certain of the Company’s subsidiaries becoming part of a consolidated group and ProKidney-US becoming disregarded as separate from its owner, “PK Holdings” for U.S. federal income tax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this section we discuss the results of our operations for the year ended December 31, 2025 compared to the year ended December 31, 2024. For a discussion of the year ended December 31, 2024 compared to December 31, 2023, please refer to the “Management’s Discussion and Analysis of Financial Condition and Results of Operations” section of our Annual Report on Form 10-K filed with the U.S. Securities and Exchange Commission on March 17, 2025.</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8" w:name="page99"/>
    <w:bookmarkEnd w:id="9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8"/>
                <w:szCs w:val="18"/>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FF0FC"/>
          </w:tcPr>
          <w:p>
            <w:pPr>
              <w:spacing w:after="0"/>
              <w:rPr>
                <w:sz w:val="18"/>
                <w:szCs w:val="18"/>
                <w:color w:val="auto"/>
              </w:rPr>
            </w:pPr>
          </w:p>
        </w:tc>
      </w:tr>
      <w:tr>
        <w:trPr>
          <w:trHeight w:val="43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127,668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(13,545)</w:t>
            </w: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(4,307)</w:t>
            </w: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183,752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(17,852)</w:t>
            </w:r>
          </w:p>
        </w:tc>
      </w:tr>
      <w:tr>
        <w:trPr>
          <w:trHeight w:val="20"/>
        </w:trPr>
        <w:tc>
          <w:tcPr>
            <w:tcW w:w="51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(165,007)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(183,676)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10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(5,939)</w:t>
            </w: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(151,198)</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(163,933)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00" w:type="dxa"/>
            <w:vAlign w:val="bottom"/>
            <w:shd w:val="clear" w:color="auto" w:fill="CFF0FC"/>
          </w:tcPr>
          <w:p>
            <w:pPr>
              <w:spacing w:after="0"/>
              <w:rPr>
                <w:sz w:val="18"/>
                <w:szCs w:val="18"/>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(151,612)</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(163,335)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10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available to Class A common stockholders</w:t>
            </w:r>
          </w:p>
        </w:tc>
        <w:tc>
          <w:tcPr>
            <w:tcW w:w="1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(68,986)</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(61,186)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(7,800)</w:t>
            </w: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-1173480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-1173480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-599440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-599440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4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increase in revenue of approximately $0.8 million for the year ended December 31, 2025 compared to the year ended December 31, 2024 was primarily driven by the inclusion of a full year of leasing activities for the year ended December 31, 2025. For the year ended December 31, 2024, revenue reflected approximately one month of leasing activities.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decrease in research and development expenses of approximately $13.5 million for the year ended December 31, 2025 compared to the year ended December 31, 2024 was primarily driven by the following:</w:t>
      </w: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clinical study costs of $18.1 million from our clinical trials that have been completed or terminated;</w:t>
      </w:r>
    </w:p>
    <w:p>
      <w:pPr>
        <w:spacing w:after="0" w:line="9" w:lineRule="exact"/>
        <w:rPr>
          <w:rFonts w:ascii="Times New Roman" w:cs="Times New Roman" w:eastAsia="Times New Roman" w:hAnsi="Times New Roman"/>
          <w:sz w:val="18"/>
          <w:szCs w:val="18"/>
          <w:color w:val="auto"/>
        </w:rPr>
      </w:pPr>
    </w:p>
    <w:p>
      <w:pPr>
        <w:ind w:left="1020" w:right="380" w:hanging="503"/>
        <w:spacing w:after="0" w:line="250"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professional fees of $3.3 million related to the remediation of quality and manufacturing compliance deficiencies during the 2024 period; and</w:t>
      </w: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equity-based compensation of $0.6 million driven by forfeitures of awards and lower fair value of new awards granted;</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7"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and recruitment costs of approximately $6.1 million related to the hiring of additional employees; and</w:t>
      </w:r>
    </w:p>
    <w:p>
      <w:pPr>
        <w:spacing w:after="0" w:line="9" w:lineRule="exact"/>
        <w:rPr>
          <w:rFonts w:ascii="Times New Roman" w:cs="Times New Roman" w:eastAsia="Times New Roman" w:hAnsi="Times New Roman"/>
          <w:sz w:val="18"/>
          <w:szCs w:val="18"/>
          <w:color w:val="auto"/>
        </w:rPr>
      </w:pPr>
    </w:p>
    <w:p>
      <w:pPr>
        <w:ind w:left="1020" w:right="420" w:hanging="503"/>
        <w:spacing w:after="0" w:line="260"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clinical study costs and cost of manufacturing materials for our ongoing Phase 3 trial (PROACT 1) of $2.4 million driven by continued enrollment and increased activities for the trial.</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decrease in general and administrative expenses of approximately $4.3 million for the year ended December 31, 2025 compared to the year ended December 31, 2024 was primarily driven by the following:</w:t>
      </w:r>
    </w:p>
    <w:p>
      <w:pPr>
        <w:spacing w:after="0" w:line="54" w:lineRule="exact"/>
        <w:rPr>
          <w:sz w:val="20"/>
          <w:szCs w:val="20"/>
          <w:color w:val="auto"/>
        </w:rPr>
      </w:pPr>
    </w:p>
    <w:p>
      <w:pPr>
        <w:ind w:left="1020" w:right="220" w:hanging="503"/>
        <w:spacing w:after="0" w:line="261"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impairment charges of $5.0 million related to our Greensboro facility as the original charge was recognized in the 2024 period; and</w:t>
      </w: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equity-based compensation of approximately $3.4 million due to forfeitures of awards and lower fair value of recent awards;</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offset by</w:t>
      </w:r>
    </w:p>
    <w:p>
      <w:pPr>
        <w:spacing w:after="0" w:line="27" w:lineRule="exact"/>
        <w:rPr>
          <w:sz w:val="20"/>
          <w:szCs w:val="20"/>
          <w:color w:val="auto"/>
        </w:rPr>
      </w:pPr>
    </w:p>
    <w:p>
      <w:pPr>
        <w:ind w:left="1020" w:right="140" w:hanging="503"/>
        <w:spacing w:after="0" w:line="250"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professional fees and other operating expenses of approximately $3.8 million driven by ongoing initiatives in 2025 including the domestication; and</w:t>
      </w: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and recruitment costs of approximately $0.5 million due to the hiring of additional personnel.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9" w:name="page100"/>
    <w:bookmarkEnd w:id="99"/>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decrease in interest income of approximately $5.9 million for the year ended December 31, 2025 as compared to the year ended December 31, 2024, was driven by lower investment balances and interest rates for the 2025 period.</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increase in income tax expense of approximately $1.0 million for the year ended December 31, 2025 as compared to the year ended December 31, 2024, was driven primarily by tax benefits recognized in the year ended December 31, 2024 due to the effects of the change in timing of deductions for qualified research and development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operating losses and negative cash flows from our operations. We have not yet commercialized any product and we do not expect to generate revenue from sales of any products for several years, if at all. From our inception through December 31, 2025, we funded our operations primarily through capital contributions from the holders of PK Holdings, the proceeds obtained through the Business Combination and related private placement financing and public equity offerings.</w:t>
      </w:r>
    </w:p>
    <w:p>
      <w:pPr>
        <w:spacing w:after="0" w:line="7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January 2024,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“2024 Sales Agreement”) with Jefferies LLC as the sales agent, pursuant to which the Company may offer and sell, from time to time, through Jefferies, shares of its Class A common stock, par value $0.0001 per share, having an aggregate offering price of up to $100.0 million by any method deemed to be an “at the market offering” as defined in Rule 415(a)(4) under the Securities Act (the “ATM Offering”). The shares were offered and sold pursuant to the Company’s shelf registration statement on Form S-3. During the year ended December 31, 2024, we sold 4,170,791 shares of our Class A common stock under the 2024 Sales Agreement for net proceeds of approximately $7.7 million.</w:t>
      </w:r>
    </w:p>
    <w:p>
      <w:pPr>
        <w:spacing w:after="0" w:line="96"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In July 2025, we terminated the 2024 Sales Agreement and entered into a new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(“2025 Sales Agreement”) with Jefferies, as the sales agent, pursuant to which we may offer and sell, from time to time, through Jefferies, shares of our Class A common stock having an aggregate offering price of up to $200.0 million by any method deemed to be an “at the market offering” as defined in Rule 415(a)(4) under the Securities Act. The shares are offered and sold pursuant to our shelf registration statement on Form S-3. During the year ended December 31, 2025, we sold 7,452,342 shares of our Class A common stock under the 2025 Sales Agreement for net proceeds of approximately $24.2 million. As of December 31, 2025, there was approximately $175.0 million remaining available to be sold under the 2025 Sales Agreement.</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June 2024, the Company sold 46,886,452 of its Class A common stock in an underwritten public offering at a price of $2.42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in June 2024, the Company sold 11,030,574 of its Class A common stock to certain investment entities at a price of $2.42 per share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 registered direct offering pursuant to share purchase agreements. The net proceeds to the Company from the offerings were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$136.7 million, after deducting the underwriting discounts and commissions and offering expenses payable by the Company. The shares were offered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pursuant to the Company’s shelf registration statement on Form S-3.</w:t>
      </w:r>
    </w:p>
    <w:p>
      <w:pPr>
        <w:spacing w:after="0" w:line="99" w:lineRule="exact"/>
        <w:rPr>
          <w:sz w:val="20"/>
          <w:szCs w:val="20"/>
          <w:color w:val="auto"/>
        </w:rPr>
      </w:pPr>
    </w:p>
    <w:p>
      <w:pPr>
        <w:jc w:val="both"/>
        <w:ind w:right="460" w:firstLine="554"/>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held at December 31, 2025, will enable us to fund our operating expenses and capital expenditure requirements into mid-2027. We have based this estimate on assumptions that may prove to be wrong and we could exhaust our capital resources sooner than we expect.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to increase substantially if, and as, we:</w:t>
      </w:r>
    </w:p>
    <w:p>
      <w:pPr>
        <w:spacing w:after="0" w:line="117"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clinical development of our product candidates, including in particular our clinical trials for rilparencel;</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third-party manufacturing costs to support our nonclinical studies and clinical trials of our product candidate and, if approved, its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in developing internal manufacturing capabilities;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product candidates.</w:t>
      </w:r>
    </w:p>
    <w:p>
      <w:pPr>
        <w:spacing w:after="0" w:line="11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since the closing of the Business Combination we have been incurring additional costs associated with operating as a public company, including significant legal, audit, accounting, investor and public relations, regulatory, tax-related, director and officer insurance premiums and other expenses.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100" w:name="page101"/>
    <w:bookmarkEnd w:id="100"/>
    <w:p>
      <w:pPr>
        <w:ind w:right="300"/>
        <w:spacing w:after="0" w:line="282" w:lineRule="auto"/>
        <w:rPr>
          <w:sz w:val="20"/>
          <w:szCs w:val="20"/>
          <w:color w:val="auto"/>
        </w:rPr>
      </w:pPr>
      <w:r>
        <w:rPr>
          <w:rFonts w:ascii="Times New Roman" w:cs="Times New Roman" w:eastAsia="Times New Roman" w:hAnsi="Times New Roman"/>
          <w:sz w:val="18"/>
          <w:szCs w:val="18"/>
          <w:color w:val="auto"/>
        </w:rPr>
        <w:t>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shareholders.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shares. Our ability to raise additional funds may be adversely impacted by potential worsening global economic conditions and disruptions to and volatility in the credit and financial markets in the United States and worldwide. Because of the numerous risks and uncertainties associated with product development, we cannot predict the timing or amount of increased expenses, and there is no assurance that we will ever be profitable or generate positive cash flow from operating activities.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for the Years Ended December 31, 2025 and 2024</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2025 and 2024 (in thousands):</w:t>
      </w:r>
    </w:p>
    <w:p>
      <w:pPr>
        <w:sectPr>
          <w:pgSz w:w="11900" w:h="16838" w:orient="portrait"/>
          <w:cols w:equalWidth="0" w:num="1">
            <w:col w:w="11220"/>
          </w:cols>
          <w:pgMar w:left="320" w:top="109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cash flows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cash flows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p>
      <w:pPr>
        <w:spacing w:after="0" w:line="4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3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(120,117)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(126,351)</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144,408</w:t>
            </w:r>
          </w:p>
        </w:tc>
        <w:tc>
          <w:tcPr>
            <w:tcW w:w="60" w:type="dxa"/>
            <w:vAlign w:val="bottom"/>
          </w:tcPr>
          <w:p>
            <w:pPr>
              <w:spacing w:after="0"/>
              <w:rPr>
                <w:sz w:val="20"/>
                <w:szCs w:val="20"/>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38,471</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0" w:lineRule="exact"/>
        <w:rPr>
          <w:sz w:val="20"/>
          <w:szCs w:val="20"/>
          <w:color w:val="auto"/>
        </w:rPr>
      </w:pPr>
    </w:p>
    <w:p>
      <w:pPr>
        <w:sectPr>
          <w:pgSz w:w="11900" w:h="16838" w:orient="portrait"/>
          <w:cols w:equalWidth="0" w:num="2">
            <w:col w:w="6600" w:space="720"/>
            <w:col w:w="3900"/>
          </w:cols>
          <w:pgMar w:left="320" w:top="1093" w:right="359" w:bottom="1440" w:gutter="0" w:footer="0" w:header="0"/>
          <w:type w:val="continuous"/>
        </w:sect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approximately $120.1 million for the year ended December 31, 2025, reflecting a net loss before noncontrolling interest of approximately $151.6 million. Such uses were offset by changes in working capital of approximately $1.3 million and non-cash charges and gains on investments totaling $30.2 million. The non-cash charges primarily consisted of equity-based compensation expense of $25.3 million, depreciation and amortization expense of $6.6 million, loss on disposal of equipment of $1.4 million and an impairment charge of $0.3 million. Gains on investments in marketable securities were $3.4 million. The changes in working capital primarily relate to the timing of payments made to our vendors for services performed.</w:t>
      </w:r>
    </w:p>
    <w:p>
      <w:pPr>
        <w:spacing w:after="0" w:line="7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approximately $126.4 million for the year ended December 31, 2024, reflecting a net loss before noncontrolling interest of approximately $163.3 million. Such uses were offset by changes in working capital of approximately $4.0 million and non-cash charges and gains on investments of $33.0 million. The non-cash charges primarily consisted of equity-based compensation expense of $29.4 million, depreciation and amortization expense of $5.4 million, an impairment charge of $5.3 million and gains on investments in marketable securities of $7.0 million. The changes in working capital primarily relate to the timing of payments made to our vendors for services performed.</w:t>
      </w:r>
    </w:p>
    <w:p>
      <w:pPr>
        <w:spacing w:after="0" w:line="75"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The approximate $6.2 million decrease in cash used in operating activities for the year ended December 31, 2025 compared to the year ended December 31, 2024 was primarily driven by a decrease in net loss before noncontrolling interest after adjusting for the non-cash charges and gains on investments of approximately $8.9 million offset by the impact of changes in working capital driven by the timing of payments to our vendors.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40" w:firstLine="509"/>
        <w:spacing w:after="0" w:line="257" w:lineRule="auto"/>
        <w:rPr>
          <w:sz w:val="20"/>
          <w:szCs w:val="20"/>
          <w:color w:val="auto"/>
        </w:rPr>
      </w:pPr>
      <w:r>
        <w:rPr>
          <w:rFonts w:ascii="Times New Roman" w:cs="Times New Roman" w:eastAsia="Times New Roman" w:hAnsi="Times New Roman"/>
          <w:sz w:val="18"/>
          <w:szCs w:val="18"/>
          <w:color w:val="auto"/>
        </w:rPr>
        <w:t>Net cash provided by investing activities were approximately $104.0 million and $20.4 million for the years ended December 31, 2025 and 2024, respectively. The cash provided by investment activities during the year ended December 31, 2025 was primarily related to net investment activity of $100.9 million and the sale of our facility in Greensboro, North Carolina, which</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bookmarkStart w:id="101" w:name="page102"/>
    <w:bookmarkEnd w:id="101"/>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provided net proceeds of $18.2 million. These were partially offset by capital spending for facility expansion of $15.2 million. The cash provided by investing activities during the year ended December 31, 2024 was primarily related to net investment activity of $49.9 million partially offset by the purchase of two facilities in Winston-Salem, North Carolina for $22.5 million.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$25.6 million and $144.4 million for the years ended December 31, 2025 and 2024, respectively. The cash provided by financing activities for the years ended December 31, 2025 and 2024 was related to the sale of our Class A common stock and exercise of employee stock options.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Our consolidated financial statements are prepared in accordance with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our audited consolidated financial statements included elsewhere in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included in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common stock less attractive to investors.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our Financial Statements and Supplementary Data listed in Item 15 of Part IV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December 31, 2025. Based upon that evaluation, our Chief Executive Officer and Chief Financial Officer concluded that, as of December 31, 2025, our disclosure controls and procedures were effective in causing</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2" w:name="page103"/>
    <w:bookmarkEnd w:id="102"/>
    <w:p>
      <w:pPr>
        <w:ind w:right="460"/>
        <w:spacing w:after="0" w:line="282" w:lineRule="auto"/>
        <w:rPr>
          <w:sz w:val="20"/>
          <w:szCs w:val="20"/>
          <w:color w:val="auto"/>
        </w:rPr>
      </w:pPr>
      <w:r>
        <w:rPr>
          <w:rFonts w:ascii="Times New Roman" w:cs="Times New Roman" w:eastAsia="Times New Roman" w:hAnsi="Times New Roman"/>
          <w:sz w:val="18"/>
          <w:szCs w:val="18"/>
          <w:color w:val="auto"/>
        </w:rPr>
        <w:t>material information relating to us (including our consolidated subsidiaries) to be recorded, processed, summarized and reported by management on a timely basis and to ensure the quality and timeliness of our public disclosures with SEC disclosure obligations.</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8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reporting purposes in accordance with generally accepted accounting principles. Our internal control over financial reporting includes those written policies and procedures that:</w:t>
      </w:r>
    </w:p>
    <w:p>
      <w:pPr>
        <w:spacing w:after="0" w:line="72"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are being made only in accordance with management and director authorization; and</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2025. Management based this assessment on criteria described in Internal Control - Integrated Framework (2013) issued by the Committee of Sponsoring Organizations of the Treadway Commission (COSO). Based on this assessment, management determined that as of December 31, 2025, we maintained effective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760" w:firstLine="509"/>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none of the Company’s directors or officers adopted or terminated a “Rule 10b5-1 trading arrangement” or “non-Rule 10b5-1 trading arrangement,” as those terms are defined in Regulation S-K, Item 408, that was intended to satisfy the affirmative defense conditions of Rule 10b5-1(c).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3" w:name="page104"/>
    <w:bookmarkEnd w:id="103"/>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under the headings “Management and Corporate Governance,” “Delinquent Section 16(a) Reports,” and “Code of Ethics and Business Conduct” in our Proxy Statement for the 2026 Annual Meeting of Shareholders to be filed with the SEC within 120 days of the fiscal year ended December 31, 2025. If the Proxy Statement is not filed within 120 days after the end of our fiscal year ended December 31, 2025, the information required by this item will be contained in the Form 10-K/A.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under the heading “Executive Officer and Director Compensation” in our Proxy Statement for the 2026 Annual Meeting of Shareholders to be filed with the SEC within 120 days of the fiscal year ended December 31, 2025. If the Proxy Statement is not filed within 120 days after the end of our fiscal year ended December 31, 2025, the information required by this item will be contained in the Form 10-K/A.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under the headings “Security Ownership of Certain Beneficial Owners and Management” and “Equity Compensation Plan Information” in our Proxy Statement for the 2026 Annual Meeting of Shareholders to be filed with the SEC within 120 days of the fiscal year ended December 31, 2025. If the Proxy Statement is not filed within 120 days after the end of our fiscal year ended December 31, 2025, the information required by this item will be contained in the Form 10-K/A.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24"/>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under the headings “Certain Relationships and Related Party Transactions” and “Management and Corporate Governance” in our Proxy Statement for the 2026 Annual Meeting of Shareholders to be filed with the SEC within 120 days of the fiscal year ended December 31, 2025. If the Proxy Statement is not filed within 120 days after the end of our fiscal year ended December 31, 2025, the information required by this item will be contained in the Form 10-K/A.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under the heading “Ratification of Selection of Independent Registered Public Accounting Firm” in our Proxy Statement for the 2026 Annual Meeting of Shareholders to be filed with the SEC within 120 days of the fiscal year ended December 31, 2025. If the Proxy Statement is not filed within 120 days after the end of our fiscal year ended December 31, 2025, the information required by this item will be contained in the Form 10-K/A.</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4" w:name="page105"/>
    <w:bookmarkEnd w:id="104"/>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w:t>
            </w:r>
          </w:p>
        </w:tc>
        <w:tc>
          <w:tcPr>
            <w:tcW w:w="10480" w:type="dxa"/>
            <w:vAlign w:val="bottom"/>
            <w:gridSpan w:val="24"/>
          </w:tcPr>
          <w:p>
            <w:pPr>
              <w:ind w:left="220"/>
              <w:spacing w:after="0"/>
              <w:rPr>
                <w:sz w:val="20"/>
                <w:szCs w:val="20"/>
                <w:color w:val="auto"/>
              </w:rPr>
            </w:pPr>
            <w:r>
              <w:rPr>
                <w:rFonts w:ascii="Times New Roman" w:cs="Times New Roman" w:eastAsia="Times New Roman" w:hAnsi="Times New Roman"/>
                <w:sz w:val="18"/>
                <w:szCs w:val="18"/>
                <w:color w:val="auto"/>
              </w:rPr>
              <w:t>Financial Statements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8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F-26 attached hereto and are filed as part of this Annual Report on Form 10-K:</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760" w:type="dxa"/>
            <w:vAlign w:val="bottom"/>
            <w:tcBorders>
              <w:bottom w:val="single" w:sz="8" w:color="0000FF"/>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No. 42)</w:t>
            </w:r>
          </w:p>
        </w:tc>
        <w:tc>
          <w:tcPr>
            <w:tcW w:w="5220" w:type="dxa"/>
            <w:vAlign w:val="bottom"/>
            <w:gridSpan w:val="10"/>
          </w:tcPr>
          <w:p>
            <w:pPr>
              <w:spacing w:after="0"/>
              <w:rPr>
                <w:sz w:val="16"/>
                <w:szCs w:val="16"/>
                <w:color w:val="auto"/>
              </w:rPr>
            </w:pPr>
          </w:p>
        </w:tc>
        <w:tc>
          <w:tcPr>
            <w:tcW w:w="2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63"/>
        </w:trPr>
        <w:tc>
          <w:tcPr>
            <w:tcW w:w="4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20" w:type="dxa"/>
            <w:vAlign w:val="bottom"/>
            <w:tcBorders>
              <w:bottom w:val="single" w:sz="8" w:color="0000EE"/>
            </w:tcBorders>
          </w:tcPr>
          <w:p>
            <w:pPr>
              <w:spacing w:after="0"/>
              <w:rPr>
                <w:sz w:val="22"/>
                <w:szCs w:val="22"/>
                <w:color w:val="auto"/>
              </w:rPr>
            </w:pPr>
          </w:p>
        </w:tc>
        <w:tc>
          <w:tcPr>
            <w:tcW w:w="6300" w:type="dxa"/>
            <w:vAlign w:val="bottom"/>
            <w:gridSpan w:val="14"/>
          </w:tcPr>
          <w:p>
            <w:pPr>
              <w:spacing w:after="0"/>
              <w:rPr>
                <w:sz w:val="22"/>
                <w:szCs w:val="22"/>
                <w:color w:val="auto"/>
              </w:rPr>
            </w:pPr>
          </w:p>
        </w:tc>
        <w:tc>
          <w:tcPr>
            <w:tcW w:w="2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63"/>
        </w:trPr>
        <w:tc>
          <w:tcPr>
            <w:tcW w:w="109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2024, and 2023</w:t>
            </w:r>
          </w:p>
        </w:tc>
        <w:tc>
          <w:tcPr>
            <w:tcW w:w="2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gridSpan w:val="4"/>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9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2025, 2024, and 2023</w:t>
            </w:r>
          </w:p>
        </w:tc>
        <w:tc>
          <w:tcPr>
            <w:tcW w:w="2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gridSpan w:val="4"/>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3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Changes in Redeemable Noncontrolling Interest and Stockholders’ Deficit for the years ended December 31, 2025,</w:t>
            </w:r>
          </w:p>
        </w:tc>
        <w:tc>
          <w:tcPr>
            <w:tcW w:w="620" w:type="dxa"/>
            <w:vAlign w:val="bottom"/>
            <w:gridSpan w:val="5"/>
          </w:tcPr>
          <w:p>
            <w:pPr>
              <w:spacing w:after="0"/>
              <w:rPr>
                <w:sz w:val="22"/>
                <w:szCs w:val="22"/>
                <w:color w:val="auto"/>
              </w:rPr>
            </w:pPr>
          </w:p>
        </w:tc>
        <w:tc>
          <w:tcPr>
            <w:tcW w:w="2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28"/>
        </w:trPr>
        <w:tc>
          <w:tcPr>
            <w:tcW w:w="10980" w:type="dxa"/>
            <w:vAlign w:val="bottom"/>
            <w:gridSpan w:val="26"/>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2024, and 2023</w:t>
            </w:r>
          </w:p>
        </w:tc>
        <w:tc>
          <w:tcPr>
            <w:tcW w:w="2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980" w:type="dxa"/>
            <w:vAlign w:val="bottom"/>
            <w:gridSpan w:val="26"/>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4"/>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3980" w:type="dxa"/>
            <w:vAlign w:val="bottom"/>
            <w:gridSpan w:val="7"/>
          </w:tcPr>
          <w:p>
            <w:pPr>
              <w:spacing w:after="0"/>
              <w:rPr>
                <w:sz w:val="22"/>
                <w:szCs w:val="22"/>
                <w:color w:val="auto"/>
              </w:rPr>
            </w:pPr>
          </w:p>
        </w:tc>
        <w:tc>
          <w:tcPr>
            <w:tcW w:w="2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263"/>
        </w:trPr>
        <w:tc>
          <w:tcPr>
            <w:tcW w:w="3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820" w:type="dxa"/>
            <w:vAlign w:val="bottom"/>
            <w:gridSpan w:val="19"/>
          </w:tcPr>
          <w:p>
            <w:pPr>
              <w:spacing w:after="0"/>
              <w:rPr>
                <w:sz w:val="22"/>
                <w:szCs w:val="22"/>
                <w:color w:val="auto"/>
              </w:rPr>
            </w:pPr>
          </w:p>
        </w:tc>
        <w:tc>
          <w:tcPr>
            <w:tcW w:w="2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453"/>
        </w:trPr>
        <w:tc>
          <w:tcPr>
            <w:tcW w:w="109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(a)(2) Financial Statement Schedules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8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9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(a)(3) List of Exhibits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60" w:type="dxa"/>
            <w:vAlign w:val="bottom"/>
            <w:gridSpan w:val="2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Business Combination Agreement, dated as of January 18, 2022, by and between ProKidney Corp. (formerly known as Social Capital</w:t>
              </w:r>
            </w:hyperlink>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2"/>
            <w:shd w:val="clear" w:color="auto" w:fill="0000FF"/>
          </w:tcPr>
          <w:p>
            <w:pPr>
              <w:spacing w:after="0" w:line="20" w:lineRule="exact"/>
              <w:rPr>
                <w:sz w:val="1"/>
                <w:szCs w:val="1"/>
                <w:color w:val="auto"/>
              </w:rPr>
            </w:pPr>
          </w:p>
        </w:tc>
        <w:tc>
          <w:tcPr>
            <w:tcW w:w="44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Suvretta Holdings Corp. III) and ProKidney LP. (incorporated by reference from Exhibit 2.1 to Form 8-K filed with the SEC on January</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2"/>
            <w:shd w:val="clear" w:color="auto" w:fill="0000FF"/>
          </w:tcPr>
          <w:p>
            <w:pPr>
              <w:spacing w:after="0" w:line="20" w:lineRule="exact"/>
              <w:rPr>
                <w:sz w:val="1"/>
                <w:szCs w:val="1"/>
                <w:color w:val="auto"/>
              </w:rPr>
            </w:pPr>
          </w:p>
        </w:tc>
        <w:tc>
          <w:tcPr>
            <w:tcW w:w="44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21, 2022) (File No. 001-40560).</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60" w:type="dxa"/>
            <w:vAlign w:val="bottom"/>
            <w:gridSpan w:val="2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Certificate of Incorporation of ProKidney Corp. (incorporated by reference to Exhibit 3.1 of the Company's Current Report on Form 8-</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2"/>
            <w:shd w:val="clear" w:color="auto" w:fill="0000FF"/>
          </w:tcPr>
          <w:p>
            <w:pPr>
              <w:spacing w:after="0" w:line="20" w:lineRule="exact"/>
              <w:rPr>
                <w:sz w:val="1"/>
                <w:szCs w:val="1"/>
                <w:color w:val="auto"/>
              </w:rPr>
            </w:pPr>
          </w:p>
        </w:tc>
        <w:tc>
          <w:tcPr>
            <w:tcW w:w="44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K12B, filed on July 3, 2025 (File No. 001-40560)).</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60" w:type="dxa"/>
            <w:vAlign w:val="bottom"/>
            <w:gridSpan w:val="22"/>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Bylaws of ProKidney Corp. (incorporated by reference to Exhibit 3.2 of the Company's Current Report on Form 8-K12B, filed on July 3,</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2"/>
            <w:shd w:val="clear" w:color="auto" w:fill="0000FF"/>
          </w:tcPr>
          <w:p>
            <w:pPr>
              <w:spacing w:after="0" w:line="20" w:lineRule="exact"/>
              <w:rPr>
                <w:sz w:val="1"/>
                <w:szCs w:val="1"/>
                <w:color w:val="auto"/>
              </w:rPr>
            </w:pPr>
          </w:p>
        </w:tc>
        <w:tc>
          <w:tcPr>
            <w:tcW w:w="44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2025 (File No. 001-40560)).</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120" w:type="dxa"/>
            <w:vAlign w:val="bottom"/>
            <w:gridSpan w:val="26"/>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Certificate of Corporate Domestication of ProKidney Corp. (incorporated by reference to Exhibit 3.3 of the Company's Current Report on</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2"/>
            <w:shd w:val="clear" w:color="auto" w:fill="0000FF"/>
          </w:tcPr>
          <w:p>
            <w:pPr>
              <w:spacing w:after="0" w:line="20" w:lineRule="exact"/>
              <w:rPr>
                <w:sz w:val="1"/>
                <w:szCs w:val="1"/>
                <w:color w:val="auto"/>
              </w:rPr>
            </w:pPr>
          </w:p>
        </w:tc>
        <w:tc>
          <w:tcPr>
            <w:tcW w:w="44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8-K12B, filed on July 3, 2025 (File No. 001-40560)).</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Description of registered securities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60" w:type="dxa"/>
            <w:vAlign w:val="bottom"/>
            <w:gridSpan w:val="22"/>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Stock Certificate for Class A Common Stock ProKidney (incorporated by reference to Exhibit 4.1 of the Company's Current Report on</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2"/>
            <w:shd w:val="clear" w:color="auto" w:fill="0000FF"/>
          </w:tcPr>
          <w:p>
            <w:pPr>
              <w:spacing w:after="0" w:line="20" w:lineRule="exact"/>
              <w:rPr>
                <w:sz w:val="1"/>
                <w:szCs w:val="1"/>
                <w:color w:val="auto"/>
              </w:rPr>
            </w:pPr>
          </w:p>
        </w:tc>
        <w:tc>
          <w:tcPr>
            <w:tcW w:w="44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8-K12B, filed on July 3, 2025 (File No. 001-40560)).</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tcBorders>
              <w:left w:val="single" w:sz="8" w:color="0000EE"/>
            </w:tcBorders>
            <w:gridSpan w:val="2"/>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4.3</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60" w:type="dxa"/>
            <w:vAlign w:val="bottom"/>
            <w:gridSpan w:val="2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Stock Certificate for Class B Common Stock ProKidney (incorporated by reference to Exhibit 4.2 of the Company's Current Report on</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4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8-K12B, filed on July 3, 2025 (File No. 001-40560)).</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tcBorders>
              <w:left w:val="single" w:sz="8" w:color="0000EE"/>
            </w:tcBorders>
            <w:gridSpan w:val="2"/>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60" w:type="dxa"/>
            <w:vAlign w:val="bottom"/>
            <w:gridSpan w:val="22"/>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Amended and Restated Registration Rights Agreement, dated as of July 11, 2022, by and among ProKidney Corp. (formerly known as</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4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Social Capital Suvretta Holdings Corp. III), SCS Sponsor III LLC, the ProKidney Holders (as defined therein), Marc Semigran, Uma</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4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26"/>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Sinha, Sukumar Nagendran, David Spiegel and the Investor Stockholders (as defined therein) (incorporated by reference from Exhibit 10.4</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460" w:type="dxa"/>
            <w:vAlign w:val="bottom"/>
            <w:gridSpan w:val="6"/>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to Form 8-K filed with the SEC on July 15, 2022) (File No. 001-40560).</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60" w:type="dxa"/>
            <w:vAlign w:val="bottom"/>
            <w:gridSpan w:val="22"/>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ProKidney Corp. 2022 Incentive Equity Plan (incorporated by reference from Exhibit 10.11 to Form 8-K filed with the SEC on July 15,</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5920" w:type="dxa"/>
            <w:vAlign w:val="bottom"/>
            <w:gridSpan w:val="9"/>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2022) (File No. 001-40560).</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920" w:type="dxa"/>
            <w:vAlign w:val="bottom"/>
            <w:gridSpan w:val="9"/>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10.3</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120" w:type="dxa"/>
            <w:vAlign w:val="bottom"/>
            <w:gridSpan w:val="26"/>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ProKidney Corp. Employee Stock Purchase Plan (incorporated by reference from Exhibit 10.12 to Form 8-K filed with the SEC on July 15,</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5920" w:type="dxa"/>
            <w:vAlign w:val="bottom"/>
            <w:gridSpan w:val="9"/>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2022) (File No. 001-40560).</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tcBorders>
              <w:left w:val="single" w:sz="8" w:color="0000EE"/>
            </w:tcBorders>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920" w:type="dxa"/>
            <w:vAlign w:val="bottom"/>
            <w:gridSpan w:val="9"/>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120" w:type="dxa"/>
            <w:vAlign w:val="bottom"/>
            <w:gridSpan w:val="26"/>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Director Stock Option Award (incorporated by reference from Exhibit 10.17 to Form 10-K filed with the SEC on March 28, 2023)</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5920" w:type="dxa"/>
            <w:vAlign w:val="bottom"/>
            <w:gridSpan w:val="9"/>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(File No. 001-40560).</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920" w:type="dxa"/>
            <w:vAlign w:val="bottom"/>
            <w:gridSpan w:val="9"/>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10.5†</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60" w:type="dxa"/>
            <w:vAlign w:val="bottom"/>
            <w:gridSpan w:val="2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Employee Incentive Stock Option Award (incorporated by reference from Exhibit 10.18 to Form 10-K filed with the SEC on</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800" w:type="dxa"/>
            <w:vAlign w:val="bottom"/>
            <w:tcBorders>
              <w:right w:val="single" w:sz="8" w:color="0000FF"/>
            </w:tcBorders>
            <w:gridSpan w:val="6"/>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5920" w:type="dxa"/>
            <w:vAlign w:val="bottom"/>
            <w:gridSpan w:val="9"/>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March 28, 2023) (File No. 001-40560).</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0" w:type="dxa"/>
            <w:vAlign w:val="bottom"/>
            <w:tcBorders>
              <w:right w:val="single" w:sz="8" w:color="0000EE"/>
            </w:tcBorders>
            <w:gridSpan w:val="6"/>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616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2"/>
                <w:szCs w:val="22"/>
                <w:color w:val="auto"/>
              </w:rPr>
            </w:pP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ProKidney Short Term Incentive Performance Plan.</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00" w:type="dxa"/>
            <w:vAlign w:val="bottom"/>
            <w:tcBorders>
              <w:top w:val="single" w:sz="8" w:color="0000FF"/>
            </w:tcBorders>
            <w:gridSpan w:val="10"/>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10.7</w:t>
            </w:r>
          </w:p>
        </w:tc>
        <w:tc>
          <w:tcPr>
            <w:tcW w:w="10140" w:type="dxa"/>
            <w:vAlign w:val="bottom"/>
            <w:gridSpan w:val="28"/>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Consulting Services Agreement, dated as of January 1, 2020 between ProKidney (formerly known as RegenMed (Cayman) Ltd. (d/b/a</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inRegen)) and Nefro Health (incorporated by reference from Exhibit 10.30 to Form 10-K filed with the SEC on March 28, 2023) (File No.</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40" w:type="dxa"/>
            <w:vAlign w:val="bottom"/>
            <w:gridSpan w:val="2"/>
          </w:tcPr>
          <w:p>
            <w:pPr>
              <w:spacing w:after="0" w:line="196" w:lineRule="exact"/>
              <w:rPr>
                <w:rFonts w:ascii="Times New Roman" w:cs="Times New Roman" w:eastAsia="Times New Roman" w:hAnsi="Times New Roman"/>
                <w:sz w:val="18"/>
                <w:szCs w:val="18"/>
                <w:color w:val="0000FF"/>
                <w:w w:val="95"/>
              </w:rPr>
            </w:pPr>
            <w:hyperlink r:id="rId143">
              <w:r>
                <w:rPr>
                  <w:rFonts w:ascii="Times New Roman" w:cs="Times New Roman" w:eastAsia="Times New Roman" w:hAnsi="Times New Roman"/>
                  <w:sz w:val="18"/>
                  <w:szCs w:val="18"/>
                  <w:color w:val="0000FF"/>
                  <w:w w:val="95"/>
                </w:rPr>
                <w:t>001-40560)</w:t>
              </w:r>
            </w:hyperlink>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10.8</w:t>
            </w:r>
          </w:p>
        </w:tc>
        <w:tc>
          <w:tcPr>
            <w:tcW w:w="10140" w:type="dxa"/>
            <w:vAlign w:val="bottom"/>
            <w:gridSpan w:val="28"/>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Consulting Services Agreement, dated as of January 1, 2020 between ProKidney, LLC (formerly known as Twin City Bio LLC) and Nefro</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Health (incorporated by reference from Exhibit 10.31 to Form 10-K filed with the SEC on March 28, 2023) (File No. 001-40560).</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10.9</w:t>
            </w:r>
          </w:p>
        </w:tc>
        <w:tc>
          <w:tcPr>
            <w:tcW w:w="10140" w:type="dxa"/>
            <w:vAlign w:val="bottom"/>
            <w:gridSpan w:val="28"/>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Share Purchase Agreement by and between the Company and certain investors, dated June 11, 2024. (incorporated by reference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from Exhibit 10.1 to Form 8-K filed with the SEC on June 13, 2024) (File No. 001-40560)</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10.10</w:t>
            </w:r>
          </w:p>
        </w:tc>
        <w:tc>
          <w:tcPr>
            <w:tcW w:w="10140" w:type="dxa"/>
            <w:vAlign w:val="bottom"/>
            <w:gridSpan w:val="28"/>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Purchase and Sale Agreement by and between the ProKidney Acquisition Company, LLC and Breit SE Industrial Propco NC LP, dated</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November 20, 2024 (incorporated by reference from Exhibit 10.20 to Form 10-K filed with the SEC on March 17, 2025) (File No. 001-</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80" w:type="dxa"/>
            <w:vAlign w:val="bottom"/>
          </w:tcPr>
          <w:p>
            <w:pPr>
              <w:spacing w:after="0" w:line="196" w:lineRule="exact"/>
              <w:rPr>
                <w:rFonts w:ascii="Times New Roman" w:cs="Times New Roman" w:eastAsia="Times New Roman" w:hAnsi="Times New Roman"/>
                <w:sz w:val="18"/>
                <w:szCs w:val="18"/>
                <w:color w:val="0000FF"/>
                <w:w w:val="97"/>
              </w:rPr>
            </w:pPr>
            <w:hyperlink r:id="rId146">
              <w:r>
                <w:rPr>
                  <w:rFonts w:ascii="Times New Roman" w:cs="Times New Roman" w:eastAsia="Times New Roman" w:hAnsi="Times New Roman"/>
                  <w:sz w:val="18"/>
                  <w:szCs w:val="18"/>
                  <w:color w:val="0000FF"/>
                  <w:w w:val="97"/>
                </w:rPr>
                <w:t>40560).</w:t>
              </w:r>
            </w:hyperlink>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10.11*</w:t>
            </w: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ProKidney Corp. Non-Employee Director Compensation Policy, as amended.</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10.12</w:t>
            </w:r>
          </w:p>
        </w:tc>
        <w:tc>
          <w:tcPr>
            <w:tcW w:w="10140" w:type="dxa"/>
            <w:vAlign w:val="bottom"/>
            <w:gridSpan w:val="28"/>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Assignment and Assumption of Purchase and Sale Agreement, dated November 25, 2024, by and among ProKidney Acquisition Company,</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LLC. and ProKidney Acquisition Company II, LLC (incorporated by reference from Exhibit 10.22 to Form 10-K filed with the SEC on</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March 17, 2025) (File No. 001-40560).</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10.13</w:t>
            </w:r>
          </w:p>
        </w:tc>
        <w:tc>
          <w:tcPr>
            <w:tcW w:w="10140" w:type="dxa"/>
            <w:vAlign w:val="bottom"/>
            <w:gridSpan w:val="28"/>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Amended and Restated Tax Receivable Agreement, dated July 1, 2025, by and among ProKidney and the TRA Parties (as defined therein)</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(incorporated by reference to Exhibit 10.1 of the Company's Current Report on Form 8-K12B, filed on July 3, 2025 (File No. 001-40560)).</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10.14</w:t>
            </w:r>
          </w:p>
        </w:tc>
        <w:tc>
          <w:tcPr>
            <w:tcW w:w="10140" w:type="dxa"/>
            <w:vAlign w:val="bottom"/>
            <w:gridSpan w:val="28"/>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Amended and Restated Lock-Up Agreement, dated July 1, 2025, by and among ProKidney and certain of the ProKidney Holders (as</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defined therein) (incorporated by reference to Exhibit 10.2 of the Company's Current Report on Form 8-K12B, filed on July 3, 2025 (File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No. 001-40560)).</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10.15</w:t>
            </w:r>
          </w:p>
        </w:tc>
        <w:tc>
          <w:tcPr>
            <w:tcW w:w="10140" w:type="dxa"/>
            <w:vAlign w:val="bottom"/>
            <w:gridSpan w:val="28"/>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Amended and Restated Exchange Agreement, dated July 1, 2025, by and among ProKidney, ProKidney Holdings, LLC and the other</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members of ProKidney Holdings, LLC party thereto (incorporated by reference to Exhibit 10.3 of the Company's Current Report on Form</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8-K12B, filed on July 3, 2025 (File No. 001-40560)).</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10.16</w:t>
            </w:r>
          </w:p>
        </w:tc>
        <w:tc>
          <w:tcPr>
            <w:tcW w:w="10140" w:type="dxa"/>
            <w:vAlign w:val="bottom"/>
            <w:gridSpan w:val="28"/>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First Amendment to the ProKidney Corp. Employee Stock Purchase Plan (incorporated by reference to Exhibit 10.4 of the Company's</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Current Report on Form 8-K12B, filed on July 3, 2025 (File No. 001-40560)).</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10.17</w:t>
            </w:r>
          </w:p>
        </w:tc>
        <w:tc>
          <w:tcPr>
            <w:tcW w:w="10140" w:type="dxa"/>
            <w:vAlign w:val="bottom"/>
            <w:gridSpan w:val="28"/>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First Amendment to the ProKidney Corp. 2022 Incentive Equity Plan (incorporated by reference to Exhibit 10.5 of the Company's Current</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Report on Form 8-K12B, filed on July 3, 2025 (File No. 001-40560)).</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10.18</w:t>
            </w:r>
          </w:p>
        </w:tc>
        <w:tc>
          <w:tcPr>
            <w:tcW w:w="10140" w:type="dxa"/>
            <w:vAlign w:val="bottom"/>
            <w:gridSpan w:val="28"/>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Indemnification Agreement, dated July 1, 2025, by and among ProKidney and its directors and officers (incorporated by reference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to Exhibit 10.6 of the Company's Current Report on Form 8-K12B, filed on July 3, 2025 (File No. 001-40560)).</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10.19</w:t>
            </w:r>
          </w:p>
        </w:tc>
        <w:tc>
          <w:tcPr>
            <w:tcW w:w="10140" w:type="dxa"/>
            <w:vAlign w:val="bottom"/>
            <w:gridSpan w:val="28"/>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Second Amended and Restated Limited Liability Company Agreement of ProKidney Holdings, dated July 1, 2025, by and among the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members and managers party thereto (incorporated by reference to Exhibit 10.7 of the Company's Current Report on Form 8-K12B, filed</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98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on July 3, 2025 (File No. 001-40560)).</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10.20†</w:t>
            </w:r>
          </w:p>
        </w:tc>
        <w:tc>
          <w:tcPr>
            <w:tcW w:w="10140" w:type="dxa"/>
            <w:vAlign w:val="bottom"/>
            <w:gridSpan w:val="28"/>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Employment Agreement, dated as of May 12, 2025 by and between Bruce Culleton, M.D. and ProKidney, LLC. (incorporated by reference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60" w:type="dxa"/>
            <w:vAlign w:val="bottom"/>
            <w:tcBorders>
              <w:right w:val="single" w:sz="8" w:color="0000FF"/>
            </w:tcBorders>
            <w:gridSpan w:val="6"/>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980" w:type="dxa"/>
            <w:vAlign w:val="bottom"/>
            <w:gridSpan w:val="8"/>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from Exhibit 10.8 to Form 10-Q filed with the SEC on August 12, 2025 (File No. 001-40560)).</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60" w:type="dxa"/>
            <w:vAlign w:val="bottom"/>
            <w:tcBorders>
              <w:right w:val="single" w:sz="8" w:color="0000FF"/>
            </w:tcBorders>
            <w:gridSpan w:val="6"/>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10.21†</w:t>
            </w:r>
          </w:p>
        </w:tc>
        <w:tc>
          <w:tcPr>
            <w:tcW w:w="10140" w:type="dxa"/>
            <w:vAlign w:val="bottom"/>
            <w:gridSpan w:val="28"/>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Employment Agreement, dated as of May 12, 2025 by and between James Coulston and ProKidney, LLC. (incorporated by reference from</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60" w:type="dxa"/>
            <w:vAlign w:val="bottom"/>
            <w:tcBorders>
              <w:right w:val="single" w:sz="8" w:color="0000FF"/>
            </w:tcBorders>
            <w:gridSpan w:val="6"/>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300" w:type="dxa"/>
            <w:vAlign w:val="bottom"/>
            <w:tcBorders>
              <w:left w:val="single" w:sz="8" w:color="0000FF"/>
            </w:tcBorders>
            <w:gridSpan w:val="9"/>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Exhibit 10.9 to Form 10-Q filed with the SEC on August 12, 2025 (File No. 001-40560)).</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60" w:type="dxa"/>
            <w:vAlign w:val="bottom"/>
            <w:tcBorders>
              <w:right w:val="single" w:sz="8" w:color="0000FF"/>
            </w:tcBorders>
            <w:gridSpan w:val="6"/>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10.22†</w:t>
            </w:r>
          </w:p>
        </w:tc>
        <w:tc>
          <w:tcPr>
            <w:tcW w:w="10140" w:type="dxa"/>
            <w:vAlign w:val="bottom"/>
            <w:gridSpan w:val="28"/>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Employment Agreement, dated as of May 9, 2025 by and between Todd Girolamo and ProKidney, LLC. (incorporated by reference from</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6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300" w:type="dxa"/>
            <w:vAlign w:val="bottom"/>
            <w:tcBorders>
              <w:left w:val="single" w:sz="8" w:color="0000FF"/>
            </w:tcBorders>
            <w:gridSpan w:val="9"/>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Exhibit 10.10 to Form 10-Q filed with the SEC on August 12, 2025 (File No. 001-40560)).</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6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300" w:type="dxa"/>
            <w:vAlign w:val="bottom"/>
            <w:tcBorders>
              <w:left w:val="single" w:sz="8" w:color="0000EE"/>
            </w:tcBorders>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10.23†</w:t>
            </w:r>
          </w:p>
        </w:tc>
        <w:tc>
          <w:tcPr>
            <w:tcW w:w="10140" w:type="dxa"/>
            <w:vAlign w:val="bottom"/>
            <w:gridSpan w:val="28"/>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Employment Agreement, dated as of June 11, 2025 by and between Darin Weber and ProKidney, LLC. (incorporated by reference from</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60" w:type="dxa"/>
            <w:vAlign w:val="bottom"/>
            <w:tcBorders>
              <w:right w:val="single" w:sz="8" w:color="0000FF"/>
            </w:tcBorders>
            <w:gridSpan w:val="6"/>
            <w:shd w:val="clear" w:color="auto" w:fill="0000FF"/>
          </w:tcPr>
          <w:p>
            <w:pPr>
              <w:spacing w:after="0" w:line="20" w:lineRule="exact"/>
              <w:rPr>
                <w:sz w:val="1"/>
                <w:szCs w:val="1"/>
                <w:color w:val="auto"/>
              </w:rPr>
            </w:pPr>
          </w:p>
        </w:tc>
        <w:tc>
          <w:tcPr>
            <w:tcW w:w="3760" w:type="dxa"/>
            <w:vAlign w:val="bottom"/>
            <w:gridSpan w:val="11"/>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Exhibit 10.11 to Form 10-Q filed with the SEC on August 12, 2025 (File No. 001-40560)).</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6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300" w:type="dxa"/>
            <w:vAlign w:val="bottom"/>
            <w:tcBorders>
              <w:left w:val="single" w:sz="8" w:color="0000EE"/>
            </w:tcBorders>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10.24</w:t>
            </w:r>
          </w:p>
        </w:tc>
        <w:tc>
          <w:tcPr>
            <w:tcW w:w="2120" w:type="dxa"/>
            <w:vAlign w:val="bottom"/>
            <w:gridSpan w:val="5"/>
            <w:vMerge w:val="restart"/>
          </w:tcPr>
          <w:p>
            <w:pPr>
              <w:spacing w:after="0"/>
              <w:rPr>
                <w:rFonts w:ascii="Times New Roman" w:cs="Times New Roman" w:eastAsia="Times New Roman" w:hAnsi="Times New Roman"/>
                <w:sz w:val="18"/>
                <w:szCs w:val="18"/>
                <w:color w:val="0000FF"/>
                <w:w w:val="96"/>
              </w:rPr>
            </w:pPr>
            <w:hyperlink r:id="rId159">
              <w:r>
                <w:rPr>
                  <w:rFonts w:ascii="Times New Roman" w:cs="Times New Roman" w:eastAsia="Times New Roman" w:hAnsi="Times New Roman"/>
                  <w:sz w:val="18"/>
                  <w:szCs w:val="18"/>
                  <w:color w:val="0000FF"/>
                  <w:w w:val="96"/>
                </w:rPr>
                <w:t>Open Market Sale Agreement</w:t>
              </w:r>
            </w:hyperlink>
          </w:p>
        </w:tc>
        <w:tc>
          <w:tcPr>
            <w:tcW w:w="180" w:type="dxa"/>
            <w:vAlign w:val="bottom"/>
            <w:tcBorders>
              <w:bottom w:val="single" w:sz="8" w:color="0000FF"/>
            </w:tcBorders>
            <w:gridSpan w:val="2"/>
          </w:tcPr>
          <w:p>
            <w:pPr>
              <w:ind w:left="20"/>
              <w:spacing w:after="0"/>
              <w:rPr>
                <w:rFonts w:ascii="Times New Roman" w:cs="Times New Roman" w:eastAsia="Times New Roman" w:hAnsi="Times New Roman"/>
                <w:sz w:val="12"/>
                <w:szCs w:val="12"/>
                <w:color w:val="0000FF"/>
                <w:w w:val="80"/>
              </w:rPr>
            </w:pPr>
            <w:hyperlink r:id="rId159">
              <w:r>
                <w:rPr>
                  <w:rFonts w:ascii="Times New Roman" w:cs="Times New Roman" w:eastAsia="Times New Roman" w:hAnsi="Times New Roman"/>
                  <w:sz w:val="12"/>
                  <w:szCs w:val="12"/>
                  <w:color w:val="0000FF"/>
                  <w:w w:val="80"/>
                </w:rPr>
                <w:t>SM</w:t>
              </w:r>
            </w:hyperlink>
          </w:p>
        </w:tc>
        <w:tc>
          <w:tcPr>
            <w:tcW w:w="7840" w:type="dxa"/>
            <w:vAlign w:val="bottom"/>
            <w:gridSpan w:val="21"/>
            <w:vMerge w:val="restart"/>
          </w:tcPr>
          <w:p>
            <w:pPr>
              <w:ind w:left="60"/>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dated July 14, 2025, by and between ProKidney Corp. and Jefferies LLC (incorporated by reference from</w:t>
              </w:r>
            </w:hyperlink>
          </w:p>
        </w:tc>
        <w:tc>
          <w:tcPr>
            <w:tcW w:w="0" w:type="dxa"/>
            <w:vAlign w:val="bottom"/>
          </w:tcPr>
          <w:p>
            <w:pPr>
              <w:spacing w:after="0"/>
              <w:rPr>
                <w:sz w:val="1"/>
                <w:szCs w:val="1"/>
                <w:color w:val="auto"/>
              </w:rPr>
            </w:pPr>
          </w:p>
        </w:tc>
      </w:tr>
      <w:tr>
        <w:trPr>
          <w:trHeight w:val="61"/>
        </w:trPr>
        <w:tc>
          <w:tcPr>
            <w:tcW w:w="1100" w:type="dxa"/>
            <w:vAlign w:val="bottom"/>
            <w:vMerge w:val="continue"/>
          </w:tcPr>
          <w:p>
            <w:pPr>
              <w:spacing w:after="0"/>
              <w:rPr>
                <w:sz w:val="5"/>
                <w:szCs w:val="5"/>
                <w:color w:val="auto"/>
              </w:rPr>
            </w:pPr>
          </w:p>
        </w:tc>
        <w:tc>
          <w:tcPr>
            <w:tcW w:w="2120" w:type="dxa"/>
            <w:vAlign w:val="bottom"/>
            <w:gridSpan w:val="5"/>
            <w:vMerge w:val="continue"/>
          </w:tcPr>
          <w:p>
            <w:pPr>
              <w:spacing w:after="0"/>
              <w:rPr>
                <w:sz w:val="5"/>
                <w:szCs w:val="5"/>
                <w:color w:val="auto"/>
              </w:rPr>
            </w:pPr>
          </w:p>
        </w:tc>
        <w:tc>
          <w:tcPr>
            <w:tcW w:w="180" w:type="dxa"/>
            <w:vAlign w:val="bottom"/>
            <w:gridSpan w:val="2"/>
          </w:tcPr>
          <w:p>
            <w:pPr>
              <w:spacing w:after="0"/>
              <w:rPr>
                <w:sz w:val="5"/>
                <w:szCs w:val="5"/>
                <w:color w:val="auto"/>
              </w:rPr>
            </w:pPr>
          </w:p>
        </w:tc>
        <w:tc>
          <w:tcPr>
            <w:tcW w:w="7840" w:type="dxa"/>
            <w:vAlign w:val="bottom"/>
            <w:gridSpan w:val="2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Borders>
              <w:right w:val="single" w:sz="8" w:color="0000FF"/>
            </w:tcBorders>
            <w:gridSpan w:val="6"/>
            <w:shd w:val="clear" w:color="auto" w:fill="0000FF"/>
          </w:tcPr>
          <w:p>
            <w:pPr>
              <w:spacing w:after="0" w:line="20" w:lineRule="exact"/>
              <w:rPr>
                <w:sz w:val="1"/>
                <w:szCs w:val="1"/>
                <w:color w:val="auto"/>
              </w:rPr>
            </w:pPr>
          </w:p>
        </w:tc>
        <w:tc>
          <w:tcPr>
            <w:tcW w:w="3760" w:type="dxa"/>
            <w:vAlign w:val="bottom"/>
            <w:gridSpan w:val="11"/>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Exhibit 1.1 to Form 8-K filed with the SEC on July 14, 2025 (File No. 001-40560)).</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780" w:type="dxa"/>
            <w:vAlign w:val="bottom"/>
            <w:tcBorders>
              <w:right w:val="single" w:sz="8" w:color="0000EE"/>
            </w:tcBorders>
            <w:gridSpan w:val="7"/>
            <w:shd w:val="clear" w:color="auto" w:fill="0000FF"/>
          </w:tcPr>
          <w:p>
            <w:pPr>
              <w:spacing w:after="0" w:line="20" w:lineRule="exact"/>
              <w:rPr>
                <w:sz w:val="1"/>
                <w:szCs w:val="1"/>
                <w:color w:val="auto"/>
              </w:rPr>
            </w:pPr>
          </w:p>
        </w:tc>
        <w:tc>
          <w:tcPr>
            <w:tcW w:w="3760" w:type="dxa"/>
            <w:vAlign w:val="bottom"/>
            <w:gridSpan w:val="11"/>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10.25*</w:t>
            </w: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Purchase and Sale Agreement by and between the ProKidney Acquisition Company, LLC and Northpoint Development Group, LLC, dated</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8"/>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October 17, 2025.</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40" w:type="dxa"/>
            <w:vAlign w:val="bottom"/>
            <w:gridSpan w:val="18"/>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19.1</w:t>
            </w:r>
          </w:p>
        </w:tc>
        <w:tc>
          <w:tcPr>
            <w:tcW w:w="10140" w:type="dxa"/>
            <w:vAlign w:val="bottom"/>
            <w:gridSpan w:val="28"/>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Insider Trading Policy (incorporated by reference from Exhibit 19.1 to Form 10-K filed with the SEC on March 17, 2025) (File No. 001-</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80" w:type="dxa"/>
            <w:vAlign w:val="bottom"/>
          </w:tcPr>
          <w:p>
            <w:pPr>
              <w:spacing w:after="0" w:line="196" w:lineRule="exact"/>
              <w:rPr>
                <w:rFonts w:ascii="Times New Roman" w:cs="Times New Roman" w:eastAsia="Times New Roman" w:hAnsi="Times New Roman"/>
                <w:sz w:val="18"/>
                <w:szCs w:val="18"/>
                <w:color w:val="0000FF"/>
                <w:w w:val="94"/>
              </w:rPr>
            </w:pPr>
            <w:hyperlink r:id="rId160">
              <w:r>
                <w:rPr>
                  <w:rFonts w:ascii="Times New Roman" w:cs="Times New Roman" w:eastAsia="Times New Roman" w:hAnsi="Times New Roman"/>
                  <w:sz w:val="18"/>
                  <w:szCs w:val="18"/>
                  <w:color w:val="0000FF"/>
                  <w:w w:val="94"/>
                </w:rPr>
                <w:t>40560)</w:t>
              </w:r>
              <w:r>
                <w:rPr>
                  <w:rFonts w:ascii="Times New Roman" w:cs="Times New Roman" w:eastAsia="Times New Roman" w:hAnsi="Times New Roman"/>
                  <w:sz w:val="18"/>
                  <w:szCs w:val="18"/>
                  <w:u w:val="single" w:color="auto"/>
                  <w:color w:val="0000FF"/>
                  <w:w w:val="94"/>
                </w:rPr>
                <w:t>)</w:t>
              </w:r>
            </w:hyperlink>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6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21.1*</w:t>
            </w: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120" w:type="dxa"/>
            <w:vAlign w:val="bottom"/>
            <w:tcBorders>
              <w:right w:val="single" w:sz="8" w:color="0000EE"/>
            </w:tcBorders>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6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23.1*</w:t>
            </w: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Consent of Ernst &amp; Young LLP</w:t>
            </w:r>
          </w:p>
        </w:tc>
        <w:tc>
          <w:tcPr>
            <w:tcW w:w="0" w:type="dxa"/>
            <w:vAlign w:val="bottom"/>
          </w:tcPr>
          <w:p>
            <w:pPr>
              <w:spacing w:after="0"/>
              <w:rPr>
                <w:sz w:val="1"/>
                <w:szCs w:val="1"/>
                <w:color w:val="auto"/>
              </w:rPr>
            </w:pPr>
          </w:p>
        </w:tc>
      </w:tr>
      <w:tr>
        <w:trPr>
          <w:trHeight w:val="236"/>
        </w:trPr>
        <w:tc>
          <w:tcPr>
            <w:tcW w:w="1100" w:type="dxa"/>
            <w:vAlign w:val="bottom"/>
          </w:tcPr>
          <w:p>
            <w:pPr>
              <w:spacing w:after="0"/>
              <w:rPr>
                <w:sz w:val="20"/>
                <w:szCs w:val="20"/>
                <w:color w:val="auto"/>
              </w:rPr>
            </w:pPr>
          </w:p>
        </w:tc>
        <w:tc>
          <w:tcPr>
            <w:tcW w:w="2280" w:type="dxa"/>
            <w:vAlign w:val="bottom"/>
            <w:tcBorders>
              <w:top w:val="single" w:sz="8" w:color="0000FF"/>
            </w:tcBorders>
            <w:gridSpan w:val="6"/>
          </w:tcPr>
          <w:p>
            <w:pPr>
              <w:spacing w:after="0"/>
              <w:rPr>
                <w:sz w:val="20"/>
                <w:szCs w:val="20"/>
                <w:color w:val="auto"/>
              </w:rPr>
            </w:pPr>
          </w:p>
        </w:tc>
        <w:tc>
          <w:tcPr>
            <w:tcW w:w="27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97</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1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106" w:name="page107"/>
    <w:bookmarkEnd w:id="106"/>
    <w:tbl>
      <w:tblPr>
        <w:tblLayout w:type="fixed"/>
        <w:tblInd w:w="60" w:type="dxa"/>
        <w:tblCellMar>
          <w:top w:w="0" w:type="dxa"/>
          <w:left w:w="0" w:type="dxa"/>
          <w:bottom w:w="0" w:type="dxa"/>
          <w:right w:w="0" w:type="dxa"/>
        </w:tblCellMar>
      </w:tblPr>
      <w:tr>
        <w:trPr>
          <w:trHeight w:val="20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8"/>
              </w:rPr>
              <w:t>31.1*</w:t>
            </w: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80" w:type="dxa"/>
            <w:vAlign w:val="bottom"/>
            <w:tcBorders>
              <w:right w:val="single" w:sz="8" w:color="0000FF"/>
            </w:tcBorders>
            <w:shd w:val="clear" w:color="auto" w:fill="0000FF"/>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80" w:type="dxa"/>
            <w:vAlign w:val="bottom"/>
            <w:tcBorders>
              <w:right w:val="single" w:sz="8" w:color="0000EE"/>
            </w:tcBorders>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8"/>
              </w:rPr>
              <w:t>31.2*</w:t>
            </w: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7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80" w:type="dxa"/>
            <w:vAlign w:val="bottom"/>
            <w:tcBorders>
              <w:right w:val="single" w:sz="8" w:color="0000EE"/>
            </w:tcBorders>
            <w:shd w:val="clear" w:color="auto" w:fill="0000FF"/>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8"/>
              </w:rPr>
              <w:t>32.1*</w:t>
            </w: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8"/>
              </w:rPr>
              <w:t>32.2*</w:t>
            </w: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20"/>
        </w:trPr>
        <w:tc>
          <w:tcPr>
            <w:tcW w:w="1040" w:type="dxa"/>
            <w:vAlign w:val="bottom"/>
          </w:tcPr>
          <w:p>
            <w:pPr>
              <w:spacing w:after="0" w:line="20" w:lineRule="exact"/>
              <w:rPr>
                <w:sz w:val="1"/>
                <w:szCs w:val="1"/>
                <w:color w:val="auto"/>
              </w:rPr>
            </w:pPr>
          </w:p>
        </w:tc>
        <w:tc>
          <w:tcPr>
            <w:tcW w:w="100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76" w:lineRule="exact"/>
        <w:rPr>
          <w:sz w:val="20"/>
          <w:szCs w:val="20"/>
          <w:color w:val="auto"/>
        </w:rPr>
      </w:pPr>
    </w:p>
    <w:p>
      <w:pPr>
        <w:ind w:left="1080" w:right="160" w:hanging="1011"/>
        <w:spacing w:after="0" w:line="282" w:lineRule="auto"/>
        <w:tabs>
          <w:tab w:leader="none" w:pos="1080" w:val="left"/>
        </w:tabs>
        <w:numPr>
          <w:ilvl w:val="0"/>
          <w:numId w:val="65"/>
        </w:numPr>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ProKidney Corp. Clawback Policy (incorporated by reference from Exhibit 97 to Form 10-K filed with the SEC on March 22, 2024) (File</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No. 001-40560).</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686435</wp:posOffset>
            </wp:positionH>
            <wp:positionV relativeFrom="paragraph">
              <wp:posOffset>-185420</wp:posOffset>
            </wp:positionV>
            <wp:extent cx="63271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632714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-48260</wp:posOffset>
            </wp:positionV>
            <wp:extent cx="7581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16"/>
        </w:trPr>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4"/>
              </w:rPr>
              <w:t>101*</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materials from the Company’s Annual Report on Form 10-K for the year ended December 31, 2025, formatted in iXBRL</w:t>
            </w:r>
          </w:p>
        </w:tc>
      </w:tr>
      <w:tr>
        <w:trPr>
          <w:trHeight w:val="216"/>
        </w:trPr>
        <w:tc>
          <w:tcPr>
            <w:tcW w:w="70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Extensible Business Reporting Language):  (i) Consolidated Balance Sheets, (ii) Consolidated Statements of Operations, (iii)</w:t>
            </w:r>
          </w:p>
        </w:tc>
      </w:tr>
      <w:tr>
        <w:trPr>
          <w:trHeight w:val="216"/>
        </w:trPr>
        <w:tc>
          <w:tcPr>
            <w:tcW w:w="70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 Statements of Comprehensive Loss, (iv) Consolidated Statements of Changes in Redeemable Noncontrolling Interest and</w:t>
            </w:r>
          </w:p>
        </w:tc>
      </w:tr>
      <w:tr>
        <w:trPr>
          <w:trHeight w:val="216"/>
        </w:trPr>
        <w:tc>
          <w:tcPr>
            <w:tcW w:w="70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Stockholders’ Deficit, (v) Consolidated Statements of Cash Flows and (vi) Notes to Consolidated Financial Statements, tagged as blocks of</w:t>
            </w:r>
          </w:p>
        </w:tc>
      </w:tr>
      <w:tr>
        <w:trPr>
          <w:trHeight w:val="234"/>
        </w:trPr>
        <w:tc>
          <w:tcPr>
            <w:tcW w:w="700" w:type="dxa"/>
            <w:vAlign w:val="bottom"/>
          </w:tcPr>
          <w:p>
            <w:pPr>
              <w:spacing w:after="0"/>
              <w:rPr>
                <w:sz w:val="20"/>
                <w:szCs w:val="20"/>
                <w:color w:val="auto"/>
              </w:rPr>
            </w:pP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text and including detailed tags.</w:t>
            </w:r>
          </w:p>
        </w:tc>
      </w:tr>
      <w:tr>
        <w:trPr>
          <w:trHeight w:val="283"/>
        </w:trPr>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4"/>
              </w:rPr>
              <w:t>104*</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cover page from this Annual Report on Form 10-K for the year ended December 31, 2025, formatted in Inline XBRL.</w:t>
            </w:r>
          </w:p>
        </w:tc>
      </w:tr>
    </w:tbl>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right="6720" w:firstLine="8"/>
        <w:spacing w:after="0" w:line="282" w:lineRule="auto"/>
        <w:tabs>
          <w:tab w:leader="none" w:pos="13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9512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rFonts w:ascii="Times New Roman" w:cs="Times New Roman" w:eastAsia="Times New Roman" w:hAnsi="Times New Roman"/>
          <w:sz w:val="18"/>
          <w:szCs w:val="18"/>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0" w:right="419" w:bottom="1440" w:gutter="0" w:footer="0" w:header="0"/>
        </w:sectPr>
      </w:pPr>
    </w:p>
    <w:bookmarkStart w:id="107" w:name="page108"/>
    <w:bookmarkEnd w:id="107"/>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PROKIDNEY CORP.</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18, 2026</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Culleton</w:t>
            </w:r>
          </w:p>
        </w:tc>
      </w:tr>
      <w:tr>
        <w:trPr>
          <w:trHeight w:val="187"/>
        </w:trPr>
        <w:tc>
          <w:tcPr>
            <w:tcW w:w="36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Bruce Culleton</w:t>
            </w:r>
          </w:p>
        </w:tc>
      </w:tr>
      <w:tr>
        <w:trPr>
          <w:trHeight w:val="238"/>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bl>
    <w:p>
      <w:pPr>
        <w:spacing w:after="0" w:line="9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89" w:right="339" w:bottom="1440" w:gutter="0" w:footer="0" w:header="0"/>
        </w:sectPr>
      </w:pPr>
    </w:p>
    <w:p>
      <w:pPr>
        <w:spacing w:after="0" w:line="1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571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6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Bruce Culleton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Bruce Culleton</w:t>
      </w:r>
    </w:p>
    <w:p>
      <w:pPr>
        <w:spacing w:after="0" w:line="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James Coulston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James Coulston</w:t>
      </w:r>
    </w:p>
    <w:p>
      <w:pPr>
        <w:spacing w:after="0" w:line="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Pablo Legorreta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Pablo Legorreta</w:t>
      </w:r>
    </w:p>
    <w:p>
      <w:pPr>
        <w:spacing w:after="0" w:line="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William F.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William F. Doyle</w:t>
      </w:r>
    </w:p>
    <w:p>
      <w:pPr>
        <w:spacing w:after="0" w:line="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Jennifer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Jennifer Fox</w:t>
      </w:r>
    </w:p>
    <w:p>
      <w:pPr>
        <w:spacing w:after="0" w:line="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José Ignacio Jimenez Santos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José Ignacio Jimenez Santos</w:t>
      </w:r>
    </w:p>
    <w:p>
      <w:pPr>
        <w:spacing w:after="0" w:line="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Alan M. Lotvin,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Alan M. Lotvin, M.D.</w:t>
      </w:r>
    </w:p>
    <w:p>
      <w:pPr>
        <w:spacing w:after="0" w:line="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Brian J.G. Pereira,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Brian J.G. Pereira, M.D.</w:t>
      </w:r>
    </w:p>
    <w:p>
      <w:pPr>
        <w:spacing w:after="0" w:line="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Uma Sinha,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Uma Sinha, Ph.D.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8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18, 2026</w:t>
            </w:r>
          </w:p>
        </w:tc>
      </w:tr>
      <w:tr>
        <w:trPr>
          <w:trHeight w:val="234"/>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9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18, 2026</w:t>
            </w:r>
          </w:p>
        </w:tc>
      </w:tr>
      <w:tr>
        <w:trPr>
          <w:trHeight w:val="234"/>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11"/>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18, 2026</w:t>
            </w:r>
          </w:p>
        </w:tc>
      </w:tr>
      <w:tr>
        <w:trPr>
          <w:trHeight w:val="52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18, 2026</w:t>
            </w:r>
          </w:p>
        </w:tc>
      </w:tr>
      <w:tr>
        <w:trPr>
          <w:trHeight w:val="52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18, 2026</w:t>
            </w:r>
          </w:p>
        </w:tc>
      </w:tr>
      <w:tr>
        <w:trPr>
          <w:trHeight w:val="52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18, 2026</w:t>
            </w:r>
          </w:p>
        </w:tc>
      </w:tr>
      <w:tr>
        <w:trPr>
          <w:trHeight w:val="52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18, 2026</w:t>
            </w:r>
          </w:p>
        </w:tc>
      </w:tr>
      <w:tr>
        <w:trPr>
          <w:trHeight w:val="52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18, 2026</w:t>
            </w:r>
          </w:p>
        </w:tc>
      </w:tr>
      <w:tr>
        <w:trPr>
          <w:trHeight w:val="52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18, 2026</w:t>
            </w:r>
          </w:p>
        </w:tc>
      </w:tr>
    </w:tbl>
    <w:p>
      <w:pPr>
        <w:spacing w:after="0" w:line="393" w:lineRule="exact"/>
        <w:rPr>
          <w:sz w:val="20"/>
          <w:szCs w:val="20"/>
          <w:color w:val="auto"/>
        </w:rPr>
      </w:pPr>
    </w:p>
    <w:p>
      <w:pPr>
        <w:sectPr>
          <w:pgSz w:w="11900" w:h="16838" w:orient="portrait"/>
          <w:cols w:equalWidth="0" w:num="2">
            <w:col w:w="3120" w:space="720"/>
            <w:col w:w="7400"/>
          </w:cols>
          <w:pgMar w:left="320" w:top="1089" w:right="339" w:bottom="1440" w:gutter="0" w:footer="0" w:header="0"/>
          <w:type w:val="continuous"/>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200" w:type="dxa"/>
            <w:vAlign w:val="bottom"/>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ID:42)</w:t>
            </w:r>
          </w:p>
        </w:tc>
        <w:tc>
          <w:tcPr>
            <w:tcW w:w="4900" w:type="dxa"/>
            <w:vAlign w:val="bottom"/>
            <w:gridSpan w:val="4"/>
          </w:tcPr>
          <w:p>
            <w:pPr>
              <w:spacing w:after="0"/>
              <w:rPr>
                <w:sz w:val="24"/>
                <w:szCs w:val="24"/>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412"/>
        </w:trPr>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20" w:type="dxa"/>
            <w:vAlign w:val="bottom"/>
            <w:tcBorders>
              <w:bottom w:val="single" w:sz="8" w:color="0000EE"/>
            </w:tcBorders>
          </w:tcPr>
          <w:p>
            <w:pPr>
              <w:spacing w:after="0"/>
              <w:rPr>
                <w:sz w:val="24"/>
                <w:szCs w:val="24"/>
                <w:color w:val="auto"/>
              </w:rPr>
            </w:pPr>
          </w:p>
        </w:tc>
        <w:tc>
          <w:tcPr>
            <w:tcW w:w="5680" w:type="dxa"/>
            <w:vAlign w:val="bottom"/>
            <w:gridSpan w:val="5"/>
          </w:tcPr>
          <w:p>
            <w:pPr>
              <w:spacing w:after="0"/>
              <w:rPr>
                <w:sz w:val="24"/>
                <w:szCs w:val="24"/>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412"/>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2024, and 2023</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760" w:type="dxa"/>
            <w:vAlign w:val="bottom"/>
            <w:tcBorders>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2025, 2024, and 2023</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840" w:type="dxa"/>
            <w:vAlign w:val="bottom"/>
            <w:gridSpan w:val="5"/>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Changes in Redeemable Noncontrolling Interest and Stockholders’ Deficit for the years ended December 31, 2025,</w:t>
            </w:r>
          </w:p>
        </w:tc>
        <w:tc>
          <w:tcPr>
            <w:tcW w:w="88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29"/>
        </w:trPr>
        <w:tc>
          <w:tcPr>
            <w:tcW w:w="1036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2024, and 2023</w:t>
            </w: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360" w:type="dxa"/>
            <w:vAlign w:val="bottom"/>
            <w:gridSpan w:val="9"/>
            <w:vMerge w:val="continu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412"/>
        </w:trPr>
        <w:tc>
          <w:tcPr>
            <w:tcW w:w="70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360" w:type="dxa"/>
            <w:vAlign w:val="bottom"/>
            <w:gridSpan w:val="2"/>
          </w:tcPr>
          <w:p>
            <w:pPr>
              <w:spacing w:after="0"/>
              <w:rPr>
                <w:sz w:val="24"/>
                <w:szCs w:val="24"/>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885"/>
        </w:trPr>
        <w:tc>
          <w:tcPr>
            <w:tcW w:w="1140" w:type="dxa"/>
            <w:vAlign w:val="bottom"/>
            <w:tcBorders>
              <w:top w:val="single" w:sz="8" w:color="0000FF"/>
            </w:tcBorders>
          </w:tcPr>
          <w:p>
            <w:pPr>
              <w:spacing w:after="0"/>
              <w:rPr>
                <w:sz w:val="24"/>
                <w:szCs w:val="24"/>
                <w:color w:val="auto"/>
              </w:rPr>
            </w:pPr>
          </w:p>
        </w:tc>
        <w:tc>
          <w:tcPr>
            <w:tcW w:w="202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9" w:name="page110"/>
    <w:bookmarkEnd w:id="109"/>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ProKidney Corp.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ProKidney Corp. (the Company) as of December 31, 2025 and 2024, the related consolidated statements of operations, comprehensive loss, changes in redeemable noncontrolling interest and shareholders’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0"/>
                <w:szCs w:val="20"/>
                <w:color w:val="auto"/>
              </w:rPr>
            </w:pPr>
          </w:p>
        </w:tc>
        <w:tc>
          <w:tcPr>
            <w:tcW w:w="1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5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108,537</w:t>
            </w:r>
          </w:p>
        </w:tc>
        <w:tc>
          <w:tcPr>
            <w:tcW w:w="3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99,120</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161,480</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259,172</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receivable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assets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clinical</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19,368</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r>
      <w:tr>
        <w:trPr>
          <w:trHeight w:val="209"/>
        </w:trPr>
        <w:tc>
          <w:tcPr>
            <w:tcW w:w="57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280,679</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395,884</w:t>
            </w:r>
          </w:p>
        </w:tc>
        <w:tc>
          <w:tcPr>
            <w:tcW w:w="100" w:type="dxa"/>
            <w:vAlign w:val="bottom"/>
            <w:shd w:val="clear" w:color="auto" w:fill="CFF0FC"/>
          </w:tcPr>
          <w:p>
            <w:pPr>
              <w:spacing w:after="0"/>
              <w:rPr>
                <w:sz w:val="18"/>
                <w:szCs w:val="18"/>
                <w:color w:val="auto"/>
              </w:rPr>
            </w:pPr>
          </w:p>
        </w:tc>
      </w:tr>
      <w:tr>
        <w:trPr>
          <w:trHeight w:val="432"/>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51,231</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42,222</w:t>
            </w:r>
          </w:p>
        </w:tc>
        <w:tc>
          <w:tcPr>
            <w:tcW w:w="100" w:type="dxa"/>
            <w:vAlign w:val="bottom"/>
          </w:tcPr>
          <w:p>
            <w:pPr>
              <w:spacing w:after="0"/>
              <w:rPr>
                <w:sz w:val="24"/>
                <w:szCs w:val="24"/>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assets, net</w:t>
            </w:r>
          </w:p>
        </w:tc>
        <w:tc>
          <w:tcPr>
            <w:tcW w:w="8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3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shd w:val="clear" w:color="auto" w:fill="CFF0FC"/>
          </w:tcPr>
          <w:p>
            <w:pPr>
              <w:spacing w:after="0"/>
              <w:rPr>
                <w:sz w:val="18"/>
                <w:szCs w:val="18"/>
                <w:color w:val="auto"/>
              </w:rPr>
            </w:pPr>
          </w:p>
        </w:tc>
      </w:tr>
      <w:tr>
        <w:trPr>
          <w:trHeight w:val="209"/>
        </w:trPr>
        <w:tc>
          <w:tcPr>
            <w:tcW w:w="5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335,574</w:t>
            </w:r>
          </w:p>
        </w:tc>
        <w:tc>
          <w:tcPr>
            <w:tcW w:w="3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441,073</w:t>
            </w:r>
          </w:p>
        </w:tc>
        <w:tc>
          <w:tcPr>
            <w:tcW w:w="10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3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31,137</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FF0FC"/>
          </w:tcPr>
          <w:p>
            <w:pPr>
              <w:spacing w:after="0"/>
              <w:rPr>
                <w:sz w:val="18"/>
                <w:szCs w:val="18"/>
                <w:color w:val="auto"/>
              </w:rPr>
            </w:pPr>
          </w:p>
        </w:tc>
      </w:tr>
      <w:tr>
        <w:trPr>
          <w:trHeight w:val="228"/>
        </w:trPr>
        <w:tc>
          <w:tcPr>
            <w:tcW w:w="5720" w:type="dxa"/>
            <w:vAlign w:val="bottom"/>
            <w:tcBorders>
              <w:top w:val="single" w:sz="8" w:color="CFF0FC"/>
            </w:tcBorders>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8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30,742</w:t>
            </w:r>
          </w:p>
        </w:tc>
        <w:tc>
          <w:tcPr>
            <w:tcW w:w="3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36,217</w:t>
            </w:r>
          </w:p>
        </w:tc>
        <w:tc>
          <w:tcPr>
            <w:tcW w:w="100" w:type="dxa"/>
            <w:vAlign w:val="bottom"/>
            <w:tcBorders>
              <w:top w:val="single" w:sz="8" w:color="CFF0FC"/>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payable, net of current portion</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tcPr>
          <w:p>
            <w:pPr>
              <w:spacing w:after="0"/>
              <w:rPr>
                <w:sz w:val="18"/>
                <w:szCs w:val="18"/>
                <w:color w:val="auto"/>
              </w:rPr>
            </w:pPr>
          </w:p>
        </w:tc>
      </w:tr>
      <w:tr>
        <w:trPr>
          <w:trHeight w:val="210"/>
        </w:trPr>
        <w:tc>
          <w:tcPr>
            <w:tcW w:w="57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34,781</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39,436</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1,311,990</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1,396,591</w:t>
            </w:r>
          </w:p>
        </w:tc>
        <w:tc>
          <w:tcPr>
            <w:tcW w:w="100" w:type="dxa"/>
            <w:vAlign w:val="bottom"/>
            <w:shd w:val="clear" w:color="auto" w:fill="CFF0FC"/>
          </w:tcPr>
          <w:p>
            <w:pPr>
              <w:spacing w:after="0"/>
              <w:rPr>
                <w:sz w:val="18"/>
                <w:szCs w:val="18"/>
                <w:color w:val="auto"/>
              </w:rPr>
            </w:pPr>
          </w:p>
        </w:tc>
      </w:tr>
      <w:tr>
        <w:trPr>
          <w:trHeight w:val="432"/>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57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700,000,000 and</w:t>
            </w: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500,000,000 shares authorized as of December 31, 2025 and</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2024, respectively; 141,807,277 and 128,054,417</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issued and outstanding as of December 31, 2025 and</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0"/>
                <w:szCs w:val="20"/>
                <w:color w:val="auto"/>
              </w:rPr>
            </w:pPr>
          </w:p>
        </w:tc>
      </w:tr>
      <w:tr>
        <w:trPr>
          <w:trHeight w:val="198"/>
        </w:trPr>
        <w:tc>
          <w:tcPr>
            <w:tcW w:w="57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500,000,000 shares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authorized; 159,262,779 and 163,693,707 shares issued and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as of December 31, 2025 and December 31, 2024,</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16"/>
        </w:trPr>
        <w:tc>
          <w:tcPr>
            <w:tcW w:w="5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258,552</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205,736</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Accumulated deficit</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(1,269,835)</w:t>
            </w:r>
          </w:p>
        </w:tc>
        <w:tc>
          <w:tcPr>
            <w:tcW w:w="20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(1,200,849)</w:t>
            </w:r>
          </w:p>
        </w:tc>
      </w:tr>
      <w:tr>
        <w:trPr>
          <w:trHeight w:val="20"/>
        </w:trPr>
        <w:tc>
          <w:tcPr>
            <w:tcW w:w="57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(1,011,197)</w:t>
            </w:r>
          </w:p>
        </w:tc>
        <w:tc>
          <w:tcPr>
            <w:tcW w:w="20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(994,954)</w:t>
            </w:r>
          </w:p>
        </w:tc>
      </w:tr>
      <w:tr>
        <w:trPr>
          <w:trHeight w:val="250"/>
        </w:trPr>
        <w:tc>
          <w:tcPr>
            <w:tcW w:w="5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8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335,574</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441,073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-5871210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-5871210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-3213735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-316865</wp:posOffset>
            </wp:positionV>
            <wp:extent cx="768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114,123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127,668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183,752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(165,007)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(183,676)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(151,522)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(151,198)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(163,933)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(151,612)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(163,335)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(82,626)</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(102,149)</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available to Class A common stockholders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(68,986)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(61,186)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133,942,736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97,916,193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61,714,225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Class A common stock:</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4795520</wp:posOffset>
            </wp:positionH>
            <wp:positionV relativeFrom="paragraph">
              <wp:posOffset>-1448435</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5738495</wp:posOffset>
            </wp:positionH>
            <wp:positionV relativeFrom="paragraph">
              <wp:posOffset>-1448435</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-1448435</wp:posOffset>
            </wp:positionV>
            <wp:extent cx="596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-1165225</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5738495</wp:posOffset>
            </wp:positionH>
            <wp:positionV relativeFrom="paragraph">
              <wp:posOffset>-1165225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-1165225</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-882650</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5738495</wp:posOffset>
            </wp:positionH>
            <wp:positionV relativeFrom="paragraph">
              <wp:posOffset>-882650</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-882650</wp:posOffset>
            </wp:positionV>
            <wp:extent cx="596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473075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305" w:right="67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00" w:type="dxa"/>
            <w:vAlign w:val="bottom"/>
            <w:gridSpan w:val="8"/>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including noncontrolling interest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(151,612)</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(163,335)</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Unrealized income (loss) on marketable securities</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comprehensive loss including noncontrolling interest</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(151,776)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(163,535)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Less: Total comprehensive loss attributable to noncontrolling interest</w:t>
            </w:r>
          </w:p>
        </w:tc>
        <w:tc>
          <w:tcPr>
            <w:tcW w:w="3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(82,716)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comprehensive loss attributable to Class A common stockholders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(69,060)</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(61,186)</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-591185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-591185</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-591185</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-25400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-25400</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-8255</wp:posOffset>
            </wp:positionV>
            <wp:extent cx="596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-25400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-8255</wp:posOffset>
            </wp:positionV>
            <wp:extent cx="596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305" w:right="67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Noncontrolling Interest and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13"/>
          </w:tcPr>
          <w:p>
            <w:pPr>
              <w:ind w:left="34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2025</w:t>
            </w: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6"/>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Class A Common</w:t>
            </w:r>
          </w:p>
        </w:tc>
        <w:tc>
          <w:tcPr>
            <w:tcW w:w="1680" w:type="dxa"/>
            <w:vAlign w:val="bottom"/>
            <w:gridSpan w:val="6"/>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Class B Common</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Redeem</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ated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able</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Noncon</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al Paid-</w:t>
            </w:r>
          </w:p>
        </w:tc>
        <w:tc>
          <w:tcPr>
            <w:tcW w:w="80" w:type="dxa"/>
            <w:vAlign w:val="bottom"/>
          </w:tcPr>
          <w:p>
            <w:pPr>
              <w:spacing w:after="0"/>
              <w:rPr>
                <w:sz w:val="17"/>
                <w:szCs w:val="17"/>
                <w:color w:val="auto"/>
              </w:rPr>
            </w:pPr>
          </w:p>
        </w:tc>
        <w:tc>
          <w:tcPr>
            <w:tcW w:w="8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Compre</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w:t>
            </w: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Stockhol</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trolling</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in</w:t>
            </w:r>
          </w:p>
        </w:tc>
        <w:tc>
          <w:tcPr>
            <w:tcW w:w="80" w:type="dxa"/>
            <w:vAlign w:val="bottom"/>
          </w:tcPr>
          <w:p>
            <w:pPr>
              <w:spacing w:after="0"/>
              <w:rPr>
                <w:sz w:val="17"/>
                <w:szCs w:val="17"/>
                <w:color w:val="auto"/>
              </w:rPr>
            </w:pPr>
          </w:p>
        </w:tc>
        <w:tc>
          <w:tcPr>
            <w:tcW w:w="8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hensive</w:t>
            </w:r>
          </w:p>
        </w:tc>
        <w:tc>
          <w:tcPr>
            <w:tcW w:w="100" w:type="dxa"/>
            <w:vAlign w:val="bottom"/>
          </w:tcPr>
          <w:p>
            <w:pPr>
              <w:spacing w:after="0"/>
              <w:rPr>
                <w:sz w:val="17"/>
                <w:szCs w:val="17"/>
                <w:color w:val="auto"/>
              </w:rPr>
            </w:pP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ated</w:t>
            </w:r>
          </w:p>
        </w:tc>
        <w:tc>
          <w:tcPr>
            <w:tcW w:w="10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ders'</w:t>
            </w:r>
          </w:p>
        </w:tc>
        <w:tc>
          <w:tcPr>
            <w:tcW w:w="0" w:type="dxa"/>
            <w:vAlign w:val="bottom"/>
          </w:tcPr>
          <w:p>
            <w:pPr>
              <w:spacing w:after="0"/>
              <w:rPr>
                <w:sz w:val="1"/>
                <w:szCs w:val="1"/>
                <w:color w:val="auto"/>
              </w:rPr>
            </w:pPr>
          </w:p>
        </w:tc>
      </w:tr>
      <w:tr>
        <w:trPr>
          <w:trHeight w:val="215"/>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6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Gain</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2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61,540,</w:t>
            </w:r>
          </w:p>
        </w:tc>
        <w:tc>
          <w:tcPr>
            <w:tcW w:w="1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171,57</w:t>
            </w:r>
          </w:p>
        </w:tc>
        <w:tc>
          <w:tcPr>
            <w:tcW w:w="1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7,476</w:t>
            </w:r>
          </w:p>
        </w:tc>
        <w:tc>
          <w:tcPr>
            <w:tcW w:w="140" w:type="dxa"/>
            <w:vAlign w:val="bottom"/>
            <w:shd w:val="clear" w:color="auto" w:fill="CFF0FC"/>
          </w:tcPr>
          <w:p>
            <w:pPr>
              <w:spacing w:after="0"/>
              <w:rPr>
                <w:sz w:val="20"/>
                <w:szCs w:val="20"/>
                <w:color w:val="auto"/>
              </w:rPr>
            </w:pPr>
          </w:p>
        </w:tc>
        <w:tc>
          <w:tcPr>
            <w:tcW w:w="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FF0FC"/>
          </w:tcPr>
          <w:p>
            <w:pPr>
              <w:jc w:val="right"/>
              <w:ind w:right="160"/>
              <w:spacing w:after="0" w:line="240" w:lineRule="exact"/>
              <w:rPr>
                <w:sz w:val="20"/>
                <w:szCs w:val="20"/>
                <w:color w:val="auto"/>
              </w:rPr>
            </w:pPr>
            <w:r>
              <w:rPr>
                <w:rFonts w:ascii="Times New Roman" w:cs="Times New Roman" w:eastAsia="Times New Roman" w:hAnsi="Times New Roman"/>
                <w:sz w:val="14"/>
                <w:szCs w:val="14"/>
                <w:color w:val="auto"/>
              </w:rPr>
              <w:t>(1,104,</w:t>
            </w:r>
            <w:r>
              <w:rPr>
                <w:rFonts w:ascii="Times New Roman" w:cs="Times New Roman" w:eastAsia="Times New Roman" w:hAnsi="Times New Roman"/>
                <w:sz w:val="27"/>
                <w:szCs w:val="27"/>
                <w:color w:val="auto"/>
                <w:vertAlign w:val="subscript"/>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FF0FC"/>
          </w:tcPr>
          <w:p>
            <w:pPr>
              <w:jc w:val="right"/>
              <w:ind w:right="60"/>
              <w:spacing w:after="0" w:line="240" w:lineRule="exact"/>
              <w:rPr>
                <w:sz w:val="20"/>
                <w:szCs w:val="20"/>
                <w:color w:val="auto"/>
              </w:rPr>
            </w:pPr>
            <w:r>
              <w:rPr>
                <w:rFonts w:ascii="Times New Roman" w:cs="Times New Roman" w:eastAsia="Times New Roman" w:hAnsi="Times New Roman"/>
                <w:sz w:val="14"/>
                <w:szCs w:val="14"/>
                <w:color w:val="auto"/>
              </w:rPr>
              <w:t>(1,096,6</w:t>
            </w:r>
            <w:r>
              <w:rPr>
                <w:rFonts w:ascii="Times New Roman" w:cs="Times New Roman" w:eastAsia="Times New Roman" w:hAnsi="Times New Roman"/>
                <w:sz w:val="27"/>
                <w:szCs w:val="27"/>
                <w:color w:val="auto"/>
                <w:vertAlign w:val="subscript"/>
              </w:rPr>
              <w:t>)</w:t>
            </w: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6"/>
                <w:szCs w:val="16"/>
                <w:color w:val="auto"/>
              </w:rPr>
              <w:t>555</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6"/>
                <w:szCs w:val="16"/>
                <w:color w:val="auto"/>
              </w:rPr>
              <w:t>231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6"/>
                <w:szCs w:val="16"/>
                <w:color w:val="auto"/>
              </w:rPr>
              <w:t>8,320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6"/>
                <w:szCs w:val="16"/>
                <w:color w:val="auto"/>
              </w:rPr>
              <w:t>116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7,005</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Class A common stock</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4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Vesting of Class B restricted stock rights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8"/>
                <w:szCs w:val="8"/>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8"/>
                <w:szCs w:val="8"/>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8"/>
                <w:szCs w:val="8"/>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1"/>
        </w:trPr>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Exchange of Class B common stock for Class A</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5,546,4</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(5,546,</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common stock</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(9,500)</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483)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Repurchase of Class A common stock</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8"/>
                <w:szCs w:val="8"/>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367)</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8"/>
                <w:szCs w:val="8"/>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(9,498)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8"/>
                <w:szCs w:val="8"/>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(9,499)</w:t>
            </w:r>
          </w:p>
        </w:tc>
        <w:tc>
          <w:tcPr>
            <w:tcW w:w="0" w:type="dxa"/>
            <w:vAlign w:val="bottom"/>
          </w:tcPr>
          <w:p>
            <w:pPr>
              <w:spacing w:after="0"/>
              <w:rPr>
                <w:sz w:val="1"/>
                <w:szCs w:val="1"/>
                <w:color w:val="auto"/>
              </w:rPr>
            </w:pPr>
          </w:p>
        </w:tc>
      </w:tr>
      <w:tr>
        <w:trPr>
          <w:trHeight w:val="111"/>
        </w:trPr>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Impact of equity transactions on redeemable</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(4,795)</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8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4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2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5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5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8"/>
                <w:szCs w:val="8"/>
                <w:color w:val="auto"/>
              </w:rPr>
            </w:pPr>
          </w:p>
        </w:tc>
        <w:tc>
          <w:tcPr>
            <w:tcW w:w="6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(35,468)</w:t>
            </w:r>
          </w:p>
        </w:tc>
        <w:tc>
          <w:tcPr>
            <w:tcW w:w="10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(35,468)</w:t>
            </w:r>
          </w:p>
        </w:tc>
        <w:tc>
          <w:tcPr>
            <w:tcW w:w="0" w:type="dxa"/>
            <w:vAlign w:val="bottom"/>
          </w:tcPr>
          <w:p>
            <w:pPr>
              <w:spacing w:after="0"/>
              <w:rPr>
                <w:sz w:val="1"/>
                <w:szCs w:val="1"/>
                <w:color w:val="auto"/>
              </w:rPr>
            </w:pPr>
          </w:p>
        </w:tc>
      </w:tr>
      <w:tr>
        <w:trPr>
          <w:trHeight w:val="114"/>
        </w:trPr>
        <w:tc>
          <w:tcPr>
            <w:tcW w:w="3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tcBorders>
              <w:right w:val="single" w:sz="8" w:color="auto"/>
            </w:tcBorders>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gridSpan w:val="2"/>
            <w:vMerge w:val="continue"/>
            <w:shd w:val="clear" w:color="auto" w:fill="CFF0FC"/>
          </w:tcPr>
          <w:p>
            <w:pPr>
              <w:spacing w:after="0"/>
              <w:rPr>
                <w:sz w:val="9"/>
                <w:szCs w:val="9"/>
                <w:color w:val="auto"/>
              </w:rPr>
            </w:pPr>
          </w:p>
        </w:tc>
        <w:tc>
          <w:tcPr>
            <w:tcW w:w="76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redemption value of noncontrolling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6"/>
                <w:szCs w:val="16"/>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3"/>
        </w:trPr>
        <w:tc>
          <w:tcPr>
            <w:tcW w:w="3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4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1,494,</w:t>
            </w:r>
          </w:p>
        </w:tc>
        <w:tc>
          <w:tcPr>
            <w:tcW w:w="2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59,880,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168,29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(1,139,</w:t>
            </w:r>
          </w:p>
        </w:tc>
        <w:tc>
          <w:tcPr>
            <w:tcW w:w="2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(1,103,3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34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8"/>
                <w:szCs w:val="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7,916</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36,114</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114"/>
        </w:trPr>
        <w:tc>
          <w:tcPr>
            <w:tcW w:w="3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vMerge w:val="continue"/>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Class A common stock, net of offering</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62,087,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144,31</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costs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144,325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Vesting of Class B restricted stock rights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8"/>
                <w:szCs w:val="8"/>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8"/>
                <w:szCs w:val="8"/>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8"/>
                <w:szCs w:val="8"/>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1"/>
        </w:trPr>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Exchange of Class B common stock for Class A</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5,999,4</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common stock</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15,441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Impact of equity transactions on redeemable</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14,786</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(14,786)</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(14,786)</w:t>
            </w:r>
          </w:p>
        </w:tc>
        <w:tc>
          <w:tcPr>
            <w:tcW w:w="0" w:type="dxa"/>
            <w:vAlign w:val="bottom"/>
          </w:tcPr>
          <w:p>
            <w:pPr>
              <w:spacing w:after="0"/>
              <w:rPr>
                <w:sz w:val="1"/>
                <w:szCs w:val="1"/>
                <w:color w:val="auto"/>
              </w:rPr>
            </w:pPr>
          </w:p>
        </w:tc>
      </w:tr>
      <w:tr>
        <w:trPr>
          <w:trHeight w:val="203"/>
        </w:trPr>
        <w:tc>
          <w:tcPr>
            <w:tcW w:w="3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48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4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(61,186)</w:t>
            </w:r>
          </w:p>
        </w:tc>
        <w:tc>
          <w:tcPr>
            <w:tcW w:w="10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(61,186)</w:t>
            </w:r>
          </w:p>
        </w:tc>
        <w:tc>
          <w:tcPr>
            <w:tcW w:w="0" w:type="dxa"/>
            <w:vAlign w:val="bottom"/>
          </w:tcPr>
          <w:p>
            <w:pPr>
              <w:spacing w:after="0"/>
              <w:rPr>
                <w:sz w:val="1"/>
                <w:szCs w:val="1"/>
                <w:color w:val="auto"/>
              </w:rPr>
            </w:pPr>
          </w:p>
        </w:tc>
      </w:tr>
      <w:tr>
        <w:trPr>
          <w:trHeight w:val="98"/>
        </w:trPr>
        <w:tc>
          <w:tcPr>
            <w:tcW w:w="3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20" w:type="dxa"/>
            <w:vAlign w:val="bottom"/>
            <w:tcBorders>
              <w:right w:val="single" w:sz="8" w:color="auto"/>
            </w:tcBorders>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60" w:type="dxa"/>
            <w:vAlign w:val="bottom"/>
            <w:gridSpan w:val="2"/>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580" w:type="dxa"/>
            <w:vAlign w:val="bottom"/>
            <w:gridSpan w:val="2"/>
            <w:vMerge w:val="continue"/>
            <w:shd w:val="clear" w:color="auto" w:fill="CFF0FC"/>
          </w:tcPr>
          <w:p>
            <w:pPr>
              <w:spacing w:after="0"/>
              <w:rPr>
                <w:sz w:val="8"/>
                <w:szCs w:val="8"/>
                <w:color w:val="auto"/>
              </w:rPr>
            </w:pPr>
          </w:p>
        </w:tc>
        <w:tc>
          <w:tcPr>
            <w:tcW w:w="760" w:type="dxa"/>
            <w:vAlign w:val="bottom"/>
            <w:gridSpan w:val="2"/>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58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80" w:type="dxa"/>
            <w:vAlign w:val="bottom"/>
            <w:gridSpan w:val="2"/>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6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6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2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163,69</w:t>
            </w:r>
          </w:p>
        </w:tc>
        <w:tc>
          <w:tcPr>
            <w:tcW w:w="140" w:type="dxa"/>
            <w:vAlign w:val="bottom"/>
          </w:tcPr>
          <w:p>
            <w:pPr>
              <w:spacing w:after="0"/>
              <w:rPr>
                <w:sz w:val="20"/>
                <w:szCs w:val="20"/>
                <w:color w:val="auto"/>
              </w:rPr>
            </w:pP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205,73</w:t>
            </w:r>
          </w:p>
        </w:tc>
        <w:tc>
          <w:tcPr>
            <w:tcW w:w="140" w:type="dxa"/>
            <w:vAlign w:val="bottom"/>
          </w:tcPr>
          <w:p>
            <w:pPr>
              <w:spacing w:after="0"/>
              <w:rPr>
                <w:sz w:val="20"/>
                <w:szCs w:val="20"/>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160"/>
              <w:spacing w:after="0" w:line="240" w:lineRule="exact"/>
              <w:rPr>
                <w:sz w:val="20"/>
                <w:szCs w:val="20"/>
                <w:color w:val="auto"/>
              </w:rPr>
            </w:pPr>
            <w:r>
              <w:rPr>
                <w:rFonts w:ascii="Times New Roman" w:cs="Times New Roman" w:eastAsia="Times New Roman" w:hAnsi="Times New Roman"/>
                <w:sz w:val="14"/>
                <w:szCs w:val="14"/>
                <w:color w:val="auto"/>
              </w:rPr>
              <w:t>(1,200,</w:t>
            </w:r>
            <w:r>
              <w:rPr>
                <w:rFonts w:ascii="Times New Roman" w:cs="Times New Roman" w:eastAsia="Times New Roman" w:hAnsi="Times New Roman"/>
                <w:sz w:val="27"/>
                <w:szCs w:val="27"/>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60"/>
              <w:spacing w:after="0" w:line="240" w:lineRule="exact"/>
              <w:rPr>
                <w:sz w:val="20"/>
                <w:szCs w:val="20"/>
                <w:color w:val="auto"/>
              </w:rPr>
            </w:pPr>
            <w:r>
              <w:rPr>
                <w:rFonts w:ascii="Times New Roman" w:cs="Times New Roman" w:eastAsia="Times New Roman" w:hAnsi="Times New Roman"/>
                <w:sz w:val="14"/>
                <w:szCs w:val="14"/>
                <w:color w:val="auto"/>
              </w:rPr>
              <w:t>(994,95</w:t>
            </w:r>
            <w:r>
              <w:rPr>
                <w:rFonts w:ascii="Times New Roman" w:cs="Times New Roman" w:eastAsia="Times New Roman" w:hAnsi="Times New Roman"/>
                <w:sz w:val="27"/>
                <w:szCs w:val="27"/>
                <w:color w:val="auto"/>
                <w:vertAlign w:val="subscript"/>
              </w:rPr>
              <w:t>)</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591</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4,417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3,707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849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22,357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22,357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Class A common stock, net of offering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48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Vesting of Class B restricted stock rights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959,76</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4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2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5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5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8"/>
                <w:szCs w:val="8"/>
                <w:color w:val="auto"/>
              </w:rPr>
            </w:pPr>
          </w:p>
        </w:tc>
        <w:tc>
          <w:tcPr>
            <w:tcW w:w="6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4"/>
        </w:trPr>
        <w:tc>
          <w:tcPr>
            <w:tcW w:w="3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tcBorders>
              <w:right w:val="single" w:sz="8" w:color="auto"/>
            </w:tcBorders>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gridSpan w:val="2"/>
            <w:vMerge w:val="continue"/>
            <w:shd w:val="clear" w:color="auto" w:fill="CFF0FC"/>
          </w:tcPr>
          <w:p>
            <w:pPr>
              <w:spacing w:after="0"/>
              <w:rPr>
                <w:sz w:val="9"/>
                <w:szCs w:val="9"/>
                <w:color w:val="auto"/>
              </w:rPr>
            </w:pPr>
          </w:p>
        </w:tc>
        <w:tc>
          <w:tcPr>
            <w:tcW w:w="62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Exchange of Class B common stock for Class 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5,390,6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(5,312)</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48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909,82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4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2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8"/>
                <w:szCs w:val="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5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5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tcBorders>
              <w:right w:val="single" w:sz="8" w:color="auto"/>
            </w:tcBorders>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gridSpan w:val="2"/>
            <w:vMerge w:val="continue"/>
            <w:shd w:val="clear" w:color="auto" w:fill="CFF0FC"/>
          </w:tcPr>
          <w:p>
            <w:pPr>
              <w:spacing w:after="0"/>
              <w:rPr>
                <w:sz w:val="9"/>
                <w:szCs w:val="9"/>
                <w:color w:val="auto"/>
              </w:rPr>
            </w:pPr>
          </w:p>
        </w:tc>
        <w:tc>
          <w:tcPr>
            <w:tcW w:w="76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Impact of equity transactions on redeemable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06"/>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89"/>
        </w:trPr>
        <w:tc>
          <w:tcPr>
            <w:tcW w:w="34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(82,62</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8"/>
                <w:szCs w:val="8"/>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8"/>
                <w:szCs w:val="8"/>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8"/>
                <w:szCs w:val="8"/>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(68,986)</w:t>
            </w:r>
          </w:p>
        </w:tc>
        <w:tc>
          <w:tcPr>
            <w:tcW w:w="100" w:type="dxa"/>
            <w:vAlign w:val="bottom"/>
          </w:tcPr>
          <w:p>
            <w:pPr>
              <w:spacing w:after="0"/>
              <w:rPr>
                <w:sz w:val="8"/>
                <w:szCs w:val="8"/>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(68,986)</w:t>
            </w:r>
          </w:p>
        </w:tc>
        <w:tc>
          <w:tcPr>
            <w:tcW w:w="0" w:type="dxa"/>
            <w:vAlign w:val="bottom"/>
          </w:tcPr>
          <w:p>
            <w:pPr>
              <w:spacing w:after="0"/>
              <w:rPr>
                <w:sz w:val="1"/>
                <w:szCs w:val="1"/>
                <w:color w:val="auto"/>
              </w:rPr>
            </w:pPr>
          </w:p>
        </w:tc>
      </w:tr>
      <w:tr>
        <w:trPr>
          <w:trHeight w:val="111"/>
        </w:trPr>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348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1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220" w:type="dxa"/>
            <w:vAlign w:val="bottom"/>
            <w:tcBorders>
              <w:top w:val="single" w:sz="8" w:color="CFF0FC"/>
              <w:right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141,80</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159,26</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258,55</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(1,011,1</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480" w:type="dxa"/>
            <w:vAlign w:val="bottom"/>
            <w:vMerge w:val="continue"/>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7,277</w:t>
            </w:r>
          </w:p>
        </w:tc>
        <w:tc>
          <w:tcPr>
            <w:tcW w:w="14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spacing w:after="0"/>
              <w:rPr>
                <w:sz w:val="10"/>
                <w:szCs w:val="10"/>
                <w:color w:val="auto"/>
              </w:rPr>
            </w:pPr>
          </w:p>
        </w:tc>
        <w:tc>
          <w:tcPr>
            <w:tcW w:w="260" w:type="dxa"/>
            <w:vAlign w:val="bottom"/>
            <w:vMerge w:val="restart"/>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140" w:type="dxa"/>
            <w:vAlign w:val="bottom"/>
            <w:shd w:val="clear" w:color="auto" w:fill="CFF0FC"/>
          </w:tcPr>
          <w:p>
            <w:pPr>
              <w:spacing w:after="0"/>
              <w:rPr>
                <w:sz w:val="10"/>
                <w:szCs w:val="10"/>
                <w:color w:val="auto"/>
              </w:rPr>
            </w:pPr>
          </w:p>
        </w:tc>
        <w:tc>
          <w:tcPr>
            <w:tcW w:w="340" w:type="dxa"/>
            <w:vAlign w:val="bottom"/>
            <w:gridSpan w:val="2"/>
            <w:vMerge w:val="restart"/>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0"/>
                <w:szCs w:val="10"/>
                <w:color w:val="auto"/>
              </w:rPr>
            </w:pPr>
          </w:p>
        </w:tc>
        <w:tc>
          <w:tcPr>
            <w:tcW w:w="16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18"/>
        </w:trPr>
        <w:tc>
          <w:tcPr>
            <w:tcW w:w="3480" w:type="dxa"/>
            <w:vAlign w:val="bottom"/>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500" w:type="dxa"/>
            <w:vAlign w:val="bottom"/>
            <w:vMerge w:val="continue"/>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260" w:type="dxa"/>
            <w:vAlign w:val="bottom"/>
            <w:vMerge w:val="continue"/>
            <w:shd w:val="clear" w:color="auto" w:fill="CFF0FC"/>
          </w:tcPr>
          <w:p>
            <w:pPr>
              <w:spacing w:after="0"/>
              <w:rPr>
                <w:sz w:val="10"/>
                <w:szCs w:val="10"/>
                <w:color w:val="auto"/>
              </w:rPr>
            </w:pPr>
          </w:p>
        </w:tc>
        <w:tc>
          <w:tcPr>
            <w:tcW w:w="36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gridSpan w:val="2"/>
            <w:vMerge w:val="continue"/>
            <w:shd w:val="clear" w:color="auto" w:fill="CFF0FC"/>
          </w:tcPr>
          <w:p>
            <w:pPr>
              <w:spacing w:after="0"/>
              <w:rPr>
                <w:sz w:val="10"/>
                <w:szCs w:val="10"/>
                <w:color w:val="auto"/>
              </w:rPr>
            </w:pPr>
          </w:p>
        </w:tc>
        <w:tc>
          <w:tcPr>
            <w:tcW w:w="36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54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gridSpan w:val="2"/>
            <w:vMerge w:val="continue"/>
            <w:shd w:val="clear" w:color="auto" w:fill="CFF0FC"/>
          </w:tcPr>
          <w:p>
            <w:pPr>
              <w:spacing w:after="0"/>
              <w:rPr>
                <w:sz w:val="10"/>
                <w:szCs w:val="10"/>
                <w:color w:val="auto"/>
              </w:rPr>
            </w:pPr>
          </w:p>
        </w:tc>
        <w:tc>
          <w:tcPr>
            <w:tcW w:w="5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760" w:type="dxa"/>
            <w:vAlign w:val="bottom"/>
            <w:gridSpan w:val="2"/>
            <w:vMerge w:val="continue"/>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72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-2357120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-2357120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-2357120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-2357120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-2357120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-2357120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-2357120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-2357120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-2357120</wp:posOffset>
            </wp:positionV>
            <wp:extent cx="77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-25400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-290830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-25400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-290830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-25400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-290830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-290830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-25400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-290830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-290830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-290830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-25400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-8255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-290830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-290830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gridSpan w:val="7"/>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(151,612)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(163,335)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(135,447)</w:t>
            </w:r>
          </w:p>
        </w:tc>
        <w:tc>
          <w:tcPr>
            <w:tcW w:w="0" w:type="dxa"/>
            <w:vAlign w:val="bottom"/>
          </w:tcPr>
          <w:p>
            <w:pPr>
              <w:spacing w:after="0"/>
              <w:rPr>
                <w:sz w:val="1"/>
                <w:szCs w:val="1"/>
                <w:color w:val="auto"/>
              </w:rPr>
            </w:pPr>
          </w:p>
        </w:tc>
      </w:tr>
      <w:tr>
        <w:trPr>
          <w:trHeight w:val="198"/>
        </w:trPr>
        <w:tc>
          <w:tcPr>
            <w:tcW w:w="64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before noncontrolling interest to net cash flows used</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 operating activities:</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29,372</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marketable securities, net</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(6,995)</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(6,018)</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(gain) on lease disposition</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Interest receivable</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(1,072)</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(5,955)</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(609)</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(120,117)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(126,351)</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(90,069)</w:t>
            </w:r>
          </w:p>
        </w:tc>
        <w:tc>
          <w:tcPr>
            <w:tcW w:w="0" w:type="dxa"/>
            <w:vAlign w:val="bottom"/>
          </w:tcPr>
          <w:p>
            <w:pPr>
              <w:spacing w:after="0"/>
              <w:rPr>
                <w:sz w:val="1"/>
                <w:szCs w:val="1"/>
                <w:color w:val="auto"/>
              </w:rPr>
            </w:pPr>
          </w:p>
        </w:tc>
      </w:tr>
      <w:tr>
        <w:trPr>
          <w:trHeight w:val="43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sale of facility</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(217,076)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(324,023)</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(471,604)</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373,946</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equipment and facility expansion</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(29,509)</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(34,197)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103,965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(329,983)</w:t>
            </w:r>
          </w:p>
        </w:tc>
        <w:tc>
          <w:tcPr>
            <w:tcW w:w="0" w:type="dxa"/>
            <w:vAlign w:val="bottom"/>
          </w:tcPr>
          <w:p>
            <w:pPr>
              <w:spacing w:after="0"/>
              <w:rPr>
                <w:sz w:val="1"/>
                <w:szCs w:val="1"/>
                <w:color w:val="auto"/>
              </w:rPr>
            </w:pPr>
          </w:p>
        </w:tc>
      </w:tr>
      <w:tr>
        <w:trPr>
          <w:trHeight w:val="43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sales of Class A common stock, net of offering costs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144,322</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Class A common stock</w:t>
            </w: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(9,499)</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CFF0FC"/>
            </w:tcBorders>
            <w:shd w:val="clear" w:color="auto" w:fill="000000"/>
          </w:tcPr>
          <w:p>
            <w:pPr>
              <w:spacing w:after="0" w:line="20" w:lineRule="exact"/>
              <w:rPr>
                <w:sz w:val="1"/>
                <w:szCs w:val="1"/>
                <w:color w:val="auto"/>
              </w:rPr>
            </w:pPr>
          </w:p>
        </w:tc>
        <w:tc>
          <w:tcPr>
            <w:tcW w:w="1080" w:type="dxa"/>
            <w:vAlign w:val="bottom"/>
            <w:tcBorders>
              <w:bottom w:val="single" w:sz="8" w:color="CFF0FC"/>
            </w:tcBorders>
            <w:shd w:val="clear" w:color="auto" w:fill="000000"/>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25,569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144,408</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(9,551)</w:t>
            </w:r>
          </w:p>
        </w:tc>
        <w:tc>
          <w:tcPr>
            <w:tcW w:w="0" w:type="dxa"/>
            <w:vAlign w:val="bottom"/>
          </w:tcPr>
          <w:p>
            <w:pPr>
              <w:spacing w:after="0"/>
              <w:rPr>
                <w:sz w:val="1"/>
                <w:szCs w:val="1"/>
                <w:color w:val="auto"/>
              </w:rPr>
            </w:pPr>
          </w:p>
        </w:tc>
      </w:tr>
      <w:tr>
        <w:trPr>
          <w:trHeight w:val="43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(429,603)</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99,120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60,649</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490,252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108,537</w:t>
            </w:r>
          </w:p>
        </w:tc>
        <w:tc>
          <w:tcPr>
            <w:tcW w:w="1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99,120</w:t>
            </w:r>
          </w:p>
        </w:tc>
        <w:tc>
          <w:tcPr>
            <w:tcW w:w="3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3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Exchange of Class B common stock</w:t>
            </w: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5,311</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15,442</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80" w:type="dxa"/>
            <w:vAlign w:val="bottom"/>
          </w:tcPr>
          <w:p>
            <w:pPr>
              <w:ind w:left="120"/>
              <w:spacing w:after="0" w:line="178" w:lineRule="exact"/>
              <w:rPr>
                <w:sz w:val="20"/>
                <w:szCs w:val="20"/>
                <w:color w:val="auto"/>
              </w:rPr>
            </w:pPr>
            <w:r>
              <w:rPr>
                <w:rFonts w:ascii="Times New Roman" w:cs="Times New Roman" w:eastAsia="Times New Roman" w:hAnsi="Times New Roman"/>
                <w:sz w:val="18"/>
                <w:szCs w:val="18"/>
                <w:color w:val="auto"/>
              </w:rPr>
              <w:t>Impact of equity transactions and compensation on redeemable noncontrolling</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60" w:type="dxa"/>
            <w:vAlign w:val="bottom"/>
          </w:tcPr>
          <w:p>
            <w:pPr>
              <w:spacing w:after="0"/>
              <w:rPr>
                <w:sz w:val="15"/>
                <w:szCs w:val="15"/>
                <w:color w:val="auto"/>
              </w:rPr>
            </w:pP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19,448</w:t>
            </w:r>
          </w:p>
        </w:tc>
        <w:tc>
          <w:tcPr>
            <w:tcW w:w="320" w:type="dxa"/>
            <w:vAlign w:val="bottom"/>
          </w:tcPr>
          <w:p>
            <w:pPr>
              <w:spacing w:after="0"/>
              <w:rPr>
                <w:sz w:val="15"/>
                <w:szCs w:val="15"/>
                <w:color w:val="auto"/>
              </w:rPr>
            </w:pPr>
          </w:p>
        </w:tc>
        <w:tc>
          <w:tcPr>
            <w:tcW w:w="2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4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interest</w:t>
            </w:r>
          </w:p>
        </w:tc>
        <w:tc>
          <w:tcPr>
            <w:tcW w:w="3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Change in redemption value of noncontrolling interest</w:t>
            </w: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80" w:type="dxa"/>
            <w:vAlign w:val="bottom"/>
          </w:tcPr>
          <w:p>
            <w:pPr>
              <w:ind w:left="120"/>
              <w:spacing w:after="0" w:line="178" w:lineRule="exact"/>
              <w:rPr>
                <w:sz w:val="20"/>
                <w:szCs w:val="20"/>
                <w:color w:val="auto"/>
              </w:rPr>
            </w:pPr>
            <w:r>
              <w:rPr>
                <w:rFonts w:ascii="Times New Roman" w:cs="Times New Roman" w:eastAsia="Times New Roman" w:hAnsi="Times New Roman"/>
                <w:sz w:val="18"/>
                <w:szCs w:val="18"/>
                <w:color w:val="auto"/>
              </w:rPr>
              <w:t>Equipment and facility expansion included in accounts payable and</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5"/>
                <w:szCs w:val="15"/>
                <w:color w:val="auto"/>
              </w:rPr>
            </w:pP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320" w:type="dxa"/>
            <w:vAlign w:val="bottom"/>
          </w:tcPr>
          <w:p>
            <w:pPr>
              <w:spacing w:after="0"/>
              <w:rPr>
                <w:sz w:val="15"/>
                <w:szCs w:val="15"/>
                <w:color w:val="auto"/>
              </w:rPr>
            </w:pPr>
          </w:p>
        </w:tc>
        <w:tc>
          <w:tcPr>
            <w:tcW w:w="2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48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-2039620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-2039620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-1482090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-1482090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-1482090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-736600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-719455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-736600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-719455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-719455</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-299085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-281940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-299085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-281940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-299085</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ProKidney Corp. (the “Company”, “ProKidney Delaware” or “ProKidney”) was originally incorporated as Social Capital Suvretta Holdings Corp.</w:t>
      </w:r>
    </w:p>
    <w:p>
      <w:pPr>
        <w:spacing w:after="0" w:line="27" w:lineRule="exact"/>
        <w:rPr>
          <w:sz w:val="20"/>
          <w:szCs w:val="20"/>
          <w:color w:val="auto"/>
        </w:rPr>
      </w:pPr>
    </w:p>
    <w:p>
      <w:pPr>
        <w:ind w:right="180" w:firstLine="8"/>
        <w:spacing w:after="0" w:line="255" w:lineRule="auto"/>
        <w:tabs>
          <w:tab w:leader="none" w:pos="22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(“SCS”). SCS was a blank check company incorporated as a Cayman Islands exempted company on February 25, 2021. SCS was incorporated for the purpose of effecting a merger, share exchange, asset acquisition, share purchase, reorganization or similar business combination with one or more businesses.</w:t>
      </w:r>
    </w:p>
    <w:p>
      <w:pPr>
        <w:spacing w:after="0" w:line="78" w:lineRule="exact"/>
        <w:rPr>
          <w:sz w:val="20"/>
          <w:szCs w:val="20"/>
          <w:color w:val="auto"/>
        </w:rPr>
      </w:pPr>
    </w:p>
    <w:p>
      <w:pPr>
        <w:ind w:right="20" w:firstLine="524"/>
        <w:spacing w:after="0" w:line="256" w:lineRule="auto"/>
        <w:rPr>
          <w:sz w:val="20"/>
          <w:szCs w:val="20"/>
          <w:color w:val="auto"/>
        </w:rPr>
      </w:pPr>
      <w:r>
        <w:rPr>
          <w:rFonts w:ascii="Times New Roman" w:cs="Times New Roman" w:eastAsia="Times New Roman" w:hAnsi="Times New Roman"/>
          <w:sz w:val="18"/>
          <w:szCs w:val="18"/>
          <w:color w:val="auto"/>
        </w:rPr>
        <w:t>On January 18, 2022, SCS executed a definitive business combination agreement (the “Business Combination Agreement”), with ProKidney LP (“PKLP”), a limited partnership under the laws and regulations of Ireland. Pursuant to the terms of the Business Combination Agreement, PKLP became a subsidiary of SCS and was organized in an umbrella partnership corporation (“Up-C”) structure, which would provide potential future tax benefits for SCS when the equity holders ultimately exchanged their pass-through interests for Class A common stock. The business combination between SCS and PKLP (the “Business Combination”) closed (the “Closing”) on July 11, 2022 (the “Closing Date”). Upon consummation of the transaction, SCS changed its name to ProKidney Corp.</w:t>
      </w:r>
    </w:p>
    <w:p>
      <w:pPr>
        <w:spacing w:after="0" w:line="79" w:lineRule="exact"/>
        <w:rPr>
          <w:sz w:val="20"/>
          <w:szCs w:val="20"/>
          <w:color w:val="auto"/>
        </w:rPr>
      </w:pPr>
    </w:p>
    <w:p>
      <w:pPr>
        <w:ind w:firstLine="524"/>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transaction between entities under common control, through which PKLP was considered the accounting acquiror and predecessor entity. The Business Combination was reflected as the equivalent of PKLP issuing stock for the net assets of SCS accompanied by a recapitalization with no goodwill or intangible assets recognized.</w:t>
      </w:r>
    </w:p>
    <w:p>
      <w:pPr>
        <w:spacing w:after="0" w:line="68" w:lineRule="exact"/>
        <w:rPr>
          <w:sz w:val="20"/>
          <w:szCs w:val="20"/>
          <w:color w:val="auto"/>
        </w:rPr>
      </w:pPr>
    </w:p>
    <w:p>
      <w:pPr>
        <w:ind w:firstLine="524"/>
        <w:spacing w:after="0" w:line="252" w:lineRule="auto"/>
        <w:rPr>
          <w:sz w:val="20"/>
          <w:szCs w:val="20"/>
          <w:color w:val="auto"/>
        </w:rPr>
      </w:pPr>
      <w:r>
        <w:rPr>
          <w:rFonts w:ascii="Times New Roman" w:cs="Times New Roman" w:eastAsia="Times New Roman" w:hAnsi="Times New Roman"/>
          <w:sz w:val="18"/>
          <w:szCs w:val="18"/>
          <w:color w:val="auto"/>
        </w:rPr>
        <w:t>Effective July 1, 2025 (the “Domestication Date”), the Company completed a domestication process through which it changed its jurisdiction of incorporation from the Cayman Islands to the State of Delaware (the “Domestication”). ProKidney Corp., the Cayman Islands exempted company (“ProKidney Cayman”) deregistered as an exempted company in the Cayman Islands pursuant to Sections 206 and 207 of the Companies Act (as amended) of the Cayman Islands (the “Companies Act”), and domesticated and continued its existence as a corporation incorporated in the State of Delaware pursuant to Section 388 of the General Corporation Law of the State of Delaware (the “DGCL”), effective as of the Domestication Date. In connection with the Domestication, the Company also completed certain other restructuring transactions (such transactions, together with the Domestication, the “Restructuring”) on the Domestication Date. Prior to the Restructuring, ProKidney Cayman. conducted its business indirectly through PKLP and its subsidiaries. As part of the Restructuring, (i) PKLP contributed substantially all of its assets to a newly formed subsidiary, ProKidney Holdings, LLC, a Delaware limited liability company (“PK Holdings”) (other than its limited liability company interests in PK Holdings), (ii) PKLP commenced winding-up and made a liquidating distribution of its limited liability company interests in PK Holdings to its partners, including ProKidney Cayman., in redemption of their interests in PKLP, and (iii) ProKidney Corp. GP Limited, the general partner of PKLP, sold its nominal economic interest in PK Holdings received in such liquidating distribution to ProKidney Cayman. (collectively, the “Substitution”). Immediately following the Domestication, ProKidney (“ProKidney-KY”), then a wholly owned subsidiary of PK Holdings and a Cayman Islands exempted company, re-registered as a Cayman Islands limited liability company and then deregistered as a limited liability company in the Cayman Islands and registered by way of continuation out for purposes of the Limited Liability Companies Act (as amended) of the Cayman Islands and domesticated and continued for purposes of the Delaware Limited Liability Company Act as a Delaware limited liability company named ProKidney IPCo, LLC (“ProKidney IPCo”). As a result of the consummation of the Domestication and the other transactions involved in the Restructuring, the Company and the other former limited partners of PKLP are now members of PK Holdings, and PK Holdings owns all of the subsidiaries that conduct the Company’s business, including ProKidney IPCo.</w:t>
      </w:r>
    </w:p>
    <w:p>
      <w:pPr>
        <w:spacing w:after="0" w:line="84" w:lineRule="exact"/>
        <w:rPr>
          <w:sz w:val="20"/>
          <w:szCs w:val="20"/>
          <w:color w:val="auto"/>
        </w:rPr>
      </w:pPr>
    </w:p>
    <w:p>
      <w:pPr>
        <w:ind w:right="140" w:firstLine="524"/>
        <w:spacing w:after="0" w:line="256" w:lineRule="auto"/>
        <w:rPr>
          <w:sz w:val="20"/>
          <w:szCs w:val="20"/>
          <w:color w:val="auto"/>
        </w:rPr>
      </w:pPr>
      <w:r>
        <w:rPr>
          <w:rFonts w:ascii="Times New Roman" w:cs="Times New Roman" w:eastAsia="Times New Roman" w:hAnsi="Times New Roman"/>
          <w:sz w:val="18"/>
          <w:szCs w:val="18"/>
          <w:color w:val="auto"/>
        </w:rPr>
        <w:t>In connection with the Domestication and the other Restructuring transactions, the Company amended and restated certain of its material agreements, each originally dated July 11, 2022, on substantially similar terms in order to reflect updates to the Company’s corporate structure resulting from the Restructuring. These amended and restated agreements included: (i) an Amended and Restated Tax Receivable Agreement, (ii) an Amended and Restated Lock-Up Agreement, and (iii) an Amended and Restated Exchange Agreement. In addition, on the Domestication Date, the Company, together with the other former limited partners of PKLP entered into the Second Amended and Restated Limited Liability Company Agreement of PK Holdings to provide for the governance of PK Holdings and reflect the changes to its capital structure resulting from the Restructuring.</w:t>
      </w:r>
    </w:p>
    <w:p>
      <w:pPr>
        <w:spacing w:after="0" w:line="79" w:lineRule="exact"/>
        <w:rPr>
          <w:sz w:val="20"/>
          <w:szCs w:val="20"/>
          <w:color w:val="auto"/>
        </w:rPr>
      </w:pPr>
    </w:p>
    <w:p>
      <w:pPr>
        <w:ind w:firstLine="524"/>
        <w:spacing w:after="0" w:line="266" w:lineRule="auto"/>
        <w:rPr>
          <w:sz w:val="20"/>
          <w:szCs w:val="20"/>
          <w:color w:val="auto"/>
        </w:rPr>
      </w:pPr>
      <w:r>
        <w:rPr>
          <w:rFonts w:ascii="Times New Roman" w:cs="Times New Roman" w:eastAsia="Times New Roman" w:hAnsi="Times New Roman"/>
          <w:sz w:val="18"/>
          <w:szCs w:val="18"/>
          <w:color w:val="auto"/>
        </w:rPr>
        <w:t>After completing the Domestication and other Restructuring transactions, the Company also underwent a series of transactions to streamline its operating subsidiaries from a tax perspective (the “Post-Domestication Reorganization”). The Post-Domestication Reorganization was finalized effective as of September 1, 2025.</w:t>
      </w:r>
    </w:p>
    <w:p>
      <w:pPr>
        <w:spacing w:after="0" w:line="68" w:lineRule="exact"/>
        <w:rPr>
          <w:sz w:val="20"/>
          <w:szCs w:val="20"/>
          <w:color w:val="auto"/>
        </w:rPr>
      </w:pPr>
    </w:p>
    <w:p>
      <w:pPr>
        <w:ind w:right="320" w:firstLine="524"/>
        <w:spacing w:after="0" w:line="257" w:lineRule="auto"/>
        <w:rPr>
          <w:sz w:val="20"/>
          <w:szCs w:val="20"/>
          <w:color w:val="auto"/>
        </w:rPr>
      </w:pPr>
      <w:r>
        <w:rPr>
          <w:rFonts w:ascii="Times New Roman" w:cs="Times New Roman" w:eastAsia="Times New Roman" w:hAnsi="Times New Roman"/>
          <w:sz w:val="18"/>
          <w:szCs w:val="18"/>
          <w:color w:val="auto"/>
        </w:rPr>
        <w:t>The Domestication represents a transaction between entities under common control. Assets and liabilities transferred between entities under common control are accounted for at cost. Accordingly, the assets and liabilities of ProKidney Corp. (Delaware) and its subsidiaries will be reflected at their historical carrying amounts of ProKidney Corp. (Cayman) as of the Domestication Date. Further,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7" w:name="page118"/>
    <w:bookmarkEnd w:id="117"/>
    <w:p>
      <w:pPr>
        <w:ind w:right="280"/>
        <w:spacing w:after="0" w:line="282" w:lineRule="auto"/>
        <w:rPr>
          <w:sz w:val="20"/>
          <w:szCs w:val="20"/>
          <w:color w:val="auto"/>
        </w:rPr>
      </w:pPr>
      <w:r>
        <w:rPr>
          <w:rFonts w:ascii="Times New Roman" w:cs="Times New Roman" w:eastAsia="Times New Roman" w:hAnsi="Times New Roman"/>
          <w:sz w:val="18"/>
          <w:szCs w:val="18"/>
          <w:color w:val="auto"/>
        </w:rPr>
        <w:t>the Domestication and Post-Domestication Reorganization transactions did not have a significant impact on the Consolidated Financial Statements as of and for the year ended December 31, 2025.</w:t>
      </w:r>
    </w:p>
    <w:p>
      <w:pPr>
        <w:spacing w:after="0" w:line="54" w:lineRule="exact"/>
        <w:rPr>
          <w:sz w:val="20"/>
          <w:szCs w:val="20"/>
          <w:color w:val="auto"/>
        </w:rPr>
      </w:pPr>
    </w:p>
    <w:p>
      <w:pPr>
        <w:ind w:right="40" w:firstLine="524"/>
        <w:spacing w:after="0" w:line="261" w:lineRule="auto"/>
        <w:rPr>
          <w:sz w:val="20"/>
          <w:szCs w:val="20"/>
          <w:color w:val="auto"/>
        </w:rPr>
      </w:pPr>
      <w:r>
        <w:rPr>
          <w:rFonts w:ascii="Times New Roman" w:cs="Times New Roman" w:eastAsia="Times New Roman" w:hAnsi="Times New Roman"/>
          <w:sz w:val="18"/>
          <w:szCs w:val="18"/>
          <w:color w:val="auto"/>
        </w:rPr>
        <w:t>For presentation purposes, unless otherwise noted, references to common stock refer to “ordinary shares” before the Domestication and “common stock” subsequent to the Domestication. Similarly, unless otherwise noted, references to PK Holdings herein refers to PKLP prior to the Domestication and PK Holdings subsequent to the Domestication and references to ProKidney IPCo. herein refer to ProKidney-KY prior to the Domestication and ProKidney IPCo. subsequent to the Domestication.</w:t>
      </w:r>
    </w:p>
    <w:p>
      <w:pPr>
        <w:spacing w:after="0" w:line="72" w:lineRule="exact"/>
        <w:rPr>
          <w:sz w:val="20"/>
          <w:szCs w:val="20"/>
          <w:color w:val="auto"/>
        </w:rPr>
      </w:pPr>
    </w:p>
    <w:p>
      <w:pPr>
        <w:ind w:right="580" w:firstLine="524"/>
        <w:spacing w:after="0" w:line="282" w:lineRule="auto"/>
        <w:rPr>
          <w:sz w:val="20"/>
          <w:szCs w:val="20"/>
          <w:color w:val="auto"/>
        </w:rPr>
      </w:pPr>
      <w:r>
        <w:rPr>
          <w:rFonts w:ascii="Times New Roman" w:cs="Times New Roman" w:eastAsia="Times New Roman" w:hAnsi="Times New Roman"/>
          <w:sz w:val="18"/>
          <w:szCs w:val="18"/>
          <w:color w:val="auto"/>
        </w:rPr>
        <w:t>ProKidney Corp., through its operating subsidiaries, is focused on the development of rilparencel, which has the potential to preserve kidney function in patients with advanced CKD and type 2 diabetes.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Company’s operations are principally managed as a single operating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20" w:firstLine="524"/>
        <w:spacing w:after="0" w:line="268" w:lineRule="auto"/>
        <w:rPr>
          <w:sz w:val="20"/>
          <w:szCs w:val="20"/>
          <w:color w:val="auto"/>
        </w:rPr>
      </w:pPr>
      <w:r>
        <w:rPr>
          <w:rFonts w:ascii="Times New Roman" w:cs="Times New Roman" w:eastAsia="Times New Roman" w:hAnsi="Times New Roman"/>
          <w:sz w:val="17"/>
          <w:szCs w:val="17"/>
          <w:color w:val="auto"/>
        </w:rPr>
        <w:t>ProKidney is a holding company, and its principal asset is a controlling equity interest in PK Holdings and its wholly-owned operating subsidiaries ProKidney IPCo. and ProKidney-US. The Company has determined that PK Holdings is a variable-interest entity for accounting purposes and that ProKidney is the primary beneficiary of PK Holdings because (through its managing member interest in PK Holdings and the fact that the senior management of ProKidney is also the senior management of PK Holdings) it has the power and benefits to direct all of the activities of PK Holdings, which include those that most significantly impact PK Holdings’ economic performance. The Company has therefore consolidated PK Holdings’ results pursuant to Accounting Standards Codification Topic 810, “Consolidation” in its Condensed Consolidated Financial Statements. As of December 31, 2025, various holders own non-voting interests in PK Holdings, representing a 52.9% economic interest in PK Holdings, effectively restricting ProKidney’s interest to</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47.1% of PK Holdings’ economic results, subject to increase in the future, should ProKidney purchase additional non-voting common units (“PK Holdings Units”) of PK Holdings, or should the holders of PK Holdings Units decide to exchange such units (together with shares of Class B common stock) for Class A common stock (or cash) pursuant to the Exchange Agreement (as defined in Note 6). The Company will not be required to provide financial or other support for PK Holdings. However, ProKidney will control its business and other activities through its managing member interest in PK Holdings, and its management is the management of PK Holdings. Nevertheless, because ProKidney will have no material assets other than its interests in PK Holdings and its subsidiaries, any financial difficulties at PK Holdings could result in ProKidney recognizing a loss.</w:t>
      </w:r>
    </w:p>
    <w:p>
      <w:pPr>
        <w:spacing w:after="0" w:line="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All intercompany transactions and balances have been eliminated.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To facilitate comparison of information across periods, certain reclassifications have been made to prior period amounts to conform to the current period’s presentation.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60" w:firstLine="524"/>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certain estimates and assumptions that affect the reported amounts of assets and liabilities and disclosure of contingent liabilities at the date of the consolidated financial statements, and the amounts of expenses during the reported periods. Certain estimates in these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and Marketable Securities</w:t>
      </w:r>
    </w:p>
    <w:p>
      <w:pPr>
        <w:spacing w:after="0" w:line="121"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on the date of purchase to be cash equivalents. The carrying value of cash and cash equivalents approximates fair value due to the short-term nature of these items.</w:t>
      </w:r>
    </w:p>
    <w:p>
      <w:pPr>
        <w:spacing w:after="0" w:line="54" w:lineRule="exact"/>
        <w:rPr>
          <w:sz w:val="20"/>
          <w:szCs w:val="20"/>
          <w:color w:val="auto"/>
        </w:rPr>
      </w:pPr>
    </w:p>
    <w:p>
      <w:pPr>
        <w:jc w:val="both"/>
        <w:ind w:right="180" w:firstLine="524"/>
        <w:spacing w:after="0" w:line="266" w:lineRule="auto"/>
        <w:rPr>
          <w:sz w:val="20"/>
          <w:szCs w:val="20"/>
          <w:color w:val="auto"/>
        </w:rPr>
      </w:pPr>
      <w:r>
        <w:rPr>
          <w:rFonts w:ascii="Times New Roman" w:cs="Times New Roman" w:eastAsia="Times New Roman" w:hAnsi="Times New Roman"/>
          <w:sz w:val="18"/>
          <w:szCs w:val="18"/>
          <w:color w:val="auto"/>
        </w:rPr>
        <w:t>The Company’s investments in marketable debt securities have been classified and accounted for as available-for-sale. The Company classifies its marketable debt securities as short-term due to its availability for use in its current operations. The cost of securities sold is determined using the specific identification method.</w:t>
      </w:r>
    </w:p>
    <w:p>
      <w:pPr>
        <w:spacing w:after="0" w:line="68" w:lineRule="exact"/>
        <w:rPr>
          <w:sz w:val="20"/>
          <w:szCs w:val="20"/>
          <w:color w:val="auto"/>
        </w:rPr>
      </w:pPr>
    </w:p>
    <w:p>
      <w:pPr>
        <w:ind w:left="5460" w:right="1380" w:hanging="4921"/>
        <w:spacing w:after="0" w:line="282" w:lineRule="auto"/>
        <w:rPr>
          <w:sz w:val="20"/>
          <w:szCs w:val="20"/>
          <w:color w:val="auto"/>
        </w:rPr>
      </w:pPr>
      <w:r>
        <w:rPr>
          <w:rFonts w:ascii="Times New Roman" w:cs="Times New Roman" w:eastAsia="Times New Roman" w:hAnsi="Times New Roman"/>
          <w:sz w:val="18"/>
          <w:szCs w:val="18"/>
          <w:color w:val="auto"/>
        </w:rPr>
        <w:t>The Company considers all available evidence to evaluate if a credit loss exists, and if so, recognizes an allowance for credit loss.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ind w:right="320" w:firstLine="524"/>
        <w:spacing w:after="0" w:line="282" w:lineRule="auto"/>
        <w:rPr>
          <w:sz w:val="20"/>
          <w:szCs w:val="20"/>
          <w:color w:val="auto"/>
        </w:rPr>
      </w:pPr>
      <w:r>
        <w:rPr>
          <w:rFonts w:ascii="Times New Roman" w:cs="Times New Roman" w:eastAsia="Times New Roman" w:hAnsi="Times New Roman"/>
          <w:sz w:val="18"/>
          <w:szCs w:val="18"/>
          <w:color w:val="auto"/>
        </w:rPr>
        <w:t>Cash and equivalents are the primary financial instruments held by the Company that are potentially subject to concentrations of credit risk. The Company’s cash and equivalents are deposited in accounts at large financial institutions, and such amounts may exceed federally insured limits.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ind w:right="120" w:firstLine="524"/>
        <w:spacing w:after="0" w:line="282" w:lineRule="auto"/>
        <w:rPr>
          <w:sz w:val="20"/>
          <w:szCs w:val="20"/>
          <w:color w:val="auto"/>
        </w:rPr>
      </w:pPr>
      <w:r>
        <w:rPr>
          <w:rFonts w:ascii="Times New Roman" w:cs="Times New Roman" w:eastAsia="Times New Roman" w:hAnsi="Times New Roman"/>
          <w:sz w:val="18"/>
          <w:szCs w:val="18"/>
          <w:color w:val="auto"/>
        </w:rPr>
        <w:t>Accrued expenses as presented in the Consolidated Balance Sheets as of December 31, 2025 and December 31, 2024 consisted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00" w:type="dxa"/>
            <w:vAlign w:val="bottom"/>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r>
      <w:tr>
        <w:trPr>
          <w:trHeight w:val="20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88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Severance</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study related costs</w:t>
            </w: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13,655</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Facility related costs</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costs</w:t>
            </w: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Accrued consulting and professional fees</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6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3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accrued expenses and other</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28,731</w:t>
            </w:r>
          </w:p>
        </w:tc>
        <w:tc>
          <w:tcPr>
            <w:tcW w:w="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31,137</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480" w:firstLine="5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w:t>
      </w:r>
    </w:p>
    <w:p>
      <w:pPr>
        <w:spacing w:after="0" w:line="68"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8"/>
          <w:szCs w:val="18"/>
          <w:color w:val="auto"/>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81" w:lineRule="exact"/>
        <w:rPr>
          <w:sz w:val="20"/>
          <w:szCs w:val="20"/>
          <w:color w:val="auto"/>
        </w:rPr>
      </w:pPr>
    </w:p>
    <w:p>
      <w:pPr>
        <w:ind w:right="260" w:firstLine="524"/>
        <w:spacing w:after="0" w:line="266" w:lineRule="auto"/>
        <w:rPr>
          <w:sz w:val="20"/>
          <w:szCs w:val="20"/>
          <w:color w:val="auto"/>
        </w:rPr>
      </w:pPr>
      <w:r>
        <w:rPr>
          <w:rFonts w:ascii="Times New Roman" w:cs="Times New Roman" w:eastAsia="Times New Roman" w:hAnsi="Times New Roman"/>
          <w:sz w:val="18"/>
          <w:szCs w:val="18"/>
          <w:color w:val="auto"/>
        </w:rPr>
        <w:t>The Company records nonrefundable advance payments it makes for future research and development activities as prepaid expenses. Prepaid expenses are recognized as expense in the Consolidated Statement of Operations and Comprehensive Loss as the Company receives the related goods or services.</w:t>
      </w:r>
    </w:p>
    <w:p>
      <w:pPr>
        <w:spacing w:after="0" w:line="68"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Costs incurred in obtaining technology licenses are charged to research and development expense as purchased in-process research and development if the technology licensed has not reached technological feasibility and has no alternative future use.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Assets</w:t>
      </w:r>
    </w:p>
    <w:p>
      <w:pPr>
        <w:spacing w:after="0" w:line="121" w:lineRule="exact"/>
        <w:rPr>
          <w:sz w:val="20"/>
          <w:szCs w:val="20"/>
          <w:color w:val="auto"/>
        </w:rPr>
      </w:pPr>
    </w:p>
    <w:p>
      <w:pPr>
        <w:ind w:right="100" w:firstLine="524"/>
        <w:spacing w:after="0" w:line="261"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Buildings</w:t>
            </w:r>
          </w:p>
        </w:tc>
        <w:tc>
          <w:tcPr>
            <w:tcW w:w="46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25-30 years</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3-5 years</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Furniture and equipment</w:t>
            </w:r>
          </w:p>
        </w:tc>
        <w:tc>
          <w:tcPr>
            <w:tcW w:w="46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5-7 years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4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remainder of lease term</w:t>
            </w:r>
          </w:p>
        </w:tc>
        <w:tc>
          <w:tcPr>
            <w:tcW w:w="168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3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F-11</w:t>
            </w:r>
          </w:p>
        </w:tc>
      </w:tr>
      <w:tr>
        <w:trPr>
          <w:trHeight w:val="763"/>
        </w:trPr>
        <w:tc>
          <w:tcPr>
            <w:tcW w:w="17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4"/>
        </w:trPr>
        <w:tc>
          <w:tcPr>
            <w:tcW w:w="7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Fixed assets consisted of the following (in thousands):</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60" w:type="dxa"/>
            <w:vAlign w:val="bottom"/>
          </w:tcPr>
          <w:p>
            <w:pPr>
              <w:spacing w:after="0"/>
              <w:rPr>
                <w:sz w:val="24"/>
                <w:szCs w:val="2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4"/>
                <w:szCs w:val="24"/>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1,405</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21,095</w:t>
            </w: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21,822</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5,647</w:t>
            </w: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838</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2,447</w:t>
            </w: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(16,552)</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(11,032)</w:t>
            </w:r>
          </w:p>
        </w:tc>
      </w:tr>
      <w:tr>
        <w:trPr>
          <w:trHeight w:val="20"/>
        </w:trPr>
        <w:tc>
          <w:tcPr>
            <w:tcW w:w="76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fixed assets, net</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51,231</w:t>
            </w:r>
          </w:p>
        </w:tc>
        <w:tc>
          <w:tcPr>
            <w:tcW w:w="180" w:type="dxa"/>
            <w:vAlign w:val="bottom"/>
          </w:tcPr>
          <w:p>
            <w:pPr>
              <w:spacing w:after="0"/>
              <w:rPr>
                <w:sz w:val="18"/>
                <w:szCs w:val="18"/>
                <w:color w:val="auto"/>
              </w:rPr>
            </w:pPr>
          </w:p>
        </w:tc>
        <w:tc>
          <w:tcPr>
            <w:tcW w:w="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42,222</w:t>
            </w:r>
          </w:p>
        </w:tc>
      </w:tr>
      <w:tr>
        <w:trPr>
          <w:trHeight w:val="20"/>
        </w:trPr>
        <w:tc>
          <w:tcPr>
            <w:tcW w:w="7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2025, 2024 and 2023 was $5,722,000, $4,337,000, and $2,956,000,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80" w:firstLine="524"/>
        <w:spacing w:after="0" w:line="261" w:lineRule="auto"/>
        <w:rPr>
          <w:sz w:val="20"/>
          <w:szCs w:val="20"/>
          <w:color w:val="auto"/>
        </w:rPr>
      </w:pPr>
      <w:r>
        <w:rPr>
          <w:rFonts w:ascii="Times New Roman" w:cs="Times New Roman" w:eastAsia="Times New Roman" w:hAnsi="Times New Roman"/>
          <w:sz w:val="18"/>
          <w:szCs w:val="18"/>
          <w:color w:val="auto"/>
        </w:rPr>
        <w:t>Intangible assets were comprised of acquired assembled workforce, which are accounted for in accordance with ASC 350 - Intangibles - Goodwill and Other. The acquired assembled workforce was amortized on a straight-line basis over the useful life of five years. Amortization expense relating to the assembled workforce intangible asset was $213,000 for the year ended December 31, 2023. There was no amortization for the years ended December 31, 2025 and 2024 as these assets were fully amortized in the prior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 and Assets Held for Sale</w:t>
      </w:r>
    </w:p>
    <w:p>
      <w:pPr>
        <w:spacing w:after="0" w:line="121" w:lineRule="exact"/>
        <w:rPr>
          <w:sz w:val="20"/>
          <w:szCs w:val="20"/>
          <w:color w:val="auto"/>
        </w:rPr>
      </w:pPr>
    </w:p>
    <w:p>
      <w:pPr>
        <w:ind w:right="80" w:firstLine="524"/>
        <w:spacing w:after="0" w:line="258" w:lineRule="auto"/>
        <w:rPr>
          <w:sz w:val="20"/>
          <w:szCs w:val="20"/>
          <w:color w:val="auto"/>
        </w:rPr>
      </w:pPr>
      <w:r>
        <w:rPr>
          <w:rFonts w:ascii="Times New Roman" w:cs="Times New Roman" w:eastAsia="Times New Roman" w:hAnsi="Times New Roman"/>
          <w:sz w:val="18"/>
          <w:szCs w:val="18"/>
          <w:color w:val="auto"/>
        </w:rPr>
        <w:t>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w:t>
      </w:r>
    </w:p>
    <w:p>
      <w:pPr>
        <w:spacing w:after="0" w:line="75"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Due to a change in the planned use for the Company’s real property located in Greensboro, North Carolina (the “Greensboro Facility”), the Company performed an impairment analysis to compare the building’s carrying value with its estimated fair value. The fair value was determined through review of prices for similar assets and expected ranges of prices that the Company may be expected to receive upon sale of the property which are considered Level 3 inputs under the fair value hierarchy. This analysis resulted in the recognition of a non-cash impairment charge of $5,324,000 during the year ended December 31, 2024.</w:t>
      </w:r>
    </w:p>
    <w:p>
      <w:pPr>
        <w:spacing w:after="0" w:line="75" w:lineRule="exact"/>
        <w:rPr>
          <w:sz w:val="20"/>
          <w:szCs w:val="20"/>
          <w:color w:val="auto"/>
        </w:rPr>
      </w:pPr>
    </w:p>
    <w:p>
      <w:pPr>
        <w:ind w:right="100" w:firstLine="524"/>
        <w:spacing w:after="0" w:line="261" w:lineRule="auto"/>
        <w:rPr>
          <w:sz w:val="20"/>
          <w:szCs w:val="20"/>
          <w:color w:val="auto"/>
        </w:rPr>
      </w:pPr>
      <w:r>
        <w:rPr>
          <w:rFonts w:ascii="Times New Roman" w:cs="Times New Roman" w:eastAsia="Times New Roman" w:hAnsi="Times New Roman"/>
          <w:sz w:val="18"/>
          <w:szCs w:val="18"/>
          <w:color w:val="auto"/>
        </w:rPr>
        <w:t>During 2024, the Company determined that its Greensboro Facility met the criteria for held-for-sale accounting treatment after making the decision to sell the property. As the carrying value of the property, as adjusted for the impairment described above is less than the amount of the expected proceeds less the costs of disposal, the carrying value of the property was not adjusted in connection with this determination. The carrying value of this asset has been reflected as a component of total current assets in the accompanying Consolidated Balance Sheet as of December 31, 2024.</w:t>
      </w:r>
    </w:p>
    <w:p>
      <w:pPr>
        <w:spacing w:after="0" w:line="72" w:lineRule="exact"/>
        <w:rPr>
          <w:sz w:val="20"/>
          <w:szCs w:val="20"/>
          <w:color w:val="auto"/>
        </w:rPr>
      </w:pPr>
    </w:p>
    <w:p>
      <w:pPr>
        <w:ind w:right="160" w:firstLine="524"/>
        <w:spacing w:after="0" w:line="282" w:lineRule="auto"/>
        <w:rPr>
          <w:sz w:val="20"/>
          <w:szCs w:val="20"/>
          <w:color w:val="auto"/>
        </w:rPr>
      </w:pPr>
      <w:r>
        <w:rPr>
          <w:rFonts w:ascii="Times New Roman" w:cs="Times New Roman" w:eastAsia="Times New Roman" w:hAnsi="Times New Roman"/>
          <w:sz w:val="18"/>
          <w:szCs w:val="18"/>
          <w:color w:val="auto"/>
        </w:rPr>
        <w:t>During 2025, the Company recorded an impairment charge of $318,000 due to expected changes in the amounts expected to be received upon sale of the Greensboro facility.</w:t>
      </w:r>
    </w:p>
    <w:p>
      <w:pPr>
        <w:spacing w:after="0" w:line="54" w:lineRule="exact"/>
        <w:rPr>
          <w:sz w:val="20"/>
          <w:szCs w:val="20"/>
          <w:color w:val="auto"/>
        </w:rPr>
      </w:pPr>
    </w:p>
    <w:p>
      <w:pPr>
        <w:ind w:right="80" w:firstLine="524"/>
        <w:spacing w:after="0" w:line="261" w:lineRule="auto"/>
        <w:rPr>
          <w:sz w:val="20"/>
          <w:szCs w:val="20"/>
          <w:color w:val="auto"/>
        </w:rPr>
      </w:pPr>
      <w:r>
        <w:rPr>
          <w:rFonts w:ascii="Times New Roman" w:cs="Times New Roman" w:eastAsia="Times New Roman" w:hAnsi="Times New Roman"/>
          <w:sz w:val="18"/>
          <w:szCs w:val="18"/>
          <w:color w:val="auto"/>
        </w:rPr>
        <w:t>The impairment charges recognized during the years ended 2025 and 2024 were recorded as a component of general and administrative expenses in the accompanying Consolidated Statement of Operations. No impairment charges were recorded for the year ended December 31, 2023. Upon the sale of the Greensboro Facility in November 2025, there was no further gain/loss recognized and the related asset was derecognized. As such, no assets were classified as held for sale as of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00" w:firstLine="524"/>
        <w:spacing w:after="0" w:line="253" w:lineRule="auto"/>
        <w:rPr>
          <w:sz w:val="20"/>
          <w:szCs w:val="20"/>
          <w:color w:val="auto"/>
        </w:rPr>
      </w:pPr>
      <w:r>
        <w:rPr>
          <w:rFonts w:ascii="Times New Roman" w:cs="Times New Roman" w:eastAsia="Times New Roman" w:hAnsi="Times New Roman"/>
          <w:sz w:val="18"/>
          <w:szCs w:val="18"/>
          <w:color w:val="auto"/>
        </w:rPr>
        <w:t>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0" w:name="page121"/>
    <w:bookmarkEnd w:id="120"/>
    <w:p>
      <w:pPr>
        <w:ind w:right="180"/>
        <w:spacing w:after="0" w:line="261" w:lineRule="auto"/>
        <w:rPr>
          <w:sz w:val="20"/>
          <w:szCs w:val="20"/>
          <w:color w:val="auto"/>
        </w:rPr>
      </w:pPr>
      <w:r>
        <w:rPr>
          <w:rFonts w:ascii="Times New Roman" w:cs="Times New Roman" w:eastAsia="Times New Roman" w:hAnsi="Times New Roman"/>
          <w:sz w:val="18"/>
          <w:szCs w:val="18"/>
          <w:color w:val="auto"/>
        </w:rPr>
        <w:t>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December 31, 2025 and December 31, 2024.</w:t>
      </w:r>
    </w:p>
    <w:p>
      <w:pPr>
        <w:spacing w:after="0" w:line="72" w:lineRule="exact"/>
        <w:rPr>
          <w:sz w:val="20"/>
          <w:szCs w:val="20"/>
          <w:color w:val="auto"/>
        </w:rPr>
      </w:pPr>
    </w:p>
    <w:p>
      <w:pPr>
        <w:ind w:right="200" w:firstLine="524"/>
        <w:spacing w:after="0" w:line="266" w:lineRule="auto"/>
        <w:rPr>
          <w:sz w:val="20"/>
          <w:szCs w:val="20"/>
          <w:color w:val="auto"/>
        </w:rPr>
      </w:pPr>
      <w:r>
        <w:rPr>
          <w:rFonts w:ascii="Times New Roman" w:cs="Times New Roman" w:eastAsia="Times New Roman" w:hAnsi="Times New Roman"/>
          <w:sz w:val="18"/>
          <w:szCs w:val="18"/>
          <w:color w:val="auto"/>
        </w:rPr>
        <w:t>Interest and penalties related to income taxes are included in the benefit (expense) for income taxes in the Company’s Consolidated Statements of Operations and Comprehensive Loss. The Company has not incurred any significant interest or penalties related to income taxes in any of the periods presented.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40" w:firstLine="524"/>
        <w:spacing w:after="0" w:line="222" w:lineRule="exact"/>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for the asset or liability in an orderly transaction between market participants at the measurement date.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fair value hierarchy that prioritizes the inputs used to measure fair value is described below. The three levels of inputs used to measure fair value are as follows:</w:t>
      </w:r>
    </w:p>
    <w:p>
      <w:pPr>
        <w:spacing w:after="0" w:line="199" w:lineRule="exact"/>
        <w:rPr>
          <w:sz w:val="20"/>
          <w:szCs w:val="20"/>
          <w:color w:val="auto"/>
        </w:rPr>
      </w:pPr>
    </w:p>
    <w:p>
      <w:pPr>
        <w:ind w:left="380" w:hanging="372"/>
        <w:spacing w:after="0"/>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either directly or indirectly observable through correlation with market data</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data, which require the reporting entity to develop its own assumptions</w:t>
      </w:r>
    </w:p>
    <w:p>
      <w:pPr>
        <w:spacing w:after="0" w:line="99" w:lineRule="exact"/>
        <w:rPr>
          <w:sz w:val="20"/>
          <w:szCs w:val="20"/>
          <w:color w:val="auto"/>
        </w:rPr>
      </w:pPr>
    </w:p>
    <w:p>
      <w:pPr>
        <w:ind w:right="120" w:firstLine="524"/>
        <w:spacing w:after="0" w:line="254" w:lineRule="auto"/>
        <w:rPr>
          <w:sz w:val="20"/>
          <w:szCs w:val="20"/>
          <w:color w:val="auto"/>
        </w:rPr>
      </w:pPr>
      <w:r>
        <w:rPr>
          <w:rFonts w:ascii="Times New Roman" w:cs="Times New Roman" w:eastAsia="Times New Roman" w:hAnsi="Times New Roman"/>
          <w:sz w:val="18"/>
          <w:szCs w:val="18"/>
          <w:color w:val="auto"/>
        </w:rPr>
        <w:t>For assets and liabilities recorded at fair value, it is the Company’s policy to maximize the use of observable inputs and minimize the use of unobservable inputs when developing fair value measurements, in accordance with the fair value hierarchy. Fair value measurements for assets and liabilities where there exists limited or no observable market data are based primarily upon estimates and are often calculated based on the economic and competitive environment, the characteristics of the asset or liability and other factors. Therefore, fair value measurements cannot be determined with precision and may not be realized in an actual sale or immediate settlement of the asset or liability. Additionally, there may be inherent weaknesses in any calculation technique and changes in the underlying assumptions used, including discount rates and estimates of future cash flows, could significantly affect the calculated current or future fair values. The Company utilizes fair value measurements to record fair value adjustments to certain assets and liabilities and to determine fair value disclosures.</w:t>
      </w:r>
    </w:p>
    <w:p>
      <w:pPr>
        <w:spacing w:after="0" w:line="43" w:lineRule="exact"/>
        <w:rPr>
          <w:sz w:val="20"/>
          <w:szCs w:val="20"/>
          <w:color w:val="auto"/>
        </w:rPr>
      </w:pPr>
    </w:p>
    <w:p>
      <w:pPr>
        <w:ind w:right="500" w:firstLine="524"/>
        <w:spacing w:after="0" w:line="245" w:lineRule="exact"/>
        <w:rPr>
          <w:sz w:val="20"/>
          <w:szCs w:val="20"/>
          <w:color w:val="auto"/>
        </w:rPr>
      </w:pPr>
      <w:r>
        <w:rPr>
          <w:rFonts w:ascii="Times New Roman" w:cs="Times New Roman" w:eastAsia="Times New Roman" w:hAnsi="Times New Roman"/>
          <w:sz w:val="18"/>
          <w:szCs w:val="18"/>
          <w:color w:val="auto"/>
        </w:rPr>
        <w:t>The carrying values of cash equivalents, accounts payable, and accrued liabilities approximate fair value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these instruments.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Balances recognized related to the Company’s operating and finance leases are included in right-of-use assets, net and lease liabilities in the Consolidated Balance Sheets. Right of use assets and lease liabilities are recognized based on the present value of the future minimum lease payments over the lease term at commencement date. Variable payments directly related to the use of the assets and future adjustments of payments based on indices are recognized in the period of incurrence or change and are not included in the lease payments at the initial measurement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For lease agreements in which the Company is the lessor, the entity applies the guidance of ASC Topic 842, “Leases” in the recognition of lease income. Leases with a term of 12 months or less are not recorded on the balance sheet.</w:t>
      </w:r>
    </w:p>
    <w:p>
      <w:pPr>
        <w:spacing w:after="0" w:line="86" w:lineRule="exact"/>
        <w:rPr>
          <w:sz w:val="20"/>
          <w:szCs w:val="20"/>
          <w:color w:val="auto"/>
        </w:rPr>
      </w:pPr>
    </w:p>
    <w:p>
      <w:pPr>
        <w:ind w:right="120" w:firstLine="524"/>
        <w:spacing w:after="0" w:line="266" w:lineRule="auto"/>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121" w:lineRule="exact"/>
        <w:rPr>
          <w:sz w:val="20"/>
          <w:szCs w:val="20"/>
          <w:color w:val="auto"/>
        </w:rPr>
      </w:pPr>
    </w:p>
    <w:p>
      <w:pPr>
        <w:ind w:right="300" w:firstLine="524"/>
        <w:spacing w:after="0" w:line="261" w:lineRule="auto"/>
        <w:rPr>
          <w:sz w:val="20"/>
          <w:szCs w:val="20"/>
          <w:color w:val="auto"/>
        </w:rPr>
      </w:pPr>
      <w:r>
        <w:rPr>
          <w:rFonts w:ascii="Times New Roman" w:cs="Times New Roman" w:eastAsia="Times New Roman" w:hAnsi="Times New Roman"/>
          <w:sz w:val="18"/>
          <w:szCs w:val="18"/>
          <w:color w:val="auto"/>
        </w:rPr>
        <w:t>The Company records reserves for contingent liabilities when it is probable that an asset has been impaired or a liability has been incurred at the date of the financial statements, and the amount of the loss can be reasonably estimated.</w:t>
      </w: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right="140" w:firstLine="524"/>
        <w:spacing w:after="0" w:line="261" w:lineRule="auto"/>
        <w:rPr>
          <w:sz w:val="20"/>
          <w:szCs w:val="20"/>
          <w:color w:val="auto"/>
        </w:rPr>
      </w:pPr>
      <w:r>
        <w:rPr>
          <w:rFonts w:ascii="Times New Roman" w:cs="Times New Roman" w:eastAsia="Times New Roman" w:hAnsi="Times New Roman"/>
          <w:sz w:val="18"/>
          <w:szCs w:val="18"/>
          <w:color w:val="auto"/>
        </w:rPr>
        <w:t>Compensation expense for equity-based compensation awards issued is based on the fair value of the award at the date of grant, and compensation expense is recognized for time-vested awards earned over the service period on a straight-line basis. The Company recognizes equity-based compensation for options containing performance-based vesting conditions over the requisite service period if it is probable that the performance conditions will be satisfied. The Company records forfeitures of equity-based compensation awards as they occur.</w:t>
      </w:r>
    </w:p>
    <w:p>
      <w:pPr>
        <w:spacing w:after="0" w:line="72" w:lineRule="exact"/>
        <w:rPr>
          <w:sz w:val="20"/>
          <w:szCs w:val="20"/>
          <w:color w:val="auto"/>
        </w:rPr>
      </w:pPr>
    </w:p>
    <w:p>
      <w:pPr>
        <w:ind w:right="180" w:firstLine="524"/>
        <w:spacing w:after="0" w:line="258" w:lineRule="auto"/>
        <w:rPr>
          <w:sz w:val="20"/>
          <w:szCs w:val="20"/>
          <w:color w:val="auto"/>
        </w:rPr>
      </w:pPr>
      <w:r>
        <w:rPr>
          <w:rFonts w:ascii="Times New Roman" w:cs="Times New Roman" w:eastAsia="Times New Roman" w:hAnsi="Times New Roman"/>
          <w:sz w:val="18"/>
          <w:szCs w:val="18"/>
          <w:color w:val="auto"/>
        </w:rPr>
        <w:t>The Company’s share based compensation program grants awards that have included the following: 1) profits interests in ProKidney LP which, at close of the Business Combination, were converted into paired interests consisting of (i) Class B common stock or Class B restricted stock rights and (ii) Common Units or Restricted Common Units of ProKidney LP (collectively referred to as “Legacy Profits Interests”); 2) restricted stock units issued by SCS (“Legacy SCS Awards”); 3) time-vested stock options issued by ProKidney Corp.; 4) performance-vested stock options issued by ProKidney Corp. and 5) market-vested stock options issued by ProKidney Corp.</w:t>
      </w:r>
    </w:p>
    <w:p>
      <w:pPr>
        <w:spacing w:after="0" w:line="75" w:lineRule="exact"/>
        <w:rPr>
          <w:sz w:val="20"/>
          <w:szCs w:val="20"/>
          <w:color w:val="auto"/>
        </w:rPr>
      </w:pPr>
    </w:p>
    <w:p>
      <w:pPr>
        <w:ind w:right="280" w:firstLine="524"/>
        <w:spacing w:after="0" w:line="261" w:lineRule="auto"/>
        <w:rPr>
          <w:sz w:val="20"/>
          <w:szCs w:val="20"/>
          <w:color w:val="auto"/>
        </w:rPr>
      </w:pPr>
      <w:r>
        <w:rPr>
          <w:rFonts w:ascii="Times New Roman" w:cs="Times New Roman" w:eastAsia="Times New Roman" w:hAnsi="Times New Roman"/>
          <w:sz w:val="18"/>
          <w:szCs w:val="18"/>
          <w:color w:val="auto"/>
        </w:rPr>
        <w:t>The grant date fair value of time and performance vested stock option awards is estimated using the Black-Scholes option pricing formula. The grant date fair values of the Legacy Profits Interests and Legacy SCS Awards are based on the market value of the issuer’s shares or member units, as applicable, on the date of grant. Compensation expense related to time-vested stock options, performance-vested stock options, Legacy Profits Interests and Legacy SCS Awards are recognized on a straight-line basis over the applicable service period.</w:t>
      </w:r>
    </w:p>
    <w:p>
      <w:pPr>
        <w:spacing w:after="0" w:line="72" w:lineRule="exact"/>
        <w:rPr>
          <w:sz w:val="20"/>
          <w:szCs w:val="20"/>
          <w:color w:val="auto"/>
        </w:rPr>
      </w:pPr>
    </w:p>
    <w:p>
      <w:pPr>
        <w:ind w:right="260" w:firstLine="524"/>
        <w:spacing w:after="0" w:line="258" w:lineRule="auto"/>
        <w:rPr>
          <w:sz w:val="20"/>
          <w:szCs w:val="20"/>
          <w:color w:val="auto"/>
        </w:rPr>
      </w:pPr>
      <w:r>
        <w:rPr>
          <w:rFonts w:ascii="Times New Roman" w:cs="Times New Roman" w:eastAsia="Times New Roman" w:hAnsi="Times New Roman"/>
          <w:sz w:val="18"/>
          <w:szCs w:val="18"/>
          <w:color w:val="auto"/>
        </w:rPr>
        <w:t>Due to the lack of sufficient historical trading information with respect to its own shares, the Company estimates expected volatility based on the historical volatility of its own Class A common stock as well as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 for awards without market conditions.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21" w:lineRule="exact"/>
        <w:rPr>
          <w:sz w:val="20"/>
          <w:szCs w:val="20"/>
          <w:color w:val="auto"/>
        </w:rPr>
      </w:pPr>
    </w:p>
    <w:p>
      <w:pPr>
        <w:ind w:firstLine="524"/>
        <w:spacing w:after="0" w:line="261" w:lineRule="auto"/>
        <w:rPr>
          <w:sz w:val="20"/>
          <w:szCs w:val="20"/>
          <w:color w:val="auto"/>
        </w:rPr>
      </w:pPr>
      <w:r>
        <w:rPr>
          <w:rFonts w:ascii="Times New Roman" w:cs="Times New Roman" w:eastAsia="Times New Roman" w:hAnsi="Times New Roman"/>
          <w:sz w:val="18"/>
          <w:szCs w:val="18"/>
          <w:color w:val="auto"/>
        </w:rPr>
        <w:t>The Company sponsors a 401(k) plan for its ProKidney-US employees and a defined contribution plan for its ProKidney-KY employees. Full-time employees are eligible to participate in these plans. The Company matches 100% of participating ProKidney-US employees’ contributions up to 4% of salary and contributes 7% of ProKidney-KY employee salaries to the respective plans. The Company’s cost related to these defined contribution plans were $1,098,000, $863,000 and $503,000 for the years ended December 31, 2025, 2024 and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0" w:firstLine="5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(“ASU 2023-09”) which requires entities to disclose disaggregated information about their effective tax rate reconciliation and income taxes paid. The Company adopted ASU 2023-09 for the year ended December 31, 2025 and applied the new disclosure requirements prospectively to the current annual period. Prior period disclosures have not been adjusted to reflect the new disclosure requirements. See Note 4 for further details.</w:t>
      </w:r>
    </w:p>
    <w:p>
      <w:pPr>
        <w:spacing w:after="0" w:line="72" w:lineRule="exact"/>
        <w:rPr>
          <w:sz w:val="20"/>
          <w:szCs w:val="20"/>
          <w:color w:val="auto"/>
        </w:rPr>
      </w:pPr>
    </w:p>
    <w:p>
      <w:pPr>
        <w:ind w:firstLine="524"/>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which requires disclosure of additional information about specific expense categories in the notes to the financial statements on an interim and annual basis. The standard is effective for fiscal years beginning after December 15, 2026, and for interim periods within annual reporting periods beginning after December 15, 2027, with early adoption permitted. The Company is currently evaluating the disclosure requirements related to this new standard.</w:t>
      </w:r>
    </w:p>
    <w:p>
      <w:pPr>
        <w:spacing w:after="0" w:line="72" w:lineRule="exact"/>
        <w:rPr>
          <w:sz w:val="20"/>
          <w:szCs w:val="20"/>
          <w:color w:val="auto"/>
        </w:rPr>
      </w:pPr>
    </w:p>
    <w:p>
      <w:pPr>
        <w:ind w:right="220" w:firstLine="524"/>
        <w:spacing w:after="0" w:line="281" w:lineRule="auto"/>
        <w:rPr>
          <w:sz w:val="20"/>
          <w:szCs w:val="20"/>
          <w:color w:val="auto"/>
        </w:rPr>
      </w:pPr>
      <w:r>
        <w:rPr>
          <w:rFonts w:ascii="Times New Roman" w:cs="Times New Roman" w:eastAsia="Times New Roman" w:hAnsi="Times New Roman"/>
          <w:sz w:val="17"/>
          <w:szCs w:val="17"/>
          <w:color w:val="auto"/>
        </w:rPr>
        <w:t>In September 2025, the FASB issued ASU 2025-06, Intangibles-Goodwill and Other – Internal-Use Software (Subtopic 350-40): Targeted Improvements to the Accounting for Internal-Use Software, which removes the concept of project stages and requires the capitalization of software costs when management has committed to funding the software project and it is probable that the project will be complete. The standard is effective for fiscal years beginning after December 15, 2027, with early adoption permitted. The Company is currently evaluating the impact of adopting this new standard.</w:t>
      </w:r>
    </w:p>
    <w:p>
      <w:pPr>
        <w:spacing w:after="0" w:line="2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Investments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Cash equivalents and marketable securities are measured at fair value and within Level 2 in the fair value hierarchy, because we use quoted market prices to the extent available or alternative pricing sources and models utilizing market observable inputs to determine fair value.</w:t>
      </w:r>
    </w:p>
    <w:p>
      <w:pPr>
        <w:spacing w:after="0" w:line="54" w:lineRule="exact"/>
        <w:rPr>
          <w:sz w:val="20"/>
          <w:szCs w:val="20"/>
          <w:color w:val="auto"/>
        </w:rPr>
      </w:pPr>
    </w:p>
    <w:p>
      <w:pPr>
        <w:jc w:val="cente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cash equivalents and marketable securities measured at fair value on a recurring basis (in thousands): 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2" w:name="page123"/>
    <w:bookmarkEnd w:id="122"/>
    <w:tbl>
      <w:tblPr>
        <w:tblLayout w:type="fixed"/>
        <w:tblInd w:w="34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Marketable</w:t>
            </w:r>
          </w:p>
        </w:tc>
      </w:tr>
      <w:tr>
        <w:trPr>
          <w:trHeight w:val="238"/>
        </w:trPr>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Equivalents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Securities</w:t>
            </w:r>
          </w:p>
        </w:tc>
        <w:tc>
          <w:tcPr>
            <w:tcW w:w="100" w:type="dxa"/>
            <w:vAlign w:val="bottom"/>
          </w:tcPr>
          <w:p>
            <w:pPr>
              <w:spacing w:after="0"/>
              <w:rPr>
                <w:sz w:val="20"/>
                <w:szCs w:val="20"/>
                <w:color w:val="auto"/>
              </w:rPr>
            </w:pPr>
          </w:p>
        </w:tc>
      </w:tr>
      <w:tr>
        <w:trPr>
          <w:trHeight w:val="209"/>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24,100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4,305</w:t>
            </w:r>
          </w:p>
        </w:tc>
      </w:tr>
      <w:tr>
        <w:trPr>
          <w:trHeight w:val="216"/>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23,631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23,642</w:t>
            </w: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14,451</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4,669</w:t>
            </w:r>
          </w:p>
        </w:tc>
      </w:tr>
      <w:tr>
        <w:trPr>
          <w:trHeight w:val="216"/>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Government bonds</w:t>
            </w:r>
          </w:p>
        </w:tc>
        <w:tc>
          <w:tcPr>
            <w:tcW w:w="1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38,173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38,191</w:t>
            </w: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30,956</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107,099</w:t>
            </w:r>
          </w:p>
        </w:tc>
      </w:tr>
      <w:tr>
        <w:trPr>
          <w:trHeight w:val="20"/>
        </w:trPr>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201,875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202,006</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161,480</w:t>
            </w:r>
          </w:p>
        </w:tc>
      </w:tr>
      <w:tr>
        <w:trPr>
          <w:trHeight w:val="20"/>
        </w:trPr>
        <w:tc>
          <w:tcPr>
            <w:tcW w:w="25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90"/>
        </w:trPr>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Marketable</w:t>
            </w:r>
          </w:p>
        </w:tc>
      </w:tr>
      <w:tr>
        <w:trPr>
          <w:trHeight w:val="238"/>
        </w:trPr>
        <w:tc>
          <w:tcPr>
            <w:tcW w:w="25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Equivalents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0" w:type="dxa"/>
            <w:vAlign w:val="bottom"/>
          </w:tcPr>
          <w:p>
            <w:pPr>
              <w:spacing w:after="0"/>
              <w:rPr>
                <w:sz w:val="20"/>
                <w:szCs w:val="20"/>
                <w:color w:val="auto"/>
              </w:rPr>
            </w:pPr>
          </w:p>
        </w:tc>
      </w:tr>
      <w:tr>
        <w:trPr>
          <w:trHeight w:val="209"/>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100" w:type="dxa"/>
            <w:vAlign w:val="bottom"/>
          </w:tcPr>
          <w:p>
            <w:pPr>
              <w:spacing w:after="0"/>
              <w:rPr>
                <w:sz w:val="18"/>
                <w:szCs w:val="18"/>
                <w:color w:val="auto"/>
              </w:rPr>
            </w:pPr>
          </w:p>
        </w:tc>
      </w:tr>
      <w:tr>
        <w:trPr>
          <w:trHeight w:val="216"/>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34,894</w:t>
            </w: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100" w:type="dxa"/>
            <w:vAlign w:val="bottom"/>
            <w:shd w:val="clear" w:color="auto" w:fill="CFF0FC"/>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tcPr>
          <w:p>
            <w:pPr>
              <w:spacing w:after="0"/>
              <w:rPr>
                <w:sz w:val="18"/>
                <w:szCs w:val="18"/>
                <w:color w:val="auto"/>
              </w:rPr>
            </w:pPr>
          </w:p>
        </w:tc>
      </w:tr>
      <w:tr>
        <w:trPr>
          <w:trHeight w:val="216"/>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Government bonds</w:t>
            </w:r>
          </w:p>
        </w:tc>
        <w:tc>
          <w:tcPr>
            <w:tcW w:w="1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80,509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80,571</w:t>
            </w: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46,848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33,723</w:t>
            </w:r>
          </w:p>
        </w:tc>
        <w:tc>
          <w:tcPr>
            <w:tcW w:w="100" w:type="dxa"/>
            <w:vAlign w:val="bottom"/>
            <w:shd w:val="clear" w:color="auto" w:fill="CFF0FC"/>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180,030</w:t>
            </w:r>
          </w:p>
        </w:tc>
        <w:tc>
          <w:tcPr>
            <w:tcW w:w="100" w:type="dxa"/>
            <w:vAlign w:val="bottom"/>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314,850</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315,146</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55,974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259,172</w:t>
            </w:r>
          </w:p>
        </w:tc>
        <w:tc>
          <w:tcPr>
            <w:tcW w:w="100" w:type="dxa"/>
            <w:vAlign w:val="bottom"/>
            <w:shd w:val="clear" w:color="auto" w:fill="CFF0FC"/>
          </w:tcPr>
          <w:p>
            <w:pPr>
              <w:spacing w:after="0"/>
              <w:rPr>
                <w:sz w:val="19"/>
                <w:szCs w:val="19"/>
                <w:color w:val="auto"/>
              </w:rPr>
            </w:pPr>
          </w:p>
        </w:tc>
      </w:tr>
      <w:tr>
        <w:trPr>
          <w:trHeight w:val="20"/>
        </w:trPr>
        <w:tc>
          <w:tcPr>
            <w:tcW w:w="25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-1713865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-1696720</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-1713865</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-1696720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-1713865</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-1696720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-1713865</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-1696720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-1713865</wp:posOffset>
            </wp:positionV>
            <wp:extent cx="59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-1696720</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-1713865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-1696720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-25400</wp:posOffset>
            </wp:positionV>
            <wp:extent cx="603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-25400</wp:posOffset>
            </wp:positionV>
            <wp:extent cx="603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-25400</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596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96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03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-25400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cash equivalents and marketable securities, by contractual maturity, as of December 31, 2025 (in thousands):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r>
      <w:tr>
        <w:trPr>
          <w:trHeight w:val="20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1 year or less</w:t>
            </w:r>
          </w:p>
        </w:tc>
        <w:tc>
          <w:tcPr>
            <w:tcW w:w="292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194,514</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Due in 1 year through 5 years</w:t>
            </w:r>
          </w:p>
        </w:tc>
        <w:tc>
          <w:tcPr>
            <w:tcW w:w="23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00" w:type="dxa"/>
            <w:vAlign w:val="bottom"/>
          </w:tcPr>
          <w:p>
            <w:pPr>
              <w:spacing w:after="0"/>
              <w:rPr>
                <w:sz w:val="18"/>
                <w:szCs w:val="18"/>
                <w:color w:val="auto"/>
              </w:rPr>
            </w:pPr>
          </w:p>
        </w:tc>
      </w:tr>
      <w:tr>
        <w:trPr>
          <w:trHeight w:val="249"/>
        </w:trPr>
        <w:tc>
          <w:tcPr>
            <w:tcW w:w="44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202,006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-25400</wp:posOffset>
            </wp:positionV>
            <wp:extent cx="596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-8255</wp:posOffset>
            </wp:positionV>
            <wp:extent cx="596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fair values and gross unrealized losses recorded to accumulated other comprehensive loss, aggregated by category and the length of time that individual securities have been in a continuous loss position (in thousands):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r>
      <w:tr>
        <w:trPr>
          <w:trHeight w:val="238"/>
        </w:trPr>
        <w:tc>
          <w:tcPr>
            <w:tcW w:w="2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w:t>
            </w: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r>
      <w:tr>
        <w:trPr>
          <w:trHeight w:val="210"/>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9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32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220" w:type="dxa"/>
            <w:vAlign w:val="bottom"/>
          </w:tcPr>
          <w:p>
            <w:pPr>
              <w:spacing w:after="0"/>
              <w:rPr>
                <w:sz w:val="18"/>
                <w:szCs w:val="18"/>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2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r>
      <w:tr>
        <w:trPr>
          <w:trHeight w:val="238"/>
        </w:trPr>
        <w:tc>
          <w:tcPr>
            <w:tcW w:w="2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w:t>
            </w: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r>
      <w:tr>
        <w:trPr>
          <w:trHeight w:val="210"/>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9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32,443</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96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2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36,312</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36,312</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23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-1319530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-1319530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-1319530</wp:posOffset>
            </wp:positionV>
            <wp:extent cx="603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-1319530</wp:posOffset>
            </wp:positionV>
            <wp:extent cx="603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-1319530</wp:posOffset>
            </wp:positionV>
            <wp:extent cx="603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-1319530</wp:posOffset>
            </wp:positionV>
            <wp:extent cx="596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-8255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-8255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-8255</wp:posOffset>
            </wp:positionV>
            <wp:extent cx="603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03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03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-8255</wp:posOffset>
            </wp:positionV>
            <wp:extent cx="596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holds debt securities of companies with high credit quality and has determined that there was no material change in the credit risk of its debt securities during the year ended December 31, 2025. As such, the Company has not recognized an allowance for credit losses related to marketable debt securities during the years ended December 31, 2025, 2024 and 2023. As of December 31, 2025, there were seven investment positions that were in an unrealized loss position.</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123" w:name="page124"/>
    <w:bookmarkEnd w:id="12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tab/>
        <w:t>Income Taxes</w:t>
      </w:r>
    </w:p>
    <w:p>
      <w:pPr>
        <w:spacing w:after="0" w:line="121" w:lineRule="exact"/>
        <w:rPr>
          <w:sz w:val="20"/>
          <w:szCs w:val="20"/>
          <w:color w:val="auto"/>
        </w:rPr>
      </w:pPr>
    </w:p>
    <w:p>
      <w:pPr>
        <w:ind w:right="40" w:firstLine="524"/>
        <w:spacing w:after="0" w:line="255" w:lineRule="auto"/>
        <w:rPr>
          <w:sz w:val="20"/>
          <w:szCs w:val="20"/>
          <w:color w:val="auto"/>
        </w:rPr>
      </w:pPr>
      <w:r>
        <w:rPr>
          <w:rFonts w:ascii="Times New Roman" w:cs="Times New Roman" w:eastAsia="Times New Roman" w:hAnsi="Times New Roman"/>
          <w:sz w:val="18"/>
          <w:szCs w:val="18"/>
          <w:color w:val="auto"/>
        </w:rPr>
        <w:t>Prior to the Domestication and other Restructuring transactions, ProKidney was considered an exempted Cayman Islands company and was not subject to income taxes or income tax filing requirements in the Cayman Islands or the United States. The Company’s subsidiary, PKLP, was organized as a limited partnership under the laws and regulations of Ireland and was classified as a partnership for U.S. income tax purposes. Further, the Company’s subsidiary, ProKidney-KY, had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disregarded as separate from its owner, PKLP, for U.S. tax purposes, and as a result, it did not record an income tax provision.</w:t>
      </w:r>
    </w:p>
    <w:p>
      <w:pPr>
        <w:spacing w:after="0" w:line="81" w:lineRule="exact"/>
        <w:rPr>
          <w:sz w:val="20"/>
          <w:szCs w:val="20"/>
          <w:color w:val="auto"/>
        </w:rPr>
      </w:pPr>
    </w:p>
    <w:p>
      <w:pPr>
        <w:ind w:right="260" w:firstLine="524"/>
        <w:spacing w:after="0" w:line="266" w:lineRule="auto"/>
        <w:rPr>
          <w:sz w:val="20"/>
          <w:szCs w:val="20"/>
          <w:color w:val="auto"/>
        </w:rPr>
      </w:pPr>
      <w:r>
        <w:rPr>
          <w:rFonts w:ascii="Times New Roman" w:cs="Times New Roman" w:eastAsia="Times New Roman" w:hAnsi="Times New Roman"/>
          <w:sz w:val="18"/>
          <w:szCs w:val="18"/>
          <w:color w:val="auto"/>
        </w:rPr>
        <w:t>The Domestication and other Restructuring transactions resulted in the Company becoming subject to corporate level income taxes in the U.S. Further, the Post-Domestication Reorganization, which was effective on September 1, 2025, resulted in certain of the Company’s subsidiaries becoming part of a consolidated group and ProKidney-US becoming disregarded as separate from its owner, “PK Holdings” for U.S. federal income tax purposes.</w:t>
      </w:r>
    </w:p>
    <w:p>
      <w:pPr>
        <w:spacing w:after="0" w:line="68" w:lineRule="exact"/>
        <w:rPr>
          <w:sz w:val="20"/>
          <w:szCs w:val="20"/>
          <w:color w:val="auto"/>
        </w:rPr>
      </w:pPr>
    </w:p>
    <w:p>
      <w:pPr>
        <w:ind w:right="140" w:firstLine="524"/>
        <w:spacing w:after="0" w:line="258" w:lineRule="auto"/>
        <w:rPr>
          <w:sz w:val="20"/>
          <w:szCs w:val="20"/>
          <w:color w:val="auto"/>
        </w:rPr>
      </w:pPr>
      <w:r>
        <w:rPr>
          <w:rFonts w:ascii="Times New Roman" w:cs="Times New Roman" w:eastAsia="Times New Roman" w:hAnsi="Times New Roman"/>
          <w:sz w:val="18"/>
          <w:szCs w:val="18"/>
          <w:color w:val="auto"/>
        </w:rPr>
        <w:t>For periods prior to the Domestication and Post-Domestication Reorganization, the difference between the Company’s effective tax rates and the Cayman statutory rate of 0% was primarily attributable to the recording of a tax provision for U.S. federal and state taxes for the Company’s subsidiaries, ProKidney-US and ProKidney Acquisition Company, which were treated as a C corporation for U.S. federal income tax purposes. For periods subsequent to the Domestication and Post-Domestication Reorganization, the difference between the Company’s effective tax rates and the U.S. statutory rate of 21% was primarily attributable to the valuation allowance against the Company’s expected net operating losses.</w:t>
      </w:r>
    </w:p>
    <w:p>
      <w:pPr>
        <w:spacing w:after="0" w:line="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provision for income tax expense consisted of the following for the years ended December 31, 2025, 2024 and 2023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State</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1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income tax expense (benefit)</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shd w:val="clear" w:color="auto" w:fill="CFF0FC"/>
          </w:tcPr>
          <w:p>
            <w:pPr>
              <w:spacing w:after="0"/>
              <w:rPr>
                <w:sz w:val="18"/>
                <w:szCs w:val="18"/>
                <w:color w:val="auto"/>
              </w:rPr>
            </w:pPr>
          </w:p>
        </w:tc>
      </w:tr>
      <w:tr>
        <w:trPr>
          <w:trHeight w:val="432"/>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4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1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1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-316865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-316865</wp:posOffset>
            </wp:positionV>
            <wp:extent cx="603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-316865</wp:posOffset>
            </wp:positionV>
            <wp:extent cx="596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120" w:firstLine="524"/>
        <w:spacing w:after="0" w:line="282" w:lineRule="auto"/>
        <w:rPr>
          <w:sz w:val="20"/>
          <w:szCs w:val="20"/>
          <w:color w:val="auto"/>
        </w:rPr>
      </w:pPr>
      <w:r>
        <w:rPr>
          <w:rFonts w:ascii="Times New Roman" w:cs="Times New Roman" w:eastAsia="Times New Roman" w:hAnsi="Times New Roman"/>
          <w:sz w:val="18"/>
          <w:szCs w:val="18"/>
          <w:color w:val="auto"/>
        </w:rPr>
        <w:t>The table below provides the updated requirements of ASU 2023-09 for 2025. The effective income tax rate for the year ended December 31, 2025 differs from the statutory U.S. income tax rate as follows (in thousands, except percentages):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266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(31,752)</w:t>
            </w: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taxes</w:t>
            </w: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Effects of cross-border transactions - change in tax status</w:t>
            </w:r>
          </w:p>
        </w:tc>
        <w:tc>
          <w:tcPr>
            <w:tcW w:w="2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Tax credits - research and development credits</w:t>
            </w: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(3,723)</w:t>
            </w:r>
          </w:p>
        </w:tc>
        <w:tc>
          <w:tcPr>
            <w:tcW w:w="9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2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16,753</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17,351</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Partnership outside basis difference</w:t>
            </w: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(9,473)</w:t>
            </w:r>
          </w:p>
        </w:tc>
        <w:tc>
          <w:tcPr>
            <w:tcW w:w="9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620" w:type="dxa"/>
            <w:vAlign w:val="bottom"/>
            <w:shd w:val="clear" w:color="auto" w:fill="CFF0FC"/>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6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66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F-16</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-942340</wp:posOffset>
            </wp:positionV>
            <wp:extent cx="603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-942340</wp:posOffset>
            </wp:positionV>
            <wp:extent cx="14541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7">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4" w:name="page125"/>
    <w:bookmarkEnd w:id="124"/>
    <w:p>
      <w:pPr>
        <w:ind w:right="520" w:firstLine="524"/>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years ended December 31, 2024 and 2023, prior to the adoption of ASU 2023-09, the difference between the statutory rate in the Cayman Islands of 0% and the effective income tax rate was as follows: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2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68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at statutory rate</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of taxed entity</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Federal Credits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Provision to return adjustment</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66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bl>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summary of income taxes paid, net of (refunds) received, for the year ended December 31, 2025 is as follows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8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6"/>
        </w:trPr>
        <w:tc>
          <w:tcPr>
            <w:tcW w:w="20" w:type="dxa"/>
            <w:vAlign w:val="bottom"/>
          </w:tcPr>
          <w:p>
            <w:pPr>
              <w:spacing w:after="0"/>
              <w:rPr>
                <w:sz w:val="18"/>
                <w:szCs w:val="18"/>
                <w:color w:val="auto"/>
              </w:rPr>
            </w:pPr>
          </w:p>
        </w:tc>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income taxes paid, net of (refunds) received</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U.S. state and local income taxes paid, net of (refunds) received</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income taxes paid, net of (refunds) received</w:t>
            </w:r>
          </w:p>
        </w:tc>
        <w:tc>
          <w:tcPr>
            <w:tcW w:w="20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83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income taxes paid, net of (refunds) received</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amount of cash income taxes paid by the Company during the years December 31, 2024 and 2023 was $73,000 and $2,857,000, respectively.</w:t>
      </w:r>
    </w:p>
    <w:p>
      <w:pPr>
        <w:spacing w:after="0" w:line="117" w:lineRule="exact"/>
        <w:rPr>
          <w:sz w:val="20"/>
          <w:szCs w:val="20"/>
          <w:color w:val="auto"/>
        </w:rPr>
      </w:pPr>
    </w:p>
    <w:p>
      <w:pPr>
        <w:ind w:right="740" w:firstLine="524"/>
        <w:spacing w:after="0" w:line="282" w:lineRule="auto"/>
        <w:rPr>
          <w:sz w:val="20"/>
          <w:szCs w:val="20"/>
          <w:color w:val="auto"/>
        </w:rPr>
      </w:pPr>
      <w:r>
        <w:rPr>
          <w:rFonts w:ascii="Times New Roman" w:cs="Times New Roman" w:eastAsia="Times New Roman" w:hAnsi="Times New Roman"/>
          <w:sz w:val="18"/>
          <w:szCs w:val="18"/>
          <w:color w:val="auto"/>
        </w:rPr>
        <w:t>Components of the Company’s deferred tax assets and liabilities included in the consolidated balance sheet consisted of the following (in thousands):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Partnership outside basis difference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Federal credit carryforwards</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Leases</w:t>
            </w:r>
          </w:p>
        </w:tc>
        <w:tc>
          <w:tcPr>
            <w:tcW w:w="1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Capital loss carryforward</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Start-up costs</w:t>
            </w:r>
          </w:p>
        </w:tc>
        <w:tc>
          <w:tcPr>
            <w:tcW w:w="1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(17,527)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deferred tax asset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-1302385</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-1302385</wp:posOffset>
            </wp:positionV>
            <wp:extent cx="596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-1019175</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-1019175</wp:posOffset>
            </wp:positionV>
            <wp:extent cx="596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-316230</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-316230</wp:posOffset>
            </wp:positionV>
            <wp:extent cx="596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firstLine="524"/>
        <w:spacing w:after="0" w:line="254" w:lineRule="auto"/>
        <w:rPr>
          <w:sz w:val="20"/>
          <w:szCs w:val="20"/>
          <w:color w:val="auto"/>
        </w:rPr>
      </w:pPr>
      <w:r>
        <w:rPr>
          <w:rFonts w:ascii="Times New Roman" w:cs="Times New Roman" w:eastAsia="Times New Roman" w:hAnsi="Times New Roman"/>
          <w:sz w:val="18"/>
          <w:szCs w:val="18"/>
          <w:color w:val="auto"/>
        </w:rPr>
        <w:t>As discussed in Note 6, the Company is party to a tax receivable agreement with a related party which provides for the payment by the Company to holders of PK Holdings prior to the Closing (“Closing ProKidney Unitholders”)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December 31, 2025.</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125" w:name="page126"/>
    <w:bookmarkEnd w:id="125"/>
    <w:p>
      <w:pPr>
        <w:ind w:right="80" w:firstLine="524"/>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management has concluded that it is not more likely than not that it will recognize the deferred tax assets, and the Company has provided a valuation allowance of $17,527,000 and $6,928,000, respectively for December 31, 2025 and 2024, to offset the net deferred tax assets.</w:t>
      </w:r>
    </w:p>
    <w:p>
      <w:pPr>
        <w:spacing w:after="0" w:line="79"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ProKidney Acquisition Company has net operating loss carryforwards of $1,120,000 and $626,000, respectively, for federal and state purposes. For federal purposes, these net operating loss carryforwards have an indefinite life and for state income tax purposes, the losses begin to expire in 2038. At December 31, 2025, ProKidney Acquisition Company has a net capital loss carryforward of $7,606,000. For federal purposes, the capital loss has a carryforward of five years and a carryback period of three years at December 31, 2025. ProKidney Corp. has net operating loss carryforwards of $41,496,000 for federal purposes.</w:t>
      </w:r>
    </w:p>
    <w:p>
      <w:pPr>
        <w:spacing w:after="0" w:line="75" w:lineRule="exact"/>
        <w:rPr>
          <w:sz w:val="20"/>
          <w:szCs w:val="20"/>
          <w:color w:val="auto"/>
        </w:rPr>
      </w:pPr>
    </w:p>
    <w:p>
      <w:pPr>
        <w:ind w:right="100" w:firstLine="524"/>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total unrecognized tax benefits for the years ended December 31, 2025 and 2024 consisted of the following (in thousands):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2"/>
                <w:szCs w:val="22"/>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16"/>
        </w:trPr>
        <w:tc>
          <w:tcPr>
            <w:tcW w:w="20" w:type="dxa"/>
            <w:vAlign w:val="bottom"/>
          </w:tcPr>
          <w:p>
            <w:pPr>
              <w:spacing w:after="0"/>
              <w:rPr>
                <w:sz w:val="18"/>
                <w:szCs w:val="18"/>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(gross):</w:t>
            </w:r>
          </w:p>
        </w:tc>
        <w:tc>
          <w:tcPr>
            <w:tcW w:w="10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Benefits at the beginning of the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20" w:type="dxa"/>
            <w:vAlign w:val="bottom"/>
          </w:tcPr>
          <w:p>
            <w:pPr>
              <w:spacing w:after="0"/>
              <w:rPr>
                <w:sz w:val="18"/>
                <w:szCs w:val="18"/>
                <w:color w:val="auto"/>
              </w:rPr>
            </w:pPr>
          </w:p>
        </w:tc>
        <w:tc>
          <w:tcPr>
            <w:tcW w:w="6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 related to prior year tax positions</w:t>
            </w:r>
          </w:p>
        </w:tc>
        <w:tc>
          <w:tcPr>
            <w:tcW w:w="1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100" w:type="dxa"/>
            <w:vAlign w:val="bottom"/>
          </w:tcPr>
          <w:p>
            <w:pPr>
              <w:spacing w:after="0"/>
              <w:rPr>
                <w:sz w:val="18"/>
                <w:szCs w:val="18"/>
                <w:color w:val="auto"/>
              </w:rPr>
            </w:pPr>
          </w:p>
        </w:tc>
        <w:tc>
          <w:tcPr>
            <w:tcW w:w="1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0" w:type="dxa"/>
            <w:vAlign w:val="bottom"/>
          </w:tcPr>
          <w:p>
            <w:pPr>
              <w:spacing w:after="0"/>
              <w:rPr>
                <w:sz w:val="18"/>
                <w:szCs w:val="18"/>
                <w:color w:val="auto"/>
              </w:rPr>
            </w:pPr>
          </w:p>
        </w:tc>
        <w:tc>
          <w:tcPr>
            <w:tcW w:w="6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1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20" w:type="dxa"/>
            <w:vAlign w:val="bottom"/>
          </w:tcPr>
          <w:p>
            <w:pPr>
              <w:spacing w:after="0" w:line="20" w:lineRule="exact"/>
              <w:rPr>
                <w:sz w:val="1"/>
                <w:szCs w:val="1"/>
                <w:color w:val="auto"/>
              </w:rPr>
            </w:pPr>
          </w:p>
        </w:tc>
        <w:tc>
          <w:tcPr>
            <w:tcW w:w="67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Benefits at the end of the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-170815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There were no net unrecognized tax benefits as of December 31, 2025 which, if recognized, would affect our effective tax rate.</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Tax years 2021 through 2025 remain subject to examination by federal and state authorities.</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tab/>
        <w:t>Leases</w:t>
      </w:r>
    </w:p>
    <w:p>
      <w:pPr>
        <w:spacing w:after="0" w:line="121" w:lineRule="exact"/>
        <w:rPr>
          <w:sz w:val="20"/>
          <w:szCs w:val="20"/>
          <w:color w:val="auto"/>
        </w:rPr>
      </w:pPr>
    </w:p>
    <w:p>
      <w:pPr>
        <w:ind w:right="40" w:firstLine="524"/>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real estate (primarily office space) and certain equipment with various expiration dates. The Company also has finance leases for certain equipment which are not considered material. During the year ended December 31, 2024, the Company purchased two multi-tenant buildings in Winston-Salem, North Carolina, which it had previously occupied under the terms of a real estate lease. In connection with this purchase, the Company assumed the existing lease agreements held with certain third parties which leased space in these buildings.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119" w:lineRule="exact"/>
        <w:rPr>
          <w:sz w:val="20"/>
          <w:szCs w:val="20"/>
          <w:color w:val="auto"/>
        </w:rPr>
      </w:pPr>
    </w:p>
    <w:p>
      <w:pPr>
        <w:ind w:right="660" w:firstLine="524"/>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Company’s operating lease cost was $1,255,000, $1,976,000, and $1,062,000, respectively. During the year ended December 31, 2025, cash paid for operating leases was $1,039,000.</w:t>
      </w: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26" w:name="page127"/>
    <w:bookmarkEnd w:id="126"/>
    <w:p>
      <w:pPr>
        <w:ind w:right="400"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 of operating and finance lease assets and obligations in the Company's Consolidated Balance Sheets as of December 31, 2025 and December 31, 2024 (in thousands):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2,869</w:t>
            </w:r>
          </w:p>
        </w:tc>
      </w:tr>
      <w:tr>
        <w:trPr>
          <w:trHeight w:val="198"/>
        </w:trPr>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18"/>
                <w:szCs w:val="18"/>
                <w:color w:val="auto"/>
              </w:rPr>
            </w:pPr>
          </w:p>
        </w:tc>
      </w:tr>
      <w:tr>
        <w:trPr>
          <w:trHeight w:val="210"/>
        </w:trPr>
        <w:tc>
          <w:tcPr>
            <w:tcW w:w="6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3,133</w:t>
            </w: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6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Maturities of lease liabilities for the Company’s operating and finance leases are as follows as of December 31, 2025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Finance Leases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4120" w:type="dxa"/>
            <w:vAlign w:val="bottom"/>
            <w:shd w:val="clear" w:color="auto" w:fill="CFF0FC"/>
          </w:tcPr>
          <w:p>
            <w:pPr>
              <w:jc w:val="right"/>
              <w:ind w:right="3630"/>
              <w:spacing w:after="0"/>
              <w:rPr>
                <w:sz w:val="20"/>
                <w:szCs w:val="20"/>
                <w:color w:val="auto"/>
              </w:rPr>
            </w:pPr>
            <w:r>
              <w:rPr>
                <w:rFonts w:ascii="Times New Roman" w:cs="Times New Roman" w:eastAsia="Times New Roman" w:hAnsi="Times New Roman"/>
                <w:sz w:val="18"/>
                <w:szCs w:val="18"/>
                <w:color w:val="auto"/>
              </w:rPr>
              <w:t>2026</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1,429</w:t>
            </w:r>
          </w:p>
        </w:tc>
        <w:tc>
          <w:tcPr>
            <w:tcW w:w="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1,451</w:t>
            </w:r>
          </w:p>
        </w:tc>
      </w:tr>
      <w:tr>
        <w:trPr>
          <w:trHeight w:val="216"/>
        </w:trPr>
        <w:tc>
          <w:tcPr>
            <w:tcW w:w="4120" w:type="dxa"/>
            <w:vAlign w:val="bottom"/>
          </w:tcPr>
          <w:p>
            <w:pPr>
              <w:jc w:val="right"/>
              <w:ind w:right="3630"/>
              <w:spacing w:after="0"/>
              <w:rPr>
                <w:sz w:val="20"/>
                <w:szCs w:val="20"/>
                <w:color w:val="auto"/>
              </w:rPr>
            </w:pPr>
            <w:r>
              <w:rPr>
                <w:rFonts w:ascii="Times New Roman" w:cs="Times New Roman" w:eastAsia="Times New Roman" w:hAnsi="Times New Roman"/>
                <w:sz w:val="18"/>
                <w:szCs w:val="18"/>
                <w:color w:val="auto"/>
              </w:rPr>
              <w:t>2027</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1,314</w:t>
            </w:r>
          </w:p>
        </w:tc>
      </w:tr>
      <w:tr>
        <w:trPr>
          <w:trHeight w:val="216"/>
        </w:trPr>
        <w:tc>
          <w:tcPr>
            <w:tcW w:w="4120" w:type="dxa"/>
            <w:vAlign w:val="bottom"/>
            <w:shd w:val="clear" w:color="auto" w:fill="CFF0FC"/>
          </w:tcPr>
          <w:p>
            <w:pPr>
              <w:jc w:val="right"/>
              <w:ind w:right="3630"/>
              <w:spacing w:after="0"/>
              <w:rPr>
                <w:sz w:val="20"/>
                <w:szCs w:val="20"/>
                <w:color w:val="auto"/>
              </w:rPr>
            </w:pPr>
            <w:r>
              <w:rPr>
                <w:rFonts w:ascii="Times New Roman" w:cs="Times New Roman" w:eastAsia="Times New Roman" w:hAnsi="Times New Roman"/>
                <w:sz w:val="18"/>
                <w:szCs w:val="18"/>
                <w:color w:val="auto"/>
              </w:rPr>
              <w:t>2028</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1,097</w:t>
            </w:r>
          </w:p>
        </w:tc>
      </w:tr>
      <w:tr>
        <w:trPr>
          <w:trHeight w:val="216"/>
        </w:trPr>
        <w:tc>
          <w:tcPr>
            <w:tcW w:w="4120" w:type="dxa"/>
            <w:vAlign w:val="bottom"/>
          </w:tcPr>
          <w:p>
            <w:pPr>
              <w:jc w:val="right"/>
              <w:ind w:right="3630"/>
              <w:spacing w:after="0"/>
              <w:rPr>
                <w:sz w:val="20"/>
                <w:szCs w:val="20"/>
                <w:color w:val="auto"/>
              </w:rPr>
            </w:pPr>
            <w:r>
              <w:rPr>
                <w:rFonts w:ascii="Times New Roman" w:cs="Times New Roman" w:eastAsia="Times New Roman" w:hAnsi="Times New Roman"/>
                <w:sz w:val="18"/>
                <w:szCs w:val="18"/>
                <w:color w:val="auto"/>
              </w:rPr>
              <w:t>2029</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4120" w:type="dxa"/>
            <w:vAlign w:val="bottom"/>
            <w:shd w:val="clear" w:color="auto" w:fill="CFF0FC"/>
          </w:tcPr>
          <w:p>
            <w:pPr>
              <w:jc w:val="right"/>
              <w:ind w:right="3630"/>
              <w:spacing w:after="0"/>
              <w:rPr>
                <w:sz w:val="20"/>
                <w:szCs w:val="20"/>
                <w:color w:val="auto"/>
              </w:rPr>
            </w:pPr>
            <w:r>
              <w:rPr>
                <w:rFonts w:ascii="Times New Roman" w:cs="Times New Roman" w:eastAsia="Times New Roman" w:hAnsi="Times New Roman"/>
                <w:sz w:val="18"/>
                <w:szCs w:val="18"/>
                <w:color w:val="auto"/>
              </w:rPr>
              <w:t>2030</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r>
      <w:tr>
        <w:trPr>
          <w:trHeight w:val="20"/>
        </w:trPr>
        <w:tc>
          <w:tcPr>
            <w:tcW w:w="4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5,012</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(976)</w:t>
            </w:r>
          </w:p>
        </w:tc>
      </w:tr>
      <w:tr>
        <w:trPr>
          <w:trHeight w:val="20"/>
        </w:trPr>
        <w:tc>
          <w:tcPr>
            <w:tcW w:w="4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3,959</w:t>
            </w:r>
          </w:p>
        </w:tc>
        <w:tc>
          <w:tcPr>
            <w:tcW w:w="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4,036</w:t>
            </w: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0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60" w:firstLine="5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3.9 years, and 4.0 years for the finance lease. The weighted average discount rate is 11.0% and 5.6% for operating and finance leases,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Leases</w:t>
      </w:r>
    </w:p>
    <w:p>
      <w:pPr>
        <w:spacing w:after="0" w:line="119" w:lineRule="exact"/>
        <w:rPr>
          <w:sz w:val="20"/>
          <w:szCs w:val="20"/>
          <w:color w:val="auto"/>
        </w:rPr>
      </w:pPr>
    </w:p>
    <w:p>
      <w:pPr>
        <w:ind w:right="40" w:firstLine="524"/>
        <w:spacing w:after="0" w:line="258" w:lineRule="auto"/>
        <w:rPr>
          <w:sz w:val="20"/>
          <w:szCs w:val="20"/>
          <w:color w:val="auto"/>
        </w:rPr>
      </w:pPr>
      <w:r>
        <w:rPr>
          <w:rFonts w:ascii="Times New Roman" w:cs="Times New Roman" w:eastAsia="Times New Roman" w:hAnsi="Times New Roman"/>
          <w:sz w:val="18"/>
          <w:szCs w:val="18"/>
          <w:color w:val="auto"/>
        </w:rPr>
        <w:t>The Company leases a portion of its facilities in Winston-Salem, North Carolina under agreements that are classified as operating leases. In addition to the rental payments, tenants pay a fixed rate for their pro rata share of real estate taxes, insurance and other facility operating expenses. These amounts are recognized as revenues on a straight-line basis over the term of the related leases. For leasing revenues where collectability is not considered probable, lease income is recognized on a cash basis and all previously recognized tenant accounts receivables, including straight-line rent, are fully reserved in the period in which the lease income is determined not to be probable of collection. These lease agreements terminate between 2026 and 2029.</w:t>
      </w:r>
    </w:p>
    <w:p>
      <w:pPr>
        <w:spacing w:after="0" w:line="75" w:lineRule="exact"/>
        <w:rPr>
          <w:sz w:val="20"/>
          <w:szCs w:val="20"/>
          <w:color w:val="auto"/>
        </w:rPr>
      </w:pPr>
    </w:p>
    <w:p>
      <w:pPr>
        <w:jc w:val="both"/>
        <w:ind w:right="160" w:firstLine="524"/>
        <w:spacing w:after="0" w:line="266" w:lineRule="auto"/>
        <w:rPr>
          <w:sz w:val="20"/>
          <w:szCs w:val="20"/>
          <w:color w:val="auto"/>
        </w:rPr>
      </w:pPr>
      <w:r>
        <w:rPr>
          <w:rFonts w:ascii="Times New Roman" w:cs="Times New Roman" w:eastAsia="Times New Roman" w:hAnsi="Times New Roman"/>
          <w:sz w:val="18"/>
          <w:szCs w:val="18"/>
          <w:color w:val="auto"/>
        </w:rPr>
        <w:t>The leasing revenue for the years ended December 31, 2025 and 2024 was $893,000 and $76,000, respectively. There was no such revenue for the year ended December 31, 2023. Future minimum lease payments under non-cancelable operating leases as of December 31, 2025 excluding the effect of straight-line rent and variable rental payments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gridSpan w:val="2"/>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940" w:type="dxa"/>
            <w:vAlign w:val="bottom"/>
            <w:shd w:val="clear" w:color="auto" w:fill="CFF0FC"/>
          </w:tcPr>
          <w:p>
            <w:pPr>
              <w:jc w:val="right"/>
              <w:ind w:right="2430"/>
              <w:spacing w:after="0"/>
              <w:rPr>
                <w:sz w:val="20"/>
                <w:szCs w:val="20"/>
                <w:color w:val="auto"/>
              </w:rPr>
            </w:pPr>
            <w:r>
              <w:rPr>
                <w:rFonts w:ascii="Times New Roman" w:cs="Times New Roman" w:eastAsia="Times New Roman" w:hAnsi="Times New Roman"/>
                <w:sz w:val="18"/>
                <w:szCs w:val="18"/>
                <w:color w:val="auto"/>
              </w:rPr>
              <w:t>2026</w:t>
            </w:r>
          </w:p>
        </w:tc>
        <w:tc>
          <w:tcPr>
            <w:tcW w:w="61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4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2027</w:t>
            </w:r>
          </w:p>
        </w:tc>
        <w:tc>
          <w:tcPr>
            <w:tcW w:w="5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40" w:type="dxa"/>
            <w:vAlign w:val="bottom"/>
            <w:shd w:val="clear" w:color="auto" w:fill="CFF0FC"/>
          </w:tcPr>
          <w:p>
            <w:pPr>
              <w:jc w:val="right"/>
              <w:ind w:right="2430"/>
              <w:spacing w:after="0"/>
              <w:rPr>
                <w:sz w:val="20"/>
                <w:szCs w:val="20"/>
                <w:color w:val="auto"/>
              </w:rPr>
            </w:pPr>
            <w:r>
              <w:rPr>
                <w:rFonts w:ascii="Times New Roman" w:cs="Times New Roman" w:eastAsia="Times New Roman" w:hAnsi="Times New Roman"/>
                <w:sz w:val="18"/>
                <w:szCs w:val="18"/>
                <w:color w:val="auto"/>
              </w:rPr>
              <w:t>2028</w:t>
            </w:r>
          </w:p>
        </w:tc>
        <w:tc>
          <w:tcPr>
            <w:tcW w:w="5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4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2029</w:t>
            </w:r>
          </w:p>
        </w:tc>
        <w:tc>
          <w:tcPr>
            <w:tcW w:w="5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40" w:type="dxa"/>
            <w:vAlign w:val="bottom"/>
            <w:shd w:val="clear" w:color="auto" w:fill="CFF0FC"/>
          </w:tcPr>
          <w:p>
            <w:pPr>
              <w:jc w:val="right"/>
              <w:ind w:right="2430"/>
              <w:spacing w:after="0"/>
              <w:rPr>
                <w:sz w:val="20"/>
                <w:szCs w:val="20"/>
                <w:color w:val="auto"/>
              </w:rPr>
            </w:pPr>
            <w:r>
              <w:rPr>
                <w:rFonts w:ascii="Times New Roman" w:cs="Times New Roman" w:eastAsia="Times New Roman" w:hAnsi="Times New Roman"/>
                <w:sz w:val="18"/>
                <w:szCs w:val="18"/>
                <w:color w:val="auto"/>
              </w:rPr>
              <w:t>2030</w:t>
            </w:r>
          </w:p>
        </w:tc>
        <w:tc>
          <w:tcPr>
            <w:tcW w:w="5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4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w w:val="98"/>
              </w:rPr>
              <w:t>Thereafter</w:t>
            </w:r>
          </w:p>
        </w:tc>
        <w:tc>
          <w:tcPr>
            <w:tcW w:w="57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2940" w:type="dxa"/>
            <w:vAlign w:val="bottom"/>
            <w:tcBorders>
              <w:bottom w:val="single" w:sz="8" w:color="CFF0FC"/>
            </w:tcBorders>
            <w:shd w:val="clear" w:color="auto" w:fill="CFF0FC"/>
          </w:tcPr>
          <w:p>
            <w:pPr>
              <w:jc w:val="right"/>
              <w:ind w:right="2390"/>
              <w:spacing w:after="0"/>
              <w:rPr>
                <w:sz w:val="20"/>
                <w:szCs w:val="20"/>
                <w:color w:val="auto"/>
              </w:rPr>
            </w:pPr>
            <w:r>
              <w:rPr>
                <w:rFonts w:ascii="Times New Roman" w:cs="Times New Roman" w:eastAsia="Times New Roman" w:hAnsi="Times New Roman"/>
                <w:sz w:val="18"/>
                <w:szCs w:val="18"/>
                <w:color w:val="auto"/>
              </w:rPr>
              <w:t>Total</w:t>
            </w:r>
          </w:p>
        </w:tc>
        <w:tc>
          <w:tcPr>
            <w:tcW w:w="57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Pr>
          <w:p>
            <w:pPr>
              <w:spacing w:after="0"/>
              <w:rPr>
                <w:sz w:val="21"/>
                <w:szCs w:val="21"/>
                <w:color w:val="auto"/>
              </w:rPr>
            </w:pPr>
          </w:p>
        </w:tc>
      </w:tr>
      <w:tr>
        <w:trPr>
          <w:trHeight w:val="412"/>
        </w:trPr>
        <w:tc>
          <w:tcPr>
            <w:tcW w:w="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120" w:type="dxa"/>
            <w:vAlign w:val="bottom"/>
            <w:gridSpan w:val="2"/>
          </w:tcPr>
          <w:p>
            <w:pPr>
              <w:jc w:val="right"/>
              <w:ind w:right="3510"/>
              <w:spacing w:after="0"/>
              <w:rPr>
                <w:sz w:val="20"/>
                <w:szCs w:val="20"/>
                <w:color w:val="auto"/>
              </w:rPr>
            </w:pPr>
            <w:r>
              <w:rPr>
                <w:rFonts w:ascii="Times New Roman" w:cs="Times New Roman" w:eastAsia="Times New Roman" w:hAnsi="Times New Roman"/>
                <w:sz w:val="18"/>
                <w:szCs w:val="18"/>
                <w:color w:val="auto"/>
              </w:rPr>
              <w:t>F-19</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-796290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-779145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Note 6: Related Party Transactions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119" w:lineRule="exact"/>
        <w:rPr>
          <w:sz w:val="20"/>
          <w:szCs w:val="20"/>
          <w:color w:val="auto"/>
        </w:rPr>
      </w:pPr>
    </w:p>
    <w:p>
      <w:pPr>
        <w:ind w:firstLine="524"/>
        <w:spacing w:after="0" w:line="253" w:lineRule="auto"/>
        <w:rPr>
          <w:sz w:val="20"/>
          <w:szCs w:val="20"/>
          <w:color w:val="auto"/>
        </w:rPr>
      </w:pPr>
      <w:r>
        <w:rPr>
          <w:rFonts w:ascii="Times New Roman" w:cs="Times New Roman" w:eastAsia="Times New Roman" w:hAnsi="Times New Roman"/>
          <w:sz w:val="18"/>
          <w:szCs w:val="18"/>
          <w:color w:val="auto"/>
        </w:rPr>
        <w:t xml:space="preserve">On the Closing Date, the Company entered into an exchange agreement with PKLP and certain Closing ProKidney Unitholders (the “Exchange Agreement”) pursuant to which, subject to the procedures and restrictions therein, from and after the waiver or expiration of any contractual lock-up period (including pursuant to the Lock-Up Agreement (as defined below)) the holders of Post-Combination ProKidney Common Units as defined in the Exchange Agreement (or certain permitted transferees thereof) would have the right from time to time at and after 180 days following the Closing to exchange their Post-Combination ProKidney Common Units and an equal number of </w:t>
      </w:r>
      <w:r>
        <w:rPr>
          <w:rFonts w:ascii="Times New Roman" w:cs="Times New Roman" w:eastAsia="Times New Roman" w:hAnsi="Times New Roman"/>
          <w:sz w:val="18"/>
          <w:szCs w:val="18"/>
          <w:color w:val="231F20"/>
        </w:rPr>
        <w:t>shares of</w:t>
      </w:r>
      <w:r>
        <w:rPr>
          <w:rFonts w:ascii="Times New Roman" w:cs="Times New Roman" w:eastAsia="Times New Roman" w:hAnsi="Times New Roman"/>
          <w:sz w:val="18"/>
          <w:szCs w:val="18"/>
          <w:color w:val="auto"/>
        </w:rPr>
        <w:t xml:space="preserve"> Class B common stock of the Company on a one-for-one basis for </w:t>
      </w:r>
      <w:r>
        <w:rPr>
          <w:rFonts w:ascii="Times New Roman" w:cs="Times New Roman" w:eastAsia="Times New Roman" w:hAnsi="Times New Roman"/>
          <w:sz w:val="18"/>
          <w:szCs w:val="18"/>
          <w:color w:val="231F20"/>
        </w:rPr>
        <w:t>shares of</w:t>
      </w:r>
      <w:r>
        <w:rPr>
          <w:rFonts w:ascii="Times New Roman" w:cs="Times New Roman" w:eastAsia="Times New Roman" w:hAnsi="Times New Roman"/>
          <w:sz w:val="18"/>
          <w:szCs w:val="18"/>
          <w:color w:val="auto"/>
        </w:rPr>
        <w:t xml:space="preserve"> Class A common stock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share of Class A common stock.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 Company and its subsidiaries to which the holder of Post-Combination ProKidney Common Units may be subject, including the Second Amended and Restated ProKidney Limited Partnership Agreement and the Exchange Agreement.</w:t>
      </w:r>
    </w:p>
    <w:p>
      <w:pPr>
        <w:spacing w:after="0" w:line="82" w:lineRule="exact"/>
        <w:rPr>
          <w:sz w:val="20"/>
          <w:szCs w:val="20"/>
          <w:color w:val="auto"/>
        </w:rPr>
      </w:pPr>
    </w:p>
    <w:p>
      <w:pPr>
        <w:ind w:right="340" w:firstLine="524"/>
        <w:spacing w:after="0" w:line="282" w:lineRule="auto"/>
        <w:rPr>
          <w:sz w:val="20"/>
          <w:szCs w:val="20"/>
          <w:color w:val="auto"/>
        </w:rPr>
      </w:pPr>
      <w:r>
        <w:rPr>
          <w:rFonts w:ascii="Times New Roman" w:cs="Times New Roman" w:eastAsia="Times New Roman" w:hAnsi="Times New Roman"/>
          <w:sz w:val="18"/>
          <w:szCs w:val="18"/>
          <w:color w:val="auto"/>
        </w:rPr>
        <w:t>In connection with the Domestication and the other Restructuring transactions, the Company amended and restated the Exchange Agreement on substantially similar terms in order to reflect updates to the Company’s corporate structure resulting from the Restructuring.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19" w:lineRule="exact"/>
        <w:rPr>
          <w:sz w:val="20"/>
          <w:szCs w:val="20"/>
          <w:color w:val="auto"/>
        </w:rPr>
      </w:pPr>
    </w:p>
    <w:p>
      <w:pPr>
        <w:ind w:right="60" w:firstLine="524"/>
        <w:spacing w:after="0" w:line="252" w:lineRule="auto"/>
        <w:rPr>
          <w:sz w:val="20"/>
          <w:szCs w:val="20"/>
          <w:color w:val="auto"/>
        </w:rPr>
      </w:pPr>
      <w:r>
        <w:rPr>
          <w:rFonts w:ascii="Times New Roman" w:cs="Times New Roman" w:eastAsia="Times New Roman" w:hAnsi="Times New Roman"/>
          <w:sz w:val="18"/>
          <w:szCs w:val="18"/>
          <w:color w:val="auto"/>
        </w:rPr>
        <w:t>On the Closing Date, the Company, SCS Sponsor III LLC and certain Closing ProKidney Unitholders entered into a lock-up agreement (the “Lock-Up Agreement”). The Lock-Up Agreement contains certain restrictions on transfer with respect to the SCS Sponsor III LLC and the Closing ProKidney Unitholders party thereto. Such restrictions began at the Closing and would end on the earlier of (i) the date that is 180 days after the Closing and (ii)(a) for 33% of the Lock-Up Shares (other than the Earnout Shares and the Private Placement Shares), the date on which the last reported sale price of the Company’s Class A common stock equals or exceeds $12.50 per share for any 20 trading days within any 30-trading day period commencing at least 30 days after the Closing and (b) for an additional 50% of the Lock-Up Shares (other than the Earnout Shares and the Private Placement Shares (as each such term is defined in the Lock-Up Agreement)), the date on which the last reported sale price of the Company’s Class A common stock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PKLP receives notice of any regulatory market authorization, including full or conditional authorization, to market its lead product candidate, Renal Autologous Cell Therapy (but, in any event, not earlier than 180 days following the Closing or (in the case of Earnout Shares) the date of issuance); and</w:t>
      </w:r>
    </w:p>
    <w:p>
      <w:pPr>
        <w:spacing w:after="0" w:line="2" w:lineRule="exact"/>
        <w:rPr>
          <w:sz w:val="20"/>
          <w:szCs w:val="20"/>
          <w:color w:val="auto"/>
        </w:rPr>
      </w:pPr>
    </w:p>
    <w:p>
      <w:pPr>
        <w:ind w:right="220" w:firstLine="8"/>
        <w:spacing w:after="0" w:line="260" w:lineRule="auto"/>
        <w:tabs>
          <w:tab w:leader="none" w:pos="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period for the Private Placement Shares expired 30 days after the Closing. The restrictions on transfer set forth in the Lockup Agreement are subject to customary exceptions.</w:t>
      </w:r>
    </w:p>
    <w:p>
      <w:pPr>
        <w:spacing w:after="0" w:line="73" w:lineRule="exact"/>
        <w:rPr>
          <w:sz w:val="20"/>
          <w:szCs w:val="20"/>
          <w:color w:val="auto"/>
        </w:rPr>
      </w:pPr>
    </w:p>
    <w:p>
      <w:pPr>
        <w:ind w:right="400" w:firstLine="524"/>
        <w:spacing w:after="0" w:line="282" w:lineRule="auto"/>
        <w:rPr>
          <w:sz w:val="20"/>
          <w:szCs w:val="20"/>
          <w:color w:val="auto"/>
        </w:rPr>
      </w:pPr>
      <w:r>
        <w:rPr>
          <w:rFonts w:ascii="Times New Roman" w:cs="Times New Roman" w:eastAsia="Times New Roman" w:hAnsi="Times New Roman"/>
          <w:sz w:val="18"/>
          <w:szCs w:val="18"/>
          <w:color w:val="auto"/>
        </w:rPr>
        <w:t>In connection with the Domestication and the other Restructuring transactions, the Company amended and restated the Lock-Up Agreement on substantially similar terms in order to reflect updates to the Company’s corporate structure resulting from the Restructuring.</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During January 2023, the lock-up period for 50% of the shares held by the Closing ProKidney Unitholders (other than the Earnout Shares) expired.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ind w:right="20" w:firstLine="524"/>
        <w:spacing w:after="0" w:line="256" w:lineRule="auto"/>
        <w:rPr>
          <w:sz w:val="20"/>
          <w:szCs w:val="20"/>
          <w:color w:val="auto"/>
        </w:rPr>
      </w:pPr>
      <w:r>
        <w:rPr>
          <w:rFonts w:ascii="Times New Roman" w:cs="Times New Roman" w:eastAsia="Times New Roman" w:hAnsi="Times New Roman"/>
          <w:sz w:val="18"/>
          <w:szCs w:val="18"/>
          <w:color w:val="auto"/>
        </w:rPr>
        <w:t xml:space="preserve">On the Closing Date, the Company entered into a tax receivable agreement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w:t>
      </w:r>
      <w:r>
        <w:rPr>
          <w:rFonts w:ascii="Times New Roman" w:cs="Times New Roman" w:eastAsia="Times New Roman" w:hAnsi="Times New Roman"/>
          <w:sz w:val="18"/>
          <w:szCs w:val="18"/>
          <w:color w:val="231F20"/>
        </w:rPr>
        <w:t>shares of</w:t>
      </w:r>
      <w:r>
        <w:rPr>
          <w:rFonts w:ascii="Times New Roman" w:cs="Times New Roman" w:eastAsia="Times New Roman" w:hAnsi="Times New Roman"/>
          <w:sz w:val="18"/>
          <w:szCs w:val="18"/>
          <w:color w:val="auto"/>
        </w:rPr>
        <w:t xml:space="preserve"> Class A common stock of the Company or, subject to certain restrictions, cash, pursuant to the Exchange Agreement and certain other tax attributes of PKLP and tax benefits related to entering into the Tax Receivable Agreement.</w:t>
      </w:r>
    </w:p>
    <w:p>
      <w:pPr>
        <w:spacing w:after="0" w:line="79" w:lineRule="exact"/>
        <w:rPr>
          <w:sz w:val="20"/>
          <w:szCs w:val="20"/>
          <w:color w:val="auto"/>
        </w:rPr>
      </w:pPr>
    </w:p>
    <w:p>
      <w:pPr>
        <w:ind w:right="160" w:firstLine="524"/>
        <w:spacing w:after="0" w:line="261" w:lineRule="auto"/>
        <w:rPr>
          <w:sz w:val="20"/>
          <w:szCs w:val="20"/>
          <w:color w:val="auto"/>
        </w:rPr>
      </w:pPr>
      <w:r>
        <w:rPr>
          <w:rFonts w:ascii="Times New Roman" w:cs="Times New Roman" w:eastAsia="Times New Roman" w:hAnsi="Times New Roman"/>
          <w:sz w:val="18"/>
          <w:szCs w:val="18"/>
          <w:color w:val="auto"/>
        </w:rPr>
        <w:t>In connection with the Domestication and the other Restructuring transactions, the Company amended and restated the Tax Receivable Agreement on substantially similar terms in order to reflect updates to the Company’s corporate structure resulting from the Restructuring</w:t>
      </w: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i w:val="1"/>
          <w:iCs w:val="1"/>
          <w:color w:val="auto"/>
        </w:rPr>
        <w:t>Earnout Rights</w:t>
      </w:r>
    </w:p>
    <w:p>
      <w:pPr>
        <w:spacing w:after="0" w:line="119" w:lineRule="exact"/>
        <w:rPr>
          <w:sz w:val="20"/>
          <w:szCs w:val="20"/>
          <w:color w:val="auto"/>
        </w:rPr>
      </w:pPr>
    </w:p>
    <w:p>
      <w:pPr>
        <w:ind w:right="100" w:firstLine="524"/>
        <w:spacing w:after="0" w:line="258" w:lineRule="auto"/>
        <w:rPr>
          <w:sz w:val="20"/>
          <w:szCs w:val="20"/>
          <w:color w:val="auto"/>
        </w:rPr>
      </w:pPr>
      <w:r>
        <w:rPr>
          <w:rFonts w:ascii="Times New Roman" w:cs="Times New Roman" w:eastAsia="Times New Roman" w:hAnsi="Times New Roman"/>
          <w:sz w:val="18"/>
          <w:szCs w:val="18"/>
          <w:color w:val="auto"/>
        </w:rPr>
        <w:t xml:space="preserve">At the Closing, certain shareholders were issued an aggregate of 17,500,000 Earnout Restricted Common Units and 17,500,000 Earnout Restricted Stock Rights (collectively, the “Earnout Rights”). The Earnout Rights vest in three equal tranches if, during the five-year period after Closing, the VWAP of a Class A ordinary share reaches $15.00 per share, $20.00 per share and $25.00 per share. Likewise, the Earnout Rights will vest upon a change of control with a per share price exceeding those same VWAP thresholds within a five-year period immediately following the Closing. Upon vesting, the Earnout Rights will automatically convert into Post Combination ProKidney Common Units and </w:t>
      </w:r>
      <w:r>
        <w:rPr>
          <w:rFonts w:ascii="Times New Roman" w:cs="Times New Roman" w:eastAsia="Times New Roman" w:hAnsi="Times New Roman"/>
          <w:sz w:val="18"/>
          <w:szCs w:val="18"/>
          <w:color w:val="231F20"/>
        </w:rPr>
        <w:t>shares of</w:t>
      </w:r>
      <w:r>
        <w:rPr>
          <w:rFonts w:ascii="Times New Roman" w:cs="Times New Roman" w:eastAsia="Times New Roman" w:hAnsi="Times New Roman"/>
          <w:sz w:val="18"/>
          <w:szCs w:val="18"/>
          <w:color w:val="auto"/>
        </w:rPr>
        <w:t xml:space="preserve"> Class B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Services Agreement between ProKidney-KY and Nefro Health</w:t>
      </w:r>
    </w:p>
    <w:p>
      <w:pPr>
        <w:spacing w:after="0" w:line="119" w:lineRule="exact"/>
        <w:rPr>
          <w:sz w:val="20"/>
          <w:szCs w:val="20"/>
          <w:color w:val="auto"/>
        </w:rPr>
      </w:pPr>
    </w:p>
    <w:p>
      <w:pPr>
        <w:ind w:right="40" w:firstLine="524"/>
        <w:spacing w:after="0" w:line="253" w:lineRule="auto"/>
        <w:rPr>
          <w:sz w:val="20"/>
          <w:szCs w:val="20"/>
          <w:color w:val="auto"/>
        </w:rPr>
      </w:pPr>
      <w:r>
        <w:rPr>
          <w:rFonts w:ascii="Times New Roman" w:cs="Times New Roman" w:eastAsia="Times New Roman" w:hAnsi="Times New Roman"/>
          <w:sz w:val="18"/>
          <w:szCs w:val="18"/>
          <w:color w:val="auto"/>
        </w:rPr>
        <w:t>ProKidney IPCo. is party to a consulting services agreement with Nefro Health (“Nefro”), an Irish partnership controlled and majority-owned by Mr. Pablo Legorreta, a director of the Company and a significant shareholder,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ProKidney-KY has paid Nefro an aggregate of $100,000 for each of the years ended December 31, 2025, 2024 and 2023.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 IPCo. will be obligated to pay Nefro any earned but unpaid consulting fee as of the termination 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Services Agreement between ProKidney-US and Nefro Health</w:t>
      </w:r>
    </w:p>
    <w:p>
      <w:pPr>
        <w:spacing w:after="0" w:line="119" w:lineRule="exact"/>
        <w:rPr>
          <w:sz w:val="20"/>
          <w:szCs w:val="20"/>
          <w:color w:val="auto"/>
        </w:rPr>
      </w:pPr>
    </w:p>
    <w:p>
      <w:pPr>
        <w:ind w:firstLine="524"/>
        <w:spacing w:after="0" w:line="253" w:lineRule="auto"/>
        <w:rPr>
          <w:sz w:val="20"/>
          <w:szCs w:val="20"/>
          <w:color w:val="auto"/>
        </w:rPr>
      </w:pPr>
      <w:r>
        <w:rPr>
          <w:rFonts w:ascii="Times New Roman" w:cs="Times New Roman" w:eastAsia="Times New Roman" w:hAnsi="Times New Roman"/>
          <w:sz w:val="18"/>
          <w:szCs w:val="18"/>
          <w:color w:val="auto"/>
        </w:rPr>
        <w:t>ProKidney-US is party 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ProKidney-US has paid Nefro an aggregate of $100,000 for each of the years ended December 31, 2025, 2024 and 2023.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spacing w:after="0" w:line="2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tab/>
        <w:t>Redeemable Noncontrolling Interest</w:t>
      </w:r>
    </w:p>
    <w:p>
      <w:pPr>
        <w:spacing w:after="0" w:line="121"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8"/>
          <w:szCs w:val="18"/>
          <w:color w:val="auto"/>
        </w:rPr>
        <w:t xml:space="preserve">The Company is subject to the Exchange Agreement with respect to the Post-Combination ProKidney Common Units representing the outstanding 52.9% noncontrolling interest in PK Holdings (see Note 1). The Exchange Agreement requires the surrender of an equal number of Post-Combination ProKidney Common Units and </w:t>
      </w:r>
      <w:r>
        <w:rPr>
          <w:rFonts w:ascii="Times New Roman" w:cs="Times New Roman" w:eastAsia="Times New Roman" w:hAnsi="Times New Roman"/>
          <w:sz w:val="18"/>
          <w:szCs w:val="18"/>
          <w:color w:val="231F20"/>
        </w:rPr>
        <w:t>shares of</w:t>
      </w:r>
      <w:r>
        <w:rPr>
          <w:rFonts w:ascii="Times New Roman" w:cs="Times New Roman" w:eastAsia="Times New Roman" w:hAnsi="Times New Roman"/>
          <w:sz w:val="18"/>
          <w:szCs w:val="18"/>
          <w:color w:val="auto"/>
        </w:rPr>
        <w:t xml:space="preserve"> Class B common stock for (i) </w:t>
      </w:r>
      <w:r>
        <w:rPr>
          <w:rFonts w:ascii="Times New Roman" w:cs="Times New Roman" w:eastAsia="Times New Roman" w:hAnsi="Times New Roman"/>
          <w:sz w:val="18"/>
          <w:szCs w:val="18"/>
          <w:color w:val="231F20"/>
        </w:rPr>
        <w:t>shares of</w:t>
      </w:r>
      <w:r>
        <w:rPr>
          <w:rFonts w:ascii="Times New Roman" w:cs="Times New Roman" w:eastAsia="Times New Roman" w:hAnsi="Times New Roman"/>
          <w:sz w:val="18"/>
          <w:szCs w:val="18"/>
          <w:color w:val="auto"/>
        </w:rPr>
        <w:t xml:space="preserve"> Class A common stock on a one-for-one basis or (ii) cash (based on the fair market value of the Class A common stock as determined pursuant to the Exchange Agreement), at the Company’s option (as the managing member of PK Holdings), subject to customary conversion rate adjustments for share splits, share dividends and reclassifications. The exchange value is determined based on a five-day VWAP of the Class A common stock as defined in the Exchange Agreement, subject to customary conversion rate adjustments for share splits, share dividends and reclassifications.</w:t>
      </w:r>
    </w:p>
    <w:p>
      <w:pPr>
        <w:spacing w:after="0" w:line="81" w:lineRule="exact"/>
        <w:rPr>
          <w:sz w:val="20"/>
          <w:szCs w:val="20"/>
          <w:color w:val="auto"/>
        </w:rPr>
      </w:pPr>
    </w:p>
    <w:p>
      <w:pPr>
        <w:ind w:right="180" w:firstLine="524"/>
        <w:spacing w:after="0" w:line="255" w:lineRule="auto"/>
        <w:rPr>
          <w:sz w:val="20"/>
          <w:szCs w:val="20"/>
          <w:color w:val="auto"/>
        </w:rPr>
      </w:pPr>
      <w:r>
        <w:rPr>
          <w:rFonts w:ascii="Times New Roman" w:cs="Times New Roman" w:eastAsia="Times New Roman" w:hAnsi="Times New Roman"/>
          <w:sz w:val="18"/>
          <w:szCs w:val="18"/>
          <w:color w:val="auto"/>
        </w:rPr>
        <w:t>The redeemable noncontrolling interest is recognized at the higher of (1) its initial fair value plus accumulated earnings/losses associated with the noncontrolling interest or (2) the redemption value as of the balance sheet date. At December 31, 2025, the redeemable noncontrolling interest was recorded based on its initial fair value plus accumulated losses associated with the noncontrolling interest as this amount was higher than the redemption value as of the balance sheet date which was approximately $376,488,000.</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bookmarkStart w:id="129" w:name="page130"/>
    <w:bookmarkEnd w:id="129"/>
    <w:p>
      <w:pPr>
        <w:ind w:right="160" w:firstLine="524"/>
        <w:spacing w:after="0" w:line="266" w:lineRule="auto"/>
        <w:rPr>
          <w:sz w:val="20"/>
          <w:szCs w:val="20"/>
          <w:color w:val="auto"/>
        </w:rPr>
      </w:pPr>
      <w:r>
        <w:rPr>
          <w:rFonts w:ascii="Times New Roman" w:cs="Times New Roman" w:eastAsia="Times New Roman" w:hAnsi="Times New Roman"/>
          <w:sz w:val="18"/>
          <w:szCs w:val="18"/>
          <w:color w:val="auto"/>
        </w:rPr>
        <w:t>Changes in the Company’s ownership interest in PK Holdings while the Company retains its controlling interest in PK Holdings are accounted for as equity transactions, and the Company is required to adjust noncontrolling interest and equity for such changes. The following is a summary of net income attributable to the Company and transfers to noncontrolling interest (in thousands):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available to Class A common stockholders</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(68,986)</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(61,186)</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(35,468)</w:t>
            </w:r>
          </w:p>
        </w:tc>
        <w:tc>
          <w:tcPr>
            <w:tcW w:w="0" w:type="dxa"/>
            <w:vAlign w:val="bottom"/>
          </w:tcPr>
          <w:p>
            <w:pPr>
              <w:spacing w:after="0"/>
              <w:rPr>
                <w:sz w:val="1"/>
                <w:szCs w:val="1"/>
                <w:color w:val="auto"/>
              </w:rPr>
            </w:pPr>
          </w:p>
        </w:tc>
      </w:tr>
      <w:tr>
        <w:trPr>
          <w:trHeight w:val="198"/>
        </w:trPr>
        <w:tc>
          <w:tcPr>
            <w:tcW w:w="5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(Increase)/Decrease in ProKidney Corp. accumulated deficit for</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impact of</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subsidiary equity-based compensation</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(Increase)/Decrease in ProKidney Corp. additional paid-in capital for</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Common Units in PK Holdings for Class A common stock</w:t>
            </w:r>
          </w:p>
        </w:tc>
        <w:tc>
          <w:tcPr>
            <w:tcW w:w="10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(5,312)</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(15,441)</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198"/>
        </w:trPr>
        <w:tc>
          <w:tcPr>
            <w:tcW w:w="5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(Increase)/Decrease in ProKidney Corp. additional paid-in capital for</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vesting of</w:t>
            </w:r>
          </w:p>
        </w:tc>
        <w:tc>
          <w:tcPr>
            <w:tcW w:w="10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(4,795)</w:t>
            </w:r>
          </w:p>
        </w:tc>
        <w:tc>
          <w:tcPr>
            <w:tcW w:w="0" w:type="dxa"/>
            <w:vAlign w:val="bottom"/>
          </w:tcPr>
          <w:p>
            <w:pPr>
              <w:spacing w:after="0"/>
              <w:rPr>
                <w:sz w:val="1"/>
                <w:szCs w:val="1"/>
                <w:color w:val="auto"/>
              </w:rPr>
            </w:pPr>
          </w:p>
        </w:tc>
      </w:tr>
      <w:tr>
        <w:trPr>
          <w:trHeight w:val="221"/>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Common Units in PK Holdings</w:t>
            </w:r>
          </w:p>
        </w:tc>
        <w:tc>
          <w:tcPr>
            <w:tcW w:w="10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Change from net loss available to Class A common stockholders and</w:t>
            </w:r>
          </w:p>
        </w:tc>
        <w:tc>
          <w:tcPr>
            <w:tcW w:w="10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w:t>
            </w:r>
          </w:p>
        </w:tc>
        <w:tc>
          <w:tcPr>
            <w:tcW w:w="1020" w:type="dxa"/>
            <w:vAlign w:val="bottom"/>
            <w:vMerge w:val="restart"/>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(70,871)</w:t>
            </w:r>
          </w:p>
        </w:tc>
        <w:tc>
          <w:tcPr>
            <w:tcW w:w="4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(56,978)</w:t>
            </w:r>
          </w:p>
        </w:tc>
        <w:tc>
          <w:tcPr>
            <w:tcW w:w="560" w:type="dxa"/>
            <w:vAlign w:val="bottom"/>
            <w:gridSpan w:val="2"/>
            <w:vMerge w:val="restart"/>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(42,758)</w:t>
            </w:r>
          </w:p>
        </w:tc>
        <w:tc>
          <w:tcPr>
            <w:tcW w:w="0" w:type="dxa"/>
            <w:vAlign w:val="bottom"/>
          </w:tcPr>
          <w:p>
            <w:pPr>
              <w:spacing w:after="0"/>
              <w:rPr>
                <w:sz w:val="1"/>
                <w:szCs w:val="1"/>
                <w:color w:val="auto"/>
              </w:rPr>
            </w:pPr>
          </w:p>
        </w:tc>
      </w:tr>
      <w:tr>
        <w:trPr>
          <w:trHeight w:val="214"/>
        </w:trPr>
        <w:tc>
          <w:tcPr>
            <w:tcW w:w="512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in ownership interest in PK Holdings</w:t>
            </w:r>
          </w:p>
        </w:tc>
        <w:tc>
          <w:tcPr>
            <w:tcW w:w="1020" w:type="dxa"/>
            <w:vAlign w:val="bottom"/>
            <w:vMerge w:val="continue"/>
            <w:shd w:val="clear" w:color="auto" w:fill="CFF0FC"/>
          </w:tcPr>
          <w:p>
            <w:pPr>
              <w:spacing w:after="0"/>
              <w:rPr>
                <w:sz w:val="18"/>
                <w:szCs w:val="18"/>
                <w:color w:val="auto"/>
              </w:rPr>
            </w:pPr>
          </w:p>
        </w:tc>
        <w:tc>
          <w:tcPr>
            <w:tcW w:w="740" w:type="dxa"/>
            <w:vAlign w:val="bottom"/>
            <w:gridSpan w:val="2"/>
            <w:vMerge w:val="continue"/>
            <w:shd w:val="clear" w:color="auto" w:fill="CFF0FC"/>
          </w:tcPr>
          <w:p>
            <w:pPr>
              <w:spacing w:after="0"/>
              <w:rPr>
                <w:sz w:val="18"/>
                <w:szCs w:val="18"/>
                <w:color w:val="auto"/>
              </w:rPr>
            </w:pPr>
          </w:p>
        </w:tc>
        <w:tc>
          <w:tcPr>
            <w:tcW w:w="460" w:type="dxa"/>
            <w:vAlign w:val="bottom"/>
            <w:gridSpan w:val="2"/>
            <w:vMerge w:val="continue"/>
            <w:shd w:val="clear" w:color="auto" w:fill="CFF0FC"/>
          </w:tcPr>
          <w:p>
            <w:pPr>
              <w:spacing w:after="0"/>
              <w:rPr>
                <w:sz w:val="18"/>
                <w:szCs w:val="18"/>
                <w:color w:val="auto"/>
              </w:rPr>
            </w:pPr>
          </w:p>
        </w:tc>
        <w:tc>
          <w:tcPr>
            <w:tcW w:w="1400" w:type="dxa"/>
            <w:vAlign w:val="bottom"/>
            <w:gridSpan w:val="2"/>
            <w:vMerge w:val="continue"/>
            <w:shd w:val="clear" w:color="auto" w:fill="CFF0FC"/>
          </w:tcPr>
          <w:p>
            <w:pPr>
              <w:spacing w:after="0"/>
              <w:rPr>
                <w:sz w:val="18"/>
                <w:szCs w:val="18"/>
                <w:color w:val="auto"/>
              </w:rPr>
            </w:pPr>
          </w:p>
        </w:tc>
        <w:tc>
          <w:tcPr>
            <w:tcW w:w="560" w:type="dxa"/>
            <w:vAlign w:val="bottom"/>
            <w:gridSpan w:val="2"/>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-24765</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0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tab/>
        <w:t>Shareholders’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Offerings</w:t>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June 2024, the Company sold 46,886,452 shares of its Class A common stock in an underwritten public offering at a price of $2.42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in June 2024, the Company sold 11,030,574 shares of its Class A common stock to certain investment entities at price of $2.42 per share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 registered direct offering pursuant to share purchase agreements. The net proceeds to the Company from the offerings were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$136,618,000, after deducting the underwriting discounts and commissions and offering expenses payable by the Company. The shares were offered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pursuant to the Company’s shelf registration statement on Form S-3.</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 Market Sale Agreement</w:t>
      </w:r>
    </w:p>
    <w:p>
      <w:pPr>
        <w:spacing w:after="0" w:line="126" w:lineRule="exact"/>
        <w:rPr>
          <w:sz w:val="20"/>
          <w:szCs w:val="20"/>
          <w:color w:val="auto"/>
        </w:rPr>
      </w:pPr>
    </w:p>
    <w:p>
      <w:pPr>
        <w:ind w:right="220" w:firstLine="524"/>
        <w:spacing w:after="0" w:line="237" w:lineRule="auto"/>
        <w:rPr>
          <w:sz w:val="20"/>
          <w:szCs w:val="20"/>
          <w:color w:val="auto"/>
        </w:rPr>
      </w:pPr>
      <w:r>
        <w:rPr>
          <w:rFonts w:ascii="Times New Roman" w:cs="Times New Roman" w:eastAsia="Times New Roman" w:hAnsi="Times New Roman"/>
          <w:sz w:val="18"/>
          <w:szCs w:val="18"/>
          <w:color w:val="auto"/>
        </w:rPr>
        <w:t>In January 2024,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2024 Sales Agreement”) with Jefferies LLC (“Jefferies”) as the sales agent, pursuant to which the Company may offer and sell, from time to time, through Jefferies, shares of its Class A common stock having an aggregate offering price of up to $100,000,000 by any method deemed to be an “at the market offering” as defined in Rule 415(a)(4) under the Securities Act. The shares are offered and sold pursuant to the Company’s shelf registration statement on Form S-3.</w:t>
      </w:r>
    </w:p>
    <w:p>
      <w:pPr>
        <w:spacing w:after="0" w:line="93" w:lineRule="exact"/>
        <w:rPr>
          <w:sz w:val="20"/>
          <w:szCs w:val="20"/>
          <w:color w:val="auto"/>
        </w:rPr>
      </w:pPr>
    </w:p>
    <w:p>
      <w:pPr>
        <w:ind w:right="220" w:firstLine="5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sold 4,170,791 shares of its Class A common stock under the 2024 Sales Agreement for net proceeds of $7,707,000. The Company did not sell any shares under the 2024 Sales Agreement during the year ended December 31, 2025.</w:t>
      </w:r>
    </w:p>
    <w:p>
      <w:pPr>
        <w:spacing w:after="0" w:line="61" w:lineRule="exact"/>
        <w:rPr>
          <w:sz w:val="20"/>
          <w:szCs w:val="20"/>
          <w:color w:val="auto"/>
        </w:rPr>
      </w:pPr>
    </w:p>
    <w:p>
      <w:pPr>
        <w:jc w:val="both"/>
        <w:ind w:firstLine="524"/>
        <w:spacing w:after="0" w:line="234" w:lineRule="auto"/>
        <w:rPr>
          <w:sz w:val="20"/>
          <w:szCs w:val="20"/>
          <w:color w:val="auto"/>
        </w:rPr>
      </w:pPr>
      <w:r>
        <w:rPr>
          <w:rFonts w:ascii="Times New Roman" w:cs="Times New Roman" w:eastAsia="Times New Roman" w:hAnsi="Times New Roman"/>
          <w:sz w:val="18"/>
          <w:szCs w:val="18"/>
          <w:color w:val="auto"/>
        </w:rPr>
        <w:t>On July 14, 2025, the Company terminated the 2024 Sales Agreement with Jefferies and entered into an new Open Market Sales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“2025 Sales Agreement”) with Jefferies, pursuant to which the Company may offer and sell, from time to time, shares (the “Shares”) of its Class A common stock having an aggregate offering price of up to $200,000,000 through Jefferies, acting as agent.</w:t>
      </w:r>
    </w:p>
    <w:p>
      <w:pPr>
        <w:spacing w:after="0" w:line="90" w:lineRule="exact"/>
        <w:rPr>
          <w:sz w:val="20"/>
          <w:szCs w:val="20"/>
          <w:color w:val="auto"/>
        </w:rPr>
      </w:pPr>
    </w:p>
    <w:p>
      <w:pPr>
        <w:ind w:right="20" w:firstLine="524"/>
        <w:spacing w:after="0" w:line="255" w:lineRule="auto"/>
        <w:rPr>
          <w:sz w:val="20"/>
          <w:szCs w:val="20"/>
          <w:color w:val="auto"/>
        </w:rPr>
      </w:pPr>
      <w:r>
        <w:rPr>
          <w:rFonts w:ascii="Times New Roman" w:cs="Times New Roman" w:eastAsia="Times New Roman" w:hAnsi="Times New Roman"/>
          <w:sz w:val="18"/>
          <w:szCs w:val="18"/>
          <w:color w:val="auto"/>
        </w:rPr>
        <w:t>Pursuant to the 2025 Sales Agreement, sales of the Shares may be made by any method permitted that is deemed to be an “at the market” offering as defined in Rule 415(a)(4) under the Securities Act, in ordinary brokers’ transactions, to or through a market maker, on or through The Nasdaq Capital Market or any other market venue where the securities may be traded, in the over-the-counter market, in privately negotiated transactions or through a combination of any such methods of sale. Under the 2025 Sales Agreement, Jefferies will be entitled to compensation of up to 3.0% of the gross offering proceeds of all Shares sold through it pursuant to the 2025 Sales Agreement. The Company will also reimburse Jefferies for certain specified expenses in connection with entering into the 2025 Sales Agreement. The Company has no obligation to sell any of the Shares under the 2025 Sales Agreement and may at any time and from time to time suspend the offering of the Shares under the 2025 Sales Agreement.</w:t>
      </w:r>
    </w:p>
    <w:p>
      <w:pPr>
        <w:spacing w:after="0" w:line="81" w:lineRule="exact"/>
        <w:rPr>
          <w:sz w:val="20"/>
          <w:szCs w:val="20"/>
          <w:color w:val="auto"/>
        </w:rPr>
      </w:pPr>
    </w:p>
    <w:p>
      <w:pPr>
        <w:ind w:right="140" w:firstLine="59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sold 7,452,342 shares of its Class A common stock under the 2025 Sales Agreement for net proceeds of $24,247,000.</w:t>
      </w: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i w:val="1"/>
          <w:iCs w:val="1"/>
          <w:color w:val="auto"/>
        </w:rPr>
        <w:t>Rights of Class A Common Stock</w:t>
      </w:r>
    </w:p>
    <w:p>
      <w:pPr>
        <w:spacing w:after="0" w:line="119" w:lineRule="exact"/>
        <w:rPr>
          <w:sz w:val="20"/>
          <w:szCs w:val="20"/>
          <w:color w:val="auto"/>
        </w:rPr>
      </w:pPr>
    </w:p>
    <w:p>
      <w:pPr>
        <w:ind w:right="200" w:firstLine="524"/>
        <w:spacing w:after="0" w:line="282" w:lineRule="auto"/>
        <w:rPr>
          <w:sz w:val="20"/>
          <w:szCs w:val="20"/>
          <w:color w:val="auto"/>
        </w:rPr>
      </w:pPr>
      <w:r>
        <w:rPr>
          <w:rFonts w:ascii="Times New Roman" w:cs="Times New Roman" w:eastAsia="Times New Roman" w:hAnsi="Times New Roman"/>
          <w:sz w:val="18"/>
          <w:szCs w:val="18"/>
          <w:color w:val="auto"/>
        </w:rPr>
        <w:t>Each holder of Class A common stock is entitled to one vote for each share of Class A common stock held of record by such holder on all matters on which shareholders generally are entitled to vote.</w:t>
      </w:r>
    </w:p>
    <w:p>
      <w:pPr>
        <w:spacing w:after="0" w:line="54"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preference shares, the holders of Class A common stock are entitled to receive ratably such dividends, if any, as may be declared from time to time by the Board out of funds legally available therefor. We do not currently pay nor do we expect to pay any dividends to stockholders.</w:t>
      </w:r>
    </w:p>
    <w:p>
      <w:pPr>
        <w:spacing w:after="0" w:line="68" w:lineRule="exact"/>
        <w:rPr>
          <w:sz w:val="20"/>
          <w:szCs w:val="20"/>
          <w:color w:val="auto"/>
        </w:rPr>
      </w:pPr>
    </w:p>
    <w:p>
      <w:pPr>
        <w:jc w:val="both"/>
        <w:ind w:right="260" w:firstLine="524"/>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Company’s Class A common stock are entitled to share ratably in all assets remaining after payment of our debts and other liabilities, subject to prior distribution rights of preference shares or any class or series of shares having a preference over the Company’s Class A common stock, then outstanding, if 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Class B Common Stock</w:t>
      </w:r>
    </w:p>
    <w:p>
      <w:pPr>
        <w:spacing w:after="0" w:line="119" w:lineRule="exact"/>
        <w:rPr>
          <w:sz w:val="20"/>
          <w:szCs w:val="20"/>
          <w:color w:val="auto"/>
        </w:rPr>
      </w:pPr>
    </w:p>
    <w:p>
      <w:pPr>
        <w:ind w:right="100" w:firstLine="524"/>
        <w:spacing w:after="0" w:line="266" w:lineRule="auto"/>
        <w:rPr>
          <w:sz w:val="20"/>
          <w:szCs w:val="20"/>
          <w:color w:val="auto"/>
        </w:rPr>
      </w:pPr>
      <w:r>
        <w:rPr>
          <w:rFonts w:ascii="Times New Roman" w:cs="Times New Roman" w:eastAsia="Times New Roman" w:hAnsi="Times New Roman"/>
          <w:sz w:val="18"/>
          <w:szCs w:val="18"/>
          <w:color w:val="auto"/>
        </w:rPr>
        <w:t>Each holder of the Company’s Class B common stock is entitled to one vote for each share of Class B common stock held of record by such holder on all matters on which shareholders generally are entitled to vote. The holders of the Company’s Class B common stock will not participate in any dividends declared by our board of directors.</w:t>
      </w:r>
    </w:p>
    <w:p>
      <w:pPr>
        <w:spacing w:after="0" w:line="68" w:lineRule="exact"/>
        <w:rPr>
          <w:sz w:val="20"/>
          <w:szCs w:val="20"/>
          <w:color w:val="auto"/>
        </w:rPr>
      </w:pPr>
    </w:p>
    <w:p>
      <w:pPr>
        <w:jc w:val="both"/>
        <w:ind w:right="320" w:firstLine="524"/>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Company’s Class B common stock are entitled to a ratable amount equal to the capital paid up on such Class B common stock of all assets remaining after payment of our debts and other liabilities, subject to prior distribution rights of preference shares or any class or series of shares having a preference over the Company’s Class B common stock, then outstanding, if any. The Company’s Class B common stock shall not carry any other right to participate in our profits or assets.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Rights</w:t>
      </w:r>
    </w:p>
    <w:p>
      <w:pPr>
        <w:spacing w:after="0" w:line="119" w:lineRule="exact"/>
        <w:rPr>
          <w:sz w:val="20"/>
          <w:szCs w:val="20"/>
          <w:color w:val="auto"/>
        </w:rPr>
      </w:pPr>
    </w:p>
    <w:p>
      <w:pPr>
        <w:ind w:right="20" w:firstLine="524"/>
        <w:spacing w:after="0" w:line="258" w:lineRule="auto"/>
        <w:rPr>
          <w:sz w:val="20"/>
          <w:szCs w:val="20"/>
          <w:color w:val="auto"/>
        </w:rPr>
      </w:pPr>
      <w:r>
        <w:rPr>
          <w:rFonts w:ascii="Times New Roman" w:cs="Times New Roman" w:eastAsia="Times New Roman" w:hAnsi="Times New Roman"/>
          <w:sz w:val="18"/>
          <w:szCs w:val="18"/>
          <w:color w:val="auto"/>
        </w:rPr>
        <w:t>At the closing of the Business Combination, certain shareholders were issued an aggregate of 17,500,000 Earnout Rights. The Earnout Rights vest in three equal tranches if, during the five-year period after Closing, the VWAP of a share of Class A common stock reaches $15.00 per share, $20.00 per share and $25.00 per share. Likewise, the Earnout Rights will vest upon a change of control with a per share price exceeding those same VWAP thresholds within a five-year period immediately following the Closing. Upon vesting, the Earnout Rights will automatically convert into Post-Combination ProKidney Common Units and Class B common stock.</w:t>
      </w:r>
    </w:p>
    <w:p>
      <w:pPr>
        <w:spacing w:after="0" w:line="75" w:lineRule="exact"/>
        <w:rPr>
          <w:sz w:val="20"/>
          <w:szCs w:val="20"/>
          <w:color w:val="auto"/>
        </w:rPr>
      </w:pPr>
    </w:p>
    <w:p>
      <w:pPr>
        <w:ind w:right="160" w:firstLine="524"/>
        <w:spacing w:after="0" w:line="266" w:lineRule="auto"/>
        <w:rPr>
          <w:sz w:val="20"/>
          <w:szCs w:val="20"/>
          <w:color w:val="auto"/>
        </w:rPr>
      </w:pPr>
      <w:r>
        <w:rPr>
          <w:rFonts w:ascii="Times New Roman" w:cs="Times New Roman" w:eastAsia="Times New Roman" w:hAnsi="Times New Roman"/>
          <w:sz w:val="18"/>
          <w:szCs w:val="18"/>
          <w:color w:val="auto"/>
        </w:rPr>
        <w:t>The issuance of the Earnout Rights was accounted for as an equity transaction. Since the Earnout Rights were issued to Closing ProKidney Unitholders (i.e., the accounting acquirer in the business combination), the accounting for the Earnout Rights arrangement does not fall under Accounting Standards Codification (“ASC”) Topic 805, Business Combinations nor Topic 718, Stock Compensation.</w:t>
      </w:r>
    </w:p>
    <w:p>
      <w:pPr>
        <w:spacing w:after="0" w:line="68" w:lineRule="exact"/>
        <w:rPr>
          <w:sz w:val="20"/>
          <w:szCs w:val="20"/>
          <w:color w:val="auto"/>
        </w:rPr>
      </w:pPr>
    </w:p>
    <w:p>
      <w:pPr>
        <w:ind w:right="240" w:firstLine="524"/>
        <w:spacing w:after="0" w:line="258" w:lineRule="auto"/>
        <w:rPr>
          <w:sz w:val="20"/>
          <w:szCs w:val="20"/>
          <w:color w:val="auto"/>
        </w:rPr>
      </w:pPr>
      <w:r>
        <w:rPr>
          <w:rFonts w:ascii="Times New Roman" w:cs="Times New Roman" w:eastAsia="Times New Roman" w:hAnsi="Times New Roman"/>
          <w:sz w:val="18"/>
          <w:szCs w:val="18"/>
          <w:color w:val="auto"/>
        </w:rPr>
        <w:t>The accounting for the Earnout Rights was also evaluated under ASC Topic 480, Distinguishing Liabilities from Equity, to determine if the arrangement should be classified as a liability. Based on that analysis, it was determined that the Earnout Rights did not meet the criteria to be accounted for as a liability. Additionally, the Earnout Rights were evaluated under ASC Topic 815, Derivatives. As part of that analysis, it was determined that the Earnout Rights met the definition of a derivative; however, they meet the scope exception criteria as they were clearly and closely related to the entity’s own stock, and met the criteria for equity treatment.</w:t>
      </w:r>
    </w:p>
    <w:p>
      <w:pPr>
        <w:spacing w:after="0" w:line="28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tab/>
        <w:t>Net Loss per Share</w:t>
      </w:r>
    </w:p>
    <w:p>
      <w:pPr>
        <w:spacing w:after="0" w:line="121" w:lineRule="exact"/>
        <w:rPr>
          <w:sz w:val="20"/>
          <w:szCs w:val="20"/>
          <w:color w:val="auto"/>
        </w:rPr>
      </w:pPr>
    </w:p>
    <w:p>
      <w:pPr>
        <w:ind w:right="120" w:firstLine="524"/>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Class A ordinary shareholders by the weighted-average shares of Class A common stock outstanding without the consideration for potential dilutive securities. Diluted net loss per share represents basic net loss per share adjusted to include the effects of all potentially dilutive shares. Diluted net loss per share is the same as basic loss per share for all periods as the inclusion of potentially issuable shares would be antidilutive.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31" w:name="page132"/>
    <w:bookmarkEnd w:id="131"/>
    <w:p>
      <w:pPr>
        <w:ind w:right="320"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years ended December 31, 2025, 2024 and 2023 (in thousands, except share and per share amounts):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(151,612)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(163,335)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0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(82,626)</w:t>
            </w:r>
          </w:p>
        </w:tc>
        <w:tc>
          <w:tcPr>
            <w:tcW w:w="2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(102,149)</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(99,979)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5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loss available to Class A common stockholders of ProKidney Corp.,</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(68,986)</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(61,186)</w:t>
            </w:r>
          </w:p>
        </w:tc>
        <w:tc>
          <w:tcPr>
            <w:tcW w:w="26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(35,468)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Class A common stock of ProKidney Corp.</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133,942,736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97,916,193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61,714,225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Class A common stock</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shd w:val="clear" w:color="auto" w:fill="CFF0FC"/>
          </w:tcPr>
          <w:p>
            <w:pPr>
              <w:spacing w:after="0"/>
              <w:rPr>
                <w:sz w:val="18"/>
                <w:szCs w:val="18"/>
                <w:color w:val="auto"/>
              </w:rPr>
            </w:pP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CFF0FC"/>
            </w:tcBorders>
            <w:shd w:val="clear" w:color="auto" w:fill="CFF0FC"/>
          </w:tcPr>
          <w:p>
            <w:pPr>
              <w:spacing w:after="0"/>
              <w:rPr>
                <w:sz w:val="18"/>
                <w:szCs w:val="18"/>
                <w:color w:val="auto"/>
              </w:rPr>
            </w:pP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Class A common stock of ProKidney Corp.,</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(0.52)</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(0.62)</w:t>
            </w:r>
          </w:p>
        </w:tc>
        <w:tc>
          <w:tcPr>
            <w:tcW w:w="26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08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Outstanding anti-dilutive securities not included in the diluted net loss per share calculation include the following:</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Antidilutive securities</w:t>
            </w:r>
          </w:p>
        </w:tc>
        <w:tc>
          <w:tcPr>
            <w:tcW w:w="3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ProKidney Corp. Class B common stock</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159,262,779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163,693,707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168,297,916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Unvested Restricted Stock Rights</w:t>
            </w:r>
          </w:p>
        </w:tc>
        <w:tc>
          <w:tcPr>
            <w:tcW w:w="3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733,252</w:t>
            </w: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1,755,686</w:t>
            </w:r>
          </w:p>
        </w:tc>
        <w:tc>
          <w:tcPr>
            <w:tcW w:w="2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3,565,753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Earnout Rights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 options granted under the 2022 Equity Incentive Plan</w:t>
            </w:r>
          </w:p>
        </w:tc>
        <w:tc>
          <w:tcPr>
            <w:tcW w:w="3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28,736,764</w:t>
            </w: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21,449,920</w:t>
            </w:r>
          </w:p>
        </w:tc>
        <w:tc>
          <w:tcPr>
            <w:tcW w:w="2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14,680,109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-2630805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-2630805</wp:posOffset>
            </wp:positionV>
            <wp:extent cx="603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-2630805</wp:posOffset>
            </wp:positionV>
            <wp:extent cx="596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-1525270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-1525270</wp:posOffset>
            </wp:positionV>
            <wp:extent cx="603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-1525270</wp:posOffset>
            </wp:positionV>
            <wp:extent cx="596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 Based Compensation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Incentive Equity Plan</w:t>
      </w:r>
    </w:p>
    <w:p>
      <w:pPr>
        <w:spacing w:after="0" w:line="119" w:lineRule="exact"/>
        <w:rPr>
          <w:sz w:val="20"/>
          <w:szCs w:val="20"/>
          <w:color w:val="auto"/>
        </w:rPr>
      </w:pPr>
    </w:p>
    <w:p>
      <w:pPr>
        <w:ind w:firstLine="524"/>
        <w:spacing w:after="0" w:line="256" w:lineRule="auto"/>
        <w:rPr>
          <w:sz w:val="20"/>
          <w:szCs w:val="20"/>
          <w:color w:val="auto"/>
        </w:rPr>
      </w:pPr>
      <w:r>
        <w:rPr>
          <w:rFonts w:ascii="Times New Roman" w:cs="Times New Roman" w:eastAsia="Times New Roman" w:hAnsi="Times New Roman"/>
          <w:sz w:val="18"/>
          <w:szCs w:val="18"/>
          <w:color w:val="auto"/>
        </w:rPr>
        <w:t>On July 11, 2022, the shareholders of the Company approved the ProKidney Corp. 2022 Incentive Equity Plan (the “2022 Plan”) which provides for the issuance of equity based awards to the Company’s employees, non-employee directors, individual consultants, advisors and other service providers. The 2022 Plan, as amended on July 1, 2025, provides for the issuance of equity awards in the form of incentive stock options, which are intended to satisfy the requirements of Section 422 of the Internal Revenue Code of 1986, as amended, or nonqualified stock options, which are not intended to meet those requirements, stock appreciation rights, restricted stock, restricted stock units, performance awards or other cash or stock-based awards as determined appropriate by the plan administrator. In settlement of its obligations under this plan, the Company will issue new Class A common stock.</w:t>
      </w:r>
    </w:p>
    <w:p>
      <w:pPr>
        <w:spacing w:after="0" w:line="79" w:lineRule="exact"/>
        <w:rPr>
          <w:sz w:val="20"/>
          <w:szCs w:val="20"/>
          <w:color w:val="auto"/>
        </w:rPr>
      </w:pPr>
    </w:p>
    <w:p>
      <w:pPr>
        <w:ind w:firstLine="524"/>
        <w:spacing w:after="0" w:line="266" w:lineRule="auto"/>
        <w:rPr>
          <w:sz w:val="20"/>
          <w:szCs w:val="20"/>
          <w:color w:val="auto"/>
        </w:rPr>
      </w:pPr>
      <w:r>
        <w:rPr>
          <w:rFonts w:ascii="Times New Roman" w:cs="Times New Roman" w:eastAsia="Times New Roman" w:hAnsi="Times New Roman"/>
          <w:sz w:val="18"/>
          <w:szCs w:val="18"/>
          <w:color w:val="auto"/>
        </w:rPr>
        <w:t>The Company has issued incentive and non-qualified stock option awards under the 2022 Plan to certain employees and non-employee directors of the Company. Given that the Company has established a full valuation allowance against its deferred tax assets, the Company has recognized no tax benefit related to these awards.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Stock Option Awards</w:t>
      </w:r>
    </w:p>
    <w:p>
      <w:pPr>
        <w:spacing w:after="0" w:line="121" w:lineRule="exact"/>
        <w:rPr>
          <w:sz w:val="20"/>
          <w:szCs w:val="20"/>
          <w:color w:val="auto"/>
        </w:rPr>
      </w:pPr>
    </w:p>
    <w:p>
      <w:pPr>
        <w:ind w:right="220" w:firstLine="524"/>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 pricing model to calculate the fair value of time and performance vested stock options granted. The time-vested awards generally vest ratably over a three or four-year period. The performance-vested awards vest in accordance with their performance conditions. The Company’s option awards expire after a term of ten years from the date of grant. The fair value of stock options granted was estimated using the following assumptions during the years ended December 31, 2025 and 2024: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2" w:name="page133"/>
    <w:bookmarkEnd w:id="132"/>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460" w:type="dxa"/>
            <w:vAlign w:val="bottom"/>
          </w:tcPr>
          <w:p>
            <w:pPr>
              <w:spacing w:after="0"/>
              <w:rPr>
                <w:sz w:val="18"/>
                <w:szCs w:val="18"/>
                <w:color w:val="auto"/>
              </w:rPr>
            </w:pPr>
          </w:p>
        </w:tc>
      </w:tr>
      <w:tr>
        <w:trPr>
          <w:trHeight w:val="238"/>
        </w:trPr>
        <w:tc>
          <w:tcPr>
            <w:tcW w:w="4700" w:type="dxa"/>
            <w:vAlign w:val="bottom"/>
          </w:tcPr>
          <w:p>
            <w:pPr>
              <w:spacing w:after="0"/>
              <w:rPr>
                <w:sz w:val="20"/>
                <w:szCs w:val="20"/>
                <w:color w:val="auto"/>
              </w:rPr>
            </w:pPr>
          </w:p>
        </w:tc>
        <w:tc>
          <w:tcPr>
            <w:tcW w:w="2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82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99.0% - 132.5%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- 85.5%</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- 4.6%</w:t>
            </w: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3040" w:type="dxa"/>
            <w:vAlign w:val="bottom"/>
            <w:gridSpan w:val="3"/>
          </w:tcPr>
          <w:p>
            <w:pPr>
              <w:jc w:val="right"/>
              <w:ind w:right="1130"/>
              <w:spacing w:after="0"/>
              <w:rPr>
                <w:sz w:val="20"/>
                <w:szCs w:val="20"/>
                <w:color w:val="auto"/>
              </w:rPr>
            </w:pPr>
            <w:r>
              <w:rPr>
                <w:rFonts w:ascii="Times New Roman" w:cs="Times New Roman" w:eastAsia="Times New Roman" w:hAnsi="Times New Roman"/>
                <w:sz w:val="18"/>
                <w:szCs w:val="18"/>
                <w:color w:val="auto"/>
              </w:rPr>
              <w:t>0.0%</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 Vested Awards</w:t>
      </w:r>
    </w:p>
    <w:p>
      <w:pPr>
        <w:spacing w:after="0" w:line="121" w:lineRule="exact"/>
        <w:rPr>
          <w:sz w:val="20"/>
          <w:szCs w:val="20"/>
          <w:color w:val="auto"/>
        </w:rPr>
      </w:pPr>
    </w:p>
    <w:p>
      <w:pPr>
        <w:jc w:val="both"/>
        <w:ind w:right="340"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Company’s time-vested stock option awards granted under the 2022 Plan for the year ended December 31, 2025:</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Time-vested options outstanding at January 1, 2025</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19,778,670</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13,564,334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(797,326)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(5,090,164)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Time-vested options outstanding at December 31, 2025</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27,455,514</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Time-vested options exercisable at December 31, 2025</w:t>
            </w:r>
          </w:p>
        </w:tc>
        <w:tc>
          <w:tcPr>
            <w:tcW w:w="17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11,944,980</w:t>
            </w:r>
          </w:p>
        </w:tc>
        <w:tc>
          <w:tcPr>
            <w:tcW w:w="24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 years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Time-vested options vested and expected to vest at December 31, 2025</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27,455,514</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8.1 years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-573405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-556895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-573405</wp:posOffset>
            </wp:positionV>
            <wp:extent cx="596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-556895</wp:posOffset>
            </wp:positionV>
            <wp:extent cx="596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80" w:firstLine="524"/>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total unrecognized stock-based compensation expense of approximately $26,889,000 related to the time-vested grants under the 2022 Plan, which is expected to be recognized on a straight-line basis over a weighted average period of 2.5 years. The weighted average grant date fair value for the time-vested option grants during the years ended December 31, 2025, 2024 and 2023 were $1.03, $1.36, and $5.14, respectively.</w:t>
      </w:r>
    </w:p>
    <w:p>
      <w:pPr>
        <w:spacing w:after="0" w:line="72" w:lineRule="exact"/>
        <w:rPr>
          <w:sz w:val="20"/>
          <w:szCs w:val="20"/>
          <w:color w:val="auto"/>
        </w:rPr>
      </w:pPr>
    </w:p>
    <w:p>
      <w:pPr>
        <w:ind w:right="80" w:firstLine="5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the in-the-money time-vested awards outstanding and exercisable as of December 31, 2025 was $15,792,000 and $3,857,000, respectively. The total intrinsic value of time-vested awards exercised during the years ended December 31, 2025 and 2024 was $960,000 and $37,000, respectively. There were no time-vested awards exercised in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Performance-Vested Awards</w:t>
      </w:r>
    </w:p>
    <w:p>
      <w:pPr>
        <w:spacing w:after="0" w:line="121" w:lineRule="exact"/>
        <w:rPr>
          <w:sz w:val="20"/>
          <w:szCs w:val="20"/>
          <w:color w:val="auto"/>
        </w:rPr>
      </w:pPr>
    </w:p>
    <w:p>
      <w:pPr>
        <w:jc w:val="both"/>
        <w:ind w:right="240" w:firstLine="524"/>
        <w:spacing w:after="0" w:line="266" w:lineRule="auto"/>
        <w:rPr>
          <w:sz w:val="20"/>
          <w:szCs w:val="20"/>
          <w:color w:val="auto"/>
        </w:rPr>
      </w:pPr>
      <w:r>
        <w:rPr>
          <w:rFonts w:ascii="Times New Roman" w:cs="Times New Roman" w:eastAsia="Times New Roman" w:hAnsi="Times New Roman"/>
          <w:sz w:val="18"/>
          <w:szCs w:val="18"/>
          <w:color w:val="auto"/>
        </w:rPr>
        <w:t>The Company has issued stock options to certain of its employees which vest based on the achievement of both operational performance metrics and service rendered over a specific time period. The following table summarizes the activity related to the Company’s performance-based stock option awards granted under the 2022 Plan for the year ended December 31, 2025:</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0"/>
        </w:trPr>
        <w:tc>
          <w:tcPr>
            <w:tcW w:w="2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Performance-based options outstanding at January 1, 2025</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1,671,250</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(112,500)</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(277,500)</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Performance-based options outstanding at December 31, 2025</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1,281,250</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Performance-based options exercisable at December 31, 2025</w:t>
            </w:r>
          </w:p>
        </w:tc>
        <w:tc>
          <w:tcPr>
            <w:tcW w:w="1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781,250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 years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Performance-based options vested and expected to vest at December 31, 2025</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1,281,250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 years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-730885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-730885</wp:posOffset>
            </wp:positionV>
            <wp:extent cx="596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51" w:lineRule="exact"/>
        <w:rPr>
          <w:sz w:val="20"/>
          <w:szCs w:val="20"/>
          <w:color w:val="auto"/>
        </w:rPr>
      </w:pPr>
    </w:p>
    <w:p>
      <w:pPr>
        <w:ind w:firstLine="524"/>
        <w:spacing w:after="0" w:line="257" w:lineRule="auto"/>
        <w:rPr>
          <w:sz w:val="20"/>
          <w:szCs w:val="20"/>
          <w:color w:val="auto"/>
        </w:rPr>
      </w:pPr>
      <w:r>
        <w:rPr>
          <w:rFonts w:ascii="Times New Roman" w:cs="Times New Roman" w:eastAsia="Times New Roman" w:hAnsi="Times New Roman"/>
          <w:sz w:val="18"/>
          <w:szCs w:val="18"/>
          <w:color w:val="auto"/>
        </w:rPr>
        <w:t>As of December 31, 2025, the Company had no remaining unrecognized stock-based compensation expense related to the performance-based grants under the 2022 Plan. The weighted average grant date fair value for the performance-vested option grants during the years ended December 31, 2024 and 2023 were $1.09 and $1.23, respectively. There were no performance-vested options granted during the year ended December 31, 2025.</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i w:val="1"/>
          <w:iCs w:val="1"/>
          <w:color w:val="auto"/>
        </w:rPr>
        <w:t>Market-Vested Awards</w:t>
      </w:r>
    </w:p>
    <w:p>
      <w:pPr>
        <w:spacing w:after="0" w:line="121" w:lineRule="exact"/>
        <w:rPr>
          <w:sz w:val="20"/>
          <w:szCs w:val="20"/>
          <w:color w:val="auto"/>
        </w:rPr>
      </w:pPr>
    </w:p>
    <w:p>
      <w:pPr>
        <w:ind w:right="220" w:firstLine="5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a reversal of approximately $2,172,000 of total compensation cost related to market-vested awards that were forfeited prior to their vesting conditions being met. No market-vested awards were granted during the years ended December 31, 2025, 2024 and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Profits Interests</w:t>
      </w:r>
    </w:p>
    <w:p>
      <w:pPr>
        <w:spacing w:after="0" w:line="121" w:lineRule="exact"/>
        <w:rPr>
          <w:sz w:val="20"/>
          <w:szCs w:val="20"/>
          <w:color w:val="auto"/>
        </w:rPr>
      </w:pPr>
    </w:p>
    <w:p>
      <w:pPr>
        <w:ind w:right="60" w:firstLine="524"/>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the Company had issued Profits Interests to employees, directors and other service providers of the Company. These Profits Interests awards would vest at a rate of 25% on the latter of the first anniversary of employment and the first anniversary of the Acquisition Date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w:t>
      </w:r>
    </w:p>
    <w:p>
      <w:pPr>
        <w:spacing w:after="0" w:line="75" w:lineRule="exact"/>
        <w:rPr>
          <w:sz w:val="20"/>
          <w:szCs w:val="20"/>
          <w:color w:val="auto"/>
        </w:rPr>
      </w:pPr>
    </w:p>
    <w:p>
      <w:pPr>
        <w:jc w:val="both"/>
        <w:ind w:right="220" w:firstLine="524"/>
        <w:spacing w:after="0" w:line="266" w:lineRule="auto"/>
        <w:rPr>
          <w:sz w:val="20"/>
          <w:szCs w:val="20"/>
          <w:color w:val="auto"/>
        </w:rPr>
      </w:pPr>
      <w:r>
        <w:rPr>
          <w:rFonts w:ascii="Times New Roman" w:cs="Times New Roman" w:eastAsia="Times New Roman" w:hAnsi="Times New Roman"/>
          <w:sz w:val="18"/>
          <w:szCs w:val="18"/>
          <w:color w:val="auto"/>
        </w:rPr>
        <w:t>Upon consummation of the Business Combination, the vested and unvested Profits Interests were recapitalized into Post-Combination ProKidney Common Units or Restricted Common Units of the Company, respectively. Upon recapitalization, the Restricted Common Units maintained the vesting schedules associated with the original Profits Interest awards.</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Profits Interest awards for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7680" w:type="dxa"/>
            <w:vAlign w:val="bottom"/>
          </w:tcPr>
          <w:p>
            <w:pPr>
              <w:spacing w:after="0"/>
              <w:rPr>
                <w:sz w:val="20"/>
                <w:szCs w:val="20"/>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awards outstanding at January 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1,755,686</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7.37</w:t>
            </w: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(959,764)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w:t>
            </w: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(62,670)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7.37</w:t>
            </w:r>
          </w:p>
        </w:tc>
      </w:tr>
      <w:tr>
        <w:trPr>
          <w:trHeight w:val="20"/>
        </w:trPr>
        <w:tc>
          <w:tcPr>
            <w:tcW w:w="768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Unvested awards outstanding at December 31,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733,252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firstLine="524"/>
        <w:spacing w:after="0" w:line="266" w:lineRule="auto"/>
        <w:rPr>
          <w:sz w:val="20"/>
          <w:szCs w:val="20"/>
          <w:color w:val="auto"/>
        </w:rPr>
      </w:pPr>
      <w:r>
        <w:rPr>
          <w:rFonts w:ascii="Times New Roman" w:cs="Times New Roman" w:eastAsia="Times New Roman" w:hAnsi="Times New Roman"/>
          <w:sz w:val="18"/>
          <w:szCs w:val="18"/>
          <w:color w:val="auto"/>
        </w:rPr>
        <w:t>As of December 31, 2025, the unrecognized compensation expense related to these awards was $276,000. The current weighted average remaining period over which the unrecognized compensation expense is expected to be recognized is 0.1 years. There were no Profits Interests granted during the years ended December 31, 2025, 2024 or 2023.</w:t>
      </w:r>
    </w:p>
    <w:p>
      <w:pPr>
        <w:spacing w:after="0" w:line="68" w:lineRule="exact"/>
        <w:rPr>
          <w:sz w:val="20"/>
          <w:szCs w:val="20"/>
          <w:color w:val="auto"/>
        </w:rPr>
      </w:pPr>
    </w:p>
    <w:p>
      <w:pPr>
        <w:ind w:right="20" w:firstLine="524"/>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the unvested profits interests outstanding at December 31, 2025 was $1,642,000. The aggregate fair value of profits interests vested during the years ended December 31, 2025, 2024 and 2023 was $1,582,000, $2,197,000 and $20,749,000,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to Equity Based Compensation Awards</w:t>
      </w:r>
    </w:p>
    <w:p>
      <w:pPr>
        <w:spacing w:after="0" w:line="121" w:lineRule="exact"/>
        <w:rPr>
          <w:sz w:val="20"/>
          <w:szCs w:val="20"/>
          <w:color w:val="auto"/>
        </w:rPr>
      </w:pPr>
    </w:p>
    <w:p>
      <w:pPr>
        <w:jc w:val="both"/>
        <w:ind w:right="440" w:firstLine="5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modified the vesting terms of outstanding time-based stock options issued to certain personnel upon their separation. This amendment constituted a modification of the awards under the provisions of ASC Topic 718 and resulted in the recognition of an additional $3,011,000 of compensation expense during the year ended December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Expense</w:t>
      </w:r>
    </w:p>
    <w:p>
      <w:pPr>
        <w:spacing w:after="0" w:line="119" w:lineRule="exact"/>
        <w:rPr>
          <w:sz w:val="20"/>
          <w:szCs w:val="20"/>
          <w:color w:val="auto"/>
        </w:rPr>
      </w:pPr>
    </w:p>
    <w:p>
      <w:pPr>
        <w:ind w:right="40" w:firstLine="524"/>
        <w:spacing w:after="0" w:line="282" w:lineRule="auto"/>
        <w:rPr>
          <w:sz w:val="20"/>
          <w:szCs w:val="20"/>
          <w:color w:val="auto"/>
        </w:rPr>
      </w:pPr>
      <w:r>
        <w:rPr>
          <w:rFonts w:ascii="Times New Roman" w:cs="Times New Roman" w:eastAsia="Times New Roman" w:hAnsi="Times New Roman"/>
          <w:sz w:val="18"/>
          <w:szCs w:val="18"/>
          <w:color w:val="auto"/>
        </w:rPr>
        <w:t>Compensation expense related to share-based awards is included in research and development and general and administrative expense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6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7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12,504</w:t>
            </w:r>
          </w:p>
        </w:tc>
        <w:tc>
          <w:tcPr>
            <w:tcW w:w="32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15,864</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100" w:type="dxa"/>
            <w:vAlign w:val="bottom"/>
          </w:tcPr>
          <w:p>
            <w:pPr>
              <w:spacing w:after="0"/>
              <w:rPr>
                <w:sz w:val="18"/>
                <w:szCs w:val="18"/>
                <w:color w:val="auto"/>
              </w:rPr>
            </w:pPr>
          </w:p>
        </w:tc>
      </w:tr>
      <w:tr>
        <w:trPr>
          <w:trHeight w:val="229"/>
        </w:trPr>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1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29,372</w:t>
            </w:r>
          </w:p>
        </w:tc>
        <w:tc>
          <w:tcPr>
            <w:tcW w:w="320" w:type="dxa"/>
            <w:vAlign w:val="bottom"/>
            <w:tcBorders>
              <w:right w:val="single" w:sz="8" w:color="CFF0FC"/>
            </w:tcBorders>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30,846</w:t>
            </w:r>
          </w:p>
        </w:tc>
        <w:tc>
          <w:tcPr>
            <w:tcW w:w="100" w:type="dxa"/>
            <w:vAlign w:val="bottom"/>
            <w:shd w:val="clear" w:color="auto" w:fill="CFF0FC"/>
          </w:tcPr>
          <w:p>
            <w:pPr>
              <w:spacing w:after="0"/>
              <w:rPr>
                <w:sz w:val="19"/>
                <w:szCs w:val="19"/>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4260" w:type="dxa"/>
            <w:vAlign w:val="bottom"/>
          </w:tcPr>
          <w:p>
            <w:pPr>
              <w:spacing w:after="0"/>
              <w:rPr>
                <w:sz w:val="24"/>
                <w:szCs w:val="24"/>
                <w:color w:val="auto"/>
              </w:rPr>
            </w:pPr>
          </w:p>
        </w:tc>
        <w:tc>
          <w:tcPr>
            <w:tcW w:w="23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F-26</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-796290</wp:posOffset>
            </wp:positionV>
            <wp:extent cx="7747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-779145</wp:posOffset>
            </wp:positionV>
            <wp:extent cx="7747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-796290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-779145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4" w:name="page135"/>
    <w:bookmarkEnd w:id="134"/>
    <w:tbl>
      <w:tblPr>
        <w:tblLayout w:type="fixed"/>
        <w:tblInd w:w="34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Time-vested stock options</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stock options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Market-vested stock options</w:t>
            </w: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(2,172)</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Legacy profits interests</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9,458</w:t>
            </w:r>
          </w:p>
        </w:tc>
        <w:tc>
          <w:tcPr>
            <w:tcW w:w="100" w:type="dxa"/>
            <w:vAlign w:val="bottom"/>
          </w:tcPr>
          <w:p>
            <w:pPr>
              <w:spacing w:after="0"/>
              <w:rPr>
                <w:sz w:val="18"/>
                <w:szCs w:val="18"/>
                <w:color w:val="auto"/>
              </w:rPr>
            </w:pPr>
          </w:p>
        </w:tc>
      </w:tr>
      <w:tr>
        <w:trPr>
          <w:trHeight w:val="229"/>
        </w:trPr>
        <w:tc>
          <w:tcPr>
            <w:tcW w:w="5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29,372</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30,846</w:t>
            </w:r>
          </w:p>
        </w:tc>
        <w:tc>
          <w:tcPr>
            <w:tcW w:w="100" w:type="dxa"/>
            <w:vAlign w:val="bottom"/>
            <w:shd w:val="clear" w:color="auto" w:fill="CFF0FC"/>
          </w:tcPr>
          <w:p>
            <w:pPr>
              <w:spacing w:after="0"/>
              <w:rPr>
                <w:sz w:val="19"/>
                <w:szCs w:val="19"/>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-25400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603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03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-25400</wp:posOffset>
            </wp:positionV>
            <wp:extent cx="596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-8255</wp:posOffset>
            </wp:positionV>
            <wp:extent cx="596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Segment Information</w:t>
      </w:r>
    </w:p>
    <w:p>
      <w:pPr>
        <w:spacing w:after="0" w:line="121"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8"/>
          <w:szCs w:val="18"/>
          <w:color w:val="auto"/>
        </w:rPr>
        <w:t>The Company regularly reviews its operating segments and the approach used by management to evaluate performance and allocate resources. The Company manages its business as a single operating segment. The Company’s Chief Executive Officer is considered to be the Company’s chief operating decision maker under the requirements of Topic 280 of the ASC “Segments”. The primary measure of profit/loss reviewed by the chief operating decision maker (“CODM”) is net loss before noncontrolling interest.</w:t>
      </w:r>
    </w:p>
    <w:p>
      <w:pPr>
        <w:spacing w:after="0" w:line="72" w:lineRule="exact"/>
        <w:rPr>
          <w:sz w:val="20"/>
          <w:szCs w:val="20"/>
          <w:color w:val="auto"/>
        </w:rPr>
      </w:pPr>
    </w:p>
    <w:p>
      <w:pPr>
        <w:ind w:right="240" w:firstLine="524"/>
        <w:spacing w:after="0" w:line="266" w:lineRule="auto"/>
        <w:rPr>
          <w:sz w:val="20"/>
          <w:szCs w:val="20"/>
          <w:color w:val="auto"/>
        </w:rPr>
      </w:pPr>
      <w:r>
        <w:rPr>
          <w:rFonts w:ascii="Times New Roman" w:cs="Times New Roman" w:eastAsia="Times New Roman" w:hAnsi="Times New Roman"/>
          <w:sz w:val="18"/>
          <w:szCs w:val="18"/>
          <w:color w:val="auto"/>
        </w:rPr>
        <w:t>The Company does not have any product candidates approved for sale and has not generated any revenue from product sales. During 2024, the Company began recognizing lease revenue related to existing lease agreements held with certain third parties which leased space in the buildings which also house the Company’s manufacturing operations.</w:t>
      </w:r>
    </w:p>
    <w:p>
      <w:pPr>
        <w:spacing w:after="0" w:line="68" w:lineRule="exact"/>
        <w:rPr>
          <w:sz w:val="20"/>
          <w:szCs w:val="20"/>
          <w:color w:val="auto"/>
        </w:rPr>
      </w:pPr>
    </w:p>
    <w:p>
      <w:pPr>
        <w:ind w:right="120" w:firstLine="524"/>
        <w:spacing w:after="0" w:line="266" w:lineRule="auto"/>
        <w:rPr>
          <w:sz w:val="20"/>
          <w:szCs w:val="20"/>
          <w:color w:val="auto"/>
        </w:rPr>
      </w:pPr>
      <w:r>
        <w:rPr>
          <w:rFonts w:ascii="Times New Roman" w:cs="Times New Roman" w:eastAsia="Times New Roman" w:hAnsi="Times New Roman"/>
          <w:sz w:val="18"/>
          <w:szCs w:val="18"/>
          <w:color w:val="auto"/>
        </w:rPr>
        <w:t>The Company manages its assets on a total company basis, not by operating segment. Therefore, its chief operating decision maker does not regularly review any asset information other than total Company assets. See the Company’s Consolidated Balance Sheets for total assets. The majority of the Company’s long-lived assets are located in the United States.</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provides selected income statement information for the Company’s single reportable segment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gridSpan w:val="9"/>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8"/>
        </w:trPr>
        <w:tc>
          <w:tcPr>
            <w:tcW w:w="4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1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(151,612)</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(163,335)</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(135,447)</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Rental income</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30,846</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provides significant expense categories that are regularly reported to the chief operating decision maker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gridSpan w:val="9"/>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8"/>
        </w:trPr>
        <w:tc>
          <w:tcPr>
            <w:tcW w:w="6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expense</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35,427</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42,513</w:t>
            </w:r>
          </w:p>
        </w:tc>
        <w:tc>
          <w:tcPr>
            <w:tcW w:w="100" w:type="dxa"/>
            <w:vAlign w:val="bottom"/>
          </w:tcPr>
          <w:p>
            <w:pPr>
              <w:spacing w:after="0"/>
              <w:rPr>
                <w:sz w:val="24"/>
                <w:szCs w:val="24"/>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compensation</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56,365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31,374</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operating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49,431</w:t>
            </w:r>
          </w:p>
        </w:tc>
        <w:tc>
          <w:tcPr>
            <w:tcW w:w="100" w:type="dxa"/>
            <w:vAlign w:val="bottom"/>
          </w:tcPr>
          <w:p>
            <w:pPr>
              <w:spacing w:after="0"/>
              <w:rPr>
                <w:sz w:val="18"/>
                <w:szCs w:val="18"/>
                <w:color w:val="auto"/>
              </w:rPr>
            </w:pPr>
          </w:p>
        </w:tc>
      </w:tr>
      <w:tr>
        <w:trPr>
          <w:trHeight w:val="216"/>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items (1)</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17,782</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(151,612)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(163,335)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(135,447)</w:t>
            </w:r>
          </w:p>
        </w:tc>
      </w:tr>
      <w:tr>
        <w:trPr>
          <w:trHeight w:val="20"/>
        </w:trPr>
        <w:tc>
          <w:tcPr>
            <w:tcW w:w="6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-170815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6" w:lineRule="exact"/>
        <w:rPr>
          <w:sz w:val="20"/>
          <w:szCs w:val="20"/>
          <w:color w:val="auto"/>
        </w:rPr>
      </w:pPr>
    </w:p>
    <w:p>
      <w:pPr>
        <w:jc w:val="center"/>
        <w:ind w:left="5460" w:right="1340" w:hanging="4943"/>
        <w:spacing w:after="0" w:line="908" w:lineRule="auto"/>
        <w:tabs>
          <w:tab w:leader="none" w:pos="103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primarily include interest income, equity-based compensation, depreciation, and impairment charges.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DESCRIPTION OF REGISTERED SECURITIES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ProKidney Corp. (the “Company,” “we,” “our,” or “us”) has one class of securities registered under Section 12 of the Securities Exchange Act of 1934, as amended: our Class A common stock, par value $0.0001 per share (the “Class A Common Stock”). In addition, this Description of Registered Securities also contains a description of the Company’s Class B common stock, par value $0.0001 per share (the “Class B Common Stock” and together with the Class A Shares, the “Common Stock”), which are not registered pursuant to Section 12 of the Exchange Act but are exchangeable for Class A Common Stock. The description of the Class B Common Stock is necessary to understand the material terms of the Class A Common Stock. The following description of the material terms of our share capital includes a summary of certain provisions of our certificate of incorporation (the “Charter”), the Company’s by-laws (the “By-Laws” and the applicable provisions of the General Corporation Law of the State of Delaware (the “DGCL”). This description is qualified by reference to our Charter which is incorporated by reference as an exhibit to this annual report on Form 10-K (the “Report”). We encourage you to read our Charter and applicable provisions of the DGCL carefully. Terms used herein but not defined have the meanings set forth in the Report.</w:t>
      </w:r>
    </w:p>
    <w:p>
      <w:pPr>
        <w:spacing w:after="0" w:line="19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Defined terms used herein but not otherwise defined shall have the meaning ascribed to such terms in the Company’s Annual Report on Form 10-K for the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3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Charter authorizes the issuance of 1,250,000,000 shares of capital stock, consisting of:</w:t>
      </w:r>
    </w:p>
    <w:p>
      <w:pPr>
        <w:spacing w:after="0" w:line="117" w:lineRule="exact"/>
        <w:rPr>
          <w:sz w:val="20"/>
          <w:szCs w:val="20"/>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700,000,000 shares of Class A common stock, par value $0.0001 per share (“Class A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Class B common stock, par value $0.0001 per share (“Class B common stock”);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shares of preferred stock, par value $0.0001 per share (“preferred stock”).</w:t>
      </w:r>
    </w:p>
    <w:p>
      <w:pPr>
        <w:spacing w:after="0" w:line="117"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141,807,277 shares of Class A common stock and 159,262,779 shares of Class B common stock outstanding and approximately 30 holders of Class A common stock and 3 holders of Class B common stock of record. As of December 31, 2025, there were no shares of preferred stock outstanding, and we have no present plans to issue any preferred stock.</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the affirmative vote of a majority in voting power of shares of stock present in person or represented by proxy and entitled to vote thereon (or, in the case of election of directors, by a plurality of voting power of the outstanding shares present in person or represented by proxy and entitled to vote on the election of directors), except as otherwise provided by the Charter or any applicable law. Notwithstanding the foregoing, the holders of the outstanding shares of Class A common stock are entitled to vote separately upon any amendment to the Charter (including by merger, consolidation, reorganization or similar event) that would alter or change the powers, preferences or special rights of such class of common stock in a manner that is adverse as compared to the Class B common stock (in addition to any other class vote required by applicable law).</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ind w:right="40" w:firstLine="524"/>
        <w:spacing w:after="0" w:line="282" w:lineRule="auto"/>
        <w:rPr>
          <w:sz w:val="20"/>
          <w:szCs w:val="20"/>
          <w:color w:val="auto"/>
        </w:rPr>
      </w:pPr>
      <w:r>
        <w:rPr>
          <w:rFonts w:ascii="Times New Roman" w:cs="Times New Roman" w:eastAsia="Times New Roman" w:hAnsi="Times New Roman"/>
          <w:sz w:val="18"/>
          <w:szCs w:val="18"/>
          <w:color w:val="auto"/>
        </w:rPr>
        <w:t>Subject to applicable law and the preferences that may be applicable to any shares of preferred stock then outstanding, the holders of shares of Class A common stock are entitled to receive ratably such dividends, if any,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6" w:name="page137"/>
    <w:bookmarkEnd w:id="13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declared from time to time by the board of directors of the Company (the “Board”) out of assets of the Company legally available therefor.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8"/>
          <w:szCs w:val="18"/>
          <w:color w:val="auto"/>
        </w:rPr>
        <w:t>Subject to applicable law, in the event of any voluntary or involuntary liquidation, dissolution or winding up of the Company’s affairs, after payment of the Company’s debts and other liabilities, and of preferential and other amounts, if any, to which the holders of preferred stock are entitled, if any, the holders of the shares of Class A common stock are entitled to (i) receive, pari passu with the holders of shares of Class B common stock, an amount per share equal to the par value thereof, and (ii) thereafter, to share ratably in all assets remaining and available for distribution.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(other than in connection with certain issuances of common units under the limited liability company agreement of ProKidney Holdings, LLC, a Delaware limited liability company (“ProKidney Holdings”)). There are no redemption or sinking fund provisions applicable to the shares of Class A common stock. The rights, preferences and privileges of holders of shares of Class A common stock are subject to those of the holders of any shares of preferred stock the Company may issue in the future.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firstLine="524"/>
        <w:spacing w:after="0" w:line="254" w:lineRule="auto"/>
        <w:rPr>
          <w:sz w:val="20"/>
          <w:szCs w:val="20"/>
          <w:color w:val="auto"/>
        </w:rPr>
      </w:pPr>
      <w:r>
        <w:rPr>
          <w:rFonts w:ascii="Times New Roman" w:cs="Times New Roman" w:eastAsia="Times New Roman" w:hAnsi="Times New Roman"/>
          <w:sz w:val="18"/>
          <w:szCs w:val="18"/>
          <w:color w:val="auto"/>
        </w:rPr>
        <w:t>Each holder of the shares of Class B common stock is entitled to one vote for each share of Class B common stock held of record by such holder on all matters on which stockholders generally are entitled to vote. The holders of the shares of Class B common stock do not have cumulative voting rights in the election of directors. Generally, all matters to be voted on by stockholders must be approved by the affirmative vote of a majority of the voting power of shares of stock present in person or represented by proxy and entitle to vote thereon (or, in the case of election of directors, by a plurality of voting power of the outstanding shares present in person or represented by proxy and entitled to vote on the election of directors), except as otherwise provided by the certificate of incorporation of the Company or any applicable law. Notwithstanding the foregoing, the holders of the outstanding shares of Class B common stock are entitled to vote separately upon any amendment to the Charter (including by merger, consolidation, reorganization or similar event) that would alter or change the powers, preferences or special rights of such class of common stock in a manner that is adverse as compared to the Class A common stock (in addition to any other class vote required by applicable law).</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right="20" w:firstLine="524"/>
        <w:spacing w:after="0" w:line="282" w:lineRule="auto"/>
        <w:rPr>
          <w:sz w:val="20"/>
          <w:szCs w:val="20"/>
          <w:color w:val="auto"/>
        </w:rPr>
      </w:pPr>
      <w:r>
        <w:rPr>
          <w:rFonts w:ascii="Times New Roman" w:cs="Times New Roman" w:eastAsia="Times New Roman" w:hAnsi="Times New Roman"/>
          <w:sz w:val="18"/>
          <w:szCs w:val="18"/>
          <w:color w:val="auto"/>
        </w:rPr>
        <w:t>Except as provided in the Charter with respect to stock dividends, dividends of cash or property may not be declared by the Board or paid on shares of Class B common stock.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Company’s affairs, the holders of Class B common stock are not entitled to receive any assets of the Company in excess of the par value of such shares (which such payment shall be pari passu with the holders of outstanding shares of Class A common stock).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8"/>
          <w:szCs w:val="18"/>
          <w:color w:val="auto"/>
        </w:rPr>
        <w:t>Certain holders of shares of Class B common stock, who are also holders of common units of ProKidney Holdings (or certain permitted transferees thereof), subject to the procedures and restrictions set forth in that certain Amended and Restated Exchange Agreement, dated as of July 1, 2025, by and among the Company, ProKidney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Holdings and the other parties thereto (the “Exchange Agreement”), have the right to exchange one common unit of ProKidney Holdings and one share of Class B common stock (the “Paired Interest”) for one share of Class A common stock.</w:t>
      </w:r>
    </w:p>
    <w:p>
      <w:pPr>
        <w:spacing w:after="0" w:line="54"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8"/>
          <w:szCs w:val="18"/>
          <w:color w:val="auto"/>
        </w:rPr>
        <w:t>The holders of shares of Class B common stock do not have other preemptive, subscription, redemption or conversion rights. There is no redemption or sinking fund provisions applicable to the Class B common stock, other than with respect to the exchange of the Paired Interests for Class A common stock pursuant to the Exchange Agreement.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and Retirement of Class B Common Stock</w:t>
      </w:r>
    </w:p>
    <w:p>
      <w:pPr>
        <w:spacing w:after="0" w:line="119" w:lineRule="exact"/>
        <w:rPr>
          <w:sz w:val="20"/>
          <w:szCs w:val="20"/>
          <w:color w:val="auto"/>
        </w:rPr>
      </w:pPr>
    </w:p>
    <w:p>
      <w:pPr>
        <w:jc w:val="both"/>
        <w:ind w:firstLine="524"/>
        <w:spacing w:after="0" w:line="282" w:lineRule="auto"/>
        <w:rPr>
          <w:sz w:val="20"/>
          <w:szCs w:val="20"/>
          <w:color w:val="auto"/>
        </w:rPr>
      </w:pPr>
      <w:r>
        <w:rPr>
          <w:rFonts w:ascii="Times New Roman" w:cs="Times New Roman" w:eastAsia="Times New Roman" w:hAnsi="Times New Roman"/>
          <w:sz w:val="18"/>
          <w:szCs w:val="18"/>
          <w:color w:val="auto"/>
        </w:rPr>
        <w:t>In the event that any outstanding share of Class B common stock ceases to be held directly or indirectly by a holder of a corresponding common unit of ProKidney Holdings, such share will automatically be transferred to the Company for no consideration and thereupon will be retired.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firstLine="524"/>
        <w:spacing w:after="0" w:line="254" w:lineRule="auto"/>
        <w:rPr>
          <w:sz w:val="20"/>
          <w:szCs w:val="20"/>
          <w:color w:val="auto"/>
        </w:rPr>
      </w:pPr>
      <w:r>
        <w:rPr>
          <w:rFonts w:ascii="Times New Roman" w:cs="Times New Roman" w:eastAsia="Times New Roman" w:hAnsi="Times New Roman"/>
          <w:sz w:val="18"/>
          <w:szCs w:val="18"/>
          <w:color w:val="auto"/>
        </w:rPr>
        <w:t>No shares of preferred stock are currently issued or outstanding. The Charter authorizes the Board, subject to any limitations prescribed by the DGCL, by resolution or resolutions, at any time and from time to time, to provide, out of the authorized but unissued shares of preferred stock, for one or more series of preferred stock and, with respect to each such series, to fix the number of shares constituting such series, and the designation of such series, the voting powers (whether none, limited or full)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provided that the aggregate number of shares issued and not retired of any and all such series shall not exceed the total number of shares of preferred stock authorized in the Charter. The powers, including voting powers (whether none, limited or full), preferences and relative, participating, optional and other special rights, if any, of each series of preferred stock, and the qualifications, limitations or restrictions thereof, if any, may differ from those of any and all other series at any time outstanding.</w:t>
      </w:r>
    </w:p>
    <w:p>
      <w:pPr>
        <w:spacing w:after="0" w:line="80"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the stockholders. Additionally, the issuance of preferred stock may adversely affect the holders of the common stock of the Company by restricting dividends on the shares of Class A common stock, diluting the voting power of the shares of Class A common stock and the shares of Class B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the Charter and the Bylaws</w:t>
      </w:r>
    </w:p>
    <w:p>
      <w:pPr>
        <w:spacing w:after="0" w:line="121" w:lineRule="exact"/>
        <w:rPr>
          <w:sz w:val="20"/>
          <w:szCs w:val="20"/>
          <w:color w:val="auto"/>
        </w:rPr>
      </w:pPr>
    </w:p>
    <w:p>
      <w:pPr>
        <w:jc w:val="both"/>
        <w:ind w:firstLine="524"/>
        <w:spacing w:after="0" w:line="254" w:lineRule="auto"/>
        <w:rPr>
          <w:sz w:val="20"/>
          <w:szCs w:val="20"/>
          <w:color w:val="auto"/>
        </w:rPr>
      </w:pPr>
      <w:r>
        <w:rPr>
          <w:rFonts w:ascii="Times New Roman" w:cs="Times New Roman" w:eastAsia="Times New Roman" w:hAnsi="Times New Roman"/>
          <w:sz w:val="18"/>
          <w:szCs w:val="18"/>
          <w:color w:val="auto"/>
        </w:rPr>
        <w:t>Certain provisions of the Charter and the Bylaws, as described below, could have the effect of delaying, deterring or preventing another party from acquiring or seeking to acquire control of the Company. These provisions are intended to discourage certain types of coercive takeover practices and inadequate takeover bids and to encourage anyone seeking to acquire control of the Company to negotiate first with the Board. However, these provisions may also delay, deter or prevent a change in control or other takeover of the Company that stockholders of the Company might consider to be in their best interests, including transactions that might result in a premium being paid over the market price of the common stock and also may limit the price that investors are willing to pay in the future for the common stock. These provisions may also have the effect of preventing changes in our management. We believe that the benefits of increased protection give the Company the potential ability to negotiate with the proponent of an unfriendly or unsolicited proposal to acquire or restructure the Company, and that the benefits of this increased protection outweigh the disadvantages of discouraging those proposals, because negotiation of those proposals could result in an improvement of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119" w:lineRule="exact"/>
        <w:rPr>
          <w:sz w:val="20"/>
          <w:szCs w:val="20"/>
          <w:color w:val="auto"/>
        </w:rPr>
      </w:pPr>
    </w:p>
    <w:p>
      <w:pPr>
        <w:ind w:right="180" w:firstLine="524"/>
        <w:spacing w:after="0" w:line="261" w:lineRule="auto"/>
        <w:rPr>
          <w:sz w:val="20"/>
          <w:szCs w:val="20"/>
          <w:color w:val="auto"/>
        </w:rPr>
      </w:pPr>
      <w:r>
        <w:rPr>
          <w:rFonts w:ascii="Times New Roman" w:cs="Times New Roman" w:eastAsia="Times New Roman" w:hAnsi="Times New Roman"/>
          <w:sz w:val="18"/>
          <w:szCs w:val="18"/>
          <w:color w:val="auto"/>
        </w:rPr>
        <w:t>The Board is comprised of eight directors. The Charter provides that, subject to the right of holders of any series of preferred stock, the Board is divided into three classes of directors, apportioned to consist of, as nearly as possible, one third of the total number of directors, designated Class I, Class</w:t>
      </w:r>
    </w:p>
    <w:p>
      <w:pPr>
        <w:ind w:right="480" w:firstLine="8"/>
        <w:spacing w:after="0" w:line="260" w:lineRule="auto"/>
        <w:tabs>
          <w:tab w:leader="none" w:pos="1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Class III, and with the directors serving staggered three-year terms, with only one class of directors being elected at each annual meeting. As a result, approximately one-third of the Board is elected each year.</w:t>
      </w:r>
    </w:p>
    <w:p>
      <w:pPr>
        <w:spacing w:after="0" w:line="73" w:lineRule="exact"/>
        <w:rPr>
          <w:sz w:val="20"/>
          <w:szCs w:val="20"/>
          <w:color w:val="auto"/>
        </w:rPr>
      </w:pPr>
    </w:p>
    <w:p>
      <w:pPr>
        <w:ind w:right="120" w:firstLine="524"/>
        <w:spacing w:after="0" w:line="266" w:lineRule="auto"/>
        <w:rPr>
          <w:sz w:val="20"/>
          <w:szCs w:val="20"/>
          <w:color w:val="auto"/>
        </w:rPr>
      </w:pPr>
      <w:r>
        <w:rPr>
          <w:rFonts w:ascii="Times New Roman" w:cs="Times New Roman" w:eastAsia="Times New Roman" w:hAnsi="Times New Roman"/>
          <w:sz w:val="18"/>
          <w:szCs w:val="18"/>
          <w:color w:val="auto"/>
        </w:rPr>
        <w:t>The classification of directors has the effect of making it more difficult for members to change the composition of the Board. The Charter provides that the Board may increase or reduce the upper and lower limits of the number of directors by one or more resolutions of the Board, provided that in no event will a decrease in the number of directors shorten the term of any director then in office.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Meetings</w:t>
      </w:r>
    </w:p>
    <w:p>
      <w:pPr>
        <w:spacing w:after="0" w:line="119" w:lineRule="exact"/>
        <w:rPr>
          <w:sz w:val="20"/>
          <w:szCs w:val="20"/>
          <w:color w:val="auto"/>
        </w:rPr>
      </w:pPr>
    </w:p>
    <w:p>
      <w:pPr>
        <w:jc w:val="both"/>
        <w:ind w:right="520" w:firstLine="524"/>
        <w:spacing w:after="0" w:line="266" w:lineRule="auto"/>
        <w:rPr>
          <w:sz w:val="20"/>
          <w:szCs w:val="20"/>
          <w:color w:val="auto"/>
        </w:rPr>
      </w:pPr>
      <w:r>
        <w:rPr>
          <w:rFonts w:ascii="Times New Roman" w:cs="Times New Roman" w:eastAsia="Times New Roman" w:hAnsi="Times New Roman"/>
          <w:sz w:val="18"/>
          <w:szCs w:val="18"/>
          <w:color w:val="auto"/>
        </w:rPr>
        <w:t>The Charter and the Bylaws provide that, subject to the rights of the holders of any outstanding series of preferred stock, special meetings of the Company’s stockholders may be called only by the chairperson of the Board, the chief executive officer or at the direction of the Board pursuant to a written resolution adopted by a majority of the total number of directors that the Company would have if there were no vacancies.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Action by Consent</w:t>
      </w:r>
    </w:p>
    <w:p>
      <w:pPr>
        <w:spacing w:after="0" w:line="119" w:lineRule="exact"/>
        <w:rPr>
          <w:sz w:val="20"/>
          <w:szCs w:val="20"/>
          <w:color w:val="auto"/>
        </w:rPr>
      </w:pPr>
    </w:p>
    <w:p>
      <w:pPr>
        <w:ind w:firstLine="524"/>
        <w:spacing w:after="0" w:line="253" w:lineRule="auto"/>
        <w:rPr>
          <w:sz w:val="20"/>
          <w:szCs w:val="20"/>
          <w:color w:val="auto"/>
        </w:rPr>
      </w:pPr>
      <w:r>
        <w:rPr>
          <w:rFonts w:ascii="Times New Roman" w:cs="Times New Roman" w:eastAsia="Times New Roman" w:hAnsi="Times New Roman"/>
          <w:sz w:val="18"/>
          <w:szCs w:val="18"/>
          <w:color w:val="auto"/>
        </w:rPr>
        <w:t>The Charter provides that any action required or permitted to be taken by the stockholders of the Company may be effected only at a duly called annual or special meeting of stockholders of the Company and may not be effected by any consent by such stockholders; provided, however, that any action required or permitted to be taken by the holders of Class B common stock, voting separately as a class, may be effected by the consent or consents (setting forth the action so taken) of the holders of the outstanding shares of Class B common stock having not less than the minimum number of votes that would be necessary to authorize or take such action at a meeting at which all shares entitled to vote thereon were present and voted, consenting together as a single class in lieu of a duly called annual or special meeting of holders of Class B common stock; provided, further, that any action required or permitted to be taken by the holders of any or all series of preferred stock voting separately as a series of preferred stock or separately as a class of preferred stock (including with respect to any such action specified in the Charter or any certificate of designation relating to any series of preferred stock) may be effected by the consent or consents (setting forth the action so taken), of the holders of outstanding shares of the relevant class or series of preferred stock having not less than the minimum number of votes that would be necessary to authorize or take such action at a meeting at which all shares entitled to vote thereon were present and voted.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Bylaws</w:t>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Bylaws may generally be altered, amended or repealed, and new bylaws of the Company may be adopted, by:</w:t>
      </w:r>
    </w:p>
    <w:p>
      <w:pPr>
        <w:spacing w:after="0" w:line="333" w:lineRule="exact"/>
        <w:rPr>
          <w:sz w:val="20"/>
          <w:szCs w:val="20"/>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majority of the Board; or</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holders of at least at least 66 2/3% of the voting power of all of the then-outstanding shares of the capital stock of the Company entitled to vote thereon, voting together as a single class.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jc w:val="both"/>
        <w:ind w:right="80" w:firstLine="524"/>
        <w:spacing w:after="0" w:line="258" w:lineRule="auto"/>
        <w:rPr>
          <w:sz w:val="20"/>
          <w:szCs w:val="20"/>
          <w:color w:val="auto"/>
        </w:rPr>
      </w:pPr>
      <w:r>
        <w:rPr>
          <w:rFonts w:ascii="Times New Roman" w:cs="Times New Roman" w:eastAsia="Times New Roman" w:hAnsi="Times New Roman"/>
          <w:sz w:val="18"/>
          <w:szCs w:val="18"/>
          <w:color w:val="auto"/>
        </w:rPr>
        <w:t>The Charter requires that the Company indemnify (and advance expenses to) its directors and officers to the fullest extent permitted by law, provided that we are not required to indemnify (or advance expenses to) any director or officer in connection with any proceeding (or part thereof) initiated by such person unless (i) such indemnification is expressly required to be made by law, (ii) the proceeding was authorized by the Board, (iii) such indemnification is provided by the Company, in its sole discretion, pursuant to the powers vested in the Company under the DGCL or any other applicable law, or (iv) such indemnification is required to be made under the indemnification rights enforcement provision of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194" w:lineRule="exact"/>
        <w:rPr>
          <w:sz w:val="20"/>
          <w:szCs w:val="20"/>
          <w:color w:val="auto"/>
        </w:rPr>
      </w:pPr>
    </w:p>
    <w:p>
      <w:pPr>
        <w:jc w:val="both"/>
        <w:ind w:right="240" w:firstLine="337"/>
        <w:spacing w:after="0" w:line="266" w:lineRule="auto"/>
        <w:rPr>
          <w:sz w:val="20"/>
          <w:szCs w:val="20"/>
          <w:color w:val="auto"/>
        </w:rPr>
      </w:pPr>
      <w:r>
        <w:rPr>
          <w:rFonts w:ascii="Times New Roman" w:cs="Times New Roman" w:eastAsia="Times New Roman" w:hAnsi="Times New Roman"/>
          <w:sz w:val="18"/>
          <w:szCs w:val="18"/>
          <w:color w:val="auto"/>
        </w:rPr>
        <w:t>Pursuant to the Charter, no director or officer of the Company is personally liable to the Company or its stockholders for monetary damages for any breach of fiduciary duty as a director or officer, except to the extent such exception from liability or limitation thereof is not permitted under the DGCL. Currently, Delaware law prohibits corporations from eliminating or limiting the liability of:</w:t>
      </w:r>
    </w:p>
    <w:p>
      <w:pPr>
        <w:spacing w:after="0" w:line="68" w:lineRule="exact"/>
        <w:rPr>
          <w:sz w:val="20"/>
          <w:szCs w:val="20"/>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 director’s or officer’s duty of loyalty to our company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acts or omissions not in good faith or which involved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for unlawful payments of dividends or unlawful stock repurchases or redemptions as provided in Section 174 of the DGCL;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 director or officer derived an improper personal benefit;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the right of the corporation. The limitation of liability of officers of ProKidney is limited only to persons who at the time of an act or omission as to which liability is asserted is deemed to have consented to service by the delivery of process to the registered agent of ProKidney pursuant to Section 3114(b) of Title 10 of the Delaware Code.</w:t>
      </w:r>
    </w:p>
    <w:p>
      <w:pPr>
        <w:spacing w:after="0" w:line="24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Anti</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Takeover Effects of Delaware Law</w:t>
      </w:r>
    </w:p>
    <w:p>
      <w:pPr>
        <w:spacing w:after="0" w:line="158" w:lineRule="exact"/>
        <w:rPr>
          <w:sz w:val="20"/>
          <w:szCs w:val="20"/>
          <w:color w:val="auto"/>
        </w:rPr>
      </w:pPr>
    </w:p>
    <w:p>
      <w:pPr>
        <w:jc w:val="both"/>
        <w:ind w:right="540" w:firstLine="524"/>
        <w:spacing w:after="0" w:line="282" w:lineRule="auto"/>
        <w:rPr>
          <w:sz w:val="20"/>
          <w:szCs w:val="20"/>
          <w:color w:val="auto"/>
        </w:rPr>
      </w:pPr>
      <w:r>
        <w:rPr>
          <w:rFonts w:ascii="Times New Roman" w:cs="Times New Roman" w:eastAsia="Times New Roman" w:hAnsi="Times New Roman"/>
          <w:sz w:val="18"/>
          <w:szCs w:val="18"/>
          <w:color w:val="auto"/>
        </w:rPr>
        <w:t>The Company is subject to Section 203 of the DGCL. Section 203 provides that the Company may not engage in a broad range of “business combinations” with any “interested stockholder” for a three-year period following the time that the person became an interested stockholder unless:</w:t>
      </w:r>
    </w:p>
    <w:p>
      <w:pPr>
        <w:spacing w:after="0" w:line="54" w:lineRule="exact"/>
        <w:rPr>
          <w:sz w:val="20"/>
          <w:szCs w:val="20"/>
          <w:color w:val="auto"/>
        </w:rPr>
      </w:pPr>
    </w:p>
    <w:p>
      <w:pPr>
        <w:ind w:left="1020" w:right="400" w:hanging="503"/>
        <w:spacing w:after="0" w:line="282"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approved either the business combination or the transaction which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5"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time the business combination is approved by the Board and authorized at an annual or special meeting of the stockholders, and not by written consent, by the affirmative vote of at least 66 2/3% of the outstanding voting stock which is not owned by the interested stockholder.</w:t>
      </w:r>
    </w:p>
    <w:p>
      <w:pPr>
        <w:spacing w:after="0" w:line="68" w:lineRule="exact"/>
        <w:rPr>
          <w:sz w:val="20"/>
          <w:szCs w:val="20"/>
          <w:color w:val="auto"/>
        </w:rPr>
      </w:pPr>
    </w:p>
    <w:p>
      <w:pPr>
        <w:ind w:firstLine="524"/>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consolidation, asset or stock sale, issuances of securities or other transaction resulting in a financial benefit to the interested stockholder. Subject to certain exceptions, an interested stockholder is a person who, together with that person’s affiliates and associates (as such terms are defined in Section 203 of the DGCL), owns (as such term is defined in Section 203 of the DGLC), or within the previous three years owned, 15% or more of our voting stock.</w:t>
      </w:r>
    </w:p>
    <w:p>
      <w:pPr>
        <w:spacing w:after="0" w:line="72"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Section 203 could prohibit or delay mergers or other takeover or change in control attempts with respect to the Company and, accordingly, may discourage attempts to acquire the Company. Prior to the consummation of the Domestication, the board of directors of ProKidney Cayman adopted a resolution approving as an “interested stockholder” each shareholder of ProKidney Cayman who would otherwise become an “interested stockholder” of the Company as a result of the Domestication, together with their affiliates or associates, such that the restrictions on “business combinations” contained in Section 203 of the DGCL would not apply to any of such stockholders for purposes of Section 203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0" w:name="page141"/>
    <w:bookmarkEnd w:id="14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 Provision</w:t>
      </w:r>
    </w:p>
    <w:p>
      <w:pPr>
        <w:spacing w:after="0" w:line="121" w:lineRule="exact"/>
        <w:rPr>
          <w:sz w:val="20"/>
          <w:szCs w:val="20"/>
          <w:color w:val="auto"/>
        </w:rPr>
      </w:pPr>
    </w:p>
    <w:p>
      <w:pPr>
        <w:ind w:firstLine="524"/>
        <w:spacing w:after="0" w:line="253" w:lineRule="auto"/>
        <w:rPr>
          <w:sz w:val="20"/>
          <w:szCs w:val="20"/>
          <w:color w:val="auto"/>
        </w:rPr>
      </w:pPr>
      <w:r>
        <w:rPr>
          <w:rFonts w:ascii="Times New Roman" w:cs="Times New Roman" w:eastAsia="Times New Roman" w:hAnsi="Times New Roman"/>
          <w:sz w:val="18"/>
          <w:szCs w:val="18"/>
          <w:color w:val="auto"/>
        </w:rPr>
        <w:t>The Charter provides that, unless the Company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to the fullest extent permitted by applicable law, be the sole and exclusive forum for (A) any derivative action or proceeding brought on behalf of the Company; (B) any action or proceeding (including any class action) asserting a claim of breach of a fiduciary duty owed by any current or former director, officer or other employee of the Company to the Company or the Company’s stockholders; (C) any action or proceeding (including any class action) asserting a claim against the Company or any current or former director, officer or other employee of the Company arising out of or pursuant to any provision of the DGCL, the Charter or the Bylaws (as each may be amended from time to time); (D) any action or proceeding (including any class action) to interpret, apply, enforce or determine the validity of the Charter or the Bylaws (including any right, obligation or remedy thereunder); (E) any action or proceeding as to which the DGCL confers jurisdiction to the Court of Chancery of the State of Delaware; and/or (F) any action or claim against the Company or any current or former director, officer or other employee of the Company governed by the internal affairs doctrine or an “internal corporate claim” as defined in Section 115 of the DGCL, in each case, subject to said court having personal jurisdiction over the indispensable parties named as defendants therein.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transfer agent and registrar for the Class A common stock and the Class B common stock is Continental Stock Transfer &amp; Trust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shares of Class A common stock are listed on Nasdaq under the symbol “PROK.”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1" w:name="page142"/>
    <w:bookmarkEnd w:id="141"/>
    <w:p>
      <w:pPr>
        <w:jc w:val="right"/>
        <w:spacing w:after="0"/>
        <w:rPr>
          <w:sz w:val="20"/>
          <w:szCs w:val="20"/>
          <w:color w:val="auto"/>
        </w:rPr>
      </w:pPr>
      <w:r>
        <w:rPr>
          <w:rFonts w:ascii="Arial" w:cs="Arial" w:eastAsia="Arial" w:hAnsi="Arial"/>
          <w:sz w:val="20"/>
          <w:szCs w:val="20"/>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6350</wp:posOffset>
            </wp:positionV>
            <wp:extent cx="1722755" cy="5657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5">
                      <a:extLst>
                        <a:ext uri="{28A0092B-C50C-407E-A947-70E740481C1C}"/>
                      </a:extLst>
                    </a:blip>
                    <a:srcRect/>
                    <a:stretch>
                      <a:fillRect/>
                    </a:stretch>
                  </pic:blipFill>
                  <pic:spPr bwMode="auto">
                    <a:xfrm>
                      <a:off x="0" y="0"/>
                      <a:ext cx="17227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PROKIDNEY SHORT TERM INCENTIVE PERFORMANCE PLAN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w:t>
      </w:r>
    </w:p>
    <w:p>
      <w:pPr>
        <w:spacing w:after="0" w:line="200" w:lineRule="exact"/>
        <w:rPr>
          <w:sz w:val="20"/>
          <w:szCs w:val="20"/>
          <w:color w:val="auto"/>
        </w:rPr>
      </w:pPr>
    </w:p>
    <w:p>
      <w:pPr>
        <w:spacing w:after="0" w:line="276" w:lineRule="exact"/>
        <w:rPr>
          <w:sz w:val="20"/>
          <w:szCs w:val="20"/>
          <w:color w:val="auto"/>
        </w:rPr>
      </w:pPr>
    </w:p>
    <w:p>
      <w:pPr>
        <w:ind w:left="440" w:hanging="432"/>
        <w:spacing w:after="0"/>
        <w:tabs>
          <w:tab w:leader="none" w:pos="44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Plan Overview</w:t>
      </w:r>
    </w:p>
    <w:p>
      <w:pPr>
        <w:spacing w:after="0" w:line="237" w:lineRule="exact"/>
        <w:rPr>
          <w:sz w:val="20"/>
          <w:szCs w:val="20"/>
          <w:color w:val="auto"/>
        </w:rPr>
      </w:pPr>
    </w:p>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ProKidney’s Short Term Incentive Performance Plan (the “STI Plan”) is an annual bonus plan for all persons employed by ProKidney or its direct or indirect subsidiaries (collectively, the “Company”) on a regular basis who are in a position to make positive contributions to the Company (“Employees”), thereby increasing the performance of the Company. The bonus award granted under the STI Plan (“Plan Award”) is determined on an annual basis, based on the level of achievement of predetermined performance goals for both the Company and the Participant (as defined below) during the calendar year to which the performance goals relate (the “Plan Year”).</w:t>
      </w:r>
    </w:p>
    <w:p>
      <w:pPr>
        <w:spacing w:after="0" w:line="204" w:lineRule="exact"/>
        <w:rPr>
          <w:sz w:val="20"/>
          <w:szCs w:val="20"/>
          <w:color w:val="auto"/>
        </w:rPr>
      </w:pPr>
    </w:p>
    <w:p>
      <w:pPr>
        <w:ind w:left="440" w:hanging="432"/>
        <w:spacing w:after="0"/>
        <w:tabs>
          <w:tab w:leader="none" w:pos="44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42" w:lineRule="exact"/>
        <w:rPr>
          <w:sz w:val="20"/>
          <w:szCs w:val="20"/>
          <w:color w:val="auto"/>
        </w:rPr>
      </w:pPr>
    </w:p>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The STI Plan will be administered by the Board and/or Talent and Compensation Committee for employees with a title of Senior Vice President or higher who are eligible to participate in the STI Plan; the STI Plan will be administered by the CEO or the CEO delegate for all other employees who are so eligible. The Board, Talent and Compensation Committee and the CEO and his or her delegates hereunder, to the extent of such delegation, and each, as applicable given the context, are referred to herein as the “Administrator.” The Administrator will have full authority to determine eligibility for participation in the STI Plan as set forth in the paragraph below, select eligible Employees to participate in the STI Plan, establish written award forms and agreements, construe the terms of the STI Plan and any Plan Award, determine eligibility for, and the amount of, any payments under the STI Plan, and generally do all things necessary to administer the STI Plan. The Administrator retains full discretion to increase, reduce or eliminate any payment otherwise payable to any Participant under the terms of the STI Plan. Any action taken by the Administrator will be final and binding on all parties and any person claiming benefits through them.</w:t>
      </w:r>
    </w:p>
    <w:p>
      <w:pPr>
        <w:spacing w:after="0" w:line="188" w:lineRule="exact"/>
        <w:rPr>
          <w:sz w:val="20"/>
          <w:szCs w:val="20"/>
          <w:color w:val="auto"/>
        </w:rPr>
      </w:pPr>
    </w:p>
    <w:p>
      <w:pPr>
        <w:ind w:left="400" w:hanging="392"/>
        <w:spacing w:after="0"/>
        <w:tabs>
          <w:tab w:leader="none" w:pos="40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Eligibility and Participation</w:t>
      </w:r>
    </w:p>
    <w:p>
      <w:pPr>
        <w:spacing w:after="0" w:line="215" w:lineRule="exact"/>
        <w:rPr>
          <w:sz w:val="20"/>
          <w:szCs w:val="20"/>
          <w:color w:val="auto"/>
        </w:rPr>
      </w:pPr>
    </w:p>
    <w:p>
      <w:pPr>
        <w:jc w:val="both"/>
        <w:ind w:left="760"/>
        <w:spacing w:after="0" w:line="248" w:lineRule="auto"/>
        <w:rPr>
          <w:sz w:val="20"/>
          <w:szCs w:val="20"/>
          <w:color w:val="auto"/>
        </w:rPr>
      </w:pPr>
      <w:r>
        <w:rPr>
          <w:rFonts w:ascii="Times New Roman" w:cs="Times New Roman" w:eastAsia="Times New Roman" w:hAnsi="Times New Roman"/>
          <w:sz w:val="22"/>
          <w:szCs w:val="22"/>
          <w:color w:val="auto"/>
        </w:rPr>
        <w:t xml:space="preserve">For the twelve month period beginning on January 1 of each calendar year (the “Plan Year”), each regular employee of the Company will be eligible to participate in the STI Plan, other than any employee who is (1) eligible to participate in any other short-term incentive plan or program of the Company, including, but not limited to, the Sales Incentive Compensation Plans and any Performance-Based Management Incentive Plan adopted by the Company, or (2) hired by the Company after </w:t>
      </w:r>
      <w:r>
        <w:rPr>
          <w:rFonts w:ascii="Times New Roman" w:cs="Times New Roman" w:eastAsia="Times New Roman" w:hAnsi="Times New Roman"/>
          <w:sz w:val="22"/>
          <w:szCs w:val="22"/>
          <w:u w:val="single" w:color="auto"/>
          <w:color w:val="auto"/>
        </w:rPr>
        <w:t>September 30</w:t>
      </w:r>
      <w:r>
        <w:rPr>
          <w:rFonts w:ascii="Times New Roman" w:cs="Times New Roman" w:eastAsia="Times New Roman" w:hAnsi="Times New Roman"/>
          <w:sz w:val="28"/>
          <w:szCs w:val="28"/>
          <w:u w:val="single" w:color="auto"/>
          <w:color w:val="auto"/>
          <w:vertAlign w:val="superscript"/>
        </w:rPr>
        <w:t>th</w:t>
      </w:r>
      <w:r>
        <w:rPr>
          <w:rFonts w:ascii="Times New Roman" w:cs="Times New Roman" w:eastAsia="Times New Roman" w:hAnsi="Times New Roman"/>
          <w:sz w:val="22"/>
          <w:szCs w:val="22"/>
          <w:color w:val="auto"/>
        </w:rPr>
        <w:t xml:space="preserve"> of a Plan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-102870</wp:posOffset>
            </wp:positionV>
            <wp:extent cx="85661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6">
                      <a:extLst>
                        <a:ext uri="{28A0092B-C50C-407E-A947-70E740481C1C}"/>
                      </a:extLst>
                    </a:blip>
                    <a:srcRect/>
                    <a:stretch>
                      <a:fillRect/>
                    </a:stretch>
                  </pic:blipFill>
                  <pic:spPr bwMode="auto">
                    <a:xfrm>
                      <a:off x="0" y="0"/>
                      <a:ext cx="856615" cy="8890"/>
                    </a:xfrm>
                    <a:prstGeom prst="rect">
                      <a:avLst/>
                    </a:prstGeom>
                    <a:noFill/>
                  </pic:spPr>
                </pic:pic>
              </a:graphicData>
            </a:graphic>
          </wp:anchor>
        </w:drawing>
      </w:r>
    </w:p>
    <w:p>
      <w:pPr>
        <w:spacing w:after="0" w:line="73"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A “Participant” is an employee who satisfies the eligibility criteria described in this Section and participates in the STI Plan. In order for a Participant to remain eligible to earn any potential Plan Award under the STI Plan for a Plan Year, the Participant: (1) must remain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500380</wp:posOffset>
            </wp:positionV>
            <wp:extent cx="1722755" cy="5657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8">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65785"/>
                    </a:xfrm>
                    <a:prstGeom prst="rect">
                      <a:avLst/>
                    </a:prstGeom>
                    <a:noFill/>
                  </pic:spPr>
                </pic:pic>
              </a:graphicData>
            </a:graphic>
          </wp:anchor>
        </w:drawing>
      </w:r>
    </w:p>
    <w:p>
      <w:pPr>
        <w:spacing w:after="0" w:line="227"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through the date Plan Awards are distributed; and (2) must achieve a minimum level of performance, as determined by the Administrator, in its sole discretion, based upon the recommendation of the Participant’s supervisor.</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Participation in the STI Plan for one Plan Year does not guarantee participation for a future Plan Year.</w:t>
      </w:r>
    </w:p>
    <w:p>
      <w:pPr>
        <w:spacing w:after="0" w:line="229" w:lineRule="exact"/>
        <w:rPr>
          <w:sz w:val="20"/>
          <w:szCs w:val="20"/>
          <w:color w:val="auto"/>
        </w:rPr>
      </w:pPr>
    </w:p>
    <w:p>
      <w:pPr>
        <w:ind w:left="440" w:hanging="432"/>
        <w:spacing w:after="0"/>
        <w:tabs>
          <w:tab w:leader="none" w:pos="44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Target Award</w:t>
      </w:r>
    </w:p>
    <w:p>
      <w:pPr>
        <w:spacing w:after="0" w:line="237"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Participants are eligible to earn a Plan Award based on a target expressed as a percentage of the Participant’s annualized base rate of pay earned during the Plan Year, excluding any premiums, benefits or other variable compensation, such as overtime and spot awards (“Base Salary”). A Participant’s target % will be set forth in the Participant’s offer letter in the case of a new hire during the Plan Year or in the promotion letter if a Participant is promoted during the year to a position with a different target %.</w:t>
      </w:r>
    </w:p>
    <w:p>
      <w:pPr>
        <w:spacing w:after="0" w:line="204"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A Participant’s “Target Award” is the target incentive payment a Participant could potentially earn if 100% of the Performance measures are achieved. The Target Award is equal to the target % multiplied by Participant’s Base Salary as of December 31 of the Plan Year. Target Awards are not guaranteed; any incentive payout under the STI Plan is based on satisfaction of applicable performance measures both Corporate and Individual.</w:t>
      </w:r>
    </w:p>
    <w:p>
      <w:pPr>
        <w:spacing w:after="0" w:line="207"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The target % for each Grade level and the allocation to each Performance category (Sections 5, 6, 7, 8 and 9) will be determined by the Administrator each Plan Year and based upon external best practices.</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62"/>
        </w:trPr>
        <w:tc>
          <w:tcPr>
            <w:tcW w:w="41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Figure 1: Target Award Calculation Example</w:t>
            </w:r>
          </w:p>
        </w:tc>
        <w:tc>
          <w:tcPr>
            <w:tcW w:w="268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440"/>
        </w:trPr>
        <w:tc>
          <w:tcPr>
            <w:tcW w:w="4180" w:type="dxa"/>
            <w:vAlign w:val="bottom"/>
            <w:tcBorders>
              <w:bottom w:val="single" w:sz="8" w:color="auto"/>
            </w:tcBorders>
          </w:tcPr>
          <w:p>
            <w:pPr>
              <w:jc w:val="center"/>
              <w:ind w:right="561"/>
              <w:spacing w:after="0"/>
              <w:rPr>
                <w:sz w:val="20"/>
                <w:szCs w:val="20"/>
                <w:color w:val="auto"/>
              </w:rPr>
            </w:pPr>
            <w:r>
              <w:rPr>
                <w:rFonts w:ascii="Times New Roman" w:cs="Times New Roman" w:eastAsia="Times New Roman" w:hAnsi="Times New Roman"/>
                <w:sz w:val="20"/>
                <w:szCs w:val="20"/>
                <w:b w:val="1"/>
                <w:bCs w:val="1"/>
                <w:color w:val="365F91"/>
                <w:w w:val="98"/>
              </w:rPr>
              <w:t>Annualized Base Salary</w:t>
            </w:r>
          </w:p>
        </w:tc>
        <w:tc>
          <w:tcPr>
            <w:tcW w:w="268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20"/>
                <w:szCs w:val="20"/>
                <w:b w:val="1"/>
                <w:bCs w:val="1"/>
                <w:color w:val="365F91"/>
                <w:w w:val="99"/>
              </w:rPr>
              <w:t>Target Percentage</w:t>
            </w:r>
          </w:p>
        </w:tc>
        <w:tc>
          <w:tcPr>
            <w:tcW w:w="3700" w:type="dxa"/>
            <w:vAlign w:val="bottom"/>
            <w:tcBorders>
              <w:bottom w:val="single" w:sz="8" w:color="auto"/>
            </w:tcBorders>
          </w:tcPr>
          <w:p>
            <w:pPr>
              <w:jc w:val="center"/>
              <w:ind w:left="81"/>
              <w:spacing w:after="0"/>
              <w:rPr>
                <w:sz w:val="20"/>
                <w:szCs w:val="20"/>
                <w:color w:val="auto"/>
              </w:rPr>
            </w:pPr>
            <w:r>
              <w:rPr>
                <w:rFonts w:ascii="Times New Roman" w:cs="Times New Roman" w:eastAsia="Times New Roman" w:hAnsi="Times New Roman"/>
                <w:sz w:val="20"/>
                <w:szCs w:val="20"/>
                <w:b w:val="1"/>
                <w:bCs w:val="1"/>
                <w:color w:val="365F91"/>
                <w:w w:val="98"/>
              </w:rPr>
              <w:t>Target Award</w:t>
            </w:r>
          </w:p>
        </w:tc>
      </w:tr>
      <w:tr>
        <w:trPr>
          <w:trHeight w:val="256"/>
        </w:trPr>
        <w:tc>
          <w:tcPr>
            <w:tcW w:w="4180" w:type="dxa"/>
            <w:vAlign w:val="bottom"/>
            <w:shd w:val="clear" w:color="auto" w:fill="D3DFEE"/>
          </w:tcPr>
          <w:p>
            <w:pPr>
              <w:jc w:val="right"/>
              <w:ind w:right="1941"/>
              <w:spacing w:after="0"/>
              <w:rPr>
                <w:sz w:val="20"/>
                <w:szCs w:val="20"/>
                <w:color w:val="auto"/>
              </w:rPr>
            </w:pPr>
            <w:r>
              <w:rPr>
                <w:rFonts w:ascii="Times New Roman" w:cs="Times New Roman" w:eastAsia="Times New Roman" w:hAnsi="Times New Roman"/>
                <w:sz w:val="20"/>
                <w:szCs w:val="20"/>
                <w:b w:val="1"/>
                <w:bCs w:val="1"/>
                <w:color w:val="365F91"/>
              </w:rPr>
              <w:t>$100,000</w:t>
            </w:r>
          </w:p>
        </w:tc>
        <w:tc>
          <w:tcPr>
            <w:tcW w:w="2680" w:type="dxa"/>
            <w:vAlign w:val="bottom"/>
            <w:shd w:val="clear" w:color="auto" w:fill="D3DFEE"/>
          </w:tcPr>
          <w:p>
            <w:pPr>
              <w:jc w:val="right"/>
              <w:ind w:right="1301"/>
              <w:spacing w:after="0"/>
              <w:rPr>
                <w:sz w:val="20"/>
                <w:szCs w:val="20"/>
                <w:color w:val="auto"/>
              </w:rPr>
            </w:pPr>
            <w:r>
              <w:rPr>
                <w:rFonts w:ascii="Times New Roman" w:cs="Times New Roman" w:eastAsia="Times New Roman" w:hAnsi="Times New Roman"/>
                <w:sz w:val="20"/>
                <w:szCs w:val="20"/>
                <w:color w:val="365F91"/>
              </w:rPr>
              <w:t>10%</w:t>
            </w:r>
          </w:p>
        </w:tc>
        <w:tc>
          <w:tcPr>
            <w:tcW w:w="3700" w:type="dxa"/>
            <w:vAlign w:val="bottom"/>
            <w:shd w:val="clear" w:color="auto" w:fill="D3DFEE"/>
          </w:tcPr>
          <w:p>
            <w:pPr>
              <w:jc w:val="center"/>
              <w:ind w:left="81"/>
              <w:spacing w:after="0"/>
              <w:rPr>
                <w:sz w:val="20"/>
                <w:szCs w:val="20"/>
                <w:color w:val="auto"/>
              </w:rPr>
            </w:pPr>
            <w:r>
              <w:rPr>
                <w:rFonts w:ascii="Times New Roman" w:cs="Times New Roman" w:eastAsia="Times New Roman" w:hAnsi="Times New Roman"/>
                <w:sz w:val="20"/>
                <w:szCs w:val="20"/>
                <w:color w:val="365F91"/>
                <w:w w:val="98"/>
              </w:rPr>
              <w:t>($100,000 x 10%) = $</w:t>
            </w:r>
            <w:r>
              <w:rPr>
                <w:rFonts w:ascii="Times New Roman" w:cs="Times New Roman" w:eastAsia="Times New Roman" w:hAnsi="Times New Roman"/>
                <w:sz w:val="20"/>
                <w:szCs w:val="20"/>
                <w:b w:val="1"/>
                <w:bCs w:val="1"/>
                <w:color w:val="365F91"/>
                <w:w w:val="98"/>
              </w:rPr>
              <w:t>10,000</w:t>
            </w:r>
          </w:p>
        </w:tc>
      </w:tr>
      <w:tr>
        <w:trPr>
          <w:trHeight w:val="48"/>
        </w:trPr>
        <w:tc>
          <w:tcPr>
            <w:tcW w:w="4180" w:type="dxa"/>
            <w:vAlign w:val="bottom"/>
            <w:shd w:val="clear" w:color="auto" w:fill="D3DFEE"/>
          </w:tcPr>
          <w:p>
            <w:pPr>
              <w:spacing w:after="0"/>
              <w:rPr>
                <w:sz w:val="4"/>
                <w:szCs w:val="4"/>
                <w:color w:val="auto"/>
              </w:rPr>
            </w:pPr>
          </w:p>
        </w:tc>
        <w:tc>
          <w:tcPr>
            <w:tcW w:w="2680" w:type="dxa"/>
            <w:vAlign w:val="bottom"/>
            <w:shd w:val="clear" w:color="auto" w:fill="D3DFEE"/>
          </w:tcPr>
          <w:p>
            <w:pPr>
              <w:spacing w:after="0"/>
              <w:rPr>
                <w:sz w:val="4"/>
                <w:szCs w:val="4"/>
                <w:color w:val="auto"/>
              </w:rPr>
            </w:pPr>
          </w:p>
        </w:tc>
        <w:tc>
          <w:tcPr>
            <w:tcW w:w="3700" w:type="dxa"/>
            <w:vAlign w:val="bottom"/>
            <w:shd w:val="clear" w:color="auto" w:fill="D3DFEE"/>
          </w:tcPr>
          <w:p>
            <w:pPr>
              <w:spacing w:after="0"/>
              <w:rPr>
                <w:sz w:val="4"/>
                <w:szCs w:val="4"/>
                <w:color w:val="auto"/>
              </w:rPr>
            </w:pPr>
          </w:p>
        </w:tc>
      </w:tr>
    </w:tbl>
    <w:p>
      <w:pPr>
        <w:spacing w:after="0" w:line="212" w:lineRule="exact"/>
        <w:rPr>
          <w:sz w:val="20"/>
          <w:szCs w:val="20"/>
          <w:color w:val="auto"/>
        </w:rPr>
      </w:pPr>
    </w:p>
    <w:p>
      <w:pPr>
        <w:ind w:left="440" w:hanging="432"/>
        <w:spacing w:after="0"/>
        <w:tabs>
          <w:tab w:leader="none" w:pos="44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Performance Categories</w:t>
      </w:r>
    </w:p>
    <w:p>
      <w:pPr>
        <w:spacing w:after="0" w:line="237"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For purposes of calculating the Plan Award, performance will be measured in two categories of performance: Company Performance and Individual Performance.</w:t>
      </w:r>
    </w:p>
    <w:p>
      <w:pPr>
        <w:spacing w:after="0" w:line="181" w:lineRule="exact"/>
        <w:rPr>
          <w:sz w:val="20"/>
          <w:szCs w:val="20"/>
          <w:color w:val="auto"/>
        </w:rPr>
      </w:pPr>
    </w:p>
    <w:p>
      <w:pPr>
        <w:ind w:left="440" w:hanging="432"/>
        <w:spacing w:after="0"/>
        <w:tabs>
          <w:tab w:leader="none" w:pos="44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Company Performance Measurements</w:t>
      </w:r>
    </w:p>
    <w:p>
      <w:pPr>
        <w:spacing w:after="0" w:line="237"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22"/>
          <w:szCs w:val="22"/>
          <w:color w:val="auto"/>
        </w:rPr>
        <w:t>For each Plan Year, the Board and/or Talent and Compensation Committee will set Company performance criteria to be used under the STI Plan for the Plan Year.</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Performance measurements generally will not be modified or adjusted once they are established for the Plan Year unless:</w:t>
      </w:r>
    </w:p>
    <w:p>
      <w:pPr>
        <w:spacing w:after="0" w:line="26" w:lineRule="exact"/>
        <w:rPr>
          <w:sz w:val="20"/>
          <w:szCs w:val="20"/>
          <w:color w:val="auto"/>
        </w:rPr>
      </w:pPr>
    </w:p>
    <w:p>
      <w:pPr>
        <w:ind w:left="760" w:hanging="3"/>
        <w:spacing w:after="0" w:line="237" w:lineRule="auto"/>
        <w:tabs>
          <w:tab w:leader="none" w:pos="110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unforeseen circumstances occur which would have influenced the setting of the measurements, had such circumstances been known at that time; or (ii) significant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500380</wp:posOffset>
            </wp:positionV>
            <wp:extent cx="1722755" cy="5657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0">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65785"/>
                    </a:xfrm>
                    <a:prstGeom prst="rect">
                      <a:avLst/>
                    </a:prstGeom>
                    <a:noFill/>
                  </pic:spPr>
                </pic:pic>
              </a:graphicData>
            </a:graphic>
          </wp:anchor>
        </w:drawing>
      </w:r>
    </w:p>
    <w:p>
      <w:pPr>
        <w:spacing w:after="0" w:line="227"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unusual activity occurs during the course of the Plan Year that had not been known or anticipated when setting the performance measurements. Any such change will require the approval of the Board and/or Talent and Compensation Committee.</w:t>
      </w:r>
    </w:p>
    <w:p>
      <w:pPr>
        <w:spacing w:after="0" w:line="196" w:lineRule="exact"/>
        <w:rPr>
          <w:sz w:val="20"/>
          <w:szCs w:val="20"/>
          <w:color w:val="auto"/>
        </w:rPr>
      </w:pPr>
    </w:p>
    <w:p>
      <w:pPr>
        <w:ind w:left="440" w:hanging="432"/>
        <w:spacing w:after="0"/>
        <w:tabs>
          <w:tab w:leader="none" w:pos="44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Individual Performance Measurements</w:t>
      </w:r>
    </w:p>
    <w:p>
      <w:pPr>
        <w:spacing w:after="0" w:line="242"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A Participant’s Individual Performance rating will be based on his/her achievement of performance standards/goals as determined by the Administrator, upon recommendation of each Participant’s supervisor. Such performance standards/goals should primarily relate to the Participant’s area of responsibility (where the participant is responsible for management of a department, division, or other business unit) or the Participant’s individual performance (where such Participant has little or no management responsibilities).</w:t>
      </w:r>
    </w:p>
    <w:p>
      <w:pPr>
        <w:spacing w:after="0" w:line="176" w:lineRule="exact"/>
        <w:rPr>
          <w:sz w:val="20"/>
          <w:szCs w:val="20"/>
          <w:color w:val="auto"/>
        </w:rPr>
      </w:pPr>
    </w:p>
    <w:p>
      <w:pPr>
        <w:ind w:left="440" w:hanging="432"/>
        <w:spacing w:after="0"/>
        <w:tabs>
          <w:tab w:leader="none" w:pos="44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Minimum Required Level of Company Performance</w:t>
      </w:r>
    </w:p>
    <w:p>
      <w:pPr>
        <w:spacing w:after="0" w:line="237"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As indicated in Section 6, Company Performance measurements will be set for each Plan Year. Additionally, the Board and/or Talent and Compensation Committee may establish a minimum level of performance, defined as the “Company Threshold”, for the Company Performance measurements. Performance below any established Company Threshold will result in the forfeiture of all Plan Awards for such Plan Year (regardless of Individual Performance).</w:t>
      </w:r>
    </w:p>
    <w:p>
      <w:pPr>
        <w:spacing w:after="0" w:line="203" w:lineRule="exact"/>
        <w:rPr>
          <w:sz w:val="20"/>
          <w:szCs w:val="20"/>
          <w:color w:val="auto"/>
        </w:rPr>
      </w:pPr>
    </w:p>
    <w:p>
      <w:pPr>
        <w:ind w:left="440" w:hanging="432"/>
        <w:spacing w:after="0"/>
        <w:tabs>
          <w:tab w:leader="none" w:pos="44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Calculation of a Participant’s Plan Award</w:t>
      </w:r>
    </w:p>
    <w:p>
      <w:pPr>
        <w:spacing w:after="0" w:line="237"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If the Corporate Threshold is met (when applicable), the amount paid with respect to a Participant’s Plan Award is determined based on the achievement of two components. The first component is tied to the achievement of Company Performance, as determined by the Board and/or the Talent and Compensation Committee, as applicable, and the second component is tied to the Participant’s Individual Performance, as assessed by the Administrator.</w:t>
      </w:r>
    </w:p>
    <w:p>
      <w:pPr>
        <w:spacing w:after="0" w:line="207"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To calculate a Participant’s Plan Award, the Target Award is multiplied by the Company Performance result (Corporate Achievement Score) and then by the Individual Performance result (Individual Achievement Score), each expressed as a percentage of achievement. See Figure 2.</w:t>
      </w:r>
    </w:p>
    <w:p>
      <w:pPr>
        <w:spacing w:after="0" w:line="200"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Participants may be eligible to earn more than their Target Award, based on a multiplier of up to 150% for Individual Performance and up to 150% for Corporate Performance, when there is outstanding performance in either category.</w:t>
      </w:r>
    </w:p>
    <w:p>
      <w:pPr>
        <w:spacing w:after="0" w:line="18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A Plan Award may be reduced (including to zero) if a Participant is not in compliance with all Company policies and guidelines and all applicable laws, as determined in the sole discretion of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500380</wp:posOffset>
            </wp:positionV>
            <wp:extent cx="1722755" cy="5657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2">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657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Figure 2: Actual STI Plan Award Calculation Example</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jc w:val="center"/>
              <w:ind w:right="26"/>
              <w:spacing w:after="0"/>
              <w:rPr>
                <w:sz w:val="20"/>
                <w:szCs w:val="20"/>
                <w:color w:val="auto"/>
              </w:rPr>
            </w:pPr>
            <w:r>
              <w:rPr>
                <w:rFonts w:ascii="Times New Roman" w:cs="Times New Roman" w:eastAsia="Times New Roman" w:hAnsi="Times New Roman"/>
                <w:sz w:val="20"/>
                <w:szCs w:val="20"/>
                <w:b w:val="1"/>
                <w:bCs w:val="1"/>
                <w:color w:val="365F91"/>
                <w:w w:val="98"/>
              </w:rPr>
              <w:t>Company</w:t>
            </w:r>
          </w:p>
        </w:tc>
        <w:tc>
          <w:tcPr>
            <w:tcW w:w="180" w:type="dxa"/>
            <w:vAlign w:val="bottom"/>
          </w:tcPr>
          <w:p>
            <w:pPr>
              <w:spacing w:after="0"/>
              <w:rPr>
                <w:sz w:val="19"/>
                <w:szCs w:val="19"/>
                <w:color w:val="auto"/>
              </w:rPr>
            </w:pPr>
          </w:p>
        </w:tc>
        <w:tc>
          <w:tcPr>
            <w:tcW w:w="1720" w:type="dxa"/>
            <w:vAlign w:val="bottom"/>
          </w:tcPr>
          <w:p>
            <w:pPr>
              <w:jc w:val="center"/>
              <w:ind w:right="427"/>
              <w:spacing w:after="0"/>
              <w:rPr>
                <w:sz w:val="20"/>
                <w:szCs w:val="20"/>
                <w:color w:val="auto"/>
              </w:rPr>
            </w:pPr>
            <w:r>
              <w:rPr>
                <w:rFonts w:ascii="Times New Roman" w:cs="Times New Roman" w:eastAsia="Times New Roman" w:hAnsi="Times New Roman"/>
                <w:sz w:val="20"/>
                <w:szCs w:val="20"/>
                <w:b w:val="1"/>
                <w:bCs w:val="1"/>
                <w:color w:val="365F91"/>
                <w:w w:val="98"/>
              </w:rPr>
              <w:t>Individual</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820" w:type="dxa"/>
            <w:vAlign w:val="bottom"/>
            <w:gridSpan w:val="5"/>
          </w:tcPr>
          <w:p>
            <w:pPr>
              <w:ind w:left="200"/>
              <w:spacing w:after="0"/>
              <w:rPr>
                <w:sz w:val="20"/>
                <w:szCs w:val="20"/>
                <w:color w:val="auto"/>
              </w:rPr>
            </w:pPr>
            <w:r>
              <w:rPr>
                <w:rFonts w:ascii="Times New Roman" w:cs="Times New Roman" w:eastAsia="Times New Roman" w:hAnsi="Times New Roman"/>
                <w:sz w:val="20"/>
                <w:szCs w:val="20"/>
                <w:b w:val="1"/>
                <w:bCs w:val="1"/>
                <w:color w:val="365F91"/>
              </w:rPr>
              <w:t>Target Award</w:t>
            </w:r>
          </w:p>
        </w:tc>
        <w:tc>
          <w:tcPr>
            <w:tcW w:w="1900" w:type="dxa"/>
            <w:vAlign w:val="bottom"/>
          </w:tcPr>
          <w:p>
            <w:pPr>
              <w:ind w:left="420"/>
              <w:spacing w:after="0"/>
              <w:rPr>
                <w:sz w:val="20"/>
                <w:szCs w:val="20"/>
                <w:color w:val="auto"/>
              </w:rPr>
            </w:pPr>
            <w:r>
              <w:rPr>
                <w:rFonts w:ascii="Times New Roman" w:cs="Times New Roman" w:eastAsia="Times New Roman" w:hAnsi="Times New Roman"/>
                <w:sz w:val="20"/>
                <w:szCs w:val="20"/>
                <w:b w:val="1"/>
                <w:bCs w:val="1"/>
                <w:color w:val="365F91"/>
              </w:rPr>
              <w:t>Company</w:t>
            </w:r>
          </w:p>
        </w:tc>
        <w:tc>
          <w:tcPr>
            <w:tcW w:w="170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365F91"/>
              </w:rPr>
              <w:t>Individual</w:t>
            </w:r>
          </w:p>
        </w:tc>
        <w:tc>
          <w:tcPr>
            <w:tcW w:w="2060" w:type="dxa"/>
            <w:vAlign w:val="bottom"/>
          </w:tcPr>
          <w:p>
            <w:pPr>
              <w:jc w:val="center"/>
              <w:ind w:right="26"/>
              <w:spacing w:after="0"/>
              <w:rPr>
                <w:sz w:val="20"/>
                <w:szCs w:val="20"/>
                <w:color w:val="auto"/>
              </w:rPr>
            </w:pPr>
            <w:r>
              <w:rPr>
                <w:rFonts w:ascii="Times New Roman" w:cs="Times New Roman" w:eastAsia="Times New Roman" w:hAnsi="Times New Roman"/>
                <w:sz w:val="20"/>
                <w:szCs w:val="20"/>
                <w:b w:val="1"/>
                <w:bCs w:val="1"/>
                <w:color w:val="365F91"/>
                <w:w w:val="98"/>
              </w:rPr>
              <w:t>Performance</w:t>
            </w:r>
          </w:p>
        </w:tc>
        <w:tc>
          <w:tcPr>
            <w:tcW w:w="180" w:type="dxa"/>
            <w:vAlign w:val="bottom"/>
          </w:tcPr>
          <w:p>
            <w:pPr>
              <w:spacing w:after="0"/>
              <w:rPr>
                <w:sz w:val="19"/>
                <w:szCs w:val="19"/>
                <w:color w:val="auto"/>
              </w:rPr>
            </w:pPr>
          </w:p>
        </w:tc>
        <w:tc>
          <w:tcPr>
            <w:tcW w:w="1720" w:type="dxa"/>
            <w:vAlign w:val="bottom"/>
          </w:tcPr>
          <w:p>
            <w:pPr>
              <w:jc w:val="center"/>
              <w:ind w:right="407"/>
              <w:spacing w:after="0"/>
              <w:rPr>
                <w:sz w:val="20"/>
                <w:szCs w:val="20"/>
                <w:color w:val="auto"/>
              </w:rPr>
            </w:pPr>
            <w:r>
              <w:rPr>
                <w:rFonts w:ascii="Times New Roman" w:cs="Times New Roman" w:eastAsia="Times New Roman" w:hAnsi="Times New Roman"/>
                <w:sz w:val="20"/>
                <w:szCs w:val="20"/>
                <w:b w:val="1"/>
                <w:bCs w:val="1"/>
                <w:color w:val="365F91"/>
                <w:w w:val="98"/>
              </w:rPr>
              <w:t>Performance</w:t>
            </w:r>
          </w:p>
        </w:tc>
        <w:tc>
          <w:tcPr>
            <w:tcW w:w="17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365F91"/>
              </w:rPr>
              <w:t>Total Award</w:t>
            </w:r>
          </w:p>
        </w:tc>
        <w:tc>
          <w:tcPr>
            <w:tcW w:w="0" w:type="dxa"/>
            <w:vAlign w:val="bottom"/>
          </w:tcPr>
          <w:p>
            <w:pPr>
              <w:spacing w:after="0"/>
              <w:rPr>
                <w:sz w:val="1"/>
                <w:szCs w:val="1"/>
                <w:color w:val="auto"/>
              </w:rPr>
            </w:pPr>
          </w:p>
        </w:tc>
      </w:tr>
      <w:tr>
        <w:trPr>
          <w:trHeight w:val="256"/>
        </w:trPr>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20"/>
                <w:szCs w:val="20"/>
                <w:b w:val="1"/>
                <w:bCs w:val="1"/>
                <w:color w:val="365F91"/>
                <w:w w:val="97"/>
              </w:rPr>
              <w:t>from Figure 1</w:t>
            </w:r>
          </w:p>
        </w:tc>
        <w:tc>
          <w:tcPr>
            <w:tcW w:w="190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20"/>
                <w:szCs w:val="20"/>
                <w:b w:val="1"/>
                <w:bCs w:val="1"/>
                <w:color w:val="365F91"/>
                <w:w w:val="98"/>
              </w:rPr>
              <w:t>Performance</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365F91"/>
                <w:w w:val="98"/>
              </w:rPr>
              <w:t>Performance</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365F91"/>
                <w:w w:val="98"/>
              </w:rPr>
              <w:t>Award Amount</w:t>
            </w: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center"/>
              <w:ind w:right="327"/>
              <w:spacing w:after="0"/>
              <w:rPr>
                <w:sz w:val="20"/>
                <w:szCs w:val="20"/>
                <w:color w:val="auto"/>
              </w:rPr>
            </w:pPr>
            <w:r>
              <w:rPr>
                <w:rFonts w:ascii="Times New Roman" w:cs="Times New Roman" w:eastAsia="Times New Roman" w:hAnsi="Times New Roman"/>
                <w:sz w:val="20"/>
                <w:szCs w:val="20"/>
                <w:b w:val="1"/>
                <w:bCs w:val="1"/>
                <w:color w:val="365F91"/>
                <w:w w:val="97"/>
              </w:rPr>
              <w:t>Award Amount</w:t>
            </w:r>
          </w:p>
        </w:tc>
        <w:tc>
          <w:tcPr>
            <w:tcW w:w="174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20"/>
                <w:szCs w:val="20"/>
                <w:b w:val="1"/>
                <w:bCs w:val="1"/>
                <w:color w:val="365F91"/>
                <w:w w:val="99"/>
              </w:rPr>
              <w:t>Amount</w:t>
            </w:r>
          </w:p>
        </w:tc>
        <w:tc>
          <w:tcPr>
            <w:tcW w:w="0" w:type="dxa"/>
            <w:vAlign w:val="bottom"/>
          </w:tcPr>
          <w:p>
            <w:pPr>
              <w:spacing w:after="0"/>
              <w:rPr>
                <w:sz w:val="1"/>
                <w:szCs w:val="1"/>
                <w:color w:val="auto"/>
              </w:rPr>
            </w:pPr>
          </w:p>
        </w:tc>
      </w:tr>
      <w:tr>
        <w:trPr>
          <w:trHeight w:val="187"/>
        </w:trPr>
        <w:tc>
          <w:tcPr>
            <w:tcW w:w="1440" w:type="dxa"/>
            <w:vAlign w:val="bottom"/>
            <w:tcBorders>
              <w:left w:val="single" w:sz="8" w:color="D3DFEE"/>
            </w:tcBorders>
            <w:gridSpan w:val="4"/>
            <w:shd w:val="clear" w:color="auto" w:fill="D3DFEE"/>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365F91"/>
              </w:rPr>
              <w:t>$10,000</w:t>
            </w:r>
          </w:p>
        </w:tc>
        <w:tc>
          <w:tcPr>
            <w:tcW w:w="180" w:type="dxa"/>
            <w:vAlign w:val="bottom"/>
            <w:shd w:val="clear" w:color="auto" w:fill="D3DFEE"/>
          </w:tcPr>
          <w:p>
            <w:pPr>
              <w:spacing w:after="0"/>
              <w:rPr>
                <w:sz w:val="16"/>
                <w:szCs w:val="16"/>
                <w:color w:val="auto"/>
              </w:rPr>
            </w:pPr>
          </w:p>
        </w:tc>
        <w:tc>
          <w:tcPr>
            <w:tcW w:w="320" w:type="dxa"/>
            <w:vAlign w:val="bottom"/>
            <w:shd w:val="clear" w:color="auto" w:fill="D3DFEE"/>
          </w:tcPr>
          <w:p>
            <w:pPr>
              <w:spacing w:after="0"/>
              <w:rPr>
                <w:sz w:val="16"/>
                <w:szCs w:val="16"/>
                <w:color w:val="auto"/>
              </w:rPr>
            </w:pPr>
          </w:p>
        </w:tc>
        <w:tc>
          <w:tcPr>
            <w:tcW w:w="1900" w:type="dxa"/>
            <w:vAlign w:val="bottom"/>
            <w:shd w:val="clear" w:color="auto" w:fill="D3DFEE"/>
          </w:tcPr>
          <w:p>
            <w:pPr>
              <w:jc w:val="center"/>
              <w:ind w:right="125"/>
              <w:spacing w:after="0" w:line="188" w:lineRule="exact"/>
              <w:rPr>
                <w:sz w:val="20"/>
                <w:szCs w:val="20"/>
                <w:color w:val="auto"/>
              </w:rPr>
            </w:pPr>
            <w:r>
              <w:rPr>
                <w:rFonts w:ascii="Times New Roman" w:cs="Times New Roman" w:eastAsia="Times New Roman" w:hAnsi="Times New Roman"/>
                <w:sz w:val="18"/>
                <w:szCs w:val="18"/>
                <w:b w:val="1"/>
                <w:bCs w:val="1"/>
                <w:color w:val="984806"/>
              </w:rPr>
              <w:t xml:space="preserve">95% </w:t>
            </w:r>
            <w:r>
              <w:rPr>
                <w:rFonts w:ascii="Times New Roman" w:cs="Times New Roman" w:eastAsia="Times New Roman" w:hAnsi="Times New Roman"/>
                <w:sz w:val="18"/>
                <w:szCs w:val="18"/>
                <w:color w:val="984806"/>
              </w:rPr>
              <w:t>company</w:t>
            </w:r>
          </w:p>
        </w:tc>
        <w:tc>
          <w:tcPr>
            <w:tcW w:w="1700" w:type="dxa"/>
            <w:vAlign w:val="bottom"/>
            <w:shd w:val="clear" w:color="auto" w:fill="D3DFEE"/>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5F497A"/>
              </w:rPr>
              <w:t xml:space="preserve">90% </w:t>
            </w:r>
            <w:r>
              <w:rPr>
                <w:rFonts w:ascii="Times New Roman" w:cs="Times New Roman" w:eastAsia="Times New Roman" w:hAnsi="Times New Roman"/>
                <w:sz w:val="18"/>
                <w:szCs w:val="18"/>
                <w:color w:val="365F91"/>
              </w:rPr>
              <w:t>achievement</w:t>
            </w:r>
          </w:p>
        </w:tc>
        <w:tc>
          <w:tcPr>
            <w:tcW w:w="2060" w:type="dxa"/>
            <w:vAlign w:val="bottom"/>
            <w:shd w:val="clear" w:color="auto" w:fill="D3DFEE"/>
          </w:tcPr>
          <w:p>
            <w:pPr>
              <w:jc w:val="center"/>
              <w:ind w:right="6"/>
              <w:spacing w:after="0" w:line="188" w:lineRule="exact"/>
              <w:rPr>
                <w:sz w:val="20"/>
                <w:szCs w:val="20"/>
                <w:color w:val="auto"/>
              </w:rPr>
            </w:pPr>
            <w:r>
              <w:rPr>
                <w:rFonts w:ascii="Times New Roman" w:cs="Times New Roman" w:eastAsia="Times New Roman" w:hAnsi="Times New Roman"/>
                <w:sz w:val="18"/>
                <w:szCs w:val="18"/>
                <w:color w:val="365F91"/>
                <w:w w:val="99"/>
              </w:rPr>
              <w:t>$10,000 x</w:t>
            </w:r>
          </w:p>
        </w:tc>
        <w:tc>
          <w:tcPr>
            <w:tcW w:w="180" w:type="dxa"/>
            <w:vAlign w:val="bottom"/>
            <w:tcBorders>
              <w:right w:val="single" w:sz="8" w:color="D3DFEE"/>
            </w:tcBorders>
            <w:shd w:val="clear" w:color="auto" w:fill="D3DFEE"/>
          </w:tcPr>
          <w:p>
            <w:pPr>
              <w:spacing w:after="0"/>
              <w:rPr>
                <w:sz w:val="16"/>
                <w:szCs w:val="16"/>
                <w:color w:val="auto"/>
              </w:rPr>
            </w:pPr>
          </w:p>
        </w:tc>
        <w:tc>
          <w:tcPr>
            <w:tcW w:w="1720" w:type="dxa"/>
            <w:vAlign w:val="bottom"/>
            <w:tcBorders>
              <w:right w:val="single" w:sz="8" w:color="D3DFEE"/>
            </w:tcBorders>
            <w:shd w:val="clear" w:color="auto" w:fill="D3DFEE"/>
          </w:tcPr>
          <w:p>
            <w:pPr>
              <w:jc w:val="center"/>
              <w:ind w:right="407"/>
              <w:spacing w:after="0" w:line="188" w:lineRule="exact"/>
              <w:rPr>
                <w:sz w:val="20"/>
                <w:szCs w:val="20"/>
                <w:color w:val="auto"/>
              </w:rPr>
            </w:pPr>
            <w:r>
              <w:rPr>
                <w:rFonts w:ascii="Times New Roman" w:cs="Times New Roman" w:eastAsia="Times New Roman" w:hAnsi="Times New Roman"/>
                <w:sz w:val="18"/>
                <w:szCs w:val="18"/>
                <w:color w:val="365F91"/>
                <w:w w:val="98"/>
              </w:rPr>
              <w:t>$9,500 x</w:t>
            </w:r>
          </w:p>
        </w:tc>
        <w:tc>
          <w:tcPr>
            <w:tcW w:w="1740" w:type="dxa"/>
            <w:vAlign w:val="bottom"/>
            <w:tcBorders>
              <w:right w:val="single" w:sz="8" w:color="D3DFEE"/>
            </w:tcBorders>
            <w:shd w:val="clear" w:color="auto" w:fill="D3DFEE"/>
          </w:tcPr>
          <w:p>
            <w:pPr>
              <w:jc w:val="center"/>
              <w:ind w:right="507"/>
              <w:spacing w:after="0" w:line="188" w:lineRule="exact"/>
              <w:rPr>
                <w:sz w:val="20"/>
                <w:szCs w:val="20"/>
                <w:color w:val="auto"/>
              </w:rPr>
            </w:pPr>
            <w:r>
              <w:rPr>
                <w:rFonts w:ascii="Times New Roman" w:cs="Times New Roman" w:eastAsia="Times New Roman" w:hAnsi="Times New Roman"/>
                <w:sz w:val="18"/>
                <w:szCs w:val="18"/>
                <w:color w:val="365F91"/>
              </w:rPr>
              <w:t xml:space="preserve">= </w:t>
            </w:r>
            <w:r>
              <w:rPr>
                <w:rFonts w:ascii="Times New Roman" w:cs="Times New Roman" w:eastAsia="Times New Roman" w:hAnsi="Times New Roman"/>
                <w:sz w:val="18"/>
                <w:szCs w:val="18"/>
                <w:b w:val="1"/>
                <w:bCs w:val="1"/>
                <w:color w:val="365F91"/>
              </w:rPr>
              <w:t>$8,550</w:t>
            </w:r>
          </w:p>
        </w:tc>
        <w:tc>
          <w:tcPr>
            <w:tcW w:w="0" w:type="dxa"/>
            <w:vAlign w:val="bottom"/>
          </w:tcPr>
          <w:p>
            <w:pPr>
              <w:spacing w:after="0"/>
              <w:rPr>
                <w:sz w:val="1"/>
                <w:szCs w:val="1"/>
                <w:color w:val="auto"/>
              </w:rPr>
            </w:pPr>
          </w:p>
        </w:tc>
      </w:tr>
      <w:tr>
        <w:trPr>
          <w:trHeight w:val="216"/>
        </w:trPr>
        <w:tc>
          <w:tcPr>
            <w:tcW w:w="120" w:type="dxa"/>
            <w:vAlign w:val="bottom"/>
            <w:tcBorders>
              <w:left w:val="single" w:sz="8" w:color="D3DFEE"/>
            </w:tcBorders>
            <w:shd w:val="clear" w:color="auto" w:fill="D3DFEE"/>
          </w:tcPr>
          <w:p>
            <w:pPr>
              <w:spacing w:after="0"/>
              <w:rPr>
                <w:sz w:val="18"/>
                <w:szCs w:val="18"/>
                <w:color w:val="auto"/>
              </w:rPr>
            </w:pPr>
          </w:p>
        </w:tc>
        <w:tc>
          <w:tcPr>
            <w:tcW w:w="780" w:type="dxa"/>
            <w:vAlign w:val="bottom"/>
            <w:shd w:val="clear" w:color="auto" w:fill="D3DFEE"/>
          </w:tcPr>
          <w:p>
            <w:pPr>
              <w:spacing w:after="0"/>
              <w:rPr>
                <w:sz w:val="18"/>
                <w:szCs w:val="18"/>
                <w:color w:val="auto"/>
              </w:rPr>
            </w:pPr>
          </w:p>
        </w:tc>
        <w:tc>
          <w:tcPr>
            <w:tcW w:w="120" w:type="dxa"/>
            <w:vAlign w:val="bottom"/>
            <w:shd w:val="clear" w:color="auto" w:fill="D3DFEE"/>
          </w:tcPr>
          <w:p>
            <w:pPr>
              <w:spacing w:after="0"/>
              <w:rPr>
                <w:sz w:val="18"/>
                <w:szCs w:val="18"/>
                <w:color w:val="auto"/>
              </w:rPr>
            </w:pPr>
          </w:p>
        </w:tc>
        <w:tc>
          <w:tcPr>
            <w:tcW w:w="420" w:type="dxa"/>
            <w:vAlign w:val="bottom"/>
            <w:shd w:val="clear" w:color="auto" w:fill="D3DFEE"/>
          </w:tcPr>
          <w:p>
            <w:pPr>
              <w:spacing w:after="0"/>
              <w:rPr>
                <w:sz w:val="18"/>
                <w:szCs w:val="18"/>
                <w:color w:val="auto"/>
              </w:rPr>
            </w:pPr>
          </w:p>
        </w:tc>
        <w:tc>
          <w:tcPr>
            <w:tcW w:w="180" w:type="dxa"/>
            <w:vAlign w:val="bottom"/>
            <w:shd w:val="clear" w:color="auto" w:fill="D3DFEE"/>
          </w:tcPr>
          <w:p>
            <w:pPr>
              <w:spacing w:after="0"/>
              <w:rPr>
                <w:sz w:val="18"/>
                <w:szCs w:val="18"/>
                <w:color w:val="auto"/>
              </w:rPr>
            </w:pPr>
          </w:p>
        </w:tc>
        <w:tc>
          <w:tcPr>
            <w:tcW w:w="320" w:type="dxa"/>
            <w:vAlign w:val="bottom"/>
            <w:shd w:val="clear" w:color="auto" w:fill="D3DFEE"/>
          </w:tcPr>
          <w:p>
            <w:pPr>
              <w:spacing w:after="0"/>
              <w:rPr>
                <w:sz w:val="18"/>
                <w:szCs w:val="18"/>
                <w:color w:val="auto"/>
              </w:rPr>
            </w:pPr>
          </w:p>
        </w:tc>
        <w:tc>
          <w:tcPr>
            <w:tcW w:w="1900" w:type="dxa"/>
            <w:vAlign w:val="bottom"/>
            <w:shd w:val="clear" w:color="auto" w:fill="D3DFEE"/>
          </w:tcPr>
          <w:p>
            <w:pPr>
              <w:jc w:val="center"/>
              <w:ind w:right="85"/>
              <w:spacing w:after="0"/>
              <w:rPr>
                <w:sz w:val="20"/>
                <w:szCs w:val="20"/>
                <w:color w:val="auto"/>
              </w:rPr>
            </w:pPr>
            <w:r>
              <w:rPr>
                <w:rFonts w:ascii="Times New Roman" w:cs="Times New Roman" w:eastAsia="Times New Roman" w:hAnsi="Times New Roman"/>
                <w:sz w:val="18"/>
                <w:szCs w:val="18"/>
                <w:color w:val="365F91"/>
              </w:rPr>
              <w:t>achievement</w:t>
            </w:r>
          </w:p>
        </w:tc>
        <w:tc>
          <w:tcPr>
            <w:tcW w:w="1700" w:type="dxa"/>
            <w:vAlign w:val="bottom"/>
            <w:shd w:val="clear" w:color="auto" w:fill="D3DFEE"/>
          </w:tcPr>
          <w:p>
            <w:pPr>
              <w:jc w:val="center"/>
              <w:spacing w:after="0"/>
              <w:rPr>
                <w:sz w:val="20"/>
                <w:szCs w:val="20"/>
                <w:color w:val="auto"/>
              </w:rPr>
            </w:pPr>
            <w:r>
              <w:rPr>
                <w:rFonts w:ascii="Times New Roman" w:cs="Times New Roman" w:eastAsia="Times New Roman" w:hAnsi="Times New Roman"/>
                <w:sz w:val="18"/>
                <w:szCs w:val="18"/>
                <w:color w:val="365F91"/>
                <w:w w:val="99"/>
              </w:rPr>
              <w:t>(Successful-3)</w:t>
            </w:r>
          </w:p>
        </w:tc>
        <w:tc>
          <w:tcPr>
            <w:tcW w:w="2060" w:type="dxa"/>
            <w:vAlign w:val="bottom"/>
            <w:shd w:val="clear" w:color="auto" w:fill="D3DFEE"/>
          </w:tcPr>
          <w:p>
            <w:pPr>
              <w:jc w:val="center"/>
              <w:ind w:right="26"/>
              <w:spacing w:after="0"/>
              <w:rPr>
                <w:sz w:val="20"/>
                <w:szCs w:val="20"/>
                <w:color w:val="auto"/>
              </w:rPr>
            </w:pPr>
            <w:r>
              <w:rPr>
                <w:rFonts w:ascii="Times New Roman" w:cs="Times New Roman" w:eastAsia="Times New Roman" w:hAnsi="Times New Roman"/>
                <w:sz w:val="18"/>
                <w:szCs w:val="18"/>
                <w:b w:val="1"/>
                <w:bCs w:val="1"/>
                <w:color w:val="984806"/>
                <w:w w:val="99"/>
              </w:rPr>
              <w:t xml:space="preserve">95% </w:t>
            </w:r>
            <w:r>
              <w:rPr>
                <w:rFonts w:ascii="Times New Roman" w:cs="Times New Roman" w:eastAsia="Times New Roman" w:hAnsi="Times New Roman"/>
                <w:sz w:val="18"/>
                <w:szCs w:val="18"/>
                <w:color w:val="984806"/>
                <w:w w:val="99"/>
              </w:rPr>
              <w:t>company</w:t>
            </w:r>
          </w:p>
        </w:tc>
        <w:tc>
          <w:tcPr>
            <w:tcW w:w="180" w:type="dxa"/>
            <w:vAlign w:val="bottom"/>
            <w:tcBorders>
              <w:right w:val="single" w:sz="8" w:color="D3DFEE"/>
            </w:tcBorders>
            <w:shd w:val="clear" w:color="auto" w:fill="D3DFEE"/>
          </w:tcPr>
          <w:p>
            <w:pPr>
              <w:spacing w:after="0"/>
              <w:rPr>
                <w:sz w:val="18"/>
                <w:szCs w:val="18"/>
                <w:color w:val="auto"/>
              </w:rPr>
            </w:pPr>
          </w:p>
        </w:tc>
        <w:tc>
          <w:tcPr>
            <w:tcW w:w="1720" w:type="dxa"/>
            <w:vAlign w:val="bottom"/>
            <w:tcBorders>
              <w:right w:val="single" w:sz="8" w:color="D3DFEE"/>
            </w:tcBorders>
            <w:shd w:val="clear" w:color="auto" w:fill="D3DFEE"/>
          </w:tcPr>
          <w:p>
            <w:pPr>
              <w:jc w:val="center"/>
              <w:ind w:right="407"/>
              <w:spacing w:after="0"/>
              <w:rPr>
                <w:sz w:val="20"/>
                <w:szCs w:val="20"/>
                <w:color w:val="auto"/>
              </w:rPr>
            </w:pPr>
            <w:r>
              <w:rPr>
                <w:rFonts w:ascii="Times New Roman" w:cs="Times New Roman" w:eastAsia="Times New Roman" w:hAnsi="Times New Roman"/>
                <w:sz w:val="18"/>
                <w:szCs w:val="18"/>
                <w:b w:val="1"/>
                <w:bCs w:val="1"/>
                <w:color w:val="5F497A"/>
              </w:rPr>
              <w:t xml:space="preserve">90% </w:t>
            </w:r>
            <w:r>
              <w:rPr>
                <w:rFonts w:ascii="Times New Roman" w:cs="Times New Roman" w:eastAsia="Times New Roman" w:hAnsi="Times New Roman"/>
                <w:sz w:val="18"/>
                <w:szCs w:val="18"/>
                <w:color w:val="5F497A"/>
              </w:rPr>
              <w:t>individual</w:t>
            </w:r>
          </w:p>
        </w:tc>
        <w:tc>
          <w:tcPr>
            <w:tcW w:w="1740" w:type="dxa"/>
            <w:vAlign w:val="bottom"/>
            <w:tcBorders>
              <w:right w:val="single" w:sz="8" w:color="D3DFEE"/>
            </w:tcBorders>
            <w:shd w:val="clear" w:color="auto" w:fill="D3DFE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Borders>
              <w:left w:val="single" w:sz="8" w:color="D3DFEE"/>
            </w:tcBorders>
            <w:shd w:val="clear" w:color="auto" w:fill="D3DFEE"/>
          </w:tcPr>
          <w:p>
            <w:pPr>
              <w:spacing w:after="0"/>
              <w:rPr>
                <w:sz w:val="20"/>
                <w:szCs w:val="20"/>
                <w:color w:val="auto"/>
              </w:rPr>
            </w:pPr>
          </w:p>
        </w:tc>
        <w:tc>
          <w:tcPr>
            <w:tcW w:w="780" w:type="dxa"/>
            <w:vAlign w:val="bottom"/>
            <w:shd w:val="clear" w:color="auto" w:fill="D3DFEE"/>
          </w:tcPr>
          <w:p>
            <w:pPr>
              <w:spacing w:after="0"/>
              <w:rPr>
                <w:sz w:val="20"/>
                <w:szCs w:val="20"/>
                <w:color w:val="auto"/>
              </w:rPr>
            </w:pPr>
          </w:p>
        </w:tc>
        <w:tc>
          <w:tcPr>
            <w:tcW w:w="120" w:type="dxa"/>
            <w:vAlign w:val="bottom"/>
            <w:shd w:val="clear" w:color="auto" w:fill="D3DFEE"/>
          </w:tcPr>
          <w:p>
            <w:pPr>
              <w:spacing w:after="0"/>
              <w:rPr>
                <w:sz w:val="20"/>
                <w:szCs w:val="20"/>
                <w:color w:val="auto"/>
              </w:rPr>
            </w:pPr>
          </w:p>
        </w:tc>
        <w:tc>
          <w:tcPr>
            <w:tcW w:w="420" w:type="dxa"/>
            <w:vAlign w:val="bottom"/>
            <w:shd w:val="clear" w:color="auto" w:fill="D3DFEE"/>
          </w:tcPr>
          <w:p>
            <w:pPr>
              <w:spacing w:after="0"/>
              <w:rPr>
                <w:sz w:val="20"/>
                <w:szCs w:val="20"/>
                <w:color w:val="auto"/>
              </w:rPr>
            </w:pPr>
          </w:p>
        </w:tc>
        <w:tc>
          <w:tcPr>
            <w:tcW w:w="180" w:type="dxa"/>
            <w:vAlign w:val="bottom"/>
            <w:shd w:val="clear" w:color="auto" w:fill="D3DFEE"/>
          </w:tcPr>
          <w:p>
            <w:pPr>
              <w:spacing w:after="0"/>
              <w:rPr>
                <w:sz w:val="20"/>
                <w:szCs w:val="20"/>
                <w:color w:val="auto"/>
              </w:rPr>
            </w:pPr>
          </w:p>
        </w:tc>
        <w:tc>
          <w:tcPr>
            <w:tcW w:w="320" w:type="dxa"/>
            <w:vAlign w:val="bottom"/>
            <w:shd w:val="clear" w:color="auto" w:fill="D3DFEE"/>
          </w:tcPr>
          <w:p>
            <w:pPr>
              <w:spacing w:after="0"/>
              <w:rPr>
                <w:sz w:val="20"/>
                <w:szCs w:val="20"/>
                <w:color w:val="auto"/>
              </w:rPr>
            </w:pPr>
          </w:p>
        </w:tc>
        <w:tc>
          <w:tcPr>
            <w:tcW w:w="1900" w:type="dxa"/>
            <w:vAlign w:val="bottom"/>
            <w:shd w:val="clear" w:color="auto" w:fill="D3DFEE"/>
          </w:tcPr>
          <w:p>
            <w:pPr>
              <w:spacing w:after="0"/>
              <w:rPr>
                <w:sz w:val="20"/>
                <w:szCs w:val="20"/>
                <w:color w:val="auto"/>
              </w:rPr>
            </w:pPr>
          </w:p>
        </w:tc>
        <w:tc>
          <w:tcPr>
            <w:tcW w:w="1700" w:type="dxa"/>
            <w:vAlign w:val="bottom"/>
            <w:shd w:val="clear" w:color="auto" w:fill="D3DFEE"/>
          </w:tcPr>
          <w:p>
            <w:pPr>
              <w:spacing w:after="0"/>
              <w:rPr>
                <w:sz w:val="20"/>
                <w:szCs w:val="20"/>
                <w:color w:val="auto"/>
              </w:rPr>
            </w:pPr>
          </w:p>
        </w:tc>
        <w:tc>
          <w:tcPr>
            <w:tcW w:w="2060" w:type="dxa"/>
            <w:vAlign w:val="bottom"/>
            <w:shd w:val="clear" w:color="auto" w:fill="D3DFEE"/>
          </w:tcPr>
          <w:p>
            <w:pPr>
              <w:jc w:val="center"/>
              <w:spacing w:after="0"/>
              <w:rPr>
                <w:sz w:val="20"/>
                <w:szCs w:val="20"/>
                <w:color w:val="auto"/>
              </w:rPr>
            </w:pPr>
            <w:r>
              <w:rPr>
                <w:rFonts w:ascii="Times New Roman" w:cs="Times New Roman" w:eastAsia="Times New Roman" w:hAnsi="Times New Roman"/>
                <w:sz w:val="18"/>
                <w:szCs w:val="18"/>
                <w:color w:val="365F91"/>
              </w:rPr>
              <w:t xml:space="preserve">achievement = </w:t>
            </w:r>
            <w:r>
              <w:rPr>
                <w:rFonts w:ascii="Times New Roman" w:cs="Times New Roman" w:eastAsia="Times New Roman" w:hAnsi="Times New Roman"/>
                <w:sz w:val="18"/>
                <w:szCs w:val="18"/>
                <w:b w:val="1"/>
                <w:bCs w:val="1"/>
                <w:color w:val="365F91"/>
              </w:rPr>
              <w:t>$9,500</w:t>
            </w:r>
          </w:p>
        </w:tc>
        <w:tc>
          <w:tcPr>
            <w:tcW w:w="1900" w:type="dxa"/>
            <w:vAlign w:val="bottom"/>
            <w:tcBorders>
              <w:right w:val="single" w:sz="8" w:color="D3DFEE"/>
            </w:tcBorders>
            <w:gridSpan w:val="2"/>
            <w:shd w:val="clear" w:color="auto" w:fill="D3DFEE"/>
          </w:tcPr>
          <w:p>
            <w:pPr>
              <w:jc w:val="center"/>
              <w:ind w:right="187"/>
              <w:spacing w:after="0"/>
              <w:rPr>
                <w:sz w:val="20"/>
                <w:szCs w:val="20"/>
                <w:color w:val="auto"/>
              </w:rPr>
            </w:pPr>
            <w:r>
              <w:rPr>
                <w:rFonts w:ascii="Times New Roman" w:cs="Times New Roman" w:eastAsia="Times New Roman" w:hAnsi="Times New Roman"/>
                <w:sz w:val="18"/>
                <w:szCs w:val="18"/>
                <w:color w:val="365F91"/>
                <w:w w:val="98"/>
              </w:rPr>
              <w:t xml:space="preserve">achievement = </w:t>
            </w:r>
            <w:r>
              <w:rPr>
                <w:rFonts w:ascii="Times New Roman" w:cs="Times New Roman" w:eastAsia="Times New Roman" w:hAnsi="Times New Roman"/>
                <w:sz w:val="18"/>
                <w:szCs w:val="18"/>
                <w:b w:val="1"/>
                <w:bCs w:val="1"/>
                <w:color w:val="365F91"/>
                <w:w w:val="98"/>
              </w:rPr>
              <w:t>$8,550</w:t>
            </w:r>
          </w:p>
        </w:tc>
        <w:tc>
          <w:tcPr>
            <w:tcW w:w="1740" w:type="dxa"/>
            <w:vAlign w:val="bottom"/>
            <w:tcBorders>
              <w:right w:val="single" w:sz="8" w:color="D3DFEE"/>
            </w:tcBorders>
            <w:shd w:val="clear" w:color="auto" w:fill="D3DF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D3DFEE"/>
              <w:bottom w:val="single" w:sz="8" w:color="auto"/>
            </w:tcBorders>
            <w:shd w:val="clear" w:color="auto" w:fill="D3DFEE"/>
          </w:tcPr>
          <w:p>
            <w:pPr>
              <w:spacing w:after="0"/>
              <w:rPr>
                <w:sz w:val="18"/>
                <w:szCs w:val="18"/>
                <w:color w:val="auto"/>
              </w:rPr>
            </w:pPr>
          </w:p>
        </w:tc>
        <w:tc>
          <w:tcPr>
            <w:tcW w:w="780" w:type="dxa"/>
            <w:vAlign w:val="bottom"/>
            <w:tcBorders>
              <w:bottom w:val="single" w:sz="8" w:color="auto"/>
            </w:tcBorders>
            <w:shd w:val="clear" w:color="auto" w:fill="D3DFEE"/>
          </w:tcPr>
          <w:p>
            <w:pPr>
              <w:spacing w:after="0"/>
              <w:rPr>
                <w:sz w:val="18"/>
                <w:szCs w:val="18"/>
                <w:color w:val="auto"/>
              </w:rPr>
            </w:pPr>
          </w:p>
        </w:tc>
        <w:tc>
          <w:tcPr>
            <w:tcW w:w="120" w:type="dxa"/>
            <w:vAlign w:val="bottom"/>
            <w:tcBorders>
              <w:bottom w:val="single" w:sz="8" w:color="auto"/>
            </w:tcBorders>
            <w:shd w:val="clear" w:color="auto" w:fill="D3DFEE"/>
          </w:tcPr>
          <w:p>
            <w:pPr>
              <w:spacing w:after="0"/>
              <w:rPr>
                <w:sz w:val="18"/>
                <w:szCs w:val="18"/>
                <w:color w:val="auto"/>
              </w:rPr>
            </w:pPr>
          </w:p>
        </w:tc>
        <w:tc>
          <w:tcPr>
            <w:tcW w:w="420" w:type="dxa"/>
            <w:vAlign w:val="bottom"/>
            <w:tcBorders>
              <w:bottom w:val="single" w:sz="8" w:color="auto"/>
            </w:tcBorders>
            <w:shd w:val="clear" w:color="auto" w:fill="D3DFEE"/>
          </w:tcPr>
          <w:p>
            <w:pPr>
              <w:spacing w:after="0"/>
              <w:rPr>
                <w:sz w:val="18"/>
                <w:szCs w:val="18"/>
                <w:color w:val="auto"/>
              </w:rPr>
            </w:pPr>
          </w:p>
        </w:tc>
        <w:tc>
          <w:tcPr>
            <w:tcW w:w="180" w:type="dxa"/>
            <w:vAlign w:val="bottom"/>
            <w:tcBorders>
              <w:bottom w:val="single" w:sz="8" w:color="auto"/>
            </w:tcBorders>
            <w:shd w:val="clear" w:color="auto" w:fill="D3DFEE"/>
          </w:tcPr>
          <w:p>
            <w:pPr>
              <w:spacing w:after="0"/>
              <w:rPr>
                <w:sz w:val="18"/>
                <w:szCs w:val="18"/>
                <w:color w:val="auto"/>
              </w:rPr>
            </w:pPr>
          </w:p>
        </w:tc>
        <w:tc>
          <w:tcPr>
            <w:tcW w:w="320" w:type="dxa"/>
            <w:vAlign w:val="bottom"/>
            <w:tcBorders>
              <w:bottom w:val="single" w:sz="8" w:color="auto"/>
            </w:tcBorders>
            <w:shd w:val="clear" w:color="auto" w:fill="D3DFEE"/>
          </w:tcPr>
          <w:p>
            <w:pPr>
              <w:spacing w:after="0"/>
              <w:rPr>
                <w:sz w:val="18"/>
                <w:szCs w:val="18"/>
                <w:color w:val="auto"/>
              </w:rPr>
            </w:pPr>
          </w:p>
        </w:tc>
        <w:tc>
          <w:tcPr>
            <w:tcW w:w="3600" w:type="dxa"/>
            <w:vAlign w:val="bottom"/>
            <w:tcBorders>
              <w:bottom w:val="single" w:sz="8" w:color="auto"/>
            </w:tcBorders>
            <w:gridSpan w:val="2"/>
            <w:shd w:val="clear" w:color="auto" w:fill="D3DFEE"/>
          </w:tcPr>
          <w:p>
            <w:pPr>
              <w:spacing w:after="0"/>
              <w:rPr>
                <w:sz w:val="18"/>
                <w:szCs w:val="18"/>
                <w:color w:val="auto"/>
              </w:rPr>
            </w:pPr>
          </w:p>
        </w:tc>
        <w:tc>
          <w:tcPr>
            <w:tcW w:w="2060" w:type="dxa"/>
            <w:vAlign w:val="bottom"/>
            <w:tcBorders>
              <w:bottom w:val="single" w:sz="8" w:color="auto"/>
            </w:tcBorders>
            <w:shd w:val="clear" w:color="auto" w:fill="D3DFEE"/>
          </w:tcPr>
          <w:p>
            <w:pPr>
              <w:spacing w:after="0"/>
              <w:rPr>
                <w:sz w:val="18"/>
                <w:szCs w:val="18"/>
                <w:color w:val="auto"/>
              </w:rPr>
            </w:pPr>
          </w:p>
        </w:tc>
        <w:tc>
          <w:tcPr>
            <w:tcW w:w="180" w:type="dxa"/>
            <w:vAlign w:val="bottom"/>
            <w:tcBorders>
              <w:bottom w:val="single" w:sz="8" w:color="auto"/>
              <w:right w:val="single" w:sz="8" w:color="D3DFEE"/>
            </w:tcBorders>
            <w:shd w:val="clear" w:color="auto" w:fill="D3DFEE"/>
          </w:tcPr>
          <w:p>
            <w:pPr>
              <w:spacing w:after="0"/>
              <w:rPr>
                <w:sz w:val="18"/>
                <w:szCs w:val="18"/>
                <w:color w:val="auto"/>
              </w:rPr>
            </w:pPr>
          </w:p>
        </w:tc>
        <w:tc>
          <w:tcPr>
            <w:tcW w:w="1720" w:type="dxa"/>
            <w:vAlign w:val="bottom"/>
            <w:tcBorders>
              <w:bottom w:val="single" w:sz="8" w:color="auto"/>
              <w:right w:val="single" w:sz="8" w:color="D3DFEE"/>
            </w:tcBorders>
            <w:shd w:val="clear" w:color="auto" w:fill="D3DFEE"/>
          </w:tcPr>
          <w:p>
            <w:pPr>
              <w:spacing w:after="0"/>
              <w:rPr>
                <w:sz w:val="18"/>
                <w:szCs w:val="18"/>
                <w:color w:val="auto"/>
              </w:rPr>
            </w:pPr>
          </w:p>
        </w:tc>
        <w:tc>
          <w:tcPr>
            <w:tcW w:w="1740" w:type="dxa"/>
            <w:vAlign w:val="bottom"/>
            <w:tcBorders>
              <w:bottom w:val="single" w:sz="8" w:color="auto"/>
              <w:right w:val="single" w:sz="8" w:color="D3DFEE"/>
            </w:tcBorders>
            <w:shd w:val="clear" w:color="auto" w:fill="D3DFE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2"/>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120" w:type="dxa"/>
            <w:vAlign w:val="bottom"/>
            <w:tcBorders>
              <w:top w:val="single" w:sz="8" w:color="auto"/>
              <w:left w:val="single" w:sz="8" w:color="auto"/>
            </w:tcBorders>
            <w:shd w:val="clear" w:color="auto" w:fill="DBE5F1"/>
          </w:tcPr>
          <w:p>
            <w:pPr>
              <w:spacing w:after="0"/>
              <w:rPr>
                <w:sz w:val="24"/>
                <w:szCs w:val="24"/>
                <w:color w:val="auto"/>
              </w:rPr>
            </w:pPr>
          </w:p>
        </w:tc>
        <w:tc>
          <w:tcPr>
            <w:tcW w:w="780" w:type="dxa"/>
            <w:vAlign w:val="bottom"/>
            <w:tcBorders>
              <w:top w:val="single" w:sz="8" w:color="auto"/>
            </w:tcBorders>
            <w:shd w:val="clear" w:color="auto" w:fill="DBE5F1"/>
          </w:tcPr>
          <w:p>
            <w:pPr>
              <w:spacing w:after="0"/>
              <w:rPr>
                <w:sz w:val="24"/>
                <w:szCs w:val="24"/>
                <w:color w:val="auto"/>
              </w:rPr>
            </w:pPr>
          </w:p>
        </w:tc>
        <w:tc>
          <w:tcPr>
            <w:tcW w:w="120" w:type="dxa"/>
            <w:vAlign w:val="bottom"/>
            <w:tcBorders>
              <w:top w:val="single" w:sz="8" w:color="auto"/>
            </w:tcBorders>
            <w:shd w:val="clear" w:color="auto" w:fill="DBE5F1"/>
          </w:tcPr>
          <w:p>
            <w:pPr>
              <w:spacing w:after="0"/>
              <w:rPr>
                <w:sz w:val="24"/>
                <w:szCs w:val="24"/>
                <w:color w:val="auto"/>
              </w:rPr>
            </w:pPr>
          </w:p>
        </w:tc>
        <w:tc>
          <w:tcPr>
            <w:tcW w:w="420" w:type="dxa"/>
            <w:vAlign w:val="bottom"/>
            <w:tcBorders>
              <w:top w:val="single" w:sz="8" w:color="auto"/>
            </w:tcBorders>
            <w:shd w:val="clear" w:color="auto" w:fill="DBE5F1"/>
          </w:tcPr>
          <w:p>
            <w:pPr>
              <w:spacing w:after="0"/>
              <w:rPr>
                <w:sz w:val="24"/>
                <w:szCs w:val="24"/>
                <w:color w:val="auto"/>
              </w:rPr>
            </w:pPr>
          </w:p>
        </w:tc>
        <w:tc>
          <w:tcPr>
            <w:tcW w:w="180" w:type="dxa"/>
            <w:vAlign w:val="bottom"/>
            <w:tcBorders>
              <w:top w:val="single" w:sz="8" w:color="auto"/>
            </w:tcBorders>
            <w:shd w:val="clear" w:color="auto" w:fill="DBE5F1"/>
          </w:tcPr>
          <w:p>
            <w:pPr>
              <w:spacing w:after="0"/>
              <w:rPr>
                <w:sz w:val="24"/>
                <w:szCs w:val="24"/>
                <w:color w:val="auto"/>
              </w:rPr>
            </w:pPr>
          </w:p>
        </w:tc>
        <w:tc>
          <w:tcPr>
            <w:tcW w:w="320" w:type="dxa"/>
            <w:vAlign w:val="bottom"/>
            <w:tcBorders>
              <w:top w:val="single" w:sz="8" w:color="auto"/>
            </w:tcBorders>
            <w:shd w:val="clear" w:color="auto" w:fill="DBE5F1"/>
          </w:tcPr>
          <w:p>
            <w:pPr>
              <w:spacing w:after="0"/>
              <w:rPr>
                <w:sz w:val="24"/>
                <w:szCs w:val="24"/>
                <w:color w:val="auto"/>
              </w:rPr>
            </w:pPr>
          </w:p>
        </w:tc>
        <w:tc>
          <w:tcPr>
            <w:tcW w:w="3600" w:type="dxa"/>
            <w:vAlign w:val="bottom"/>
            <w:tcBorders>
              <w:top w:val="single" w:sz="8" w:color="auto"/>
            </w:tcBorders>
            <w:gridSpan w:val="2"/>
            <w:shd w:val="clear" w:color="auto" w:fill="DBE5F1"/>
          </w:tcPr>
          <w:p>
            <w:pPr>
              <w:ind w:left="1060"/>
              <w:spacing w:after="0"/>
              <w:rPr>
                <w:sz w:val="20"/>
                <w:szCs w:val="20"/>
                <w:color w:val="auto"/>
              </w:rPr>
            </w:pPr>
            <w:r>
              <w:rPr>
                <w:rFonts w:ascii="Times New Roman" w:cs="Times New Roman" w:eastAsia="Times New Roman" w:hAnsi="Times New Roman"/>
                <w:sz w:val="20"/>
                <w:szCs w:val="20"/>
                <w:b w:val="1"/>
                <w:bCs w:val="1"/>
                <w:color w:val="365F91"/>
              </w:rPr>
              <w:t>Performance Rating</w:t>
            </w:r>
          </w:p>
        </w:tc>
        <w:tc>
          <w:tcPr>
            <w:tcW w:w="2060" w:type="dxa"/>
            <w:vAlign w:val="bottom"/>
            <w:tcBorders>
              <w:top w:val="single" w:sz="8" w:color="auto"/>
            </w:tcBorders>
            <w:shd w:val="clear" w:color="auto" w:fill="DBE5F1"/>
          </w:tcPr>
          <w:p>
            <w:pPr>
              <w:spacing w:after="0"/>
              <w:rPr>
                <w:sz w:val="24"/>
                <w:szCs w:val="24"/>
                <w:color w:val="auto"/>
              </w:rPr>
            </w:pPr>
          </w:p>
        </w:tc>
        <w:tc>
          <w:tcPr>
            <w:tcW w:w="180" w:type="dxa"/>
            <w:vAlign w:val="bottom"/>
            <w:tcBorders>
              <w:top w:val="single" w:sz="8" w:color="auto"/>
              <w:right w:val="single" w:sz="8" w:color="auto"/>
            </w:tcBorders>
            <w:shd w:val="clear" w:color="auto" w:fill="DBE5F1"/>
          </w:tcPr>
          <w:p>
            <w:pPr>
              <w:spacing w:after="0"/>
              <w:rPr>
                <w:sz w:val="24"/>
                <w:szCs w:val="24"/>
                <w:color w:val="auto"/>
              </w:rPr>
            </w:pPr>
          </w:p>
        </w:tc>
        <w:tc>
          <w:tcPr>
            <w:tcW w:w="1720" w:type="dxa"/>
            <w:vAlign w:val="bottom"/>
            <w:tcBorders>
              <w:top w:val="single" w:sz="8" w:color="DBE5F1"/>
              <w:right w:val="single" w:sz="8" w:color="auto"/>
            </w:tcBorders>
            <w:shd w:val="clear" w:color="auto" w:fill="DBE5F1"/>
          </w:tcPr>
          <w:p>
            <w:pPr>
              <w:ind w:left="220"/>
              <w:spacing w:after="0"/>
              <w:rPr>
                <w:sz w:val="20"/>
                <w:szCs w:val="20"/>
                <w:color w:val="auto"/>
              </w:rPr>
            </w:pPr>
            <w:r>
              <w:rPr>
                <w:rFonts w:ascii="Times New Roman" w:cs="Times New Roman" w:eastAsia="Times New Roman" w:hAnsi="Times New Roman"/>
                <w:sz w:val="20"/>
                <w:szCs w:val="20"/>
                <w:b w:val="1"/>
                <w:bCs w:val="1"/>
                <w:color w:val="365F91"/>
              </w:rPr>
              <w:t xml:space="preserve">Merit Range </w:t>
            </w:r>
            <w:r>
              <w:rPr>
                <w:rFonts w:ascii="Times New Roman" w:cs="Times New Roman" w:eastAsia="Times New Roman" w:hAnsi="Times New Roman"/>
                <w:sz w:val="26"/>
                <w:szCs w:val="26"/>
                <w:b w:val="1"/>
                <w:bCs w:val="1"/>
                <w:color w:val="365F91"/>
                <w:vertAlign w:val="superscript"/>
              </w:rPr>
              <w:t>1</w:t>
            </w:r>
          </w:p>
        </w:tc>
        <w:tc>
          <w:tcPr>
            <w:tcW w:w="1740" w:type="dxa"/>
            <w:vAlign w:val="bottom"/>
            <w:tcBorders>
              <w:top w:val="single" w:sz="8" w:color="DBE5F1"/>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20"/>
                <w:szCs w:val="20"/>
                <w:b w:val="1"/>
                <w:bCs w:val="1"/>
                <w:color w:val="365F91"/>
                <w:w w:val="96"/>
              </w:rPr>
              <w:t xml:space="preserve">Bonus Score </w:t>
            </w:r>
            <w:r>
              <w:rPr>
                <w:rFonts w:ascii="Times New Roman" w:cs="Times New Roman" w:eastAsia="Times New Roman" w:hAnsi="Times New Roman"/>
                <w:sz w:val="26"/>
                <w:szCs w:val="26"/>
                <w:b w:val="1"/>
                <w:bCs w:val="1"/>
                <w:color w:val="365F91"/>
                <w:w w:val="96"/>
                <w:vertAlign w:val="superscript"/>
              </w:rPr>
              <w:t>1</w:t>
            </w:r>
          </w:p>
        </w:tc>
        <w:tc>
          <w:tcPr>
            <w:tcW w:w="0" w:type="dxa"/>
            <w:vAlign w:val="bottom"/>
          </w:tcPr>
          <w:p>
            <w:pPr>
              <w:spacing w:after="0"/>
              <w:rPr>
                <w:sz w:val="1"/>
                <w:szCs w:val="1"/>
                <w:color w:val="auto"/>
              </w:rPr>
            </w:pPr>
          </w:p>
        </w:tc>
      </w:tr>
      <w:tr>
        <w:trPr>
          <w:trHeight w:val="63"/>
        </w:trPr>
        <w:tc>
          <w:tcPr>
            <w:tcW w:w="120" w:type="dxa"/>
            <w:vAlign w:val="bottom"/>
            <w:tcBorders>
              <w:left w:val="single" w:sz="8" w:color="auto"/>
              <w:bottom w:val="single" w:sz="8" w:color="auto"/>
            </w:tcBorders>
            <w:shd w:val="clear" w:color="auto" w:fill="DBE5F1"/>
          </w:tcPr>
          <w:p>
            <w:pPr>
              <w:spacing w:after="0"/>
              <w:rPr>
                <w:sz w:val="5"/>
                <w:szCs w:val="5"/>
                <w:color w:val="auto"/>
              </w:rPr>
            </w:pPr>
          </w:p>
        </w:tc>
        <w:tc>
          <w:tcPr>
            <w:tcW w:w="780" w:type="dxa"/>
            <w:vAlign w:val="bottom"/>
            <w:tcBorders>
              <w:bottom w:val="single" w:sz="8" w:color="auto"/>
            </w:tcBorders>
            <w:shd w:val="clear" w:color="auto" w:fill="DBE5F1"/>
          </w:tcPr>
          <w:p>
            <w:pPr>
              <w:spacing w:after="0"/>
              <w:rPr>
                <w:sz w:val="5"/>
                <w:szCs w:val="5"/>
                <w:color w:val="auto"/>
              </w:rPr>
            </w:pPr>
          </w:p>
        </w:tc>
        <w:tc>
          <w:tcPr>
            <w:tcW w:w="120" w:type="dxa"/>
            <w:vAlign w:val="bottom"/>
            <w:tcBorders>
              <w:bottom w:val="single" w:sz="8" w:color="auto"/>
            </w:tcBorders>
            <w:shd w:val="clear" w:color="auto" w:fill="DBE5F1"/>
          </w:tcPr>
          <w:p>
            <w:pPr>
              <w:spacing w:after="0"/>
              <w:rPr>
                <w:sz w:val="5"/>
                <w:szCs w:val="5"/>
                <w:color w:val="auto"/>
              </w:rPr>
            </w:pPr>
          </w:p>
        </w:tc>
        <w:tc>
          <w:tcPr>
            <w:tcW w:w="420" w:type="dxa"/>
            <w:vAlign w:val="bottom"/>
            <w:tcBorders>
              <w:bottom w:val="single" w:sz="8" w:color="auto"/>
            </w:tcBorders>
            <w:shd w:val="clear" w:color="auto" w:fill="DBE5F1"/>
          </w:tcPr>
          <w:p>
            <w:pPr>
              <w:spacing w:after="0"/>
              <w:rPr>
                <w:sz w:val="5"/>
                <w:szCs w:val="5"/>
                <w:color w:val="auto"/>
              </w:rPr>
            </w:pPr>
          </w:p>
        </w:tc>
        <w:tc>
          <w:tcPr>
            <w:tcW w:w="180" w:type="dxa"/>
            <w:vAlign w:val="bottom"/>
            <w:tcBorders>
              <w:bottom w:val="single" w:sz="8" w:color="auto"/>
            </w:tcBorders>
            <w:shd w:val="clear" w:color="auto" w:fill="DBE5F1"/>
          </w:tcPr>
          <w:p>
            <w:pPr>
              <w:spacing w:after="0"/>
              <w:rPr>
                <w:sz w:val="5"/>
                <w:szCs w:val="5"/>
                <w:color w:val="auto"/>
              </w:rPr>
            </w:pPr>
          </w:p>
        </w:tc>
        <w:tc>
          <w:tcPr>
            <w:tcW w:w="5980" w:type="dxa"/>
            <w:vAlign w:val="bottom"/>
            <w:tcBorders>
              <w:bottom w:val="single" w:sz="8" w:color="auto"/>
            </w:tcBorders>
            <w:gridSpan w:val="4"/>
            <w:shd w:val="clear" w:color="auto" w:fill="DBE5F1"/>
          </w:tcPr>
          <w:p>
            <w:pPr>
              <w:spacing w:after="0"/>
              <w:rPr>
                <w:sz w:val="5"/>
                <w:szCs w:val="5"/>
                <w:color w:val="auto"/>
              </w:rPr>
            </w:pPr>
          </w:p>
        </w:tc>
        <w:tc>
          <w:tcPr>
            <w:tcW w:w="180" w:type="dxa"/>
            <w:vAlign w:val="bottom"/>
            <w:tcBorders>
              <w:bottom w:val="single" w:sz="8" w:color="auto"/>
              <w:right w:val="single" w:sz="8" w:color="auto"/>
            </w:tcBorders>
            <w:shd w:val="clear" w:color="auto" w:fill="DBE5F1"/>
          </w:tcPr>
          <w:p>
            <w:pPr>
              <w:spacing w:after="0"/>
              <w:rPr>
                <w:sz w:val="5"/>
                <w:szCs w:val="5"/>
                <w:color w:val="auto"/>
              </w:rPr>
            </w:pPr>
          </w:p>
        </w:tc>
        <w:tc>
          <w:tcPr>
            <w:tcW w:w="1720" w:type="dxa"/>
            <w:vAlign w:val="bottom"/>
            <w:tcBorders>
              <w:bottom w:val="single" w:sz="8" w:color="auto"/>
              <w:right w:val="single" w:sz="8" w:color="auto"/>
            </w:tcBorders>
            <w:shd w:val="clear" w:color="auto" w:fill="DBE5F1"/>
          </w:tcPr>
          <w:p>
            <w:pPr>
              <w:spacing w:after="0"/>
              <w:rPr>
                <w:sz w:val="5"/>
                <w:szCs w:val="5"/>
                <w:color w:val="auto"/>
              </w:rPr>
            </w:pPr>
          </w:p>
        </w:tc>
        <w:tc>
          <w:tcPr>
            <w:tcW w:w="1740" w:type="dxa"/>
            <w:vAlign w:val="bottom"/>
            <w:tcBorders>
              <w:bottom w:val="single" w:sz="8" w:color="auto"/>
              <w:right w:val="single" w:sz="8" w:color="auto"/>
            </w:tcBorders>
            <w:shd w:val="clear" w:color="auto" w:fill="DBE5F1"/>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120" w:type="dxa"/>
            <w:vAlign w:val="bottom"/>
            <w:tcBorders>
              <w:left w:val="single" w:sz="8" w:color="auto"/>
            </w:tcBorders>
          </w:tcPr>
          <w:p>
            <w:pPr>
              <w:spacing w:after="0"/>
              <w:rPr>
                <w:sz w:val="24"/>
                <w:szCs w:val="24"/>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 xml:space="preserve">Exceptional (5) - </w:t>
            </w:r>
            <w:r>
              <w:rPr>
                <w:rFonts w:ascii="Times New Roman" w:cs="Times New Roman" w:eastAsia="Times New Roman" w:hAnsi="Times New Roman"/>
                <w:sz w:val="18"/>
                <w:szCs w:val="18"/>
                <w:color w:val="auto"/>
              </w:rPr>
              <w:t>In the superior execution of critical job responsibilities and objectives; makes</w:t>
            </w:r>
          </w:p>
        </w:tc>
        <w:tc>
          <w:tcPr>
            <w:tcW w:w="1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720" w:type="dxa"/>
            <w:vAlign w:val="bottom"/>
            <w:tcBorders>
              <w:right w:val="single" w:sz="8" w:color="auto"/>
            </w:tcBorders>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0" w:type="dxa"/>
            <w:vAlign w:val="bottom"/>
            <w:tcBorders>
              <w:left w:val="single" w:sz="8" w:color="auto"/>
            </w:tcBorders>
          </w:tcPr>
          <w:p>
            <w:pPr>
              <w:spacing w:after="0"/>
              <w:rPr>
                <w:sz w:val="18"/>
                <w:szCs w:val="18"/>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exceptional contributions to a department/function/region by demonstrating initiative, flexibility and</w:t>
            </w:r>
          </w:p>
        </w:tc>
        <w:tc>
          <w:tcPr>
            <w:tcW w:w="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creativity; possesses superb skills and knowledge; is a solution-oriented team player who maintains and</w:t>
            </w:r>
          </w:p>
        </w:tc>
        <w:tc>
          <w:tcPr>
            <w:tcW w:w="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 - 4.0%</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 - 150%</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promotes excellent working relationships. Performance always exceeds expectations and is</w:t>
            </w:r>
          </w:p>
        </w:tc>
        <w:tc>
          <w:tcPr>
            <w:tcW w:w="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demonstrated for an extended, sustainable period.</w:t>
            </w:r>
          </w:p>
        </w:tc>
        <w:tc>
          <w:tcPr>
            <w:tcW w:w="17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20" w:type="dxa"/>
            <w:vAlign w:val="bottom"/>
            <w:tcBorders>
              <w:left w:val="single" w:sz="8" w:color="auto"/>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gridSpan w:val="4"/>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20" w:type="dxa"/>
            <w:vAlign w:val="bottom"/>
            <w:tcBorders>
              <w:left w:val="single" w:sz="8" w:color="auto"/>
            </w:tcBorders>
          </w:tcPr>
          <w:p>
            <w:pPr>
              <w:spacing w:after="0"/>
              <w:rPr>
                <w:sz w:val="24"/>
                <w:szCs w:val="24"/>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 xml:space="preserve">High Performing (4) - </w:t>
            </w:r>
            <w:r>
              <w:rPr>
                <w:rFonts w:ascii="Times New Roman" w:cs="Times New Roman" w:eastAsia="Times New Roman" w:hAnsi="Times New Roman"/>
                <w:sz w:val="18"/>
                <w:szCs w:val="18"/>
                <w:color w:val="auto"/>
              </w:rPr>
              <w:t>in the execution of critical job responsibilities and objectives; makes significant</w:t>
            </w:r>
          </w:p>
        </w:tc>
        <w:tc>
          <w:tcPr>
            <w:tcW w:w="1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720" w:type="dxa"/>
            <w:vAlign w:val="bottom"/>
            <w:tcBorders>
              <w:right w:val="single" w:sz="8" w:color="auto"/>
            </w:tcBorders>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0" w:type="dxa"/>
            <w:vAlign w:val="bottom"/>
            <w:tcBorders>
              <w:left w:val="single" w:sz="8" w:color="auto"/>
            </w:tcBorders>
          </w:tcPr>
          <w:p>
            <w:pPr>
              <w:spacing w:after="0"/>
              <w:rPr>
                <w:sz w:val="18"/>
                <w:szCs w:val="18"/>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contributions to a department/function/region by demonstrating a high level of productivity and work</w:t>
            </w:r>
          </w:p>
        </w:tc>
        <w:tc>
          <w:tcPr>
            <w:tcW w:w="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quality; takes initiative to assume special projects, additional tasks and/or recommend solutions;</w:t>
            </w:r>
          </w:p>
        </w:tc>
        <w:tc>
          <w:tcPr>
            <w:tcW w:w="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3.0% - 3.5%</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110% - 125%</w:t>
            </w:r>
          </w:p>
        </w:tc>
        <w:tc>
          <w:tcPr>
            <w:tcW w:w="0" w:type="dxa"/>
            <w:vAlign w:val="bottom"/>
          </w:tcPr>
          <w:p>
            <w:pPr>
              <w:spacing w:after="0"/>
              <w:rPr>
                <w:sz w:val="1"/>
                <w:szCs w:val="1"/>
                <w:color w:val="auto"/>
              </w:rPr>
            </w:pPr>
          </w:p>
        </w:tc>
      </w:tr>
      <w:tr>
        <w:trPr>
          <w:trHeight w:val="126"/>
        </w:trPr>
        <w:tc>
          <w:tcPr>
            <w:tcW w:w="120" w:type="dxa"/>
            <w:vAlign w:val="bottom"/>
            <w:tcBorders>
              <w:left w:val="single" w:sz="8" w:color="auto"/>
            </w:tcBorders>
          </w:tcPr>
          <w:p>
            <w:pPr>
              <w:spacing w:after="0"/>
              <w:rPr>
                <w:sz w:val="10"/>
                <w:szCs w:val="10"/>
                <w:color w:val="auto"/>
              </w:rPr>
            </w:pPr>
          </w:p>
        </w:tc>
        <w:tc>
          <w:tcPr>
            <w:tcW w:w="74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possesses excellent skills and knowledge; is a strong team player who maintains and promotes positive</w:t>
            </w:r>
          </w:p>
        </w:tc>
        <w:tc>
          <w:tcPr>
            <w:tcW w:w="18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0" w:type="dxa"/>
            <w:vAlign w:val="bottom"/>
            <w:tcBorders>
              <w:left w:val="single" w:sz="8" w:color="auto"/>
            </w:tcBorders>
          </w:tcPr>
          <w:p>
            <w:pPr>
              <w:spacing w:after="0"/>
              <w:rPr>
                <w:sz w:val="7"/>
                <w:szCs w:val="7"/>
                <w:color w:val="auto"/>
              </w:rPr>
            </w:pPr>
          </w:p>
        </w:tc>
        <w:tc>
          <w:tcPr>
            <w:tcW w:w="7480" w:type="dxa"/>
            <w:vAlign w:val="bottom"/>
            <w:gridSpan w:val="8"/>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working relationships. Very strong performance that exceeds expectations in most situations for a</w:t>
            </w:r>
          </w:p>
        </w:tc>
        <w:tc>
          <w:tcPr>
            <w:tcW w:w="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sustainable period.</w:t>
            </w:r>
          </w:p>
        </w:tc>
        <w:tc>
          <w:tcPr>
            <w:tcW w:w="1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20" w:type="dxa"/>
            <w:vAlign w:val="bottom"/>
            <w:tcBorders>
              <w:left w:val="single" w:sz="8" w:color="auto"/>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980" w:type="dxa"/>
            <w:vAlign w:val="bottom"/>
            <w:tcBorders>
              <w:bottom w:val="single" w:sz="8" w:color="auto"/>
            </w:tcBorders>
            <w:gridSpan w:val="4"/>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120" w:type="dxa"/>
            <w:vAlign w:val="bottom"/>
            <w:tcBorders>
              <w:left w:val="single" w:sz="8" w:color="auto"/>
            </w:tcBorders>
          </w:tcPr>
          <w:p>
            <w:pPr>
              <w:spacing w:after="0"/>
              <w:rPr>
                <w:sz w:val="24"/>
                <w:szCs w:val="24"/>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 xml:space="preserve">Successful (3) - </w:t>
            </w:r>
            <w:r>
              <w:rPr>
                <w:rFonts w:ascii="Times New Roman" w:cs="Times New Roman" w:eastAsia="Times New Roman" w:hAnsi="Times New Roman"/>
                <w:sz w:val="18"/>
                <w:szCs w:val="18"/>
                <w:color w:val="auto"/>
              </w:rPr>
              <w:t>In the execution of critical job responsibilities and objectives; makes important</w:t>
            </w:r>
          </w:p>
        </w:tc>
        <w:tc>
          <w:tcPr>
            <w:tcW w:w="1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720" w:type="dxa"/>
            <w:vAlign w:val="bottom"/>
            <w:tcBorders>
              <w:right w:val="single" w:sz="8" w:color="auto"/>
            </w:tcBorders>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0" w:type="dxa"/>
            <w:vAlign w:val="bottom"/>
            <w:tcBorders>
              <w:left w:val="single" w:sz="8" w:color="auto"/>
            </w:tcBorders>
          </w:tcPr>
          <w:p>
            <w:pPr>
              <w:spacing w:after="0"/>
              <w:rPr>
                <w:sz w:val="18"/>
                <w:szCs w:val="18"/>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contributions to the overall functioning of a department/function/region by demonstrating solid</w:t>
            </w:r>
          </w:p>
        </w:tc>
        <w:tc>
          <w:tcPr>
            <w:tcW w:w="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 - 3.0%</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80% - 110%</w:t>
            </w:r>
          </w:p>
        </w:tc>
        <w:tc>
          <w:tcPr>
            <w:tcW w:w="0" w:type="dxa"/>
            <w:vAlign w:val="bottom"/>
          </w:tcPr>
          <w:p>
            <w:pPr>
              <w:spacing w:after="0"/>
              <w:rPr>
                <w:sz w:val="1"/>
                <w:szCs w:val="1"/>
                <w:color w:val="auto"/>
              </w:rPr>
            </w:pPr>
          </w:p>
        </w:tc>
      </w:tr>
      <w:tr>
        <w:trPr>
          <w:trHeight w:val="126"/>
        </w:trPr>
        <w:tc>
          <w:tcPr>
            <w:tcW w:w="120" w:type="dxa"/>
            <w:vAlign w:val="bottom"/>
            <w:tcBorders>
              <w:left w:val="single" w:sz="8" w:color="auto"/>
            </w:tcBorders>
          </w:tcPr>
          <w:p>
            <w:pPr>
              <w:spacing w:after="0"/>
              <w:rPr>
                <w:sz w:val="10"/>
                <w:szCs w:val="10"/>
                <w:color w:val="auto"/>
              </w:rPr>
            </w:pPr>
          </w:p>
        </w:tc>
        <w:tc>
          <w:tcPr>
            <w:tcW w:w="74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performance with respect to productivity and quality of work and possesses strong skills and</w:t>
            </w:r>
          </w:p>
        </w:tc>
        <w:tc>
          <w:tcPr>
            <w:tcW w:w="18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0" w:type="dxa"/>
            <w:vAlign w:val="bottom"/>
            <w:tcBorders>
              <w:left w:val="single" w:sz="8" w:color="auto"/>
            </w:tcBorders>
          </w:tcPr>
          <w:p>
            <w:pPr>
              <w:spacing w:after="0"/>
              <w:rPr>
                <w:sz w:val="7"/>
                <w:szCs w:val="7"/>
                <w:color w:val="auto"/>
              </w:rPr>
            </w:pPr>
          </w:p>
        </w:tc>
        <w:tc>
          <w:tcPr>
            <w:tcW w:w="7480" w:type="dxa"/>
            <w:vAlign w:val="bottom"/>
            <w:gridSpan w:val="8"/>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knowledge; is a strong team player who maintains and promotes good working relationships.</w:t>
            </w:r>
          </w:p>
        </w:tc>
        <w:tc>
          <w:tcPr>
            <w:tcW w:w="1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20" w:type="dxa"/>
            <w:vAlign w:val="bottom"/>
            <w:tcBorders>
              <w:left w:val="single" w:sz="8" w:color="auto"/>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gridSpan w:val="4"/>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0" w:type="dxa"/>
            <w:vAlign w:val="bottom"/>
            <w:tcBorders>
              <w:left w:val="single" w:sz="8" w:color="auto"/>
            </w:tcBorders>
          </w:tcPr>
          <w:p>
            <w:pPr>
              <w:spacing w:after="0"/>
              <w:rPr>
                <w:sz w:val="24"/>
                <w:szCs w:val="24"/>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 xml:space="preserve">Improvement Required (2) - </w:t>
            </w:r>
            <w:r>
              <w:rPr>
                <w:rFonts w:ascii="Times New Roman" w:cs="Times New Roman" w:eastAsia="Times New Roman" w:hAnsi="Times New Roman"/>
                <w:sz w:val="18"/>
                <w:szCs w:val="18"/>
                <w:color w:val="auto"/>
              </w:rPr>
              <w:t>Overall performance to ensure consistent execution of all job</w:t>
            </w:r>
          </w:p>
        </w:tc>
        <w:tc>
          <w:tcPr>
            <w:tcW w:w="1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500" w:type="dxa"/>
            <w:vAlign w:val="bottom"/>
            <w:gridSpan w:val="4"/>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720" w:type="dxa"/>
            <w:vAlign w:val="bottom"/>
            <w:tcBorders>
              <w:right w:val="single" w:sz="8" w:color="auto"/>
            </w:tcBorders>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0" w:type="dxa"/>
            <w:vAlign w:val="bottom"/>
            <w:tcBorders>
              <w:left w:val="single" w:sz="8" w:color="auto"/>
            </w:tcBorders>
          </w:tcPr>
          <w:p>
            <w:pPr>
              <w:spacing w:after="0"/>
              <w:rPr>
                <w:sz w:val="18"/>
                <w:szCs w:val="18"/>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responsibilities and objectives; demonstrates success in some areas but guidance, direction and/or</w:t>
            </w:r>
          </w:p>
        </w:tc>
        <w:tc>
          <w:tcPr>
            <w:tcW w:w="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Borders>
              <w:left w:val="single" w:sz="8" w:color="auto"/>
            </w:tcBorders>
          </w:tcPr>
          <w:p>
            <w:pPr>
              <w:spacing w:after="0"/>
              <w:rPr>
                <w:sz w:val="18"/>
                <w:szCs w:val="18"/>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monitoring in other areas has been needed; performance factors/competencies addressed above need</w:t>
            </w:r>
          </w:p>
        </w:tc>
        <w:tc>
          <w:tcPr>
            <w:tcW w:w="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PROK Corp. Score</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further development and/or consistent application. </w:t>
            </w:r>
            <w:r>
              <w:rPr>
                <w:rFonts w:ascii="Times New Roman" w:cs="Times New Roman" w:eastAsia="Times New Roman" w:hAnsi="Times New Roman"/>
                <w:sz w:val="18"/>
                <w:szCs w:val="18"/>
                <w:i w:val="1"/>
                <w:iCs w:val="1"/>
                <w:color w:val="auto"/>
              </w:rPr>
              <w:t>(These should be managed / counseled throughout</w:t>
            </w:r>
          </w:p>
        </w:tc>
        <w:tc>
          <w:tcPr>
            <w:tcW w:w="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 w:type="dxa"/>
            <w:vAlign w:val="bottom"/>
            <w:tcBorders>
              <w:left w:val="single" w:sz="8" w:color="auto"/>
            </w:tcBorders>
          </w:tcPr>
          <w:p>
            <w:pPr>
              <w:spacing w:after="0"/>
              <w:rPr>
                <w:sz w:val="20"/>
                <w:szCs w:val="20"/>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the year.)</w:t>
            </w:r>
          </w:p>
        </w:tc>
        <w:tc>
          <w:tcPr>
            <w:tcW w:w="1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20" w:type="dxa"/>
            <w:vAlign w:val="bottom"/>
            <w:tcBorders>
              <w:left w:val="single" w:sz="8" w:color="auto"/>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gridSpan w:val="4"/>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0" w:type="dxa"/>
            <w:vAlign w:val="bottom"/>
            <w:tcBorders>
              <w:left w:val="single" w:sz="8" w:color="auto"/>
            </w:tcBorders>
          </w:tcPr>
          <w:p>
            <w:pPr>
              <w:spacing w:after="0"/>
              <w:rPr>
                <w:sz w:val="24"/>
                <w:szCs w:val="24"/>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 xml:space="preserve">Below Expectations (1) - </w:t>
            </w:r>
            <w:r>
              <w:rPr>
                <w:rFonts w:ascii="Times New Roman" w:cs="Times New Roman" w:eastAsia="Times New Roman" w:hAnsi="Times New Roman"/>
                <w:sz w:val="18"/>
                <w:szCs w:val="18"/>
                <w:color w:val="auto"/>
              </w:rPr>
              <w:t>Overall performance, job responsibilities and objectives have not been</w:t>
            </w:r>
          </w:p>
        </w:tc>
        <w:tc>
          <w:tcPr>
            <w:tcW w:w="1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500" w:type="dxa"/>
            <w:vAlign w:val="bottom"/>
            <w:gridSpan w:val="4"/>
            <w:shd w:val="clear" w:color="auto" w:fill="000000"/>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720" w:type="dxa"/>
            <w:vAlign w:val="bottom"/>
            <w:tcBorders>
              <w:right w:val="single" w:sz="8" w:color="auto"/>
            </w:tcBorders>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0" w:type="dxa"/>
            <w:vAlign w:val="bottom"/>
            <w:tcBorders>
              <w:left w:val="single" w:sz="8" w:color="auto"/>
            </w:tcBorders>
          </w:tcPr>
          <w:p>
            <w:pPr>
              <w:spacing w:after="0"/>
              <w:rPr>
                <w:sz w:val="18"/>
                <w:szCs w:val="18"/>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consistently met; performance requires close monitoring and has not kept pace with requirements;</w:t>
            </w:r>
          </w:p>
        </w:tc>
        <w:tc>
          <w:tcPr>
            <w:tcW w:w="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126"/>
        </w:trPr>
        <w:tc>
          <w:tcPr>
            <w:tcW w:w="120" w:type="dxa"/>
            <w:vAlign w:val="bottom"/>
            <w:tcBorders>
              <w:left w:val="single" w:sz="8" w:color="auto"/>
            </w:tcBorders>
          </w:tcPr>
          <w:p>
            <w:pPr>
              <w:spacing w:after="0"/>
              <w:rPr>
                <w:sz w:val="10"/>
                <w:szCs w:val="10"/>
                <w:color w:val="auto"/>
              </w:rPr>
            </w:pPr>
          </w:p>
        </w:tc>
        <w:tc>
          <w:tcPr>
            <w:tcW w:w="74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successes have been only occasional or of minimal impact; performance has failed to improve to</w:t>
            </w:r>
          </w:p>
        </w:tc>
        <w:tc>
          <w:tcPr>
            <w:tcW w:w="18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7480" w:type="dxa"/>
            <w:vAlign w:val="bottom"/>
            <w:gridSpan w:val="8"/>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20" w:type="dxa"/>
            <w:vAlign w:val="bottom"/>
            <w:tcBorders>
              <w:left w:val="single" w:sz="8" w:color="auto"/>
            </w:tcBorders>
          </w:tcPr>
          <w:p>
            <w:pPr>
              <w:spacing w:after="0"/>
              <w:rPr>
                <w:sz w:val="20"/>
                <w:szCs w:val="20"/>
                <w:color w:val="auto"/>
              </w:rPr>
            </w:pPr>
          </w:p>
        </w:tc>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demonstrate sufficient level of competencies required. </w:t>
            </w:r>
            <w:r>
              <w:rPr>
                <w:rFonts w:ascii="Times New Roman" w:cs="Times New Roman" w:eastAsia="Times New Roman" w:hAnsi="Times New Roman"/>
                <w:sz w:val="18"/>
                <w:szCs w:val="18"/>
                <w:i w:val="1"/>
                <w:iCs w:val="1"/>
                <w:color w:val="auto"/>
              </w:rPr>
              <w:t>(These should be managed out along the way.)</w:t>
            </w:r>
          </w:p>
        </w:tc>
        <w:tc>
          <w:tcPr>
            <w:tcW w:w="1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20" w:type="dxa"/>
            <w:vAlign w:val="bottom"/>
            <w:tcBorders>
              <w:left w:val="single" w:sz="8" w:color="auto"/>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20" w:hanging="112"/>
        <w:spacing w:after="0"/>
        <w:tabs>
          <w:tab w:leader="none" w:pos="120" w:val="left"/>
        </w:tabs>
        <w:numPr>
          <w:ilvl w:val="0"/>
          <w:numId w:val="8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color w:val="auto"/>
        </w:rPr>
        <w:t>Merit Range and Bonus Score subject to change based on corporate score and merit budget each year</w:t>
      </w:r>
    </w:p>
    <w:p>
      <w:pPr>
        <w:spacing w:after="0" w:line="188" w:lineRule="exact"/>
        <w:rPr>
          <w:rFonts w:ascii="Times New Roman" w:cs="Times New Roman" w:eastAsia="Times New Roman" w:hAnsi="Times New Roman"/>
          <w:sz w:val="27"/>
          <w:szCs w:val="27"/>
          <w:color w:val="auto"/>
          <w:vertAlign w:val="superscript"/>
        </w:rPr>
      </w:pPr>
    </w:p>
    <w:p>
      <w:pPr>
        <w:ind w:left="5560"/>
        <w:spacing w:after="0"/>
        <w:rPr>
          <w:rFonts w:ascii="Times New Roman" w:cs="Times New Roman" w:eastAsia="Times New Roman" w:hAnsi="Times New Roman"/>
          <w:sz w:val="27"/>
          <w:szCs w:val="27"/>
          <w:color w:val="auto"/>
          <w:vertAlign w:val="superscript"/>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500380</wp:posOffset>
            </wp:positionV>
            <wp:extent cx="1722755" cy="5657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4">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0" w:hanging="432"/>
        <w:spacing w:after="0"/>
        <w:tabs>
          <w:tab w:leader="none" w:pos="44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of Termination of Employment on Award Payment</w:t>
      </w:r>
    </w:p>
    <w:p>
      <w:pPr>
        <w:spacing w:after="0" w:line="237"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 xml:space="preserve">A Participant must remain employed by the Company through the date the Plan Awards </w:t>
      </w:r>
      <w:r>
        <w:rPr>
          <w:rFonts w:ascii="Times New Roman" w:cs="Times New Roman" w:eastAsia="Times New Roman" w:hAnsi="Times New Roman"/>
          <w:sz w:val="22"/>
          <w:szCs w:val="22"/>
          <w:u w:val="single" w:color="auto"/>
          <w:color w:val="auto"/>
        </w:rPr>
        <w:t>are distrib</w:t>
      </w:r>
      <w:r>
        <w:rPr>
          <w:rFonts w:ascii="Times New Roman" w:cs="Times New Roman" w:eastAsia="Times New Roman" w:hAnsi="Times New Roman"/>
          <w:sz w:val="22"/>
          <w:szCs w:val="22"/>
          <w:color w:val="auto"/>
        </w:rPr>
        <w:t>uted in order to be eligible to earn and be paid a Plan Award for the Plan Year. Therefore, if a Participant’s employment terminates prior to the date the Plan Awards are distributed, even if it occurs after the Plan Year, the Participant shall not be entitled to a Plan Award. Notwithstanding the foregoing, a Participant who retires or dies during the Plan Year will be eligible to earn a prorated Plan Award pursuant to Section 13. For purposes of the STI Plan, retirement shall mean a Participant’s voluntary termination of employment after attainment of age 60 with at least five (5) years of continuous service as an Employee of the Company.</w:t>
      </w:r>
    </w:p>
    <w:p>
      <w:pPr>
        <w:spacing w:after="0" w:line="206" w:lineRule="exact"/>
        <w:rPr>
          <w:sz w:val="20"/>
          <w:szCs w:val="20"/>
          <w:color w:val="auto"/>
        </w:rPr>
      </w:pPr>
    </w:p>
    <w:p>
      <w:pPr>
        <w:ind w:left="440" w:hanging="432"/>
        <w:spacing w:after="0"/>
        <w:tabs>
          <w:tab w:leader="none" w:pos="44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Maximum Amount of Awards Paid in a Plan Year</w:t>
      </w:r>
    </w:p>
    <w:p>
      <w:pPr>
        <w:spacing w:after="0" w:line="237" w:lineRule="exact"/>
        <w:rPr>
          <w:sz w:val="20"/>
          <w:szCs w:val="20"/>
          <w:color w:val="auto"/>
        </w:rPr>
      </w:pPr>
    </w:p>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The Plan Awards earned by Participants will generally be paid in accordance with the terms of the Plan as described above. However, the Board and/or Talent and Compensation Committee reserves the right to establish a maximum aggregate dollar amount of Plan Awards paid under the Plan in any year, regardless of the aggregate awards calculated based upon the level of performance in any of the categories described above. If the aggregate Plan Awards in any year exceed such amount, a reduction in aggregate Plan Awards may be directed by the Board and/or Talent and Compensation Committee, and each Participant’s Plan Award will be adjusted accordingly.</w:t>
      </w:r>
    </w:p>
    <w:p>
      <w:pPr>
        <w:spacing w:after="0" w:line="204" w:lineRule="exact"/>
        <w:rPr>
          <w:sz w:val="20"/>
          <w:szCs w:val="20"/>
          <w:color w:val="auto"/>
        </w:rPr>
      </w:pPr>
    </w:p>
    <w:p>
      <w:pPr>
        <w:ind w:left="440" w:hanging="432"/>
        <w:spacing w:after="0"/>
        <w:tabs>
          <w:tab w:leader="none" w:pos="44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Plan Award Payment Process</w:t>
      </w:r>
    </w:p>
    <w:p>
      <w:pPr>
        <w:spacing w:after="0" w:line="237"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Plan Awards, if any, are paid out to Participants in a lump sum following the end of the Plan Year and after the measurement of the Company’s performance and Individual performance has been completed, but in no event later than March 15 following the end of the Plan Year. Applicable taxes and other withholdings will be deducted from the Plan Award, as appropriate for each jurisdiction. In addition, applicable 401(k) contributions will be made from a Participant’s Plan Award in accordance with the Participant’s current contribution rate.</w:t>
      </w:r>
    </w:p>
    <w:p>
      <w:pPr>
        <w:spacing w:after="0" w:line="200" w:lineRule="exact"/>
        <w:rPr>
          <w:sz w:val="20"/>
          <w:szCs w:val="20"/>
          <w:color w:val="auto"/>
        </w:rPr>
      </w:pPr>
    </w:p>
    <w:p>
      <w:pPr>
        <w:ind w:left="440" w:hanging="432"/>
        <w:spacing w:after="0"/>
        <w:tabs>
          <w:tab w:leader="none" w:pos="44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Life Events and Payments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Life Event During a Plan Year</w:t>
      </w:r>
    </w:p>
    <w:p>
      <w:pPr>
        <w:spacing w:after="0" w:line="112" w:lineRule="exact"/>
        <w:rPr>
          <w:sz w:val="20"/>
          <w:szCs w:val="20"/>
          <w:color w:val="auto"/>
        </w:rPr>
      </w:pPr>
    </w:p>
    <w:p>
      <w:pPr>
        <w:jc w:val="both"/>
        <w:ind w:left="760" w:right="100"/>
        <w:spacing w:after="0" w:line="246" w:lineRule="auto"/>
        <w:rPr>
          <w:sz w:val="20"/>
          <w:szCs w:val="20"/>
          <w:color w:val="auto"/>
        </w:rPr>
      </w:pPr>
      <w:r>
        <w:rPr>
          <w:rFonts w:ascii="Times New Roman" w:cs="Times New Roman" w:eastAsia="Times New Roman" w:hAnsi="Times New Roman"/>
          <w:sz w:val="22"/>
          <w:szCs w:val="22"/>
          <w:b w:val="1"/>
          <w:bCs w:val="1"/>
          <w:color w:val="auto"/>
        </w:rPr>
        <w:t>Participant’s Employment Begins after January 1 but on or before September 30 of the Plan Year</w:t>
      </w:r>
    </w:p>
    <w:p>
      <w:pPr>
        <w:spacing w:after="0" w:line="7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1"/>
          <w:szCs w:val="21"/>
          <w:b w:val="1"/>
          <w:bCs w:val="1"/>
          <w:color w:val="auto"/>
        </w:rPr>
        <w:t>Participant’s employment terminates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60"/>
        <w:spacing w:after="0" w:line="262" w:lineRule="auto"/>
        <w:rPr>
          <w:sz w:val="20"/>
          <w:szCs w:val="20"/>
          <w:color w:val="auto"/>
        </w:rPr>
      </w:pPr>
      <w:r>
        <w:rPr>
          <w:rFonts w:ascii="Times New Roman" w:cs="Times New Roman" w:eastAsia="Times New Roman" w:hAnsi="Times New Roman"/>
          <w:sz w:val="22"/>
          <w:szCs w:val="22"/>
          <w:b w:val="1"/>
          <w:bCs w:val="1"/>
          <w:color w:val="auto"/>
        </w:rPr>
        <w:t>Participant is STI Plan-eligible and goes on an approved leave of absence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Participant retires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Impact of Participant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-997585</wp:posOffset>
            </wp:positionV>
            <wp:extent cx="1722755" cy="5657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6">
                      <a:extLst>
                        <a:ext uri="{28A0092B-C50C-407E-A947-70E740481C1C}"/>
                      </a:extLst>
                    </a:blip>
                    <a:srcRect/>
                    <a:stretch>
                      <a:fillRect/>
                    </a:stretch>
                  </pic:blipFill>
                  <pic:spPr bwMode="auto">
                    <a:xfrm>
                      <a:off x="0" y="0"/>
                      <a:ext cx="1722755" cy="565785"/>
                    </a:xfrm>
                    <a:prstGeom prst="rect">
                      <a:avLst/>
                    </a:prstGeom>
                    <a:noFill/>
                  </pic:spPr>
                </pic:pic>
              </a:graphicData>
            </a:graphic>
          </wp:anchor>
        </w:drawing>
      </w:r>
    </w:p>
    <w:p>
      <w:pPr>
        <w:spacing w:after="0" w:line="96"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21"/>
          <w:szCs w:val="21"/>
          <w:color w:val="auto"/>
        </w:rPr>
        <w:t>Participants whose employment begins after January 1 but on or before September 30 of the Plan Year are eligible for a Plan Award prorated based on the number of days worked during the Plan Year.</w:t>
      </w:r>
    </w:p>
    <w:p>
      <w:pPr>
        <w:spacing w:after="0" w:line="63" w:lineRule="exact"/>
        <w:rPr>
          <w:sz w:val="20"/>
          <w:szCs w:val="20"/>
          <w:color w:val="auto"/>
        </w:rPr>
      </w:pPr>
    </w:p>
    <w:p>
      <w:pPr>
        <w:jc w:val="both"/>
        <w:ind w:right="240"/>
        <w:spacing w:after="0" w:line="239" w:lineRule="auto"/>
        <w:rPr>
          <w:sz w:val="20"/>
          <w:szCs w:val="20"/>
          <w:color w:val="auto"/>
        </w:rPr>
      </w:pPr>
      <w:r>
        <w:rPr>
          <w:rFonts w:ascii="Times New Roman" w:cs="Times New Roman" w:eastAsia="Times New Roman" w:hAnsi="Times New Roman"/>
          <w:sz w:val="22"/>
          <w:szCs w:val="22"/>
          <w:color w:val="auto"/>
        </w:rPr>
        <w:t>A Participant will cease participation in the STI Plan and will not be eligible for any Plan Award for the year in which the termination occurred unless the termination is for death or retirement. See Section 10.</w:t>
      </w:r>
    </w:p>
    <w:p>
      <w:pPr>
        <w:spacing w:after="0" w:line="86" w:lineRule="exact"/>
        <w:rPr>
          <w:sz w:val="20"/>
          <w:szCs w:val="20"/>
          <w:color w:val="auto"/>
        </w:rPr>
      </w:pPr>
    </w:p>
    <w:p>
      <w:pPr>
        <w:jc w:val="both"/>
        <w:ind w:right="240"/>
        <w:spacing w:after="0" w:line="225" w:lineRule="auto"/>
        <w:rPr>
          <w:sz w:val="20"/>
          <w:szCs w:val="20"/>
          <w:color w:val="auto"/>
        </w:rPr>
      </w:pPr>
      <w:r>
        <w:rPr>
          <w:rFonts w:ascii="Times New Roman" w:cs="Times New Roman" w:eastAsia="Times New Roman" w:hAnsi="Times New Roman"/>
          <w:sz w:val="22"/>
          <w:szCs w:val="22"/>
          <w:color w:val="auto"/>
        </w:rPr>
        <w:t>Provided applicable state or federal laws allow, for any Participant with an approved leave of absence exceeding 90 days, the Participant’s Plan Award, if any, will be prorated beginning with the 91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the absence and will be paid in accordance with Section 12 above.</w:t>
      </w:r>
    </w:p>
    <w:p>
      <w:pPr>
        <w:spacing w:after="0" w:line="86" w:lineRule="exact"/>
        <w:rPr>
          <w:sz w:val="20"/>
          <w:szCs w:val="20"/>
          <w:color w:val="auto"/>
        </w:rPr>
      </w:pPr>
    </w:p>
    <w:p>
      <w:pPr>
        <w:jc w:val="both"/>
        <w:ind w:right="240"/>
        <w:spacing w:after="0" w:line="236" w:lineRule="auto"/>
        <w:rPr>
          <w:sz w:val="20"/>
          <w:szCs w:val="20"/>
          <w:color w:val="auto"/>
        </w:rPr>
      </w:pPr>
      <w:r>
        <w:rPr>
          <w:rFonts w:ascii="Times New Roman" w:cs="Times New Roman" w:eastAsia="Times New Roman" w:hAnsi="Times New Roman"/>
          <w:sz w:val="22"/>
          <w:szCs w:val="22"/>
          <w:color w:val="auto"/>
        </w:rPr>
        <w:t>The Participant is eligible to receive a prorated Plan Award, to the extent earned based on actual performance, based on the portion of the Plan Year worked before retirement. For purposes of the STI Plan, retirement shall mean a Participant’s voluntary termination of employment after attainment of age 60 with at least five (5) years of continuous service as an Employee of the Company.</w:t>
      </w:r>
    </w:p>
    <w:p>
      <w:pPr>
        <w:spacing w:after="0" w:line="200" w:lineRule="exact"/>
        <w:rPr>
          <w:sz w:val="20"/>
          <w:szCs w:val="20"/>
          <w:color w:val="auto"/>
        </w:rPr>
      </w:pPr>
    </w:p>
    <w:p>
      <w:pPr>
        <w:sectPr>
          <w:pgSz w:w="11900" w:h="16838" w:orient="portrait"/>
          <w:cols w:equalWidth="0" w:num="2">
            <w:col w:w="4460" w:space="500"/>
            <w:col w:w="6280"/>
          </w:cols>
          <w:pgMar w:left="320" w:top="1440"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00" w:type="dxa"/>
            <w:vAlign w:val="bottom"/>
          </w:tcPr>
          <w:p>
            <w:pPr>
              <w:ind w:left="760"/>
              <w:spacing w:after="0"/>
              <w:rPr>
                <w:sz w:val="20"/>
                <w:szCs w:val="20"/>
                <w:color w:val="auto"/>
              </w:rPr>
            </w:pPr>
            <w:r>
              <w:rPr>
                <w:rFonts w:ascii="Times New Roman" w:cs="Times New Roman" w:eastAsia="Times New Roman" w:hAnsi="Times New Roman"/>
                <w:sz w:val="22"/>
                <w:szCs w:val="22"/>
                <w:b w:val="1"/>
                <w:bCs w:val="1"/>
                <w:color w:val="auto"/>
              </w:rPr>
              <w:t>Participant dies</w:t>
            </w:r>
          </w:p>
        </w:tc>
        <w:tc>
          <w:tcPr>
            <w:tcW w:w="734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The Participant’s estate is eligible to receive a prorated Plan Award,</w:t>
            </w:r>
          </w:p>
        </w:tc>
      </w:tr>
      <w:tr>
        <w:trPr>
          <w:trHeight w:val="243"/>
        </w:trPr>
        <w:tc>
          <w:tcPr>
            <w:tcW w:w="3900" w:type="dxa"/>
            <w:vAlign w:val="bottom"/>
          </w:tcPr>
          <w:p>
            <w:pPr>
              <w:spacing w:after="0"/>
              <w:rPr>
                <w:sz w:val="21"/>
                <w:szCs w:val="21"/>
                <w:color w:val="auto"/>
              </w:rPr>
            </w:pPr>
          </w:p>
        </w:tc>
        <w:tc>
          <w:tcPr>
            <w:tcW w:w="734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to the extent earned based on actual performance, based on the</w:t>
            </w:r>
          </w:p>
        </w:tc>
      </w:tr>
      <w:tr>
        <w:trPr>
          <w:trHeight w:val="282"/>
        </w:trPr>
        <w:tc>
          <w:tcPr>
            <w:tcW w:w="3900" w:type="dxa"/>
            <w:vAlign w:val="bottom"/>
          </w:tcPr>
          <w:p>
            <w:pPr>
              <w:spacing w:after="0"/>
              <w:rPr>
                <w:sz w:val="24"/>
                <w:szCs w:val="24"/>
                <w:color w:val="auto"/>
              </w:rPr>
            </w:pPr>
          </w:p>
        </w:tc>
        <w:tc>
          <w:tcPr>
            <w:tcW w:w="734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portion of the Plan Year worked before death.</w:t>
            </w:r>
          </w:p>
        </w:tc>
      </w:tr>
      <w:tr>
        <w:trPr>
          <w:trHeight w:val="325"/>
        </w:trPr>
        <w:tc>
          <w:tcPr>
            <w:tcW w:w="3900" w:type="dxa"/>
            <w:vAlign w:val="bottom"/>
          </w:tcPr>
          <w:p>
            <w:pPr>
              <w:ind w:left="760"/>
              <w:spacing w:after="0"/>
              <w:rPr>
                <w:sz w:val="20"/>
                <w:szCs w:val="20"/>
                <w:color w:val="auto"/>
              </w:rPr>
            </w:pPr>
            <w:r>
              <w:rPr>
                <w:rFonts w:ascii="Times New Roman" w:cs="Times New Roman" w:eastAsia="Times New Roman" w:hAnsi="Times New Roman"/>
                <w:sz w:val="22"/>
                <w:szCs w:val="22"/>
                <w:b w:val="1"/>
                <w:bCs w:val="1"/>
                <w:color w:val="auto"/>
              </w:rPr>
              <w:t>Part-time Participants</w:t>
            </w:r>
          </w:p>
        </w:tc>
        <w:tc>
          <w:tcPr>
            <w:tcW w:w="734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If a Participant is not a full-time Employee, the Participant’s Plan</w:t>
            </w:r>
          </w:p>
        </w:tc>
      </w:tr>
      <w:tr>
        <w:trPr>
          <w:trHeight w:val="243"/>
        </w:trPr>
        <w:tc>
          <w:tcPr>
            <w:tcW w:w="3900" w:type="dxa"/>
            <w:vAlign w:val="bottom"/>
          </w:tcPr>
          <w:p>
            <w:pPr>
              <w:spacing w:after="0"/>
              <w:rPr>
                <w:sz w:val="21"/>
                <w:szCs w:val="21"/>
                <w:color w:val="auto"/>
              </w:rPr>
            </w:pPr>
          </w:p>
        </w:tc>
        <w:tc>
          <w:tcPr>
            <w:tcW w:w="734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Award, if any, shall be prorated based on the Participant’s regularly</w:t>
            </w:r>
          </w:p>
        </w:tc>
      </w:tr>
      <w:tr>
        <w:trPr>
          <w:trHeight w:val="243"/>
        </w:trPr>
        <w:tc>
          <w:tcPr>
            <w:tcW w:w="3900" w:type="dxa"/>
            <w:vAlign w:val="bottom"/>
          </w:tcPr>
          <w:p>
            <w:pPr>
              <w:spacing w:after="0"/>
              <w:rPr>
                <w:sz w:val="21"/>
                <w:szCs w:val="21"/>
                <w:color w:val="auto"/>
              </w:rPr>
            </w:pPr>
          </w:p>
        </w:tc>
        <w:tc>
          <w:tcPr>
            <w:tcW w:w="734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scheduled work hours or percentage of time worked. If a Participant</w:t>
            </w:r>
          </w:p>
        </w:tc>
      </w:tr>
      <w:tr>
        <w:trPr>
          <w:trHeight w:val="243"/>
        </w:trPr>
        <w:tc>
          <w:tcPr>
            <w:tcW w:w="3900" w:type="dxa"/>
            <w:vAlign w:val="bottom"/>
          </w:tcPr>
          <w:p>
            <w:pPr>
              <w:spacing w:after="0"/>
              <w:rPr>
                <w:sz w:val="21"/>
                <w:szCs w:val="21"/>
                <w:color w:val="auto"/>
              </w:rPr>
            </w:pPr>
          </w:p>
        </w:tc>
        <w:tc>
          <w:tcPr>
            <w:tcW w:w="734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has a change in regularly scheduled work hours during a Plan Year,</w:t>
            </w:r>
          </w:p>
        </w:tc>
      </w:tr>
      <w:tr>
        <w:trPr>
          <w:trHeight w:val="243"/>
        </w:trPr>
        <w:tc>
          <w:tcPr>
            <w:tcW w:w="3900" w:type="dxa"/>
            <w:vAlign w:val="bottom"/>
          </w:tcPr>
          <w:p>
            <w:pPr>
              <w:spacing w:after="0"/>
              <w:rPr>
                <w:sz w:val="21"/>
                <w:szCs w:val="21"/>
                <w:color w:val="auto"/>
              </w:rPr>
            </w:pPr>
          </w:p>
        </w:tc>
        <w:tc>
          <w:tcPr>
            <w:tcW w:w="734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the Participant’s Plan Award, if any, will be prorated based on the</w:t>
            </w:r>
          </w:p>
        </w:tc>
      </w:tr>
      <w:tr>
        <w:trPr>
          <w:trHeight w:val="243"/>
        </w:trPr>
        <w:tc>
          <w:tcPr>
            <w:tcW w:w="3900" w:type="dxa"/>
            <w:vAlign w:val="bottom"/>
          </w:tcPr>
          <w:p>
            <w:pPr>
              <w:spacing w:after="0"/>
              <w:rPr>
                <w:sz w:val="21"/>
                <w:szCs w:val="21"/>
                <w:color w:val="auto"/>
              </w:rPr>
            </w:pPr>
          </w:p>
        </w:tc>
        <w:tc>
          <w:tcPr>
            <w:tcW w:w="734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length of time worked during the Plan Year at the previous and new</w:t>
            </w:r>
          </w:p>
        </w:tc>
      </w:tr>
      <w:tr>
        <w:trPr>
          <w:trHeight w:val="282"/>
        </w:trPr>
        <w:tc>
          <w:tcPr>
            <w:tcW w:w="3900" w:type="dxa"/>
            <w:vAlign w:val="bottom"/>
          </w:tcPr>
          <w:p>
            <w:pPr>
              <w:spacing w:after="0"/>
              <w:rPr>
                <w:sz w:val="24"/>
                <w:szCs w:val="24"/>
                <w:color w:val="auto"/>
              </w:rPr>
            </w:pPr>
          </w:p>
        </w:tc>
        <w:tc>
          <w:tcPr>
            <w:tcW w:w="734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schedule.</w:t>
            </w:r>
          </w:p>
        </w:tc>
      </w:tr>
      <w:tr>
        <w:trPr>
          <w:trHeight w:val="886"/>
        </w:trPr>
        <w:tc>
          <w:tcPr>
            <w:tcW w:w="3900" w:type="dxa"/>
            <w:vAlign w:val="bottom"/>
          </w:tcPr>
          <w:p>
            <w:pPr>
              <w:spacing w:after="0"/>
              <w:rPr>
                <w:sz w:val="24"/>
                <w:szCs w:val="24"/>
                <w:color w:val="auto"/>
              </w:rPr>
            </w:pPr>
          </w:p>
        </w:tc>
        <w:tc>
          <w:tcPr>
            <w:tcW w:w="7340" w:type="dxa"/>
            <w:vAlign w:val="bottom"/>
          </w:tcPr>
          <w:p>
            <w:pPr>
              <w:ind w:left="1220"/>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6</w:t>
            </w:r>
            <w:r>
              <w:rPr>
                <w:rFonts w:ascii="Arial" w:cs="Arial" w:eastAsia="Arial" w:hAnsi="Arial"/>
                <w:sz w:val="20"/>
                <w:szCs w:val="20"/>
                <w:color w:val="auto"/>
              </w:rPr>
              <w:t xml:space="preserve"> of </w:t>
            </w:r>
            <w:r>
              <w:rPr>
                <w:rFonts w:ascii="Arial" w:cs="Arial" w:eastAsia="Arial" w:hAnsi="Arial"/>
                <w:sz w:val="20"/>
                <w:szCs w:val="20"/>
                <w:b w:val="1"/>
                <w:bCs w:val="1"/>
                <w:color w:val="auto"/>
              </w:rPr>
              <w:t>8</w:t>
            </w:r>
          </w:p>
        </w:tc>
      </w:tr>
      <w:tr>
        <w:trPr>
          <w:trHeight w:val="729"/>
        </w:trPr>
        <w:tc>
          <w:tcPr>
            <w:tcW w:w="390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500380</wp:posOffset>
            </wp:positionV>
            <wp:extent cx="1722755" cy="5657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9">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65785"/>
                    </a:xfrm>
                    <a:prstGeom prst="rect">
                      <a:avLst/>
                    </a:prstGeom>
                    <a:noFill/>
                  </pic:spPr>
                </pic:pic>
              </a:graphicData>
            </a:graphic>
          </wp:anchor>
        </w:drawing>
      </w:r>
    </w:p>
    <w:p>
      <w:pPr>
        <w:spacing w:after="0" w:line="223" w:lineRule="exact"/>
        <w:rPr>
          <w:sz w:val="20"/>
          <w:szCs w:val="20"/>
          <w:color w:val="auto"/>
        </w:rPr>
      </w:pPr>
    </w:p>
    <w:p>
      <w:pPr>
        <w:ind w:left="440" w:hanging="432"/>
        <w:spacing w:after="0"/>
        <w:tabs>
          <w:tab w:leader="none" w:pos="44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 rata Guidelines</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All pro rata adjustments occur on a per day basis.</w:t>
      </w:r>
    </w:p>
    <w:p>
      <w:pPr>
        <w:spacing w:after="0" w:line="229" w:lineRule="exact"/>
        <w:rPr>
          <w:sz w:val="20"/>
          <w:szCs w:val="20"/>
          <w:color w:val="auto"/>
        </w:rPr>
      </w:pPr>
    </w:p>
    <w:p>
      <w:pPr>
        <w:ind w:left="440" w:hanging="432"/>
        <w:spacing w:after="0"/>
        <w:tabs>
          <w:tab w:leader="none" w:pos="44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Forfeiture/Recoupment</w:t>
      </w:r>
    </w:p>
    <w:p>
      <w:pPr>
        <w:spacing w:after="0" w:line="237" w:lineRule="exact"/>
        <w:rPr>
          <w:sz w:val="20"/>
          <w:szCs w:val="20"/>
          <w:color w:val="auto"/>
        </w:rPr>
      </w:pPr>
    </w:p>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The Administrator reserves the right to withhold from any Participant, or cause such Participant to forfeit, any Plan Award hereunder on account of actions taken by, or failed to be taken by, such Participant in violation or breach of, or in conflict with, any (a) employment agreement, (b) non-competition agreement, (c) agreement prohibiting solicitation of employees or clients of the Company or any of its affiliates, (d) confidentiality obligation with respect to the Company or any of its affiliates, (e) Company policy or procedure, (f) other agreement, or (g) other obligation of such Participant to the Company or any of its affiliates, as determined by the Administrator in its sole discretion.</w:t>
      </w:r>
    </w:p>
    <w:p>
      <w:pPr>
        <w:spacing w:after="0" w:line="208"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Any Plan Award shall be subject to mandatory repayment by the Participant to the Company to the extent set forth in this Plan or to the extent the Participant is, or in the future becomes, subject to (1) any Company or affiliate “clawback” or recoupment policy that is adopted to comply with the requirements of any applicable laws or regulations, or (2) any applicable laws which impose mandatory recoupment, under circumstances set forth therein.</w:t>
      </w:r>
    </w:p>
    <w:p>
      <w:pPr>
        <w:spacing w:after="0" w:line="203" w:lineRule="exact"/>
        <w:rPr>
          <w:sz w:val="20"/>
          <w:szCs w:val="20"/>
          <w:color w:val="auto"/>
        </w:rPr>
      </w:pPr>
    </w:p>
    <w:p>
      <w:pPr>
        <w:ind w:left="440" w:hanging="432"/>
        <w:spacing w:after="0"/>
        <w:tabs>
          <w:tab w:leader="none" w:pos="44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w:t>
      </w:r>
    </w:p>
    <w:p>
      <w:pPr>
        <w:spacing w:after="0" w:line="237"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This Plan may be amended, terminated or revoked by the Board and/or Compensation Committee at its sole discretion, from time to time, without the approval of any Participant. In no event does this STI Plan alter the “employment-at-will” relationship between the Company and its Employees. The Company and its Employees are free to terminate the employment relationship at any time, without cause or notice.</w:t>
      </w:r>
    </w:p>
    <w:p>
      <w:pPr>
        <w:spacing w:after="0" w:line="207"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All decisions made by the Board, Compensation Committee or the Administrator under the Plan, including the determination of a Participant’s actual Plan Award, shall be final and binding on all Participants and any person claiming benefits through them.</w:t>
      </w:r>
    </w:p>
    <w:p>
      <w:pPr>
        <w:spacing w:after="0" w:line="200" w:lineRule="exact"/>
        <w:rPr>
          <w:sz w:val="20"/>
          <w:szCs w:val="20"/>
          <w:color w:val="auto"/>
        </w:rPr>
      </w:pPr>
    </w:p>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Each Plan Award is intended to qualify for the “short-term deferral” exemption from Section 409A of the Internal Revenue Code of 1986, as amended and shall be construed accordingly. Notwithstanding the preceding sentence, neither the Administrator nor the Company, nor any person acting on behalf of any of them, shall be liable to a Participant by reason of any acceleration of income, or any tax or additional tax, asserted by reason of any failure of a Plan Award or any portion thereof to satisfy the requirements for exemption from, or compliance with, Section 409A of the Code.</w:t>
      </w:r>
    </w:p>
    <w:p>
      <w:pPr>
        <w:spacing w:after="0" w:line="208" w:lineRule="exact"/>
        <w:rPr>
          <w:sz w:val="20"/>
          <w:szCs w:val="20"/>
          <w:color w:val="auto"/>
        </w:rPr>
      </w:pPr>
    </w:p>
    <w:p>
      <w:pPr>
        <w:jc w:val="both"/>
        <w:ind w:left="760" w:right="20"/>
        <w:spacing w:after="0" w:line="258" w:lineRule="auto"/>
        <w:rPr>
          <w:sz w:val="20"/>
          <w:szCs w:val="20"/>
          <w:color w:val="auto"/>
        </w:rPr>
      </w:pPr>
      <w:r>
        <w:rPr>
          <w:rFonts w:ascii="Times New Roman" w:cs="Times New Roman" w:eastAsia="Times New Roman" w:hAnsi="Times New Roman"/>
          <w:sz w:val="22"/>
          <w:szCs w:val="22"/>
          <w:color w:val="auto"/>
        </w:rPr>
        <w:t>To the extent any provision of this STI Plan conflicts with any applicable state or federal law, the Administrator will follow and comply with the applicable law.</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7</w:t>
      </w:r>
      <w:r>
        <w:rPr>
          <w:rFonts w:ascii="Arial" w:cs="Arial" w:eastAsia="Arial" w:hAnsi="Arial"/>
          <w:sz w:val="20"/>
          <w:szCs w:val="20"/>
          <w:color w:val="auto"/>
        </w:rPr>
        <w:t xml:space="preserve"> of </w:t>
      </w:r>
      <w:r>
        <w:rPr>
          <w:rFonts w:ascii="Arial" w:cs="Arial" w:eastAsia="Arial" w:hAnsi="Arial"/>
          <w:sz w:val="20"/>
          <w:szCs w:val="20"/>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500380</wp:posOffset>
            </wp:positionV>
            <wp:extent cx="1722755" cy="5657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1">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6578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Merit, Bonus and Equity Eligibility &amp; Proration Guidelines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Effective 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-12065</wp:posOffset>
            </wp:positionV>
            <wp:extent cx="34290" cy="6597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2">
                      <a:extLst>
                        <a:ext uri="{28A0092B-C50C-407E-A947-70E740481C1C}"/>
                      </a:extLst>
                    </a:blip>
                    <a:srcRect/>
                    <a:stretch>
                      <a:fillRect/>
                    </a:stretch>
                  </pic:blipFill>
                  <pic:spPr bwMode="auto">
                    <a:xfrm>
                      <a:off x="0" y="0"/>
                      <a:ext cx="34290" cy="659765"/>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-12065</wp:posOffset>
            </wp:positionV>
            <wp:extent cx="34290" cy="6597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3">
                      <a:extLst>
                        <a:ext uri="{28A0092B-C50C-407E-A947-70E740481C1C}"/>
                      </a:extLst>
                    </a:blip>
                    <a:srcRect/>
                    <a:stretch>
                      <a:fillRect/>
                    </a:stretch>
                  </pic:blipFill>
                  <pic:spPr bwMode="auto">
                    <a:xfrm>
                      <a:off x="0" y="0"/>
                      <a:ext cx="34290" cy="659765"/>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-12065</wp:posOffset>
            </wp:positionV>
            <wp:extent cx="34290" cy="6597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4">
                      <a:extLst>
                        <a:ext uri="{28A0092B-C50C-407E-A947-70E740481C1C}"/>
                      </a:extLst>
                    </a:blip>
                    <a:srcRect/>
                    <a:stretch>
                      <a:fillRect/>
                    </a:stretch>
                  </pic:blipFill>
                  <pic:spPr bwMode="auto">
                    <a:xfrm>
                      <a:off x="0" y="0"/>
                      <a:ext cx="34290" cy="65976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-12065</wp:posOffset>
            </wp:positionV>
            <wp:extent cx="34290" cy="6597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5">
                      <a:extLst>
                        <a:ext uri="{28A0092B-C50C-407E-A947-70E740481C1C}"/>
                      </a:extLst>
                    </a:blip>
                    <a:srcRect/>
                    <a:stretch>
                      <a:fillRect/>
                    </a:stretch>
                  </pic:blipFill>
                  <pic:spPr bwMode="auto">
                    <a:xfrm>
                      <a:off x="0" y="0"/>
                      <a:ext cx="34290" cy="6597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0"/>
        </w:trPr>
        <w:tc>
          <w:tcPr>
            <w:tcW w:w="1540" w:type="dxa"/>
            <w:vAlign w:val="bottom"/>
            <w:tcBorders>
              <w:top w:val="single" w:sz="8" w:color="2D5A7B"/>
            </w:tcBorders>
            <w:shd w:val="clear" w:color="auto" w:fill="1F497D"/>
          </w:tcPr>
          <w:p>
            <w:pPr>
              <w:ind w:left="40"/>
              <w:spacing w:after="0"/>
              <w:rPr>
                <w:sz w:val="20"/>
                <w:szCs w:val="20"/>
                <w:color w:val="auto"/>
              </w:rPr>
            </w:pPr>
            <w:r>
              <w:rPr>
                <w:rFonts w:ascii="Arial" w:cs="Arial" w:eastAsia="Arial" w:hAnsi="Arial"/>
                <w:sz w:val="20"/>
                <w:szCs w:val="20"/>
                <w:b w:val="1"/>
                <w:bCs w:val="1"/>
                <w:color w:val="FFFFFF"/>
              </w:rPr>
              <w:t>Compensat</w:t>
            </w:r>
          </w:p>
        </w:tc>
        <w:tc>
          <w:tcPr>
            <w:tcW w:w="2140" w:type="dxa"/>
            <w:vAlign w:val="bottom"/>
            <w:tcBorders>
              <w:top w:val="single" w:sz="8" w:color="2D5A7B"/>
            </w:tcBorders>
            <w:shd w:val="clear" w:color="auto" w:fill="1F497D"/>
          </w:tcPr>
          <w:p>
            <w:pPr>
              <w:ind w:left="420"/>
              <w:spacing w:after="0"/>
              <w:rPr>
                <w:sz w:val="20"/>
                <w:szCs w:val="20"/>
                <w:color w:val="auto"/>
              </w:rPr>
            </w:pPr>
            <w:r>
              <w:rPr>
                <w:rFonts w:ascii="Arial" w:cs="Arial" w:eastAsia="Arial" w:hAnsi="Arial"/>
                <w:sz w:val="20"/>
                <w:szCs w:val="20"/>
                <w:b w:val="1"/>
                <w:bCs w:val="1"/>
                <w:color w:val="FFFFFF"/>
              </w:rPr>
              <w:t>New Hires</w:t>
            </w:r>
          </w:p>
        </w:tc>
        <w:tc>
          <w:tcPr>
            <w:tcW w:w="2280" w:type="dxa"/>
            <w:vAlign w:val="bottom"/>
            <w:tcBorders>
              <w:top w:val="single" w:sz="8" w:color="2D5A7B"/>
            </w:tcBorders>
            <w:shd w:val="clear" w:color="auto" w:fill="1F497D"/>
          </w:tcPr>
          <w:p>
            <w:pPr>
              <w:ind w:left="780"/>
              <w:spacing w:after="0"/>
              <w:rPr>
                <w:sz w:val="20"/>
                <w:szCs w:val="20"/>
                <w:color w:val="auto"/>
              </w:rPr>
            </w:pPr>
            <w:r>
              <w:rPr>
                <w:rFonts w:ascii="Arial" w:cs="Arial" w:eastAsia="Arial" w:hAnsi="Arial"/>
                <w:sz w:val="20"/>
                <w:szCs w:val="20"/>
                <w:b w:val="1"/>
                <w:bCs w:val="1"/>
                <w:color w:val="FFFFFF"/>
              </w:rPr>
              <w:t>Promotions</w:t>
            </w:r>
          </w:p>
        </w:tc>
        <w:tc>
          <w:tcPr>
            <w:tcW w:w="3280" w:type="dxa"/>
            <w:vAlign w:val="bottom"/>
            <w:tcBorders>
              <w:top w:val="single" w:sz="8" w:color="2D5A7B"/>
            </w:tcBorders>
            <w:shd w:val="clear" w:color="auto" w:fill="1F497D"/>
          </w:tcPr>
          <w:p>
            <w:pPr>
              <w:jc w:val="center"/>
              <w:spacing w:after="0"/>
              <w:rPr>
                <w:sz w:val="20"/>
                <w:szCs w:val="20"/>
                <w:color w:val="auto"/>
              </w:rPr>
            </w:pPr>
            <w:r>
              <w:rPr>
                <w:rFonts w:ascii="Arial" w:cs="Arial" w:eastAsia="Arial" w:hAnsi="Arial"/>
                <w:sz w:val="20"/>
                <w:szCs w:val="20"/>
                <w:b w:val="1"/>
                <w:bCs w:val="1"/>
                <w:color w:val="FFFFFF"/>
                <w:w w:val="98"/>
              </w:rPr>
              <w:t>Internal Transfers or</w:t>
            </w:r>
          </w:p>
        </w:tc>
        <w:tc>
          <w:tcPr>
            <w:tcW w:w="2000" w:type="dxa"/>
            <w:vAlign w:val="bottom"/>
            <w:tcBorders>
              <w:top w:val="single" w:sz="8" w:color="2D5A7B"/>
            </w:tcBorders>
            <w:shd w:val="clear" w:color="auto" w:fill="1F497D"/>
          </w:tcPr>
          <w:p>
            <w:pPr>
              <w:ind w:left="420"/>
              <w:spacing w:after="0"/>
              <w:rPr>
                <w:sz w:val="20"/>
                <w:szCs w:val="20"/>
                <w:color w:val="auto"/>
              </w:rPr>
            </w:pPr>
            <w:r>
              <w:rPr>
                <w:rFonts w:ascii="Arial" w:cs="Arial" w:eastAsia="Arial" w:hAnsi="Arial"/>
                <w:sz w:val="20"/>
                <w:szCs w:val="20"/>
                <w:b w:val="1"/>
                <w:bCs w:val="1"/>
                <w:color w:val="FFFFFF"/>
              </w:rPr>
              <w:t>Leave of</w:t>
            </w:r>
          </w:p>
        </w:tc>
      </w:tr>
      <w:tr>
        <w:trPr>
          <w:trHeight w:val="216"/>
        </w:trPr>
        <w:tc>
          <w:tcPr>
            <w:tcW w:w="1540" w:type="dxa"/>
            <w:vAlign w:val="bottom"/>
            <w:shd w:val="clear" w:color="auto" w:fill="1F497D"/>
          </w:tcPr>
          <w:p>
            <w:pPr>
              <w:ind w:left="20"/>
              <w:spacing w:after="0" w:line="216" w:lineRule="exact"/>
              <w:rPr>
                <w:sz w:val="20"/>
                <w:szCs w:val="20"/>
                <w:color w:val="auto"/>
              </w:rPr>
            </w:pPr>
            <w:r>
              <w:rPr>
                <w:rFonts w:ascii="Arial" w:cs="Arial" w:eastAsia="Arial" w:hAnsi="Arial"/>
                <w:sz w:val="20"/>
                <w:szCs w:val="20"/>
                <w:b w:val="1"/>
                <w:bCs w:val="1"/>
                <w:color w:val="FFFFFF"/>
              </w:rPr>
              <w:t>ion Element</w:t>
            </w:r>
          </w:p>
        </w:tc>
        <w:tc>
          <w:tcPr>
            <w:tcW w:w="2140" w:type="dxa"/>
            <w:vAlign w:val="bottom"/>
            <w:shd w:val="clear" w:color="auto" w:fill="1F497D"/>
          </w:tcPr>
          <w:p>
            <w:pPr>
              <w:spacing w:after="0"/>
              <w:rPr>
                <w:sz w:val="18"/>
                <w:szCs w:val="18"/>
                <w:color w:val="auto"/>
              </w:rPr>
            </w:pPr>
          </w:p>
        </w:tc>
        <w:tc>
          <w:tcPr>
            <w:tcW w:w="2280" w:type="dxa"/>
            <w:vAlign w:val="bottom"/>
            <w:shd w:val="clear" w:color="auto" w:fill="1F497D"/>
          </w:tcPr>
          <w:p>
            <w:pPr>
              <w:spacing w:after="0"/>
              <w:rPr>
                <w:sz w:val="18"/>
                <w:szCs w:val="18"/>
                <w:color w:val="auto"/>
              </w:rPr>
            </w:pPr>
          </w:p>
        </w:tc>
        <w:tc>
          <w:tcPr>
            <w:tcW w:w="3280" w:type="dxa"/>
            <w:vAlign w:val="bottom"/>
            <w:shd w:val="clear" w:color="auto" w:fill="1F497D"/>
          </w:tcPr>
          <w:p>
            <w:pPr>
              <w:jc w:val="center"/>
              <w:spacing w:after="0" w:line="216" w:lineRule="exact"/>
              <w:rPr>
                <w:sz w:val="20"/>
                <w:szCs w:val="20"/>
                <w:color w:val="auto"/>
              </w:rPr>
            </w:pPr>
            <w:r>
              <w:rPr>
                <w:rFonts w:ascii="Arial" w:cs="Arial" w:eastAsia="Arial" w:hAnsi="Arial"/>
                <w:sz w:val="20"/>
                <w:szCs w:val="20"/>
                <w:b w:val="1"/>
                <w:bCs w:val="1"/>
                <w:color w:val="FFFFFF"/>
                <w:w w:val="99"/>
              </w:rPr>
              <w:t>Market Adjustments</w:t>
            </w:r>
          </w:p>
        </w:tc>
        <w:tc>
          <w:tcPr>
            <w:tcW w:w="2000" w:type="dxa"/>
            <w:vAlign w:val="bottom"/>
            <w:shd w:val="clear" w:color="auto" w:fill="1F497D"/>
          </w:tcPr>
          <w:p>
            <w:pPr>
              <w:ind w:left="420"/>
              <w:spacing w:after="0" w:line="216" w:lineRule="exact"/>
              <w:rPr>
                <w:sz w:val="20"/>
                <w:szCs w:val="20"/>
                <w:color w:val="auto"/>
              </w:rPr>
            </w:pPr>
            <w:r>
              <w:rPr>
                <w:rFonts w:ascii="Arial" w:cs="Arial" w:eastAsia="Arial" w:hAnsi="Arial"/>
                <w:sz w:val="20"/>
                <w:szCs w:val="20"/>
                <w:b w:val="1"/>
                <w:bCs w:val="1"/>
                <w:color w:val="FFFFFF"/>
              </w:rPr>
              <w:t>Absence</w:t>
            </w:r>
          </w:p>
        </w:tc>
      </w:tr>
      <w:tr>
        <w:trPr>
          <w:trHeight w:val="216"/>
        </w:trPr>
        <w:tc>
          <w:tcPr>
            <w:tcW w:w="1540" w:type="dxa"/>
            <w:vAlign w:val="bottom"/>
            <w:shd w:val="clear" w:color="auto" w:fill="1F497D"/>
          </w:tcPr>
          <w:p>
            <w:pPr>
              <w:spacing w:after="0"/>
              <w:rPr>
                <w:sz w:val="18"/>
                <w:szCs w:val="18"/>
                <w:color w:val="auto"/>
              </w:rPr>
            </w:pPr>
          </w:p>
        </w:tc>
        <w:tc>
          <w:tcPr>
            <w:tcW w:w="2140" w:type="dxa"/>
            <w:vAlign w:val="bottom"/>
            <w:shd w:val="clear" w:color="auto" w:fill="1F497D"/>
          </w:tcPr>
          <w:p>
            <w:pPr>
              <w:spacing w:after="0"/>
              <w:rPr>
                <w:sz w:val="18"/>
                <w:szCs w:val="18"/>
                <w:color w:val="auto"/>
              </w:rPr>
            </w:pPr>
          </w:p>
        </w:tc>
        <w:tc>
          <w:tcPr>
            <w:tcW w:w="2280" w:type="dxa"/>
            <w:vAlign w:val="bottom"/>
            <w:shd w:val="clear" w:color="auto" w:fill="1F497D"/>
          </w:tcPr>
          <w:p>
            <w:pPr>
              <w:spacing w:after="0"/>
              <w:rPr>
                <w:sz w:val="18"/>
                <w:szCs w:val="18"/>
                <w:color w:val="auto"/>
              </w:rPr>
            </w:pPr>
          </w:p>
        </w:tc>
        <w:tc>
          <w:tcPr>
            <w:tcW w:w="3280" w:type="dxa"/>
            <w:vAlign w:val="bottom"/>
            <w:shd w:val="clear" w:color="auto" w:fill="1F497D"/>
          </w:tcPr>
          <w:p>
            <w:pPr>
              <w:jc w:val="center"/>
              <w:spacing w:after="0" w:line="216" w:lineRule="exact"/>
              <w:rPr>
                <w:sz w:val="20"/>
                <w:szCs w:val="20"/>
                <w:color w:val="auto"/>
              </w:rPr>
            </w:pPr>
            <w:r>
              <w:rPr>
                <w:rFonts w:ascii="Arial" w:cs="Arial" w:eastAsia="Arial" w:hAnsi="Arial"/>
                <w:sz w:val="20"/>
                <w:szCs w:val="20"/>
                <w:b w:val="1"/>
                <w:bCs w:val="1"/>
                <w:color w:val="FFFFFF"/>
                <w:w w:val="98"/>
              </w:rPr>
              <w:t>Resulting</w:t>
            </w:r>
          </w:p>
        </w:tc>
        <w:tc>
          <w:tcPr>
            <w:tcW w:w="2000" w:type="dxa"/>
            <w:vAlign w:val="bottom"/>
            <w:shd w:val="clear" w:color="auto" w:fill="1F497D"/>
          </w:tcPr>
          <w:p>
            <w:pPr>
              <w:spacing w:after="0"/>
              <w:rPr>
                <w:sz w:val="18"/>
                <w:szCs w:val="18"/>
                <w:color w:val="auto"/>
              </w:rPr>
            </w:pPr>
          </w:p>
        </w:tc>
      </w:tr>
      <w:tr>
        <w:trPr>
          <w:trHeight w:val="240"/>
        </w:trPr>
        <w:tc>
          <w:tcPr>
            <w:tcW w:w="1540" w:type="dxa"/>
            <w:vAlign w:val="bottom"/>
            <w:shd w:val="clear" w:color="auto" w:fill="1F497D"/>
          </w:tcPr>
          <w:p>
            <w:pPr>
              <w:spacing w:after="0"/>
              <w:rPr>
                <w:sz w:val="20"/>
                <w:szCs w:val="20"/>
                <w:color w:val="auto"/>
              </w:rPr>
            </w:pPr>
          </w:p>
        </w:tc>
        <w:tc>
          <w:tcPr>
            <w:tcW w:w="2140" w:type="dxa"/>
            <w:vAlign w:val="bottom"/>
            <w:shd w:val="clear" w:color="auto" w:fill="1F497D"/>
          </w:tcPr>
          <w:p>
            <w:pPr>
              <w:spacing w:after="0"/>
              <w:rPr>
                <w:sz w:val="20"/>
                <w:szCs w:val="20"/>
                <w:color w:val="auto"/>
              </w:rPr>
            </w:pPr>
          </w:p>
        </w:tc>
        <w:tc>
          <w:tcPr>
            <w:tcW w:w="2280" w:type="dxa"/>
            <w:vAlign w:val="bottom"/>
            <w:shd w:val="clear" w:color="auto" w:fill="1F497D"/>
          </w:tcPr>
          <w:p>
            <w:pPr>
              <w:spacing w:after="0"/>
              <w:rPr>
                <w:sz w:val="20"/>
                <w:szCs w:val="20"/>
                <w:color w:val="auto"/>
              </w:rPr>
            </w:pPr>
          </w:p>
        </w:tc>
        <w:tc>
          <w:tcPr>
            <w:tcW w:w="3280" w:type="dxa"/>
            <w:vAlign w:val="bottom"/>
            <w:shd w:val="clear" w:color="auto" w:fill="1F497D"/>
          </w:tcPr>
          <w:p>
            <w:pPr>
              <w:jc w:val="center"/>
              <w:spacing w:after="0"/>
              <w:rPr>
                <w:sz w:val="20"/>
                <w:szCs w:val="20"/>
                <w:color w:val="auto"/>
              </w:rPr>
            </w:pPr>
            <w:r>
              <w:rPr>
                <w:rFonts w:ascii="Arial" w:cs="Arial" w:eastAsia="Arial" w:hAnsi="Arial"/>
                <w:sz w:val="20"/>
                <w:szCs w:val="20"/>
                <w:b w:val="1"/>
                <w:bCs w:val="1"/>
                <w:color w:val="FFFFFF"/>
                <w:w w:val="99"/>
              </w:rPr>
              <w:t>in Compensation Changes</w:t>
            </w:r>
          </w:p>
        </w:tc>
        <w:tc>
          <w:tcPr>
            <w:tcW w:w="2000" w:type="dxa"/>
            <w:vAlign w:val="bottom"/>
            <w:shd w:val="clear" w:color="auto" w:fill="1F497D"/>
          </w:tcPr>
          <w:p>
            <w:pPr>
              <w:spacing w:after="0"/>
              <w:rPr>
                <w:sz w:val="20"/>
                <w:szCs w:val="20"/>
                <w:color w:val="auto"/>
              </w:rPr>
            </w:pPr>
          </w:p>
        </w:tc>
      </w:tr>
      <w:tr>
        <w:trPr>
          <w:trHeight w:val="68"/>
        </w:trPr>
        <w:tc>
          <w:tcPr>
            <w:tcW w:w="1540" w:type="dxa"/>
            <w:vAlign w:val="bottom"/>
            <w:shd w:val="clear" w:color="auto" w:fill="2D5A7B"/>
          </w:tcPr>
          <w:p>
            <w:pPr>
              <w:spacing w:after="0"/>
              <w:rPr>
                <w:sz w:val="5"/>
                <w:szCs w:val="5"/>
                <w:color w:val="auto"/>
              </w:rPr>
            </w:pPr>
          </w:p>
        </w:tc>
        <w:tc>
          <w:tcPr>
            <w:tcW w:w="2140" w:type="dxa"/>
            <w:vAlign w:val="bottom"/>
            <w:shd w:val="clear" w:color="auto" w:fill="2D5A7B"/>
          </w:tcPr>
          <w:p>
            <w:pPr>
              <w:spacing w:after="0"/>
              <w:rPr>
                <w:sz w:val="5"/>
                <w:szCs w:val="5"/>
                <w:color w:val="auto"/>
              </w:rPr>
            </w:pPr>
          </w:p>
        </w:tc>
        <w:tc>
          <w:tcPr>
            <w:tcW w:w="2280" w:type="dxa"/>
            <w:vAlign w:val="bottom"/>
            <w:shd w:val="clear" w:color="auto" w:fill="2D5A7B"/>
          </w:tcPr>
          <w:p>
            <w:pPr>
              <w:spacing w:after="0"/>
              <w:rPr>
                <w:sz w:val="5"/>
                <w:szCs w:val="5"/>
                <w:color w:val="auto"/>
              </w:rPr>
            </w:pPr>
          </w:p>
        </w:tc>
        <w:tc>
          <w:tcPr>
            <w:tcW w:w="3280" w:type="dxa"/>
            <w:vAlign w:val="bottom"/>
            <w:shd w:val="clear" w:color="auto" w:fill="2D5A7B"/>
          </w:tcPr>
          <w:p>
            <w:pPr>
              <w:spacing w:after="0"/>
              <w:rPr>
                <w:sz w:val="5"/>
                <w:szCs w:val="5"/>
                <w:color w:val="auto"/>
              </w:rPr>
            </w:pPr>
          </w:p>
        </w:tc>
        <w:tc>
          <w:tcPr>
            <w:tcW w:w="2000" w:type="dxa"/>
            <w:vAlign w:val="bottom"/>
            <w:shd w:val="clear" w:color="auto" w:fill="2D5A7B"/>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40074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6">
                      <a:extLst>
                        <a:ext uri="{28A0092B-C50C-407E-A947-70E740481C1C}"/>
                      </a:extLst>
                    </a:blip>
                    <a:srcRect/>
                    <a:stretch>
                      <a:fillRect/>
                    </a:stretch>
                  </pic:blipFill>
                  <pic:spPr bwMode="auto">
                    <a:xfrm>
                      <a:off x="0" y="0"/>
                      <a:ext cx="7132320" cy="400748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Merit</w:t>
      </w:r>
    </w:p>
    <w:p>
      <w:pPr>
        <w:jc w:val="both"/>
        <w:ind w:left="1180"/>
        <w:spacing w:after="0" w:line="233" w:lineRule="auto"/>
        <w:rPr>
          <w:sz w:val="20"/>
          <w:szCs w:val="20"/>
          <w:color w:val="auto"/>
        </w:rPr>
      </w:pPr>
      <w:r>
        <w:rPr>
          <w:rFonts w:ascii="Arial" w:cs="Arial" w:eastAsia="Arial" w:hAnsi="Arial"/>
          <w:sz w:val="15"/>
          <w:szCs w:val="15"/>
          <w:b w:val="1"/>
          <w:bCs w:val="1"/>
          <w:color w:val="auto"/>
        </w:rPr>
        <w:t xml:space="preserve">Hires on or before September 30 </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eligible for a pro-rated merit increase based on the number of days worked during the performance year.</w:t>
      </w:r>
    </w:p>
    <w:p>
      <w:pPr>
        <w:spacing w:after="0" w:line="124" w:lineRule="exact"/>
        <w:rPr>
          <w:sz w:val="20"/>
          <w:szCs w:val="20"/>
          <w:color w:val="auto"/>
        </w:rPr>
      </w:pPr>
    </w:p>
    <w:p>
      <w:pPr>
        <w:ind w:left="1180" w:right="200"/>
        <w:spacing w:after="0" w:line="246" w:lineRule="auto"/>
        <w:rPr>
          <w:sz w:val="20"/>
          <w:szCs w:val="20"/>
          <w:color w:val="auto"/>
        </w:rPr>
      </w:pPr>
      <w:r>
        <w:rPr>
          <w:rFonts w:ascii="Arial" w:cs="Arial" w:eastAsia="Arial" w:hAnsi="Arial"/>
          <w:sz w:val="15"/>
          <w:szCs w:val="15"/>
          <w:b w:val="1"/>
          <w:bCs w:val="1"/>
          <w:color w:val="auto"/>
        </w:rPr>
        <w:t xml:space="preserve">Hires after September 30 </w:t>
      </w:r>
      <w:r>
        <w:rPr>
          <w:rFonts w:ascii="Arial" w:cs="Arial" w:eastAsia="Arial" w:hAnsi="Arial"/>
          <w:sz w:val="15"/>
          <w:szCs w:val="15"/>
          <w:color w:val="auto"/>
        </w:rPr>
        <w:t>– not</w:t>
      </w:r>
      <w:r>
        <w:rPr>
          <w:rFonts w:ascii="Arial" w:cs="Arial" w:eastAsia="Arial" w:hAnsi="Arial"/>
          <w:sz w:val="15"/>
          <w:szCs w:val="15"/>
          <w:b w:val="1"/>
          <w:bCs w:val="1"/>
          <w:color w:val="auto"/>
        </w:rPr>
        <w:t xml:space="preserve"> </w:t>
      </w:r>
      <w:r>
        <w:rPr>
          <w:rFonts w:ascii="Arial" w:cs="Arial" w:eastAsia="Arial" w:hAnsi="Arial"/>
          <w:sz w:val="15"/>
          <w:szCs w:val="15"/>
          <w:color w:val="auto"/>
        </w:rPr>
        <w:t>eligible for a merit increase for the current performance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Mid-year and Off-cycle Promotions </w:t>
      </w:r>
      <w:r>
        <w:rPr>
          <w:rFonts w:ascii="Arial" w:cs="Arial" w:eastAsia="Arial" w:hAnsi="Arial"/>
          <w:sz w:val="15"/>
          <w:szCs w:val="15"/>
          <w:color w:val="auto"/>
        </w:rPr>
        <w:t>– eligible for a merit</w:t>
      </w:r>
      <w:r>
        <w:rPr>
          <w:rFonts w:ascii="Arial" w:cs="Arial" w:eastAsia="Arial" w:hAnsi="Arial"/>
          <w:sz w:val="15"/>
          <w:szCs w:val="15"/>
          <w:b w:val="1"/>
          <w:bCs w:val="1"/>
          <w:color w:val="auto"/>
        </w:rPr>
        <w:t xml:space="preserve"> </w:t>
      </w:r>
      <w:r>
        <w:rPr>
          <w:rFonts w:ascii="Arial" w:cs="Arial" w:eastAsia="Arial" w:hAnsi="Arial"/>
          <w:sz w:val="15"/>
          <w:szCs w:val="15"/>
          <w:color w:val="auto"/>
        </w:rPr>
        <w:t>increase based on the new compensation for the performance year. ProKidney’s Promotion Process is ANNUAL, and while we don’t anticipate mid-year and off-cycle Promotions, they will be hereby advised should they occur.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234" w:lineRule="auto"/>
        <w:rPr>
          <w:sz w:val="20"/>
          <w:szCs w:val="20"/>
          <w:color w:val="auto"/>
        </w:rPr>
      </w:pPr>
      <w:r>
        <w:rPr>
          <w:rFonts w:ascii="Arial" w:cs="Arial" w:eastAsia="Arial" w:hAnsi="Arial"/>
          <w:sz w:val="15"/>
          <w:szCs w:val="15"/>
          <w:b w:val="1"/>
          <w:bCs w:val="1"/>
          <w:color w:val="auto"/>
        </w:rPr>
        <w:t xml:space="preserve">Internal Transfers or Market Adjustments at any point during the year </w:t>
      </w:r>
      <w:r>
        <w:rPr>
          <w:rFonts w:ascii="Arial" w:cs="Arial" w:eastAsia="Arial" w:hAnsi="Arial"/>
          <w:sz w:val="15"/>
          <w:szCs w:val="15"/>
          <w:color w:val="auto"/>
        </w:rPr>
        <w:t>– eligible for a merit</w:t>
      </w:r>
      <w:r>
        <w:rPr>
          <w:rFonts w:ascii="Arial" w:cs="Arial" w:eastAsia="Arial" w:hAnsi="Arial"/>
          <w:sz w:val="15"/>
          <w:szCs w:val="15"/>
          <w:b w:val="1"/>
          <w:bCs w:val="1"/>
          <w:color w:val="auto"/>
        </w:rPr>
        <w:t xml:space="preserve"> </w:t>
      </w:r>
      <w:r>
        <w:rPr>
          <w:rFonts w:ascii="Arial" w:cs="Arial" w:eastAsia="Arial" w:hAnsi="Arial"/>
          <w:sz w:val="15"/>
          <w:szCs w:val="15"/>
          <w:color w:val="auto"/>
        </w:rPr>
        <w:t>increase based on the new compensation for the performance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right="120"/>
        <w:spacing w:after="0" w:line="238" w:lineRule="auto"/>
        <w:rPr>
          <w:sz w:val="20"/>
          <w:szCs w:val="20"/>
          <w:color w:val="auto"/>
        </w:rPr>
      </w:pPr>
      <w:r>
        <w:rPr>
          <w:rFonts w:ascii="Arial" w:cs="Arial" w:eastAsia="Arial" w:hAnsi="Arial"/>
          <w:sz w:val="15"/>
          <w:szCs w:val="15"/>
          <w:color w:val="auto"/>
        </w:rPr>
        <w:t>No automatic merit proration for leaves less than or equal to 90 calendar days. Proration begins on the 91st day of absence.</w:t>
      </w:r>
    </w:p>
    <w:p>
      <w:pPr>
        <w:spacing w:after="0" w:line="893" w:lineRule="exact"/>
        <w:rPr>
          <w:sz w:val="20"/>
          <w:szCs w:val="20"/>
          <w:color w:val="auto"/>
        </w:rPr>
      </w:pPr>
    </w:p>
    <w:p>
      <w:pPr>
        <w:sectPr>
          <w:pgSz w:w="11900" w:h="16838" w:orient="portrait"/>
          <w:cols w:equalWidth="0" w:num="4">
            <w:col w:w="3700" w:space="60"/>
            <w:col w:w="2520" w:space="60"/>
            <w:col w:w="2340" w:space="240"/>
            <w:col w:w="2320"/>
          </w:cols>
          <w:pgMar w:left="320" w:top="1440" w:right="3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900" w:type="dxa"/>
            <w:vAlign w:val="bottom"/>
          </w:tcPr>
          <w:p>
            <w:pPr>
              <w:spacing w:after="0"/>
              <w:rPr>
                <w:sz w:val="20"/>
                <w:szCs w:val="20"/>
                <w:color w:val="auto"/>
              </w:rPr>
            </w:pPr>
            <w:r>
              <w:rPr>
                <w:rFonts w:ascii="Arial" w:cs="Arial" w:eastAsia="Arial" w:hAnsi="Arial"/>
                <w:sz w:val="20"/>
                <w:szCs w:val="20"/>
                <w:b w:val="1"/>
                <w:bCs w:val="1"/>
                <w:color w:val="auto"/>
              </w:rPr>
              <w:t>Bonus</w:t>
            </w:r>
          </w:p>
        </w:tc>
        <w:tc>
          <w:tcPr>
            <w:tcW w:w="2780" w:type="dxa"/>
            <w:vAlign w:val="bottom"/>
            <w:vMerge w:val="restart"/>
          </w:tcPr>
          <w:p>
            <w:pPr>
              <w:ind w:left="260"/>
              <w:spacing w:after="0"/>
              <w:rPr>
                <w:sz w:val="20"/>
                <w:szCs w:val="20"/>
                <w:color w:val="auto"/>
              </w:rPr>
            </w:pPr>
            <w:r>
              <w:rPr>
                <w:rFonts w:ascii="Arial" w:cs="Arial" w:eastAsia="Arial" w:hAnsi="Arial"/>
                <w:sz w:val="15"/>
                <w:szCs w:val="15"/>
                <w:b w:val="1"/>
                <w:bCs w:val="1"/>
                <w:color w:val="auto"/>
              </w:rPr>
              <w:t xml:space="preserve">Hires on or before September 30 </w:t>
            </w:r>
            <w:r>
              <w:rPr>
                <w:rFonts w:ascii="Arial" w:cs="Arial" w:eastAsia="Arial" w:hAnsi="Arial"/>
                <w:sz w:val="15"/>
                <w:szCs w:val="15"/>
                <w:color w:val="auto"/>
              </w:rPr>
              <w:t>-</w:t>
            </w:r>
          </w:p>
        </w:tc>
        <w:tc>
          <w:tcPr>
            <w:tcW w:w="25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Mid-year and Off-cycle</w:t>
            </w:r>
          </w:p>
        </w:tc>
        <w:tc>
          <w:tcPr>
            <w:tcW w:w="244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Internal Transfers or Market</w:t>
            </w:r>
          </w:p>
        </w:tc>
        <w:tc>
          <w:tcPr>
            <w:tcW w:w="0" w:type="dxa"/>
            <w:vAlign w:val="bottom"/>
          </w:tcPr>
          <w:p>
            <w:pPr>
              <w:spacing w:after="0"/>
              <w:rPr>
                <w:sz w:val="1"/>
                <w:szCs w:val="1"/>
                <w:color w:val="auto"/>
              </w:rPr>
            </w:pPr>
          </w:p>
        </w:tc>
      </w:tr>
      <w:tr>
        <w:trPr>
          <w:trHeight w:val="55"/>
        </w:trPr>
        <w:tc>
          <w:tcPr>
            <w:tcW w:w="900" w:type="dxa"/>
            <w:vAlign w:val="bottom"/>
          </w:tcPr>
          <w:p>
            <w:pPr>
              <w:spacing w:after="0"/>
              <w:rPr>
                <w:sz w:val="4"/>
                <w:szCs w:val="4"/>
                <w:color w:val="auto"/>
              </w:rPr>
            </w:pPr>
          </w:p>
        </w:tc>
        <w:tc>
          <w:tcPr>
            <w:tcW w:w="2780" w:type="dxa"/>
            <w:vAlign w:val="bottom"/>
            <w:vMerge w:val="continue"/>
          </w:tcPr>
          <w:p>
            <w:pPr>
              <w:spacing w:after="0"/>
              <w:rPr>
                <w:sz w:val="4"/>
                <w:szCs w:val="4"/>
                <w:color w:val="auto"/>
              </w:rPr>
            </w:pPr>
          </w:p>
        </w:tc>
        <w:tc>
          <w:tcPr>
            <w:tcW w:w="2540" w:type="dxa"/>
            <w:vAlign w:val="bottom"/>
            <w:vMerge w:val="continue"/>
          </w:tcPr>
          <w:p>
            <w:pPr>
              <w:spacing w:after="0"/>
              <w:rPr>
                <w:sz w:val="4"/>
                <w:szCs w:val="4"/>
                <w:color w:val="auto"/>
              </w:rPr>
            </w:pPr>
          </w:p>
        </w:tc>
        <w:tc>
          <w:tcPr>
            <w:tcW w:w="2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2780" w:type="dxa"/>
            <w:vAlign w:val="bottom"/>
          </w:tcPr>
          <w:p>
            <w:pPr>
              <w:ind w:left="260"/>
              <w:spacing w:after="0" w:line="162" w:lineRule="exact"/>
              <w:rPr>
                <w:sz w:val="20"/>
                <w:szCs w:val="20"/>
                <w:color w:val="auto"/>
              </w:rPr>
            </w:pPr>
            <w:r>
              <w:rPr>
                <w:rFonts w:ascii="Arial" w:cs="Arial" w:eastAsia="Arial" w:hAnsi="Arial"/>
                <w:sz w:val="15"/>
                <w:szCs w:val="15"/>
                <w:color w:val="auto"/>
              </w:rPr>
              <w:t>eligible for a prorated bonus based</w:t>
            </w:r>
          </w:p>
        </w:tc>
        <w:tc>
          <w:tcPr>
            <w:tcW w:w="2540" w:type="dxa"/>
            <w:vAlign w:val="bottom"/>
          </w:tcPr>
          <w:p>
            <w:pPr>
              <w:ind w:left="60"/>
              <w:spacing w:after="0" w:line="162" w:lineRule="exact"/>
              <w:rPr>
                <w:sz w:val="20"/>
                <w:szCs w:val="20"/>
                <w:color w:val="auto"/>
              </w:rPr>
            </w:pPr>
            <w:r>
              <w:rPr>
                <w:rFonts w:ascii="Arial" w:cs="Arial" w:eastAsia="Arial" w:hAnsi="Arial"/>
                <w:sz w:val="15"/>
                <w:szCs w:val="15"/>
                <w:b w:val="1"/>
                <w:bCs w:val="1"/>
                <w:color w:val="auto"/>
              </w:rPr>
              <w:t xml:space="preserve">Promotions </w:t>
            </w:r>
            <w:r>
              <w:rPr>
                <w:rFonts w:ascii="Arial" w:cs="Arial" w:eastAsia="Arial" w:hAnsi="Arial"/>
                <w:sz w:val="15"/>
                <w:szCs w:val="15"/>
                <w:color w:val="auto"/>
              </w:rPr>
              <w:t>– bonus will be based</w:t>
            </w:r>
          </w:p>
        </w:tc>
        <w:tc>
          <w:tcPr>
            <w:tcW w:w="2440" w:type="dxa"/>
            <w:vAlign w:val="bottom"/>
          </w:tcPr>
          <w:p>
            <w:pPr>
              <w:ind w:left="100"/>
              <w:spacing w:after="0" w:line="162" w:lineRule="exact"/>
              <w:rPr>
                <w:sz w:val="20"/>
                <w:szCs w:val="20"/>
                <w:color w:val="auto"/>
              </w:rPr>
            </w:pPr>
            <w:r>
              <w:rPr>
                <w:rFonts w:ascii="Arial" w:cs="Arial" w:eastAsia="Arial" w:hAnsi="Arial"/>
                <w:sz w:val="15"/>
                <w:szCs w:val="15"/>
                <w:b w:val="1"/>
                <w:bCs w:val="1"/>
                <w:color w:val="auto"/>
              </w:rPr>
              <w:t>Adjustments at any point during</w:t>
            </w:r>
          </w:p>
        </w:tc>
        <w:tc>
          <w:tcPr>
            <w:tcW w:w="0" w:type="dxa"/>
            <w:vAlign w:val="bottom"/>
          </w:tcPr>
          <w:p>
            <w:pPr>
              <w:spacing w:after="0"/>
              <w:rPr>
                <w:sz w:val="1"/>
                <w:szCs w:val="1"/>
                <w:color w:val="auto"/>
              </w:rPr>
            </w:pPr>
          </w:p>
        </w:tc>
      </w:tr>
      <w:tr>
        <w:trPr>
          <w:trHeight w:val="164"/>
        </w:trPr>
        <w:tc>
          <w:tcPr>
            <w:tcW w:w="900" w:type="dxa"/>
            <w:vAlign w:val="bottom"/>
          </w:tcPr>
          <w:p>
            <w:pPr>
              <w:spacing w:after="0"/>
              <w:rPr>
                <w:sz w:val="14"/>
                <w:szCs w:val="14"/>
                <w:color w:val="auto"/>
              </w:rPr>
            </w:pPr>
          </w:p>
        </w:tc>
        <w:tc>
          <w:tcPr>
            <w:tcW w:w="2780" w:type="dxa"/>
            <w:vAlign w:val="bottom"/>
          </w:tcPr>
          <w:p>
            <w:pPr>
              <w:ind w:left="260"/>
              <w:spacing w:after="0" w:line="164" w:lineRule="exact"/>
              <w:rPr>
                <w:sz w:val="20"/>
                <w:szCs w:val="20"/>
                <w:color w:val="auto"/>
              </w:rPr>
            </w:pPr>
            <w:r>
              <w:rPr>
                <w:rFonts w:ascii="Arial" w:cs="Arial" w:eastAsia="Arial" w:hAnsi="Arial"/>
                <w:sz w:val="15"/>
                <w:szCs w:val="15"/>
                <w:color w:val="auto"/>
              </w:rPr>
              <w:t>on the number of days worked</w:t>
            </w:r>
          </w:p>
        </w:tc>
        <w:tc>
          <w:tcPr>
            <w:tcW w:w="2540" w:type="dxa"/>
            <w:vAlign w:val="bottom"/>
          </w:tcPr>
          <w:p>
            <w:pPr>
              <w:ind w:left="60"/>
              <w:spacing w:after="0" w:line="164" w:lineRule="exact"/>
              <w:rPr>
                <w:sz w:val="20"/>
                <w:szCs w:val="20"/>
                <w:color w:val="auto"/>
              </w:rPr>
            </w:pPr>
            <w:r>
              <w:rPr>
                <w:rFonts w:ascii="Arial" w:cs="Arial" w:eastAsia="Arial" w:hAnsi="Arial"/>
                <w:sz w:val="15"/>
                <w:szCs w:val="15"/>
                <w:color w:val="auto"/>
              </w:rPr>
              <w:t>on the new compensation for the</w:t>
            </w:r>
          </w:p>
        </w:tc>
        <w:tc>
          <w:tcPr>
            <w:tcW w:w="2440" w:type="dxa"/>
            <w:vAlign w:val="bottom"/>
          </w:tcPr>
          <w:p>
            <w:pPr>
              <w:ind w:left="100"/>
              <w:spacing w:after="0" w:line="164" w:lineRule="exact"/>
              <w:rPr>
                <w:sz w:val="20"/>
                <w:szCs w:val="20"/>
                <w:color w:val="auto"/>
              </w:rPr>
            </w:pPr>
            <w:r>
              <w:rPr>
                <w:rFonts w:ascii="Arial" w:cs="Arial" w:eastAsia="Arial" w:hAnsi="Arial"/>
                <w:sz w:val="15"/>
                <w:szCs w:val="15"/>
                <w:b w:val="1"/>
                <w:bCs w:val="1"/>
                <w:color w:val="auto"/>
              </w:rPr>
              <w:t xml:space="preserve">the year </w:t>
            </w:r>
            <w:r>
              <w:rPr>
                <w:rFonts w:ascii="Arial" w:cs="Arial" w:eastAsia="Arial" w:hAnsi="Arial"/>
                <w:sz w:val="15"/>
                <w:szCs w:val="15"/>
                <w:color w:val="auto"/>
              </w:rPr>
              <w:t>– bonus will be based on</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2780" w:type="dxa"/>
            <w:vAlign w:val="bottom"/>
          </w:tcPr>
          <w:p>
            <w:pPr>
              <w:ind w:left="260"/>
              <w:spacing w:after="0" w:line="162" w:lineRule="exact"/>
              <w:rPr>
                <w:sz w:val="20"/>
                <w:szCs w:val="20"/>
                <w:color w:val="auto"/>
              </w:rPr>
            </w:pPr>
            <w:r>
              <w:rPr>
                <w:rFonts w:ascii="Arial" w:cs="Arial" w:eastAsia="Arial" w:hAnsi="Arial"/>
                <w:sz w:val="15"/>
                <w:szCs w:val="15"/>
                <w:color w:val="auto"/>
              </w:rPr>
              <w:t>during the performance year.</w:t>
            </w:r>
          </w:p>
        </w:tc>
        <w:tc>
          <w:tcPr>
            <w:tcW w:w="2540" w:type="dxa"/>
            <w:vAlign w:val="bottom"/>
          </w:tcPr>
          <w:p>
            <w:pPr>
              <w:ind w:left="60"/>
              <w:spacing w:after="0" w:line="162" w:lineRule="exact"/>
              <w:rPr>
                <w:sz w:val="20"/>
                <w:szCs w:val="20"/>
                <w:color w:val="auto"/>
              </w:rPr>
            </w:pPr>
            <w:r>
              <w:rPr>
                <w:rFonts w:ascii="Arial" w:cs="Arial" w:eastAsia="Arial" w:hAnsi="Arial"/>
                <w:sz w:val="15"/>
                <w:szCs w:val="15"/>
                <w:color w:val="auto"/>
              </w:rPr>
              <w:t>performance year.</w:t>
            </w:r>
          </w:p>
        </w:tc>
        <w:tc>
          <w:tcPr>
            <w:tcW w:w="2440" w:type="dxa"/>
            <w:vAlign w:val="bottom"/>
          </w:tcPr>
          <w:p>
            <w:pPr>
              <w:ind w:left="100"/>
              <w:spacing w:after="0" w:line="162" w:lineRule="exact"/>
              <w:rPr>
                <w:sz w:val="20"/>
                <w:szCs w:val="20"/>
                <w:color w:val="auto"/>
              </w:rPr>
            </w:pPr>
            <w:r>
              <w:rPr>
                <w:rFonts w:ascii="Arial" w:cs="Arial" w:eastAsia="Arial" w:hAnsi="Arial"/>
                <w:sz w:val="15"/>
                <w:szCs w:val="15"/>
                <w:color w:val="auto"/>
              </w:rPr>
              <w:t>the new compensation for the</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2780" w:type="dxa"/>
            <w:vAlign w:val="bottom"/>
            <w:vMerge w:val="restart"/>
          </w:tcPr>
          <w:p>
            <w:pPr>
              <w:ind w:left="260"/>
              <w:spacing w:after="0"/>
              <w:rPr>
                <w:sz w:val="20"/>
                <w:szCs w:val="20"/>
                <w:color w:val="auto"/>
              </w:rPr>
            </w:pPr>
            <w:r>
              <w:rPr>
                <w:rFonts w:ascii="Arial" w:cs="Arial" w:eastAsia="Arial" w:hAnsi="Arial"/>
                <w:sz w:val="15"/>
                <w:szCs w:val="15"/>
                <w:b w:val="1"/>
                <w:bCs w:val="1"/>
                <w:color w:val="auto"/>
              </w:rPr>
              <w:t xml:space="preserve">Hires after September 30 </w:t>
            </w:r>
            <w:r>
              <w:rPr>
                <w:rFonts w:ascii="Arial" w:cs="Arial" w:eastAsia="Arial" w:hAnsi="Arial"/>
                <w:sz w:val="15"/>
                <w:szCs w:val="15"/>
                <w:color w:val="auto"/>
              </w:rPr>
              <w:t>- not</w:t>
            </w:r>
          </w:p>
        </w:tc>
        <w:tc>
          <w:tcPr>
            <w:tcW w:w="2540" w:type="dxa"/>
            <w:vAlign w:val="bottom"/>
          </w:tcPr>
          <w:p>
            <w:pPr>
              <w:ind w:left="60"/>
              <w:spacing w:after="0" w:line="162" w:lineRule="exact"/>
              <w:rPr>
                <w:sz w:val="20"/>
                <w:szCs w:val="20"/>
                <w:color w:val="auto"/>
              </w:rPr>
            </w:pPr>
            <w:r>
              <w:rPr>
                <w:rFonts w:ascii="Arial" w:cs="Arial" w:eastAsia="Arial" w:hAnsi="Arial"/>
                <w:sz w:val="15"/>
                <w:szCs w:val="15"/>
                <w:color w:val="auto"/>
              </w:rPr>
              <w:t>ProKidney’s Promotion Process is</w:t>
            </w:r>
          </w:p>
        </w:tc>
        <w:tc>
          <w:tcPr>
            <w:tcW w:w="2440" w:type="dxa"/>
            <w:vAlign w:val="bottom"/>
          </w:tcPr>
          <w:p>
            <w:pPr>
              <w:ind w:left="100"/>
              <w:spacing w:after="0" w:line="162" w:lineRule="exact"/>
              <w:rPr>
                <w:sz w:val="20"/>
                <w:szCs w:val="20"/>
                <w:color w:val="auto"/>
              </w:rPr>
            </w:pPr>
            <w:r>
              <w:rPr>
                <w:rFonts w:ascii="Arial" w:cs="Arial" w:eastAsia="Arial" w:hAnsi="Arial"/>
                <w:sz w:val="15"/>
                <w:szCs w:val="15"/>
                <w:color w:val="auto"/>
              </w:rPr>
              <w:t>performance year.</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2780" w:type="dxa"/>
            <w:vAlign w:val="bottom"/>
            <w:vMerge w:val="continue"/>
          </w:tcPr>
          <w:p>
            <w:pPr>
              <w:spacing w:after="0"/>
              <w:rPr>
                <w:sz w:val="14"/>
                <w:szCs w:val="14"/>
                <w:color w:val="auto"/>
              </w:rPr>
            </w:pPr>
          </w:p>
        </w:tc>
        <w:tc>
          <w:tcPr>
            <w:tcW w:w="2540" w:type="dxa"/>
            <w:vAlign w:val="bottom"/>
          </w:tcPr>
          <w:p>
            <w:pPr>
              <w:ind w:left="60"/>
              <w:spacing w:after="0" w:line="162" w:lineRule="exact"/>
              <w:rPr>
                <w:sz w:val="20"/>
                <w:szCs w:val="20"/>
                <w:color w:val="auto"/>
              </w:rPr>
            </w:pPr>
            <w:r>
              <w:rPr>
                <w:rFonts w:ascii="Arial" w:cs="Arial" w:eastAsia="Arial" w:hAnsi="Arial"/>
                <w:sz w:val="15"/>
                <w:szCs w:val="15"/>
                <w:color w:val="auto"/>
              </w:rPr>
              <w:t>ANNUAL, and while we don’t</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532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eligible for a bonus payout for current anticipate mid-year and off-cycle</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2780" w:type="dxa"/>
            <w:vAlign w:val="bottom"/>
          </w:tcPr>
          <w:p>
            <w:pPr>
              <w:ind w:left="260"/>
              <w:spacing w:after="0" w:line="162" w:lineRule="exact"/>
              <w:rPr>
                <w:sz w:val="20"/>
                <w:szCs w:val="20"/>
                <w:color w:val="auto"/>
              </w:rPr>
            </w:pPr>
            <w:r>
              <w:rPr>
                <w:rFonts w:ascii="Arial" w:cs="Arial" w:eastAsia="Arial" w:hAnsi="Arial"/>
                <w:sz w:val="15"/>
                <w:szCs w:val="15"/>
                <w:color w:val="auto"/>
              </w:rPr>
              <w:t>performance year.</w:t>
            </w:r>
          </w:p>
        </w:tc>
        <w:tc>
          <w:tcPr>
            <w:tcW w:w="2540" w:type="dxa"/>
            <w:vAlign w:val="bottom"/>
          </w:tcPr>
          <w:p>
            <w:pPr>
              <w:ind w:left="60"/>
              <w:spacing w:after="0" w:line="162" w:lineRule="exact"/>
              <w:rPr>
                <w:sz w:val="20"/>
                <w:szCs w:val="20"/>
                <w:color w:val="auto"/>
              </w:rPr>
            </w:pPr>
            <w:r>
              <w:rPr>
                <w:rFonts w:ascii="Arial" w:cs="Arial" w:eastAsia="Arial" w:hAnsi="Arial"/>
                <w:sz w:val="15"/>
                <w:szCs w:val="15"/>
                <w:color w:val="auto"/>
              </w:rPr>
              <w:t>Promotions, they will be hereby</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540" w:type="dxa"/>
            <w:vAlign w:val="bottom"/>
          </w:tcPr>
          <w:p>
            <w:pPr>
              <w:ind w:left="60"/>
              <w:spacing w:after="0"/>
              <w:rPr>
                <w:sz w:val="20"/>
                <w:szCs w:val="20"/>
                <w:color w:val="auto"/>
              </w:rPr>
            </w:pPr>
            <w:r>
              <w:rPr>
                <w:rFonts w:ascii="Arial" w:cs="Arial" w:eastAsia="Arial" w:hAnsi="Arial"/>
                <w:sz w:val="15"/>
                <w:szCs w:val="15"/>
                <w:color w:val="auto"/>
              </w:rPr>
              <w:t>advised should they occur.</w:t>
            </w: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ind w:right="100"/>
        <w:spacing w:after="0" w:line="235" w:lineRule="auto"/>
        <w:rPr>
          <w:sz w:val="20"/>
          <w:szCs w:val="20"/>
          <w:color w:val="auto"/>
        </w:rPr>
      </w:pPr>
      <w:r>
        <w:rPr>
          <w:rFonts w:ascii="Arial" w:cs="Arial" w:eastAsia="Arial" w:hAnsi="Arial"/>
          <w:sz w:val="15"/>
          <w:szCs w:val="15"/>
          <w:color w:val="auto"/>
        </w:rPr>
        <w:t>No automatic bonus proration for leaves</w:t>
      </w:r>
    </w:p>
    <w:p>
      <w:pPr>
        <w:ind w:right="100"/>
        <w:spacing w:after="0" w:line="236" w:lineRule="auto"/>
        <w:rPr>
          <w:sz w:val="20"/>
          <w:szCs w:val="20"/>
          <w:color w:val="auto"/>
        </w:rPr>
      </w:pPr>
      <w:r>
        <w:rPr>
          <w:rFonts w:ascii="Arial" w:cs="Arial" w:eastAsia="Arial" w:hAnsi="Arial"/>
          <w:sz w:val="15"/>
          <w:szCs w:val="15"/>
          <w:color w:val="auto"/>
        </w:rPr>
        <w:t>less than or equal to 90 calendar days. Proration begins on the 91st day of absence.</w:t>
      </w:r>
    </w:p>
    <w:p>
      <w:pPr>
        <w:spacing w:after="0" w:line="834" w:lineRule="exact"/>
        <w:rPr>
          <w:sz w:val="20"/>
          <w:szCs w:val="20"/>
          <w:color w:val="auto"/>
        </w:rPr>
      </w:pPr>
    </w:p>
    <w:p>
      <w:pPr>
        <w:sectPr>
          <w:pgSz w:w="11900" w:h="16838" w:orient="portrait"/>
          <w:cols w:equalWidth="0" w:num="2">
            <w:col w:w="8680" w:space="240"/>
            <w:col w:w="232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20"/>
          <w:szCs w:val="20"/>
          <w:b w:val="1"/>
          <w:bCs w:val="1"/>
          <w:color w:val="auto"/>
        </w:rPr>
        <w:t>Annual</w:t>
      </w:r>
    </w:p>
    <w:p>
      <w:pPr>
        <w:ind w:left="20"/>
        <w:spacing w:after="0" w:line="231" w:lineRule="auto"/>
        <w:rPr>
          <w:sz w:val="20"/>
          <w:szCs w:val="20"/>
          <w:color w:val="auto"/>
        </w:rPr>
      </w:pPr>
      <w:r>
        <w:rPr>
          <w:rFonts w:ascii="Arial" w:cs="Arial" w:eastAsia="Arial" w:hAnsi="Arial"/>
          <w:sz w:val="20"/>
          <w:szCs w:val="20"/>
          <w:b w:val="1"/>
          <w:bCs w:val="1"/>
          <w:color w:val="auto"/>
        </w:rPr>
        <w:t>Equity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Award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tabs>
          <w:tab w:leader="none" w:pos="5140" w:val="left"/>
          <w:tab w:leader="none" w:pos="7720" w:val="left"/>
        </w:tabs>
        <w:rPr>
          <w:sz w:val="20"/>
          <w:szCs w:val="20"/>
          <w:color w:val="auto"/>
        </w:rPr>
      </w:pPr>
      <w:r>
        <w:rPr>
          <w:rFonts w:ascii="Arial" w:cs="Arial" w:eastAsia="Arial" w:hAnsi="Arial"/>
          <w:sz w:val="15"/>
          <w:szCs w:val="15"/>
          <w:b w:val="1"/>
          <w:bCs w:val="1"/>
          <w:color w:val="auto"/>
        </w:rPr>
        <w:t xml:space="preserve">Hires on or before September 30 </w:t>
      </w:r>
      <w:r>
        <w:rPr>
          <w:rFonts w:ascii="Arial" w:cs="Arial" w:eastAsia="Arial" w:hAnsi="Arial"/>
          <w:sz w:val="15"/>
          <w:szCs w:val="15"/>
          <w:color w:val="auto"/>
        </w:rPr>
        <w:t>-  No equity awards</w:t>
      </w:r>
      <w:r>
        <w:rPr>
          <w:sz w:val="20"/>
          <w:szCs w:val="20"/>
          <w:color w:val="auto"/>
        </w:rPr>
        <w:tab/>
      </w:r>
      <w:r>
        <w:rPr>
          <w:rFonts w:ascii="Arial" w:cs="Arial" w:eastAsia="Arial" w:hAnsi="Arial"/>
          <w:sz w:val="15"/>
          <w:szCs w:val="15"/>
          <w:color w:val="auto"/>
        </w:rPr>
        <w:t>No equity awards</w:t>
      </w:r>
      <w:r>
        <w:rPr>
          <w:sz w:val="20"/>
          <w:szCs w:val="20"/>
          <w:color w:val="auto"/>
        </w:rPr>
        <w:tab/>
      </w:r>
      <w:r>
        <w:rPr>
          <w:rFonts w:ascii="Arial" w:cs="Arial" w:eastAsia="Arial" w:hAnsi="Arial"/>
          <w:sz w:val="15"/>
          <w:szCs w:val="15"/>
          <w:color w:val="auto"/>
        </w:rPr>
        <w:t>No automatic equity proration.</w:t>
      </w:r>
    </w:p>
    <w:p>
      <w:pPr>
        <w:spacing w:after="0" w:line="233" w:lineRule="auto"/>
        <w:rPr>
          <w:sz w:val="20"/>
          <w:szCs w:val="20"/>
          <w:color w:val="auto"/>
        </w:rPr>
      </w:pPr>
      <w:r>
        <w:rPr>
          <w:rFonts w:ascii="Arial" w:cs="Arial" w:eastAsia="Arial" w:hAnsi="Arial"/>
          <w:sz w:val="15"/>
          <w:szCs w:val="15"/>
          <w:color w:val="auto"/>
        </w:rPr>
        <w:t>eligible for a full equity award. If the</w:t>
      </w:r>
    </w:p>
    <w:p>
      <w:pPr>
        <w:spacing w:after="0" w:line="225" w:lineRule="auto"/>
        <w:rPr>
          <w:sz w:val="20"/>
          <w:szCs w:val="20"/>
          <w:color w:val="auto"/>
        </w:rPr>
      </w:pPr>
      <w:r>
        <w:rPr>
          <w:rFonts w:ascii="Arial" w:cs="Arial" w:eastAsia="Arial" w:hAnsi="Arial"/>
          <w:sz w:val="15"/>
          <w:szCs w:val="15"/>
          <w:color w:val="auto"/>
        </w:rPr>
        <w:t>employee was a contractor or</w:t>
      </w:r>
    </w:p>
    <w:p>
      <w:pPr>
        <w:spacing w:after="0" w:line="225" w:lineRule="auto"/>
        <w:rPr>
          <w:sz w:val="20"/>
          <w:szCs w:val="20"/>
          <w:color w:val="auto"/>
        </w:rPr>
      </w:pPr>
      <w:r>
        <w:rPr>
          <w:rFonts w:ascii="Arial" w:cs="Arial" w:eastAsia="Arial" w:hAnsi="Arial"/>
          <w:sz w:val="15"/>
          <w:szCs w:val="15"/>
          <w:color w:val="auto"/>
        </w:rPr>
        <w:t>consultant during the plan year, and</w:t>
      </w:r>
    </w:p>
    <w:p>
      <w:pPr>
        <w:spacing w:after="0" w:line="226" w:lineRule="auto"/>
        <w:rPr>
          <w:sz w:val="20"/>
          <w:szCs w:val="20"/>
          <w:color w:val="auto"/>
        </w:rPr>
      </w:pPr>
      <w:r>
        <w:rPr>
          <w:rFonts w:ascii="Arial" w:cs="Arial" w:eastAsia="Arial" w:hAnsi="Arial"/>
          <w:sz w:val="15"/>
          <w:szCs w:val="15"/>
          <w:color w:val="auto"/>
        </w:rPr>
        <w:t>converted to full time on or after</w:t>
      </w:r>
    </w:p>
    <w:p>
      <w:pPr>
        <w:spacing w:after="0" w:line="225" w:lineRule="auto"/>
        <w:rPr>
          <w:sz w:val="20"/>
          <w:szCs w:val="20"/>
          <w:color w:val="auto"/>
        </w:rPr>
      </w:pPr>
      <w:r>
        <w:rPr>
          <w:rFonts w:ascii="Arial" w:cs="Arial" w:eastAsia="Arial" w:hAnsi="Arial"/>
          <w:sz w:val="15"/>
          <w:szCs w:val="15"/>
          <w:color w:val="auto"/>
        </w:rPr>
        <w:t>October 1, time served in total will be</w:t>
      </w:r>
    </w:p>
    <w:p>
      <w:pPr>
        <w:spacing w:after="0" w:line="226" w:lineRule="auto"/>
        <w:rPr>
          <w:sz w:val="20"/>
          <w:szCs w:val="20"/>
          <w:color w:val="auto"/>
        </w:rPr>
      </w:pPr>
      <w:r>
        <w:rPr>
          <w:rFonts w:ascii="Arial" w:cs="Arial" w:eastAsia="Arial" w:hAnsi="Arial"/>
          <w:sz w:val="15"/>
          <w:szCs w:val="15"/>
          <w:color w:val="auto"/>
        </w:rPr>
        <w:t>considered for an annual equity</w:t>
      </w:r>
    </w:p>
    <w:p>
      <w:pPr>
        <w:spacing w:after="0"/>
        <w:rPr>
          <w:sz w:val="20"/>
          <w:szCs w:val="20"/>
          <w:color w:val="auto"/>
        </w:rPr>
      </w:pPr>
      <w:r>
        <w:rPr>
          <w:rFonts w:ascii="Arial" w:cs="Arial" w:eastAsia="Arial" w:hAnsi="Arial"/>
          <w:sz w:val="15"/>
          <w:szCs w:val="15"/>
          <w:color w:val="auto"/>
        </w:rPr>
        <w:t>award.</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Hires after September 30 </w:t>
      </w:r>
      <w:r>
        <w:rPr>
          <w:rFonts w:ascii="Arial" w:cs="Arial" w:eastAsia="Arial" w:hAnsi="Arial"/>
          <w:sz w:val="15"/>
          <w:szCs w:val="15"/>
          <w:color w:val="auto"/>
        </w:rPr>
        <w:t>- not</w:t>
      </w:r>
    </w:p>
    <w:p>
      <w:pPr>
        <w:spacing w:after="0" w:line="233" w:lineRule="auto"/>
        <w:rPr>
          <w:sz w:val="20"/>
          <w:szCs w:val="20"/>
          <w:color w:val="auto"/>
        </w:rPr>
      </w:pPr>
      <w:r>
        <w:rPr>
          <w:rFonts w:ascii="Arial" w:cs="Arial" w:eastAsia="Arial" w:hAnsi="Arial"/>
          <w:sz w:val="15"/>
          <w:szCs w:val="15"/>
          <w:color w:val="auto"/>
        </w:rPr>
        <w:t>eligible for an equity award for</w:t>
      </w:r>
    </w:p>
    <w:p>
      <w:pPr>
        <w:spacing w:after="0"/>
        <w:rPr>
          <w:sz w:val="20"/>
          <w:szCs w:val="20"/>
          <w:color w:val="auto"/>
        </w:rPr>
      </w:pPr>
      <w:r>
        <w:rPr>
          <w:rFonts w:ascii="Arial" w:cs="Arial" w:eastAsia="Arial" w:hAnsi="Arial"/>
          <w:sz w:val="15"/>
          <w:szCs w:val="15"/>
          <w:color w:val="auto"/>
        </w:rPr>
        <w:t>current performance year.</w:t>
      </w:r>
    </w:p>
    <w:p>
      <w:pPr>
        <w:spacing w:after="0" w:line="200" w:lineRule="exact"/>
        <w:rPr>
          <w:sz w:val="20"/>
          <w:szCs w:val="20"/>
          <w:color w:val="auto"/>
        </w:rPr>
      </w:pPr>
    </w:p>
    <w:p>
      <w:pPr>
        <w:sectPr>
          <w:pgSz w:w="11900" w:h="16838" w:orient="portrait"/>
          <w:cols w:equalWidth="0" w:num="2">
            <w:col w:w="700" w:space="480"/>
            <w:col w:w="10060"/>
          </w:cols>
          <w:pgMar w:left="320" w:top="1440" w:right="339" w:bottom="1440" w:gutter="0" w:footer="0" w:header="0"/>
          <w:type w:val="continuous"/>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8</w:t>
      </w:r>
      <w:r>
        <w:rPr>
          <w:rFonts w:ascii="Arial" w:cs="Arial" w:eastAsia="Arial" w:hAnsi="Arial"/>
          <w:sz w:val="19"/>
          <w:szCs w:val="19"/>
          <w:color w:val="auto"/>
        </w:rPr>
        <w:t xml:space="preserve"> of </w:t>
      </w:r>
      <w:r>
        <w:rPr>
          <w:rFonts w:ascii="Arial" w:cs="Arial" w:eastAsia="Arial" w:hAnsi="Arial"/>
          <w:sz w:val="19"/>
          <w:szCs w:val="19"/>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9" w:name="page150"/>
    <w:bookmarkEnd w:id="149"/>
    <w:p>
      <w:pPr>
        <w:ind w:left="10020"/>
        <w:spacing w:after="0"/>
        <w:rPr>
          <w:sz w:val="20"/>
          <w:szCs w:val="20"/>
          <w:color w:val="auto"/>
        </w:rPr>
      </w:pPr>
      <w:r>
        <w:rPr>
          <w:rFonts w:ascii="Times New Roman" w:cs="Times New Roman" w:eastAsia="Times New Roman" w:hAnsi="Times New Roman"/>
          <w:sz w:val="21"/>
          <w:szCs w:val="21"/>
          <w:b w:val="1"/>
          <w:bCs w:val="1"/>
          <w:color w:val="auto"/>
        </w:rPr>
        <w:t>Exhibit 10.11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PROKIDNEY CORP.</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3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ProKidney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approved the following Non-Employee Director Compensation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to provide an inducement to obtain and retain the services of qualified persons to serve as members of the Company’s Board. The Policy establishes compensation to be paid to non-employee directors of the Company.</w:t>
      </w:r>
    </w:p>
    <w:p>
      <w:pPr>
        <w:spacing w:after="0" w:line="182" w:lineRule="exact"/>
        <w:rPr>
          <w:sz w:val="20"/>
          <w:szCs w:val="20"/>
          <w:color w:val="auto"/>
        </w:rPr>
      </w:pPr>
    </w:p>
    <w:p>
      <w:pPr>
        <w:ind w:left="760" w:hanging="752"/>
        <w:spacing w:after="0"/>
        <w:tabs>
          <w:tab w:leader="none" w:pos="76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Applicable Persons</w:t>
      </w:r>
    </w:p>
    <w:p>
      <w:pPr>
        <w:spacing w:after="0" w:line="233"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This Policy shall apply to each director of the Company who is not an employee of the Company or any Affiliate (each such member, a “</w:t>
      </w:r>
      <w:r>
        <w:rPr>
          <w:rFonts w:ascii="Times New Roman" w:cs="Times New Roman" w:eastAsia="Times New Roman" w:hAnsi="Times New Roman"/>
          <w:sz w:val="20"/>
          <w:szCs w:val="20"/>
          <w:b w:val="1"/>
          <w:bCs w:val="1"/>
          <w:i w:val="1"/>
          <w:iCs w:val="1"/>
          <w:color w:val="auto"/>
        </w:rPr>
        <w:t>Non-Employee Director</w:t>
      </w:r>
      <w:r>
        <w:rPr>
          <w:rFonts w:ascii="Times New Roman" w:cs="Times New Roman" w:eastAsia="Times New Roman" w:hAnsi="Times New Roman"/>
          <w:sz w:val="20"/>
          <w:szCs w:val="20"/>
          <w:color w:val="auto"/>
        </w:rPr>
        <w:t>”). Unless otherwise defined herein, capitalized terms used in this Policy will have the meaning given to such terms in the Company’s 2022 Incentive Equity Plan or any successor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760" w:hanging="752"/>
        <w:spacing w:after="0"/>
        <w:tabs>
          <w:tab w:leader="none" w:pos="76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Annual Cash Compensation</w:t>
      </w:r>
    </w:p>
    <w:p>
      <w:pPr>
        <w:spacing w:after="0" w:line="233"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Each Non-Employee Director will be entitled to receive the following annual cash retainers for service on the Board:</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Annual Board Service Retainer</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1880" w:hanging="464"/>
        <w:spacing w:after="0"/>
        <w:tabs>
          <w:tab w:leader="none" w:pos="18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Non-Employee Directors: $42,500</w:t>
      </w:r>
    </w:p>
    <w:p>
      <w:pPr>
        <w:ind w:left="1880" w:hanging="464"/>
        <w:spacing w:after="0"/>
        <w:tabs>
          <w:tab w:leader="none" w:pos="18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Non-Executive Chairperson </w:t>
      </w:r>
      <w:r>
        <w:rPr>
          <w:rFonts w:ascii="Times New Roman" w:cs="Times New Roman" w:eastAsia="Times New Roman" w:hAnsi="Times New Roman"/>
          <w:sz w:val="20"/>
          <w:szCs w:val="20"/>
          <w:i w:val="1"/>
          <w:iCs w:val="1"/>
          <w:color w:val="auto"/>
        </w:rPr>
        <w:t>(additional retainer)</w:t>
      </w:r>
      <w:r>
        <w:rPr>
          <w:rFonts w:ascii="Times New Roman" w:cs="Times New Roman" w:eastAsia="Times New Roman" w:hAnsi="Times New Roman"/>
          <w:sz w:val="20"/>
          <w:szCs w:val="20"/>
          <w:color w:val="auto"/>
        </w:rPr>
        <w:t>: $35,000</w:t>
      </w:r>
    </w:p>
    <w:p>
      <w:pPr>
        <w:ind w:left="1880" w:hanging="464"/>
        <w:spacing w:after="0"/>
        <w:tabs>
          <w:tab w:leader="none" w:pos="18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Lead Independent Director </w:t>
      </w:r>
      <w:r>
        <w:rPr>
          <w:rFonts w:ascii="Times New Roman" w:cs="Times New Roman" w:eastAsia="Times New Roman" w:hAnsi="Times New Roman"/>
          <w:sz w:val="20"/>
          <w:szCs w:val="20"/>
          <w:i w:val="1"/>
          <w:iCs w:val="1"/>
          <w:color w:val="auto"/>
        </w:rPr>
        <w:t>(additional retainer)</w:t>
      </w:r>
      <w:r>
        <w:rPr>
          <w:rFonts w:ascii="Times New Roman" w:cs="Times New Roman" w:eastAsia="Times New Roman" w:hAnsi="Times New Roman"/>
          <w:sz w:val="20"/>
          <w:szCs w:val="20"/>
          <w:color w:val="auto"/>
        </w:rPr>
        <w:t>: $30,000</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Annual Committee Member Service Retainer</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1880" w:hanging="375"/>
        <w:spacing w:after="0"/>
        <w:tabs>
          <w:tab w:leader="none" w:pos="18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Audit Committee: $10,000</w:t>
      </w:r>
    </w:p>
    <w:p>
      <w:pPr>
        <w:ind w:left="1880" w:hanging="375"/>
        <w:spacing w:after="0"/>
        <w:tabs>
          <w:tab w:leader="none" w:pos="18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Compensation Committee: $7,500</w:t>
      </w:r>
    </w:p>
    <w:p>
      <w:pPr>
        <w:ind w:left="1880" w:hanging="375"/>
        <w:spacing w:after="0"/>
        <w:tabs>
          <w:tab w:leader="none" w:pos="18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Nominating and Corporate Governance Committee: $5,000</w:t>
      </w:r>
    </w:p>
    <w:p>
      <w:pPr>
        <w:ind w:left="1880" w:hanging="375"/>
        <w:spacing w:after="0"/>
        <w:tabs>
          <w:tab w:leader="none" w:pos="18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Research and Development Committee: $7,500</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Annual Committee Chair Service Retainer </w:t>
      </w:r>
      <w:r>
        <w:rPr>
          <w:rFonts w:ascii="Times New Roman" w:cs="Times New Roman" w:eastAsia="Times New Roman" w:hAnsi="Times New Roman"/>
          <w:sz w:val="20"/>
          <w:szCs w:val="20"/>
          <w:b w:val="1"/>
          <w:bCs w:val="1"/>
          <w:i w:val="1"/>
          <w:iCs w:val="1"/>
          <w:color w:val="auto"/>
        </w:rPr>
        <w:t>(in lieu of Committee Member Service Retainer)</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1880" w:hanging="375"/>
        <w:spacing w:after="0"/>
        <w:tabs>
          <w:tab w:leader="none" w:pos="18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Audit Committee: $20,000</w:t>
      </w:r>
    </w:p>
    <w:p>
      <w:pPr>
        <w:ind w:left="1880" w:hanging="375"/>
        <w:spacing w:after="0"/>
        <w:tabs>
          <w:tab w:leader="none" w:pos="18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Compensation Committee: $15,000</w:t>
      </w:r>
    </w:p>
    <w:p>
      <w:pPr>
        <w:ind w:left="1880" w:hanging="375"/>
        <w:spacing w:after="0"/>
        <w:tabs>
          <w:tab w:leader="none" w:pos="18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Nominating and Corporate Governance Committee: $10,000</w:t>
      </w:r>
    </w:p>
    <w:p>
      <w:pPr>
        <w:ind w:left="1880" w:hanging="375"/>
        <w:spacing w:after="0"/>
        <w:tabs>
          <w:tab w:leader="none" w:pos="18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Research and Development Committee: $15,000</w:t>
      </w:r>
    </w:p>
    <w:p>
      <w:pPr>
        <w:spacing w:after="0" w:line="20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annual cash retainers set forth above will be payable in equal quarterly installments, payable in arrears on the last day of each fiscal quarter (each such date, a “</w:t>
      </w:r>
      <w:r>
        <w:rPr>
          <w:rFonts w:ascii="Times New Roman" w:cs="Times New Roman" w:eastAsia="Times New Roman" w:hAnsi="Times New Roman"/>
          <w:sz w:val="20"/>
          <w:szCs w:val="20"/>
          <w:b w:val="1"/>
          <w:bCs w:val="1"/>
          <w:i w:val="1"/>
          <w:iCs w:val="1"/>
          <w:color w:val="auto"/>
        </w:rPr>
        <w:t>Retainer Accrual Date</w:t>
      </w:r>
      <w:r>
        <w:rPr>
          <w:rFonts w:ascii="Times New Roman" w:cs="Times New Roman" w:eastAsia="Times New Roman" w:hAnsi="Times New Roman"/>
          <w:sz w:val="20"/>
          <w:szCs w:val="20"/>
          <w:color w:val="auto"/>
        </w:rPr>
        <w:t>”) in which the service occurred, prorated for any partial quarter of service (based on the number of days served in the applicable position divided by the total number of days in the quarter). All annual cash fees are vested upon payment.</w:t>
      </w:r>
    </w:p>
    <w:p>
      <w:pPr>
        <w:spacing w:after="0" w:line="189" w:lineRule="exact"/>
        <w:rPr>
          <w:sz w:val="20"/>
          <w:szCs w:val="20"/>
          <w:color w:val="auto"/>
        </w:rPr>
      </w:pPr>
    </w:p>
    <w:p>
      <w:pPr>
        <w:ind w:left="760" w:hanging="752"/>
        <w:spacing w:after="0"/>
        <w:tabs>
          <w:tab w:leader="none" w:pos="76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Election to Receive Common Stock in Lieu of Cash Retainer</w:t>
      </w:r>
    </w:p>
    <w:p>
      <w:pPr>
        <w:spacing w:after="0" w:line="215" w:lineRule="exact"/>
        <w:rPr>
          <w:rFonts w:ascii="Times New Roman" w:cs="Times New Roman" w:eastAsia="Times New Roman" w:hAnsi="Times New Roman"/>
          <w:sz w:val="20"/>
          <w:szCs w:val="20"/>
          <w:b w:val="1"/>
          <w:bCs w:val="1"/>
          <w:color w:val="auto"/>
        </w:rPr>
      </w:pPr>
    </w:p>
    <w:p>
      <w:pPr>
        <w:jc w:val="both"/>
        <w:ind w:left="1500" w:hanging="743"/>
        <w:spacing w:after="0" w:line="256" w:lineRule="auto"/>
        <w:tabs>
          <w:tab w:leader="none" w:pos="1500" w:val="left"/>
        </w:tabs>
        <w:numPr>
          <w:ilvl w:val="1"/>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Retainer Grant</w:t>
      </w:r>
      <w:r>
        <w:rPr>
          <w:rFonts w:ascii="Times New Roman" w:cs="Times New Roman" w:eastAsia="Times New Roman" w:hAnsi="Times New Roman"/>
          <w:sz w:val="20"/>
          <w:szCs w:val="20"/>
          <w:color w:val="auto"/>
        </w:rPr>
        <w:t>. Each Non-Employee Director may elect to receive a grant of Class A common stock, $0.0001 par value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in lieu of the cash compensation set forth in Section II (a “</w:t>
      </w:r>
      <w:r>
        <w:rPr>
          <w:rFonts w:ascii="Times New Roman" w:cs="Times New Roman" w:eastAsia="Times New Roman" w:hAnsi="Times New Roman"/>
          <w:sz w:val="20"/>
          <w:szCs w:val="20"/>
          <w:b w:val="1"/>
          <w:bCs w:val="1"/>
          <w:i w:val="1"/>
          <w:iCs w:val="1"/>
          <w:color w:val="auto"/>
        </w:rPr>
        <w:t>Retainer Grant</w:t>
      </w:r>
      <w:r>
        <w:rPr>
          <w:rFonts w:ascii="Times New Roman" w:cs="Times New Roman" w:eastAsia="Times New Roman" w:hAnsi="Times New Roman"/>
          <w:sz w:val="20"/>
          <w:szCs w:val="20"/>
          <w:color w:val="auto"/>
        </w:rPr>
        <w:t>” and such election, a “</w:t>
      </w:r>
      <w:r>
        <w:rPr>
          <w:rFonts w:ascii="Times New Roman" w:cs="Times New Roman" w:eastAsia="Times New Roman" w:hAnsi="Times New Roman"/>
          <w:sz w:val="20"/>
          <w:szCs w:val="20"/>
          <w:b w:val="1"/>
          <w:bCs w:val="1"/>
          <w:i w:val="1"/>
          <w:iCs w:val="1"/>
          <w:color w:val="auto"/>
        </w:rPr>
        <w:t>Retainer Grant Election</w:t>
      </w:r>
      <w:r>
        <w:rPr>
          <w:rFonts w:ascii="Times New Roman" w:cs="Times New Roman" w:eastAsia="Times New Roman" w:hAnsi="Times New Roman"/>
          <w:sz w:val="20"/>
          <w:szCs w:val="20"/>
          <w:color w:val="auto"/>
        </w:rPr>
        <w:t>”). If a Non-Employee Director timely makes a Retainer Grant Election pursuant to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0" w:name="page151"/>
    <w:bookmarkEnd w:id="150"/>
    <w:p>
      <w:pPr>
        <w:spacing w:after="0" w:line="189" w:lineRule="exact"/>
        <w:rPr>
          <w:sz w:val="20"/>
          <w:szCs w:val="20"/>
          <w:color w:val="auto"/>
        </w:rPr>
      </w:pPr>
    </w:p>
    <w:p>
      <w:pPr>
        <w:jc w:val="both"/>
        <w:ind w:left="1500"/>
        <w:spacing w:after="0" w:line="245" w:lineRule="auto"/>
        <w:rPr>
          <w:sz w:val="20"/>
          <w:szCs w:val="20"/>
          <w:color w:val="auto"/>
        </w:rPr>
      </w:pPr>
      <w:r>
        <w:rPr>
          <w:rFonts w:ascii="Times New Roman" w:cs="Times New Roman" w:eastAsia="Times New Roman" w:hAnsi="Times New Roman"/>
          <w:sz w:val="20"/>
          <w:szCs w:val="20"/>
          <w:color w:val="auto"/>
        </w:rPr>
        <w:t>III(B) below, then on the first business day following the applicable Retainer Accrual Date, without any further action by the Board, such Non-Employee Director automatically will be granted the number of shares of Common Stock equal to (a) the aggregate amount of cash compensation otherwise payable to such Non-Employee Director on the applicable Retainer Accrual Date divided by (b) the closing price of the Common Stock on the Nasdaq Stock Market on the applicable Retainer Accrual Date (or, if such date is not a business day, on the first business day thereafter), rounded down to the nearest whole share. Each Retainer Grant will be fully vested on the applicable grant date.</w:t>
      </w:r>
    </w:p>
    <w:p>
      <w:pPr>
        <w:spacing w:after="0" w:line="180" w:lineRule="exact"/>
        <w:rPr>
          <w:sz w:val="20"/>
          <w:szCs w:val="20"/>
          <w:color w:val="auto"/>
        </w:rPr>
      </w:pPr>
    </w:p>
    <w:p>
      <w:pPr>
        <w:jc w:val="both"/>
        <w:ind w:left="1500" w:hanging="743"/>
        <w:spacing w:after="0" w:line="242" w:lineRule="auto"/>
        <w:tabs>
          <w:tab w:leader="none" w:pos="150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Election Mechanics</w:t>
      </w:r>
      <w:r>
        <w:rPr>
          <w:rFonts w:ascii="Times New Roman" w:cs="Times New Roman" w:eastAsia="Times New Roman" w:hAnsi="Times New Roman"/>
          <w:sz w:val="20"/>
          <w:szCs w:val="20"/>
          <w:color w:val="auto"/>
        </w:rPr>
        <w:t>. A Retainer Grant Election must be submitted by a Non-Employee Director to the Company’s Chief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Officer (or such other individual as the Company designates) in writing prior to the end of each calendar year, indicating that the Director elects (in increments of 25%, 50%, 75% or 100% of the Director’s cash compensation) to receive the retainers in Common Stock for the following calendar year. If no election has been made as of the first day of the year, the Non-Employee Director shall receive all retainers in cash. If a previous election has been made to receive Common Stock in lieu of cash, such election shall remain in effect for subsequent calendar years until such election is changed by the completion, signature and delivery to the Company of a new election form for the following calendar year. Each newly elected or appointed Non-Employee Director shall make an election prior to, or within 30 days of, his or her initial appointment or election to the Board, for the remainder of the year of such appointment or election, whether to receive the retainers in cash or Common Stock. A Non-Employee Director may only make or revoke a Retainer Grant Election during a period in which the Company is not in a quarterly or special blackout period and the Non-Employee Director is not aware of any material non-public information.</w:t>
      </w:r>
    </w:p>
    <w:p>
      <w:pPr>
        <w:spacing w:after="0" w:line="18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20"/>
          <w:szCs w:val="20"/>
          <w:b w:val="1"/>
          <w:bCs w:val="1"/>
          <w:color w:val="auto"/>
        </w:rPr>
        <w:t>Equity Compensation</w:t>
      </w:r>
    </w:p>
    <w:p>
      <w:pPr>
        <w:spacing w:after="0" w:line="229" w:lineRule="exact"/>
        <w:rPr>
          <w:sz w:val="20"/>
          <w:szCs w:val="20"/>
          <w:color w:val="auto"/>
        </w:rPr>
      </w:pPr>
    </w:p>
    <w:p>
      <w:pPr>
        <w:jc w:val="both"/>
        <w:ind w:left="1500" w:hanging="743"/>
        <w:spacing w:after="0" w:line="250" w:lineRule="auto"/>
        <w:tabs>
          <w:tab w:leader="none" w:pos="150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Initial Grant</w:t>
      </w:r>
      <w:r>
        <w:rPr>
          <w:rFonts w:ascii="Times New Roman" w:cs="Times New Roman" w:eastAsia="Times New Roman" w:hAnsi="Times New Roman"/>
          <w:sz w:val="20"/>
          <w:szCs w:val="20"/>
          <w:color w:val="auto"/>
        </w:rPr>
        <w:t>. Each Non-Employee Director who is first elected or appointed to the Board may be granted under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number of non-qualified stock options to purchase Common Stock as determined by the Board (the “</w:t>
      </w:r>
      <w:r>
        <w:rPr>
          <w:rFonts w:ascii="Times New Roman" w:cs="Times New Roman" w:eastAsia="Times New Roman" w:hAnsi="Times New Roman"/>
          <w:sz w:val="20"/>
          <w:szCs w:val="20"/>
          <w:b w:val="1"/>
          <w:bCs w:val="1"/>
          <w:i w:val="1"/>
          <w:iCs w:val="1"/>
          <w:color w:val="auto"/>
        </w:rPr>
        <w:t>Initial Grant</w:t>
      </w:r>
      <w:r>
        <w:rPr>
          <w:rFonts w:ascii="Times New Roman" w:cs="Times New Roman" w:eastAsia="Times New Roman" w:hAnsi="Times New Roman"/>
          <w:sz w:val="20"/>
          <w:szCs w:val="20"/>
          <w:color w:val="auto"/>
        </w:rPr>
        <w:t>”). The options subject to the Initial Grant will vest in equal monthly installments over the 36 months following the date of grant, subject to the Non-Employee Director’s Continuous Service (as defined in the Plan) on each vesting date.</w:t>
      </w:r>
    </w:p>
    <w:p>
      <w:pPr>
        <w:spacing w:after="0" w:line="189" w:lineRule="exact"/>
        <w:rPr>
          <w:rFonts w:ascii="Times New Roman" w:cs="Times New Roman" w:eastAsia="Times New Roman" w:hAnsi="Times New Roman"/>
          <w:sz w:val="20"/>
          <w:szCs w:val="20"/>
          <w:b w:val="1"/>
          <w:bCs w:val="1"/>
          <w:color w:val="auto"/>
        </w:rPr>
      </w:pPr>
    </w:p>
    <w:p>
      <w:pPr>
        <w:jc w:val="both"/>
        <w:ind w:left="1500" w:hanging="743"/>
        <w:spacing w:after="0" w:line="243" w:lineRule="auto"/>
        <w:tabs>
          <w:tab w:leader="none" w:pos="150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Annual Grant</w:t>
      </w:r>
      <w:r>
        <w:rPr>
          <w:rFonts w:ascii="Times New Roman" w:cs="Times New Roman" w:eastAsia="Times New Roman" w:hAnsi="Times New Roman"/>
          <w:sz w:val="20"/>
          <w:szCs w:val="20"/>
          <w:color w:val="auto"/>
        </w:rPr>
        <w:t>. On the date of each annual stockholder meeting of the Company, each Non-Employee Director who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continues to serve as a non-employee member of the Board following such stockholder meeting will be granted, automatically and without any action on the part of the Board, under the Plan, 135,000 non-qualified stock options to purchase Common Stock (the “</w:t>
      </w:r>
      <w:r>
        <w:rPr>
          <w:rFonts w:ascii="Times New Roman" w:cs="Times New Roman" w:eastAsia="Times New Roman" w:hAnsi="Times New Roman"/>
          <w:sz w:val="20"/>
          <w:szCs w:val="20"/>
          <w:b w:val="1"/>
          <w:bCs w:val="1"/>
          <w:i w:val="1"/>
          <w:iCs w:val="1"/>
          <w:color w:val="auto"/>
        </w:rPr>
        <w:t>Annual Grant</w:t>
      </w:r>
      <w:r>
        <w:rPr>
          <w:rFonts w:ascii="Times New Roman" w:cs="Times New Roman" w:eastAsia="Times New Roman" w:hAnsi="Times New Roman"/>
          <w:sz w:val="20"/>
          <w:szCs w:val="20"/>
          <w:color w:val="auto"/>
        </w:rPr>
        <w:t>”), with the value of such Annual Grant subject to reduction in order to comply with the Compensation Limits referred to in Section V. of the Policy and Section 5(e) of the Plan (after taking into account any Initial Grant and applicable retainer to be paid pursuant to Section II of the Policy). The options subject to the Annual Grant will vest in full on the sooner of the one-year anniversary of the date of grant or the date of Company’s next annual stockholder meeting, subject to the Non-Employee Director’s Continuous Service (as defined in the Plan) through such vesting date. For the avoidance of doubt, each newly appointed or elected Non-Employee Director shall first become eligible for an Annual Grant at the first annual stockholder meeting following the date on which such Non-Employee Director is appointed to the Board or the annual stockholder meeting at which the Non-Employee Director is first elected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jc w:val="both"/>
        <w:ind w:left="1500" w:hanging="743"/>
        <w:spacing w:after="0" w:line="256" w:lineRule="auto"/>
        <w:tabs>
          <w:tab w:leader="none" w:pos="1500" w:val="left"/>
        </w:tabs>
        <w:numPr>
          <w:ilvl w:val="1"/>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Provisions</w:t>
      </w:r>
      <w:r>
        <w:rPr>
          <w:rFonts w:ascii="Times New Roman" w:cs="Times New Roman" w:eastAsia="Times New Roman" w:hAnsi="Times New Roman"/>
          <w:sz w:val="20"/>
          <w:szCs w:val="20"/>
          <w:color w:val="auto"/>
        </w:rPr>
        <w:t>: All provisions of the Plan not inconsistent with this policy will apply to awards granted to a Non-Employee Director. Non-Employee Directors will be required to execute an award agreement in a form satisfactory to the Company prior to receipt of an Initial Grant or Annual Grant.</w:t>
      </w:r>
    </w:p>
    <w:p>
      <w:pPr>
        <w:spacing w:after="0" w:line="182"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Non-Employee Director Compensation Limit</w:t>
      </w:r>
    </w:p>
    <w:p>
      <w:pPr>
        <w:spacing w:after="0" w:line="233"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20"/>
          <w:szCs w:val="20"/>
          <w:color w:val="auto"/>
        </w:rPr>
        <w:t>Notwithstanding anything herein to the contrary, the cash compensation and equity compensation that each Non-Employee Director is entitled to receive under this Policy shall be subject to the limits set forth in Section 5(e) of the Plan (the “</w:t>
      </w:r>
      <w:r>
        <w:rPr>
          <w:rFonts w:ascii="Times New Roman" w:cs="Times New Roman" w:eastAsia="Times New Roman" w:hAnsi="Times New Roman"/>
          <w:sz w:val="20"/>
          <w:szCs w:val="20"/>
          <w:b w:val="1"/>
          <w:bCs w:val="1"/>
          <w:i w:val="1"/>
          <w:iCs w:val="1"/>
          <w:color w:val="auto"/>
        </w:rPr>
        <w:t>Compensation Limits</w:t>
      </w:r>
      <w:r>
        <w:rPr>
          <w:rFonts w:ascii="Times New Roman" w:cs="Times New Roman" w:eastAsia="Times New Roman" w:hAnsi="Times New Roman"/>
          <w:sz w:val="20"/>
          <w:szCs w:val="20"/>
          <w:color w:val="auto"/>
        </w:rPr>
        <w:t>”) and any amounts set forth above (whether denominated in cash or equity) shall be subject to reduction in order to comply with the Compensation Limits.</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20"/>
          <w:szCs w:val="20"/>
          <w:b w:val="1"/>
          <w:bCs w:val="1"/>
          <w:color w:val="auto"/>
        </w:rPr>
        <w:t>Ability to Decline Compensation</w:t>
      </w:r>
    </w:p>
    <w:p>
      <w:pPr>
        <w:spacing w:after="0" w:line="233"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A Non-Employee Director may decline all or any portion of his or her compensation under this Policy by giving notice to the Company prior to the date such cash is earned or such equity awards are to be granted, as the case may be.</w:t>
      </w:r>
    </w:p>
    <w:p>
      <w:pPr>
        <w:spacing w:after="0" w:line="16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VII.</w:t>
      </w:r>
      <w:r>
        <w:rPr>
          <w:sz w:val="20"/>
          <w:szCs w:val="20"/>
          <w:color w:val="auto"/>
        </w:rPr>
        <w:tab/>
      </w:r>
      <w:r>
        <w:rPr>
          <w:rFonts w:ascii="Times New Roman" w:cs="Times New Roman" w:eastAsia="Times New Roman" w:hAnsi="Times New Roman"/>
          <w:sz w:val="20"/>
          <w:szCs w:val="20"/>
          <w:b w:val="1"/>
          <w:bCs w:val="1"/>
          <w:color w:val="auto"/>
        </w:rPr>
        <w:t>Expenses</w:t>
      </w:r>
    </w:p>
    <w:p>
      <w:pPr>
        <w:spacing w:after="0" w:line="23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Upon presentation of documentation of such expenses reasonably satisfactory to the Company, the Company will reimburse each Non-Employee Director for reasonable out-of-pocket business expenses incurred in connection with attending meetings of the Board and Committees thereof or in connection with other business related to the Board. Each Non-Employee Director shall abide by the Company’s travel and other expense policies applicable to Company personnel, as in effect from time to time.</w:t>
      </w:r>
    </w:p>
    <w:p>
      <w:pPr>
        <w:spacing w:after="0" w:line="18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VIII.</w:t>
        <w:tab/>
        <w:t>Amendments</w:t>
      </w:r>
    </w:p>
    <w:p>
      <w:pPr>
        <w:spacing w:after="0" w:line="23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This Policy may be amended at any time in the sole discretion of the Board. The Compensation Committee or the Board shall review this Policy from time to time to assess whether any amendments in the type and amount of compensation provided herein should be adjusted in order to fulfill the objectives of this Policy.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Amended: November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1321435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b w:val="1"/>
          <w:bCs w:val="1"/>
          <w:color w:val="auto"/>
        </w:rPr>
        <w:t>Exhibit 10.25</w:t>
      </w:r>
    </w:p>
    <w:p>
      <w:pPr>
        <w:spacing w:after="0" w:line="21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u w:val="single" w:color="auto"/>
          <w:color w:val="auto"/>
        </w:rPr>
        <w:t>PURCHASE AND SALE AGREEMENT</w:t>
      </w:r>
    </w:p>
    <w:p>
      <w:pPr>
        <w:spacing w:after="0" w:line="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(7901 Indlea Point, Colfax, North Carolina)</w:t>
      </w:r>
    </w:p>
    <w:p>
      <w:pPr>
        <w:spacing w:after="0" w:line="20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THIS PURCHASE AND SALE AGREEMENT (“Agreement”) is made and entered into this 17th day of October, 2025 (the “Effective Date”), by and between </w:t>
      </w:r>
      <w:r>
        <w:rPr>
          <w:rFonts w:ascii="Times New Roman" w:cs="Times New Roman" w:eastAsia="Times New Roman" w:hAnsi="Times New Roman"/>
          <w:sz w:val="20"/>
          <w:szCs w:val="20"/>
          <w:b w:val="1"/>
          <w:bCs w:val="1"/>
          <w:color w:val="auto"/>
        </w:rPr>
        <w:t>NORTHPOINT DEVELOPMENT, LLC</w:t>
      </w:r>
      <w:r>
        <w:rPr>
          <w:rFonts w:ascii="Times New Roman" w:cs="Times New Roman" w:eastAsia="Times New Roman" w:hAnsi="Times New Roman"/>
          <w:sz w:val="20"/>
          <w:szCs w:val="20"/>
          <w:color w:val="auto"/>
        </w:rPr>
        <w:t xml:space="preserve">, a Delaware limited liability company, with an address at 3315 N. Oak Trafficway, Kansas City, MO 64116 (hereinafter referred to as “Buyer”), and </w:t>
      </w:r>
      <w:r>
        <w:rPr>
          <w:rFonts w:ascii="Times New Roman" w:cs="Times New Roman" w:eastAsia="Times New Roman" w:hAnsi="Times New Roman"/>
          <w:sz w:val="20"/>
          <w:szCs w:val="20"/>
          <w:b w:val="1"/>
          <w:bCs w:val="1"/>
          <w:color w:val="auto"/>
        </w:rPr>
        <w:t>PROKIDNEY ACQUISITION 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LLC</w:t>
      </w:r>
      <w:r>
        <w:rPr>
          <w:rFonts w:ascii="Times New Roman" w:cs="Times New Roman" w:eastAsia="Times New Roman" w:hAnsi="Times New Roman"/>
          <w:sz w:val="20"/>
          <w:szCs w:val="20"/>
          <w:color w:val="auto"/>
        </w:rPr>
        <w:t>, a Delaware limited liability company, with an address of 2000 Frontis Plaza Boulevard, Suite 250, Winston-Salem, NC 27103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(hereinafter referred to as “Seller”).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B A C K G R O U N D</w:t>
      </w:r>
    </w:p>
    <w:p>
      <w:pPr>
        <w:spacing w:after="0" w:line="215" w:lineRule="exact"/>
        <w:rPr>
          <w:sz w:val="20"/>
          <w:szCs w:val="20"/>
          <w:color w:val="auto"/>
        </w:rPr>
      </w:pPr>
    </w:p>
    <w:p>
      <w:pPr>
        <w:jc w:val="both"/>
        <w:ind w:right="20" w:firstLine="749"/>
        <w:spacing w:after="0" w:line="277"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19"/>
          <w:szCs w:val="19"/>
          <w:color w:val="auto"/>
        </w:rPr>
        <w:t>Seller is the owner in fee of the Land (as hereinafter defined) located at 7901 Indlea Point, Colfax, North Carolina, upon which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Improvements (as hereinafter defined) are constructed.</w:t>
      </w:r>
    </w:p>
    <w:p>
      <w:pPr>
        <w:spacing w:after="0" w:line="144" w:lineRule="exact"/>
        <w:rPr>
          <w:sz w:val="20"/>
          <w:szCs w:val="20"/>
          <w:color w:val="auto"/>
        </w:rPr>
      </w:pPr>
    </w:p>
    <w:p>
      <w:pPr>
        <w:jc w:val="both"/>
        <w:ind w:firstLine="749"/>
        <w:spacing w:after="0" w:line="277"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19"/>
          <w:szCs w:val="19"/>
          <w:color w:val="auto"/>
        </w:rPr>
        <w:t>Seller desires and hereby agrees to sell, and Buyer desires and hereby agrees to acquire Seller’s interest in the Property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hereinafter defined), subject to and on the terms and conditions hereinafter set forth.</w:t>
      </w:r>
    </w:p>
    <w:p>
      <w:pPr>
        <w:spacing w:after="0" w:line="14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mutual promises and agreements hereinafter set forth and for other good and valuable consideration, the receipt and sufficiency of which are hereby acknowledged, and intending to be legally bound hereby, the parties agree as follows: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19"/>
          <w:szCs w:val="19"/>
          <w:b w:val="1"/>
          <w:bCs w:val="1"/>
          <w:color w:val="auto"/>
        </w:rPr>
        <w:t>DEFINITIONS OF CERTAIN TERMS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For purposes of this Agreement, each of the following terms shall have the respective meanings set forth below:</w:t>
      </w:r>
    </w:p>
    <w:p>
      <w:pPr>
        <w:spacing w:after="0" w:line="21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Access Agreement</w:t>
      </w:r>
      <w:r>
        <w:rPr>
          <w:rFonts w:ascii="Times New Roman" w:cs="Times New Roman" w:eastAsia="Times New Roman" w:hAnsi="Times New Roman"/>
          <w:sz w:val="20"/>
          <w:szCs w:val="20"/>
          <w:color w:val="auto"/>
        </w:rPr>
        <w:t>. That certain Access Agreement, by and between Buyer and Seller, dated as of October 6, 2025 (the “AA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Date”).</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Business 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day other than a Saturday, Sunday, federal holiday or any day on which national banks in the State of North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Carolina are authorized or required to be closed for the conduct of regular banking business.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Closing</w:t>
      </w:r>
      <w:r>
        <w:rPr>
          <w:rFonts w:ascii="Times New Roman" w:cs="Times New Roman" w:eastAsia="Times New Roman" w:hAnsi="Times New Roman"/>
          <w:sz w:val="20"/>
          <w:szCs w:val="20"/>
          <w:color w:val="auto"/>
        </w:rPr>
        <w:t>. The closing and consummation of the purchase and sale of the Property as contemplated by this Agreement.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u w:val="single" w:color="auto"/>
          <w:color w:val="auto"/>
        </w:rPr>
        <w:t>Closing Date (or Date of Closing)</w:t>
      </w:r>
      <w:r>
        <w:rPr>
          <w:rFonts w:ascii="Times New Roman" w:cs="Times New Roman" w:eastAsia="Times New Roman" w:hAnsi="Times New Roman"/>
          <w:sz w:val="20"/>
          <w:szCs w:val="20"/>
          <w:color w:val="auto"/>
        </w:rPr>
        <w:t>. Ten (10) days after the expiration of the Due Diligence Period (as may be extended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expressly set forth in this Agreement) or such earlier date on which Seller and Buyer shall agree in writing, provided, however, in the event that the Closing Date would fall on a non-Business Day in the State of North Carolina, the Closing Date shall be extended to the next Business Day, as may be extended pursuant to the terms of this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Due Diligence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period commencing on the AA Effective Date and expiring at 5:00 pm EST on November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1298575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53" w:name="page154"/>
    <w:bookmarkEnd w:id="153"/>
    <w:p>
      <w:pPr>
        <w:spacing w:after="0" w:line="28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Earnest Money Deposit</w:t>
      </w:r>
      <w:r>
        <w:rPr>
          <w:rFonts w:ascii="Times New Roman" w:cs="Times New Roman" w:eastAsia="Times New Roman" w:hAnsi="Times New Roman"/>
          <w:sz w:val="20"/>
          <w:szCs w:val="20"/>
          <w:color w:val="auto"/>
        </w:rPr>
        <w:t>. The cash deposit(s) delivered by Buyer to Escrow Agent pursuant to Section 3.1 below together with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all interest earned thereon.</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u w:val="single" w:color="auto"/>
          <w:color w:val="auto"/>
        </w:rPr>
        <w:t>Environmental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statutes, laws, ordinances, codes, regulations, rules, rulings, orders, decrees, directives, policies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requirements by any federal, North Carolina or local governmental authority regulating, relating to, or imposing liability or standards of conduct on or concerning Hazardous Substances (as defined below), public health and safety or the environment now or existing or hereafter enacted or effective.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b w:val="1"/>
          <w:bCs w:val="1"/>
          <w:u w:val="single" w:color="auto"/>
          <w:color w:val="auto"/>
        </w:rPr>
        <w:t>Escrow Agent</w:t>
      </w:r>
      <w:r>
        <w:rPr>
          <w:rFonts w:ascii="Times New Roman" w:cs="Times New Roman" w:eastAsia="Times New Roman" w:hAnsi="Times New Roman"/>
          <w:sz w:val="19"/>
          <w:szCs w:val="19"/>
          <w:color w:val="auto"/>
        </w:rPr>
        <w:t>. Chicago Title Insurance Company, having offices at 100 NE Tudor Road, Ste. 104, Lee’s Summit, MO, attn: Randi</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Canon, e-mail: randi.canon@ctt.com.</w:t>
      </w:r>
    </w:p>
    <w:p>
      <w:pPr>
        <w:spacing w:after="0" w:line="19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u w:val="single" w:color="auto"/>
          <w:color w:val="auto"/>
        </w:rPr>
        <w:t>Hazardous Substances</w:t>
      </w:r>
      <w:r>
        <w:rPr>
          <w:rFonts w:ascii="Times New Roman" w:cs="Times New Roman" w:eastAsia="Times New Roman" w:hAnsi="Times New Roman"/>
          <w:sz w:val="20"/>
          <w:szCs w:val="20"/>
          <w:color w:val="auto"/>
        </w:rPr>
        <w:t>. All hazardous waste, hazardous substances, hazardous constituents, hazardous materials, toxic substances,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 related substances or materials, whether solids, liquids or gases including, but not limited to, polychlorinated biphenyl (commonly known as PCBs), asbestos, radon, urea formaldehyde, petroleum products (including gasoline and diesel oil), toxic substances, hazardous chemicals, spent solvents, sludge, ash, containers with hazardous waste residue, spent solutions from manufacturing processes, pesticides, explosives, organic chemicals, inorganic pigments, per-and polyfluoroalkyl substances, commonly referred to as PFAS and other similar substances and other similar substances, as each of the foregoing terms are defined under, or regulated or governed by, any and all Environmental Laws including, but not limited to, (i) the Comprehensive Environmental Response, Compensation and Liability Act of 1980, as amended, 42 U.S.C. S 9601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(ii) the Hazardous Materials Transportation Act, as amended, 49 U.S.C. S 1801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(iii) the Resource, Conservation and Recovery Act of 1976, as amended, 42 U.S.C. S 6901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(iv) the Clean Water Act, as amended, 33 U.S.C. S 1251 </w:t>
      </w:r>
      <w:r>
        <w:rPr>
          <w:rFonts w:ascii="Times New Roman" w:cs="Times New Roman" w:eastAsia="Times New Roman" w:hAnsi="Times New Roman"/>
          <w:sz w:val="20"/>
          <w:szCs w:val="20"/>
          <w:u w:val="single" w:color="auto"/>
          <w:color w:val="auto"/>
        </w:rPr>
        <w:t>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seq.</w:t>
      </w:r>
      <w:r>
        <w:rPr>
          <w:rFonts w:ascii="Times New Roman" w:cs="Times New Roman" w:eastAsia="Times New Roman" w:hAnsi="Times New Roman"/>
          <w:sz w:val="20"/>
          <w:szCs w:val="20"/>
          <w:color w:val="auto"/>
        </w:rPr>
        <w:t xml:space="preserve">, (v) the Toxic Substances Control Act of 1976, as amended, 15 U.S.C. S 2601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(vi) the Clean Air Act, as amended, 42 U.S.C. S 7401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or (vii) any so-called “superfund” or “superlien” law.</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u w:val="single" w:color="auto"/>
          <w:color w:val="auto"/>
        </w:rPr>
        <w:t>Improvements</w:t>
      </w:r>
      <w:r>
        <w:rPr>
          <w:rFonts w:ascii="Times New Roman" w:cs="Times New Roman" w:eastAsia="Times New Roman" w:hAnsi="Times New Roman"/>
          <w:sz w:val="20"/>
          <w:szCs w:val="20"/>
          <w:color w:val="auto"/>
        </w:rPr>
        <w:t>. A Class A industrial facility containing an approximately 210,600 rentable square foot industrial building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structures, buildings, fixtures, installations and other physical improvements located on the Land commonly known as 73 Business Center located at 7901 Indlea Point, Colfax, North Carolina.</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Intangible Property</w:t>
      </w:r>
      <w:r>
        <w:rPr>
          <w:rFonts w:ascii="Times New Roman" w:cs="Times New Roman" w:eastAsia="Times New Roman" w:hAnsi="Times New Roman"/>
          <w:sz w:val="20"/>
          <w:szCs w:val="20"/>
          <w:color w:val="auto"/>
        </w:rPr>
        <w:t>. All of Seller’s right, title and interest in and to all (1) Warranties; (2) development rights relating to the Real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Property; (3) Plans and Specifications; and (4) Permits, in each case, to the extent of Seller’s interest therein and to the extent assignable.</w:t>
      </w:r>
    </w:p>
    <w:p>
      <w:pPr>
        <w:spacing w:after="0" w:line="15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u w:val="single" w:color="auto"/>
          <w:color w:val="auto"/>
        </w:rPr>
        <w:t>Land</w:t>
      </w:r>
      <w:r>
        <w:rPr>
          <w:rFonts w:ascii="Times New Roman" w:cs="Times New Roman" w:eastAsia="Times New Roman" w:hAnsi="Times New Roman"/>
          <w:sz w:val="20"/>
          <w:szCs w:val="20"/>
          <w:color w:val="auto"/>
        </w:rPr>
        <w:t>. The tracts or parcels of land being more particularly described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hereto and incorporated herein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 and appurtenant easements thereto, together with all of Seller’s right, title and interest in and to all easements, rights of way, strips and gores of land, tenements, hereditaments and appurtenances, reversions, remainders, privileges, licenses and other rights and benefits of any kind relating, belonging to, running with or in any way relating thereto (including without any warranty whatsoever, subsurface rights, oil and other mineral rights, water rights and water stock); together with all right, title and interest of Seller in and to any land lying in the bed of any street, road or highway, open or proposed, in front of, abutting or adjoining the Land.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Lease(s)</w:t>
      </w:r>
      <w:r>
        <w:rPr>
          <w:rFonts w:ascii="Times New Roman" w:cs="Times New Roman" w:eastAsia="Times New Roman" w:hAnsi="Times New Roman"/>
          <w:sz w:val="20"/>
          <w:szCs w:val="20"/>
          <w:color w:val="auto"/>
        </w:rPr>
        <w:t>. NONE</w:t>
      </w:r>
    </w:p>
    <w:p>
      <w:pPr>
        <w:spacing w:after="0" w:line="21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Legal Requirements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laws, statutes, codes, acts, ordinances, orders, judgments, decrees, injunctions, rules,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Permits, licenses, authorizations, directions and requirements of all federal,</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North Carolina and local governmental authorities, officials, agencies and subdivisions of each thereof having jurisdiction which now or at any time prior to Closing may be applicable to the Property or other use or operation thereof including, without limitation, the so-called Americans with Disabilities Act.</w:t>
      </w:r>
    </w:p>
    <w:p>
      <w:pPr>
        <w:spacing w:after="0" w:line="17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u w:val="single" w:color="auto"/>
          <w:color w:val="auto"/>
        </w:rPr>
        <w:t>Out of Pocket Expenses</w:t>
      </w:r>
      <w:r>
        <w:rPr>
          <w:rFonts w:ascii="Times New Roman" w:cs="Times New Roman" w:eastAsia="Times New Roman" w:hAnsi="Times New Roman"/>
          <w:sz w:val="20"/>
          <w:szCs w:val="20"/>
          <w:color w:val="auto"/>
        </w:rPr>
        <w:t>. All of the Buyer’s actual, reasonable out of pocket expenses incurred in connection with the Buyer’s due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diligence activities, title and survey costs and reasonable attorneys’ fees and expenses, up to, but not exceeding Seventy-Five Thousand and No/100 Dollars ($75,000.00) in the aggregate.</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u w:val="single" w:color="auto"/>
          <w:color w:val="auto"/>
        </w:rPr>
        <w:t>Permits</w:t>
      </w:r>
      <w:r>
        <w:rPr>
          <w:rFonts w:ascii="Times New Roman" w:cs="Times New Roman" w:eastAsia="Times New Roman" w:hAnsi="Times New Roman"/>
          <w:sz w:val="20"/>
          <w:szCs w:val="20"/>
          <w:color w:val="auto"/>
        </w:rPr>
        <w:t>. All or any certificates of occupancy and completion with respect to the Improvements and all other consents, notices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completion, environmental and utility permits and approvals, authorizations, variances, waivers, licenses, certificates and approvals from any governmental or quasi-governmental authority issued or granted with respect to the Property now or prior to Closing.</w:t>
      </w:r>
    </w:p>
    <w:p>
      <w:pPr>
        <w:spacing w:after="0" w:line="16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u w:val="single" w:color="auto"/>
          <w:color w:val="auto"/>
        </w:rPr>
        <w:t>Permitted Exceptions</w:t>
      </w:r>
      <w:r>
        <w:rPr>
          <w:rFonts w:ascii="Times New Roman" w:cs="Times New Roman" w:eastAsia="Times New Roman" w:hAnsi="Times New Roman"/>
          <w:sz w:val="20"/>
          <w:szCs w:val="20"/>
          <w:color w:val="auto"/>
        </w:rPr>
        <w:t>. (i) Any matter disclosed by the Commitment to which Buyer fails to timely object, to which Buyer objects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but subsequently waives its objection in writing, or which Seller is not obligated to remove; (ii) all presently existing and future liens for unpaid real estate taxes and water and sewer charges not due and payable as of the Closing Date, subject to adjustment as hereinafter provided; (iii) all present and future zoning, building, environmental, and other laws, ordinances, codes, restrictions, and regulations of all governmental authorities having jurisdiction with respect to the Property, including, without limitation, landmark designations and all zoning variances and special exceptions; (iv) any state of facts which would be shown on or by an accurate current survey of the Property to which Buyer fails to timely object, or to which Buyer objects but subsequently waives its objection in writing; (v) the standard conditions and exceptions to title contained in the form of title policy or “marked-up” title commitment issued to Buyer by the Title Company; (vi) any lien, encumbrance, or other matter, whether or not of record, arising out of the acts or omissions of Buyer or Buyer’s employees, contractors or agents; and (vii) any other matter expressly agreed to in writing by Buyer and Seller.</w:t>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u w:val="single" w:color="auto"/>
          <w:color w:val="auto"/>
        </w:rPr>
        <w:t>Personal Property</w:t>
      </w:r>
      <w:r>
        <w:rPr>
          <w:rFonts w:ascii="Times New Roman" w:cs="Times New Roman" w:eastAsia="Times New Roman" w:hAnsi="Times New Roman"/>
          <w:sz w:val="20"/>
          <w:szCs w:val="20"/>
          <w:color w:val="auto"/>
        </w:rPr>
        <w:t>. All of the tangible personal property including, without limitation, fixed and movable fixtures, together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component and replacement parts, situated on the Real Property or otherwise used in connection with the Real Property and used by Seller in connection with the management, operation, maintenance or repair of the Real Property, to the extent of Seller’s interest therein and to the extent assignable.</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u w:val="single" w:color="auto"/>
          <w:color w:val="auto"/>
        </w:rPr>
        <w:t>Plans and Specifications</w:t>
      </w:r>
      <w:r>
        <w:rPr>
          <w:rFonts w:ascii="Times New Roman" w:cs="Times New Roman" w:eastAsia="Times New Roman" w:hAnsi="Times New Roman"/>
          <w:sz w:val="20"/>
          <w:szCs w:val="20"/>
          <w:color w:val="auto"/>
        </w:rPr>
        <w:t>. The plans and specifications utilized in or relating to the construction or in any way relating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Improvements, including, but not limited to, architectural drawings, final as-built certified drawings, and engineering plans and specifications to the extent of Seller’s ownership interest therein and to the extent assignable without cost to Seller.</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b w:val="1"/>
          <w:bCs w:val="1"/>
          <w:u w:val="single" w:color="auto"/>
          <w:color w:val="auto"/>
        </w:rPr>
        <w:t>Property</w:t>
      </w:r>
      <w:r>
        <w:rPr>
          <w:rFonts w:ascii="Times New Roman" w:cs="Times New Roman" w:eastAsia="Times New Roman" w:hAnsi="Times New Roman"/>
          <w:sz w:val="19"/>
          <w:szCs w:val="19"/>
          <w:color w:val="auto"/>
        </w:rPr>
        <w:t>. The Land, Improvements, Permits, Plans and Specifications, Warranties, Intangible Property, and the Personal Property.</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Real Property</w:t>
      </w:r>
      <w:r>
        <w:rPr>
          <w:rFonts w:ascii="Times New Roman" w:cs="Times New Roman" w:eastAsia="Times New Roman" w:hAnsi="Times New Roman"/>
          <w:sz w:val="20"/>
          <w:szCs w:val="20"/>
          <w:color w:val="auto"/>
        </w:rPr>
        <w:t>. The Land and Improvements.</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u w:val="single" w:color="auto"/>
          <w:color w:val="auto"/>
        </w:rPr>
        <w:t>Service Agreements</w:t>
      </w:r>
      <w:r>
        <w:rPr>
          <w:rFonts w:ascii="Times New Roman" w:cs="Times New Roman" w:eastAsia="Times New Roman" w:hAnsi="Times New Roman"/>
          <w:sz w:val="20"/>
          <w:szCs w:val="20"/>
          <w:color w:val="auto"/>
        </w:rPr>
        <w:t>. The security, maintenance, pest control, trash removal, equipment leases, and other such service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any amendments, modifications or supplements thereto) with respect to or affecting the Property or any portion thereof and described in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hereto, to the extent of Seller’s interest therein and to the extent assignable without cost to Seller.</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Title Company</w:t>
      </w:r>
      <w:r>
        <w:rPr>
          <w:rFonts w:ascii="Times New Roman" w:cs="Times New Roman" w:eastAsia="Times New Roman" w:hAnsi="Times New Roman"/>
          <w:sz w:val="20"/>
          <w:szCs w:val="20"/>
          <w:color w:val="auto"/>
        </w:rPr>
        <w:t>.  Chicago Title Insurance Company, having offices at 100 NE Tudor Road, Ste. 104, Lee’s Summit, MO, attn: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Randi Canon, e-mail: randi.canon@ctt.com.</w:t>
      </w:r>
    </w:p>
    <w:p>
      <w:pPr>
        <w:spacing w:after="0" w:line="19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u w:val="single" w:color="auto"/>
          <w:color w:val="auto"/>
        </w:rPr>
        <w:t>Warranties</w:t>
      </w:r>
      <w:r>
        <w:rPr>
          <w:rFonts w:ascii="Times New Roman" w:cs="Times New Roman" w:eastAsia="Times New Roman" w:hAnsi="Times New Roman"/>
          <w:sz w:val="20"/>
          <w:szCs w:val="20"/>
          <w:color w:val="auto"/>
        </w:rPr>
        <w:t>. All or any assignable guarantees, warranties, and indemnities relating to the construction, operation and/or use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Improvements and Real Property, which, as of the Effective Date, are set forth in </w:t>
      </w:r>
      <w:r>
        <w:rPr>
          <w:rFonts w:ascii="Times New Roman" w:cs="Times New Roman" w:eastAsia="Times New Roman" w:hAnsi="Times New Roman"/>
          <w:sz w:val="20"/>
          <w:szCs w:val="20"/>
          <w:b w:val="1"/>
          <w:bCs w:val="1"/>
          <w:u w:val="single" w:color="auto"/>
          <w:color w:val="auto"/>
        </w:rPr>
        <w:t>Schedule 1</w:t>
      </w:r>
      <w:r>
        <w:rPr>
          <w:rFonts w:ascii="Times New Roman" w:cs="Times New Roman" w:eastAsia="Times New Roman" w:hAnsi="Times New Roman"/>
          <w:sz w:val="20"/>
          <w:szCs w:val="20"/>
          <w:color w:val="auto"/>
        </w:rPr>
        <w:t xml:space="preserve"> attached hereto, to the extent of Seller’s interest therein and to the extent in effect as of Closing and assignable without cost to Seller and subject to Buyer’s obligation to pay costs allocated to Buyer under Section 9.2.2.</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19"/>
          <w:szCs w:val="19"/>
          <w:b w:val="1"/>
          <w:bCs w:val="1"/>
          <w:color w:val="auto"/>
        </w:rPr>
        <w:t>PURCHASE AND SALE</w:t>
      </w:r>
    </w:p>
    <w:p>
      <w:pPr>
        <w:spacing w:after="0" w:line="21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Buyer shall purchase the Property from Seller, and Seller shall sell, convey, transfer and assign the Property to Buyer, subject to and in accordance with the terms and conditions of this Agreement.</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19"/>
          <w:szCs w:val="19"/>
          <w:b w:val="1"/>
          <w:bCs w:val="1"/>
          <w:color w:val="auto"/>
        </w:rPr>
        <w:t>PURCHASE PRICE AND DEPOSIT; NO FINANCING</w:t>
      </w:r>
    </w:p>
    <w:p>
      <w:pPr>
        <w:spacing w:after="0" w:line="21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20"/>
          <w:szCs w:val="20"/>
          <w:b w:val="1"/>
          <w:bCs w:val="1"/>
          <w:u w:val="single" w:color="auto"/>
          <w:color w:val="auto"/>
        </w:rPr>
        <w:t>Purchase Price and Deposit</w:t>
      </w:r>
      <w:r>
        <w:rPr>
          <w:rFonts w:ascii="Times New Roman" w:cs="Times New Roman" w:eastAsia="Times New Roman" w:hAnsi="Times New Roman"/>
          <w:sz w:val="20"/>
          <w:szCs w:val="20"/>
          <w:color w:val="auto"/>
        </w:rPr>
        <w:t>. The purchase price for the Property shall be Nineteen Million Fifty Thousand and 00/100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Dollars ($19,050,000.00) (herein referred to as the “Purchase Price”). The Purchase Price shall be paid, subject to the adjustments and prorations as herein provided, as follows:</w:t>
      </w:r>
    </w:p>
    <w:p>
      <w:pPr>
        <w:spacing w:after="0" w:line="168" w:lineRule="exact"/>
        <w:rPr>
          <w:sz w:val="20"/>
          <w:szCs w:val="20"/>
          <w:color w:val="auto"/>
        </w:rPr>
      </w:pPr>
    </w:p>
    <w:p>
      <w:pPr>
        <w:jc w:val="both"/>
        <w:ind w:firstLine="1423"/>
        <w:spacing w:after="0" w:line="248"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9"/>
          <w:szCs w:val="19"/>
          <w:color w:val="auto"/>
        </w:rPr>
        <w:t>Within three (3) days of the delivery to Buyer of a fully executed original counterpart of this Agreement, signed both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Buyer and Seller, Buyer shall deliver a deposit of Four Hundred Seventy-Five Thousand and 00/100 Dollars ($475,000.00) (the “Earnest Money Deposit”) to the Escrow Agent, which Earnest Money Deposit shall be placed in a federally insured interest-bearing account in a bank mutually acceptable to the parties hereto and otherwise in accordance with the escrow agreement to be executed by the parties, the form of which is attached hereto as </w:t>
      </w:r>
      <w:r>
        <w:rPr>
          <w:rFonts w:ascii="Times New Roman" w:cs="Times New Roman" w:eastAsia="Times New Roman" w:hAnsi="Times New Roman"/>
          <w:sz w:val="19"/>
          <w:szCs w:val="19"/>
          <w:b w:val="1"/>
          <w:bCs w:val="1"/>
          <w:u w:val="single" w:color="auto"/>
          <w:color w:val="auto"/>
        </w:rPr>
        <w:t>Exhibit D</w:t>
      </w:r>
      <w:r>
        <w:rPr>
          <w:rFonts w:ascii="Times New Roman" w:cs="Times New Roman" w:eastAsia="Times New Roman" w:hAnsi="Times New Roman"/>
          <w:sz w:val="19"/>
          <w:szCs w:val="19"/>
          <w:color w:val="auto"/>
        </w:rPr>
        <w:t xml:space="preserve"> (the “Escrow Agreement”); and</w:t>
      </w:r>
    </w:p>
    <w:p>
      <w:pPr>
        <w:spacing w:after="0" w:line="1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19"/>
          <w:szCs w:val="19"/>
          <w:color w:val="auto"/>
        </w:rPr>
        <w:t>The balance of the Purchase Price to Title Company by wire transfer of immediately available US Dollars on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Closing Date.</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Buyer’s failure to timely deliver the Earnest Money Deposit shall entitle Seller to terminate this Agreement upon written notice to Buyer whereupon neither party shall have any further liability to the other, except for those obligations which expressly survive the termination of this Agreement as set forth in this Agreement.</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Notwithstanding anything to the contrary herein, One Hundred Dollars ($100.00) of the Earnest Money Deposit shall be independent consideration for entering into this Agreement (the “Independent Contract Consideration”), and shall be non-refundable to Buyer in all events, and Seller acknowledges that said amount is adequate consideration therefor.</w:t>
      </w:r>
    </w:p>
    <w:p>
      <w:pPr>
        <w:spacing w:after="0" w:line="188"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A portion of the Earnest Money Deposit, once made, in an amount equal to $100,000.00 will become immediately non-refundable to Buyer (except for a Seller default) (the “Non-Refundable EMD”), and the remaining portion of the Earnest Money Deposit, in an amount equal to $375,000.00 will remain fully refundable to Buyer until the expiration of the Due Diligence Period. The Earnest Money Deposit shall be fully applicable against the Purchase Price at Closing.</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b w:val="1"/>
          <w:bCs w:val="1"/>
          <w:color w:val="auto"/>
        </w:rPr>
        <w:t>Intentionally Omitted</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19"/>
          <w:szCs w:val="19"/>
          <w:b w:val="1"/>
          <w:bCs w:val="1"/>
          <w:color w:val="auto"/>
        </w:rPr>
        <w:t>TITLE</w:t>
      </w:r>
    </w:p>
    <w:p>
      <w:pPr>
        <w:spacing w:after="0" w:line="211"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b w:val="1"/>
          <w:bCs w:val="1"/>
          <w:u w:val="single" w:color="auto"/>
          <w:color w:val="auto"/>
        </w:rPr>
        <w:t>Title Contingency</w:t>
      </w:r>
      <w:r>
        <w:rPr>
          <w:rFonts w:ascii="Times New Roman" w:cs="Times New Roman" w:eastAsia="Times New Roman" w:hAnsi="Times New Roman"/>
          <w:sz w:val="19"/>
          <w:szCs w:val="19"/>
          <w:color w:val="auto"/>
        </w:rPr>
        <w:t>. At Closing, Buyer shall require that title to the Property be insurable in the amount of the Purchase Price, at ordinary or promulgated rates, by the Title Company pursuant to a standard NCLTA Owner’s Policy of Title Insurance with extended coverage, showing Buyer as the prospective named insured, free and clear of Monetary Encumbrances (subject to the terms of Section 4.2 below) and subject only to the Permitted Exceptions, in accordance with Section 4.2 below (collectively, “Owner’s Title Policy”). Seller shall deliver a commercially reasonable affidavit to the Title Company of the type customarily provided by sellers of commercial real property located in North Carolina to induce title insurance companies in the area to provide insure over certain “standard” or “preprinted” exceptions to title required including, without limitation, any exception for mechanic’s liens arising under Seller with respect to the Property.</w:t>
      </w:r>
    </w:p>
    <w:p>
      <w:pPr>
        <w:spacing w:after="0" w:line="16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b w:val="1"/>
          <w:bCs w:val="1"/>
          <w:u w:val="single" w:color="auto"/>
          <w:color w:val="auto"/>
        </w:rPr>
        <w:t>Examination of Title</w:t>
      </w:r>
      <w:r>
        <w:rPr>
          <w:rFonts w:ascii="Times New Roman" w:cs="Times New Roman" w:eastAsia="Times New Roman" w:hAnsi="Times New Roman"/>
          <w:sz w:val="20"/>
          <w:szCs w:val="20"/>
          <w:color w:val="auto"/>
        </w:rPr>
        <w:t>. Seller has made available to Buyer a copy of Seller’s owners title insurance policy together with the latest survey and subdivision plat (if any) of the Real Property. Buyer may also obtain prior to the expiration of the Due Diligence Period, at Buyer’s sole cost and expense, (i) an updated title insurance commitment (the “Commitment”), and (ii) an update of Seller’s existing survey or new survey of the Real Property (the “Survey”). Buyer shall deliver to Seller a copy of the Survey and Commitment with any notice of Title Defects (defined below) on or before the expiration of the Due Diligence Period. If title to the Real Property as reflected in the Commitment or the Survey contains title exceptions or discloses matters to which Buyer objects (“Title Defects”), Buyer shall notify Seller in writing of such fact no later than the date which is five (5) Business Days prior to the expiration of the Due Diligence Period, after which Seller shall notify Buyer prior to the expiration of the Due Diligence Period whether Seller intends to cure the Title Defects (“Seller’s Response”). Seller’s failure to send a Seller’s Response shall be deemed an election by Seller not to cure any Title Defects. Notwithstanding the foregoing, Seller shall be obligated to cure (without any obligation for Buyer to notify Seller of such being a Title Defect) and satisfy of record (i) any mortgages, deeds of trust, or loan security documents granted or assumed by Seller and encumbering the Property, (ii) any tax lien resulting from the acts or omissions of Seller (other than the liens for taxes and assessments which are not delinquent), (iii) mechanic’s liens arising by, through or under Seller, and (iv) any judgment lien against Seller that has validly attached to the Property (collectively, “Monetary Encumbrances”). All Monetary Encumbrances will be satisfied by Seller on or prior to the Closing Date and may be satisfied at Closing out of the proceeds otherwise payable to Seller. Any title or survey matters existing as of the Effective Date and not timely objected to by Buyer shall be deemed accepted by Buyer as Permitted Exceptions. If Seller’s Response does not (or is deemed not to) indicate Seller’s agreement to cure or remedy all Title Defects, Buyer shall, subject to the remaining provisions of this Section, have the option of either accepting title to the Real Property without abatement of the Purchase Price in which case such Title Defects shall be considered Permitted Exceptions, or of terminating this Agreement by giving written notice of such election to Seller within five (5) days after receipt of Seller’s Response (or, in the event a Seller’s Response is not received, within five (5) days after the date on which the Seller’s Response was due) and, in the event this Agreement is terminated, the Earnest Money Deposit, less the Independent Contract Consideration and Non-Refundable EMD, shall be returned to Buyer, and this Agreement and the rights and obligations of the parties hereto shall cease and terminate, except for those obligations which expressly survive the termination of this Agreement as set forth in this Agreement.</w:t>
      </w:r>
    </w:p>
    <w:p>
      <w:pPr>
        <w:spacing w:after="0" w:line="18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b w:val="1"/>
          <w:bCs w:val="1"/>
          <w:u w:val="single" w:color="auto"/>
          <w:color w:val="auto"/>
        </w:rPr>
        <w:t>New Defects</w:t>
      </w:r>
      <w:r>
        <w:rPr>
          <w:rFonts w:ascii="Times New Roman" w:cs="Times New Roman" w:eastAsia="Times New Roman" w:hAnsi="Times New Roman"/>
          <w:sz w:val="20"/>
          <w:szCs w:val="20"/>
          <w:color w:val="auto"/>
        </w:rPr>
        <w:t>. Except as expressly provided in this Agreement or imposed by a Governmental Authority (hereinafter defined), from and after the Effective Date, Seller shall not execute any agreement or document that will bind the Property or Buyer after the Closing Date (a “New Defect”)</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without first obtaining Buyer’s prior written consent, which may not be unreasonably withheld, conditioned, or delayed, unless the same may be cancelled on thirty (30) days’ notice at no cost to Buyer. In the event Buyer approves such New Defect in writing, then such New Defect shall constitute a Permitted Exception. After the Due Diligence Period expiration and prior to Closing, Buyer may notify Seller of any objection to title or survey (excluding objections to title which have been waived by Buyer as hereinabove provided or that are or are deemed to be Permitted Exceptions) arising after the effective date of the Commitment or Survey, as applicable (the “Additional Title Notice”). With respect to any objections to title or survey set forth in such Additional Title Notice, Seller shall have the same option to cure and Buyer shall have the same option to accept title subject to such matters or to terminate this Agreement as set forth in Section 4.2 above.</w:t>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b w:val="1"/>
          <w:bCs w:val="1"/>
          <w:u w:val="single" w:color="auto"/>
          <w:color w:val="auto"/>
        </w:rPr>
        <w:t>Failure to Cure</w:t>
      </w:r>
      <w:r>
        <w:rPr>
          <w:rFonts w:ascii="Times New Roman" w:cs="Times New Roman" w:eastAsia="Times New Roman" w:hAnsi="Times New Roman"/>
          <w:sz w:val="20"/>
          <w:szCs w:val="20"/>
          <w:color w:val="auto"/>
        </w:rPr>
        <w:t>. If Seller fails to cure and satisfy of record any Monetary Encumbrance (subject to the terms of Section 4.2) or remedy any Title Defect that Seller agreed to cure or remedy pursuant to Seller’s Response on or prior to the Closing Date, then Buyer shall have the right to either exercise the remedies available to Buyer under Section 16.1 hereof or waive such failure and elect to accept title to the Property as it then is, without any reduction in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3138170</wp:posOffset>
            </wp:positionH>
            <wp:positionV relativeFrom="paragraph">
              <wp:posOffset>-33655</wp:posOffset>
            </wp:positionV>
            <wp:extent cx="3111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b w:val="1"/>
          <w:bCs w:val="1"/>
          <w:u w:val="single" w:color="auto"/>
          <w:color w:val="auto"/>
        </w:rPr>
        <w:t>Intentionally Deleted</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SECTION 5: </w:t>
      </w:r>
      <w:r>
        <w:rPr>
          <w:rFonts w:ascii="Times New Roman" w:cs="Times New Roman" w:eastAsia="Times New Roman" w:hAnsi="Times New Roman"/>
          <w:sz w:val="19"/>
          <w:szCs w:val="19"/>
          <w:b w:val="1"/>
          <w:bCs w:val="1"/>
          <w:color w:val="auto"/>
        </w:rPr>
        <w:t>BUYER’S DUE DILIGENCE AND INSPECTION RIGHTS</w:t>
      </w:r>
    </w:p>
    <w:p>
      <w:pPr>
        <w:spacing w:after="0" w:line="21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u w:val="single" w:color="auto"/>
          <w:color w:val="auto"/>
        </w:rPr>
        <w:t>Documents to be Delivered by Seller</w:t>
      </w:r>
      <w:r>
        <w:rPr>
          <w:rFonts w:ascii="Times New Roman" w:cs="Times New Roman" w:eastAsia="Times New Roman" w:hAnsi="Times New Roman"/>
          <w:sz w:val="20"/>
          <w:szCs w:val="20"/>
          <w:color w:val="auto"/>
        </w:rPr>
        <w:t>. Seller has made (or within three (3) Business Days after the Effective Date will make) available to Buyer each of the following items (the “Submission Items”) that relate to the Property or any portion thereof to the extent such items exist and are in Seller’s possession or reasonable control (without additional cost to Seller):</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5.1.1  Copies of all Service Agreements (with a list of all vendors with which Seller deals in connection with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5.1.2  A copy of Seller’s owner title insurance policy;</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5.1.3  Copies of surveys, plats or maps of the Real Property, if any;</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5.1.4  All construction drawings and Plans and Specifications for the Improvements;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5.1.5  Copies of any Warranties;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5.1.6  Any final environmental report, test, audit or survey generated by a third party consultant;</w:t>
      </w:r>
    </w:p>
    <w:p>
      <w:pPr>
        <w:spacing w:after="0" w:line="216"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5.1.7 All final engineering and physical inspection reports, including, but not limited to, any geotechnical and wetland reports generated by a third party consultant;</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5.1.8  Copies of all Permits;</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5.1.9 Copies of all operating and maintenance records and books relating to the Property (including, but not limited to, annual fire suppression, fire safety and fire alarm/monitoring inspections and reports and all storm water control measures inspections and reports), and real estate tax bills and statements of assessed value for the Seller’s period of ownership;</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84"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5.1.10 Copies of the current utility bills, including electric, gas and water bills and a schedule of any deposits currently posted with respect to such utilities;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5.1.11 Written notices of violation of any Legal Requirements received by Seller; and</w:t>
      </w:r>
    </w:p>
    <w:p>
      <w:pPr>
        <w:spacing w:after="0" w:line="21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19"/>
          <w:szCs w:val="19"/>
          <w:color w:val="auto"/>
        </w:rPr>
        <w:t>5.1.12 Such other documents relating to the operation or management of the Property in Seller’s actual or constructive possession which are reasonably requested by Buyer with the exception of (i) internal documents, communications, projections and analyses,</w:t>
      </w:r>
    </w:p>
    <w:p>
      <w:pPr>
        <w:jc w:val="both"/>
        <w:ind w:firstLine="8"/>
        <w:spacing w:after="0" w:line="241" w:lineRule="auto"/>
        <w:tabs>
          <w:tab w:leader="none" w:pos="31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materials subject to any legal privilege in favor of Seller, and (iii) confidential or proprietary information relating to Seller or its business operations. Buyer acknowledges and agrees that except as set forth in this Agreement, any Submission Items to be delivered to Buyer or its agents are or shall be provided without representation or warranty of any kind, express or implied, as to the completeness or accuracy of the facts, presumptions, conclusions or other matters contained therein and that Buyer shall rely solely on its own investigations, reports and materials prepared by Buyer or any consultants engaged by Buyer.</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 xml:space="preserve">5.2 </w:t>
      </w:r>
      <w:r>
        <w:rPr>
          <w:rFonts w:ascii="Times New Roman" w:cs="Times New Roman" w:eastAsia="Times New Roman" w:hAnsi="Times New Roman"/>
          <w:sz w:val="19"/>
          <w:szCs w:val="19"/>
          <w:b w:val="1"/>
          <w:bCs w:val="1"/>
          <w:u w:val="single" w:color="auto"/>
          <w:color w:val="auto"/>
        </w:rPr>
        <w:t>Inspection of Property and Submission Items</w:t>
      </w:r>
      <w:r>
        <w:rPr>
          <w:rFonts w:ascii="Times New Roman" w:cs="Times New Roman" w:eastAsia="Times New Roman" w:hAnsi="Times New Roman"/>
          <w:sz w:val="19"/>
          <w:szCs w:val="19"/>
          <w:color w:val="auto"/>
        </w:rPr>
        <w:t>. Notwithstanding any disclosure of Seller contained in this Agreement, Buyer’s obligation to proceed to and consummate Closing is contingent upon Buyer being satisfied, in its sole and absolute discretion and in all respects, with Buyer’s investigation and study and review of the Property prior to the expiration of the Due Diligence Period. In order to facilitate the above-described review, Seller hereby agrees that Seller shall make the Property available to Buyer and Buyer’s employees, contractors and agents (collectively, “Buyer’s Agents”) at reasonable times during business hours (not including weekends, holidays, and after 5:00 pm local time at the Property on weekdays) prior to the expiration of the Due Diligence Period upon not less than one (1) Business Days’ notice to Seller describing who will be entering the Property and the nature of such entry and/or investigation (which for purposes of scheduling such access may be by email notice to Seller’s representative, [Greg Wilson, Tel: (336) 575-7863, email: greg.wilson@cbre.com], together with notice to Seller at the address set forth in Section 12 below)), and subject to the rights of any occupant in possession, at Buyer’s sole cost and expense and at Buyer’s and Buyer’s Agents’ sole risk, for the purposes of: (a) performing non-invasive inspections and tests of the Property and (b) performing such other analyses, inquiries and investigations relating to the ownership and operation of the Property as Buyer shall reasonably deem necessary or appropriate (collectively, “Inspections”) subject to the following limitations: (i) Seller shall have the right to have a representative present during all such Inspections; (ii) such Inspections shall not unreasonably disrupt or disturb the on-going operation of the Property or the rights of any occupant at the Property; and (iii) Buyer or Buyer’s Agents shall not conduct any invasive or destructive physical testing, drilling, boring, sampling or removal of, on or through the surface of the Property (or any part or portion thereof) including, without limitation, any ground borings or invasive testing or environmental samplings of the land (including, air, water or soil), building or improvements (collectively, “Physical Testing”), without Seller’s prior written consent (provided that a Phase I environmental assessment shall not be deemed Physical Testing). In the event Buyer desires to conduct any such Physical Testing of the Property, then Buyer shall submit to Seller, for Seller’s prior written approval, a written detailed description of the scope and extent of the proposed Physical Testing, which approval may be given or withheld in Seller’s sole discretion. In no event shall Seller be obligated, as a condition to closing the sale of the Property under the Purchase Agreement or otherwise, to perform or pay for any environmental remediation of the Property recommended as a result of any such Physical Testing. Buyer agrees to indemnify, defend and hold Seller and any officer, director, member, manager, person, firm, agent, advisor, trustee or representative acting or purporting to act on behalf of the Seller (collectively with Seller, the “Indemnified Parties”) free and harmless from any loss, injury, damage, claim, lien, cost or expense, including reasonable attorneys’ fees and costs (collectively “Losses”) resulting from, relating to, or arising out of the activities of Buyer or Buyer’s Agents or designees on the Property, including, but not limited to, the Inspections or Physical</w:t>
      </w:r>
    </w:p>
    <w:p>
      <w:pPr>
        <w:spacing w:after="0" w:line="200" w:lineRule="exact"/>
        <w:rPr>
          <w:sz w:val="20"/>
          <w:szCs w:val="20"/>
          <w:color w:val="auto"/>
        </w:rPr>
      </w:pPr>
    </w:p>
    <w:p>
      <w:pPr>
        <w:spacing w:after="0" w:line="2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Testing conducted on or about the Property, or otherwise from the exercise by Buyer or any Buyer’s Agent of the right of access provided herein;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such obligations of Buyer shall not cover any loss, injury, damage, claim, lien, cost or expense that (a) is caused by the negligence or intentional misconduct of any of the Indemnified Parties, or (b) relates to any matter that is merely discovered, and not exacerbated by Buyer or any Buyer’s Agent. The provisions of this Section 5.2 shall survive any termination of this Agreement or the Closing. In the event this Agreement is terminated for any reason, Buyer shall furnish Seller with copies of all environmental, engineering and other due diligence reports prepared by or for Buyer with respect to the Property, including, without limitation, any survey, and such copies shall be provided in their as-is condition, without any representation or warranty from Buyer.</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b w:val="1"/>
          <w:bCs w:val="1"/>
          <w:u w:val="single" w:color="auto"/>
          <w:color w:val="auto"/>
        </w:rPr>
        <w:t>Termination Right</w:t>
      </w:r>
      <w:r>
        <w:rPr>
          <w:rFonts w:ascii="Times New Roman" w:cs="Times New Roman" w:eastAsia="Times New Roman" w:hAnsi="Times New Roman"/>
          <w:sz w:val="20"/>
          <w:szCs w:val="20"/>
          <w:color w:val="auto"/>
        </w:rPr>
        <w:t>. The parties expressly acknowledge and agree that Buyer has the right, for any or no reason, at any time on or before the expiration of the Due Diligence Period to terminate this Agreement by written notice to Seller, and upon such termination, the Earnest Money Deposit less the Independent Contract Consideration and Non-Refundable EMD shall be returned to Buyer whereupon there shall be no further rights, obligations or liabilities between the parties, except for those rights, obligations or liabilities which expressly survive the termination of this Agreement as set forth in this Agreement. If Buyer fails to deliver written notice of such termination to Seller on or before the expiration of the Due Diligence Period, then Buyer shall be deemed to have waived its right to terminate this Agreement under this Section 5.3 and the Earnest Money Deposit, as and when deposited with Escrow Agent, shall be immediately non-refundable to Buyer except as expressly provided in this Agreement.</w:t>
      </w:r>
    </w:p>
    <w:p>
      <w:pPr>
        <w:spacing w:after="0" w:line="18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b w:val="1"/>
          <w:bCs w:val="1"/>
          <w:u w:val="single" w:color="auto"/>
          <w:color w:val="auto"/>
        </w:rPr>
        <w:t>Assumed Service Agreements</w:t>
      </w:r>
      <w:r>
        <w:rPr>
          <w:rFonts w:ascii="Times New Roman" w:cs="Times New Roman" w:eastAsia="Times New Roman" w:hAnsi="Times New Roman"/>
          <w:sz w:val="20"/>
          <w:szCs w:val="20"/>
          <w:color w:val="auto"/>
        </w:rPr>
        <w:t>. Prior to the expiration of the Due Diligence Period, Buyer shall notify Seller in writing as to any Service Agreement that Buyer elects not to assume from and after Closing (the “Nonassumed Service Agreements”), which Nonassumed Service Agreements shall be terminated by Seller, at Seller’s expense, prior to or upon Closing. Buyer will assume at Closing the obligations of the Seller under all other Service Agreements (the “Assumed Service Agreements”), to the extent arising after Closing for the period following the Closing. Notwithstanding the foregoing, Assumed Service Agreements shall include, and Buyer shall assume those agreements that have been entered into by Seller after the Effective Date in accordance with this Agreement which are terminable on not more than thirty (30) days prior written notice without the payment of any fee or penalty.</w:t>
      </w:r>
    </w:p>
    <w:p>
      <w:pPr>
        <w:spacing w:after="0" w:line="17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b w:val="1"/>
          <w:bCs w:val="1"/>
          <w:u w:val="single" w:color="auto"/>
          <w:color w:val="auto"/>
        </w:rPr>
        <w:t>Insurance</w:t>
      </w:r>
      <w:r>
        <w:rPr>
          <w:rFonts w:ascii="Times New Roman" w:cs="Times New Roman" w:eastAsia="Times New Roman" w:hAnsi="Times New Roman"/>
          <w:sz w:val="20"/>
          <w:szCs w:val="20"/>
          <w:color w:val="auto"/>
        </w:rPr>
        <w:t>. Prior to commencing, and during the Inspections and any Physical Testing of the Property, Buyer shall maintain or cause to be maintained (a) workers’ compensation insurance in accordance with applicable law, except for any consultants who are sole proprietors with no other employees than themselves, (b) commercial general liability insurance, on a per occurrence basis, in the amounts of at least One Million Dollars ($1,000,000.00) per occurrence and Two Million Dollars ($2,000,000.00) in the aggregate, for bodily or personal injury or death, (c) property damage insurance in the amount of at least Two Million Dollars ($2,000,000.00), and (d) commercial automobile insurance, owned, hired, non-owned or leased in the amount of at least Two Million Dollars ($2,000,000.00), and (e) contractual liability insurance, on a per occurrence basis, with respect to Buyer’s obligations hereunder to the extent coverage is provided. Buyer shall represent and warrant that the appropriate insurance hereunder is carried and shall deliver to Seller evidence of such workers’ compensation insurance and a certificate evidencing the commercial general liability, property damage, commercial automobile, and contractual liability insurance, including prior to entering the Property or conducting any Inspections or Physical Testing on or about the Property. Each such insurance policy shall be written by a reputable insurance company having a rating of at least “A-VII” by Best’s Rating Guide (or a comparable rating by a successor rating service). The general liability policy shall identify Seller as an additional insured . Such insurance shall be primary to any insurance maintained by Seller with respect to the Property.</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8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9"/>
          <w:szCs w:val="19"/>
          <w:color w:val="auto"/>
        </w:rPr>
        <w:t xml:space="preserve">5.6 </w:t>
      </w:r>
      <w:r>
        <w:rPr>
          <w:rFonts w:ascii="Times New Roman" w:cs="Times New Roman" w:eastAsia="Times New Roman" w:hAnsi="Times New Roman"/>
          <w:sz w:val="19"/>
          <w:szCs w:val="19"/>
          <w:b w:val="1"/>
          <w:bCs w:val="1"/>
          <w:u w:val="single" w:color="auto"/>
          <w:color w:val="auto"/>
        </w:rPr>
        <w:t>As-Is Purchase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Except as set forth in this Agreement, the Property is being acquired by Buyer in “AS IS” condition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“WITH ALL FAULTS” existing as of the Closing Date. Buyer acknowledges that it will be acquiring the Property on the basis of its own investigations. Except as expressly set forth in this Agreement or in any instrument or other document delivered at Closing pursuant to this Agreement (a “Closing Document”), no representations or warranties have been made or are made and no responsibility has been or is assumed by Seller or by any officer, director, member, manager, person, firm, agent, advisor, trustee or representative acting or purporting to act on behalf of the Seller (collectively, the “Seller Parties”) as to condition or repair of the Property or the value, expense of operation, or income potential thereof, the reliability of any information furnished to Buyer or as to any other fact or condition which has or might affect the Property or the condition, repair, value, expense of operation or income potential of the Property or any portion thereof. Except with respect to a breach by Seller of any covenant, representation or warranty expressly contained in this Agreement or in any Closing Document, including those remedies available to Buyer hereunder or thereunder for such a breach by Seller, Buyer hereby waives, releases and forever discharges all Seller Parties and any affiliate of the Seller Parties of and from any and all claims, actions, causes of action, demands, rights, damages, liabilities and costs whatsoever, direct or indirect, known or unknown, which Buyer now has or which may arise in the future, against Seller or any such other parties related in any way to the Property. Except with respect to a breach by Seller of any representation or warranty expressly contained in this Agreement or any indemnity set forth in this Agreement or in any instrument delivered pursuant to this Agreement, Buyer hereby agrees not to assert any claim for contribution, cost recovery or otherwise against Seller or any such affiliate relating directly or indirectly to the physical condition of the Property including, without limitation, the existence of oil, lead paint, or Hazardous Substances, or substances on or under, or the environmental condition of, the Property, whether known or unknown. The parties agree that all understandings and agreements heretofore made between them or their respective agents or representatives are merged in this Agreement and the Exhibits hereto annexed, which alone fully and completely express their agreement, and that this Agreement has been entered into after full investigation, or with the parties satisfied with the opportunity afforded for investigation, neither party relying upon any statement or representation by the other unless such statement or representation is specifically embodied in this Agreement or the Exhibits annexed hereto. Buyer acknowledges that it is experienced and sophisticated in the acquisition, development, management, leasing, ownership and operation of commercial real estate projects such as the Property and that, Seller has required Buyer to inspect fully the Property and investigate all matters relevant thereto, and, except with respect to information provided and certified to by Seller to Buyer, to rely solely upon the results of Buyer’s own inspections or other information obtained or otherwise available to Buyer, provided that the foregoing shall not diminish Buyer’s rights with respect to any representations or warranties expressly made by Seller in this Agreement or in any Closing Document.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SECTION 6: </w:t>
      </w:r>
      <w:r>
        <w:rPr>
          <w:rFonts w:ascii="Times New Roman" w:cs="Times New Roman" w:eastAsia="Times New Roman" w:hAnsi="Times New Roman"/>
          <w:sz w:val="19"/>
          <w:szCs w:val="19"/>
          <w:b w:val="1"/>
          <w:bCs w:val="1"/>
          <w:color w:val="auto"/>
        </w:rPr>
        <w:t>SELLER’S REPRESENTATIONS, WARRANTIES AND COVENANTS</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Seller represents, warrants and covenants to Buyer, which representations and warranties shall be true and correct in all material respects on and as of the date hereof, all of which representations and warranties shall be deemed to have been remade by Seller to Buyer, and shall be true and correct in all material respects on or as of the Closing (updated to reflect the then state of facts as set forth below), as follows:</w:t>
      </w:r>
    </w:p>
    <w:p>
      <w:pPr>
        <w:spacing w:after="0" w:line="17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u w:val="single" w:color="auto"/>
          <w:color w:val="auto"/>
        </w:rPr>
        <w:t>Organization, Power and Authority</w:t>
      </w:r>
      <w:r>
        <w:rPr>
          <w:rFonts w:ascii="Times New Roman" w:cs="Times New Roman" w:eastAsia="Times New Roman" w:hAnsi="Times New Roman"/>
          <w:sz w:val="20"/>
          <w:szCs w:val="20"/>
          <w:color w:val="auto"/>
        </w:rPr>
        <w:t>. Seller is a limited liability company duly formed, validly existing and in good standing under the laws of the state of North Carolina. Seller has all necessary</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power to execute and deliver this Agreement and perform its obligations hereunder. The execution, delivery and performance of this Agreement by Seller (i) has been duly and validly authorized by all necessary action on the part of Seller, (ii) does not conflict with or constitute a breach of, or constitute a default under, any contract, agreement or other instrument which will remain in effect at Closing by which Seller or the Property is bound or to which Seller is a party, and (iii) does not require the consent of any other party.</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b w:val="1"/>
          <w:bCs w:val="1"/>
          <w:u w:val="single" w:color="auto"/>
          <w:color w:val="auto"/>
        </w:rPr>
        <w:t>No Bankruptcy</w:t>
      </w:r>
      <w:r>
        <w:rPr>
          <w:rFonts w:ascii="Times New Roman" w:cs="Times New Roman" w:eastAsia="Times New Roman" w:hAnsi="Times New Roman"/>
          <w:sz w:val="20"/>
          <w:szCs w:val="20"/>
          <w:color w:val="auto"/>
        </w:rPr>
        <w:t>. Seller is not a party to any voluntary or involuntary proceedings under any applicable laws relating to the insolvency, bankruptcy, moratorium or other laws affecting creditors rights to the extent that such laws may be applicable to Seller.</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b w:val="1"/>
          <w:bCs w:val="1"/>
          <w:u w:val="single" w:color="auto"/>
          <w:color w:val="auto"/>
        </w:rPr>
        <w:t>No Litigation</w:t>
      </w:r>
      <w:r>
        <w:rPr>
          <w:rFonts w:ascii="Times New Roman" w:cs="Times New Roman" w:eastAsia="Times New Roman" w:hAnsi="Times New Roman"/>
          <w:sz w:val="20"/>
          <w:szCs w:val="20"/>
          <w:color w:val="auto"/>
        </w:rPr>
        <w:t>. Seller has not received written notice of any pending or, to Seller’s actual knowledge, threatened litigation, administrative action, investigation or other governmental or quasi-governmental proceeding wherein an unfavorable ruling, decision, or finding, upon consummation of the sale contemplated hereby to Buyer or otherwise, may reasonably be expected to have a material adverse effect on the business or prospects of or on the condition or operations of the Property, or would interfere with Seller’s ability to consummate the transactions contemplated by this Agreement.</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b w:val="1"/>
          <w:bCs w:val="1"/>
          <w:u w:val="single" w:color="auto"/>
          <w:color w:val="auto"/>
        </w:rPr>
        <w:t>No Violations</w:t>
      </w:r>
      <w:r>
        <w:rPr>
          <w:rFonts w:ascii="Times New Roman" w:cs="Times New Roman" w:eastAsia="Times New Roman" w:hAnsi="Times New Roman"/>
          <w:sz w:val="20"/>
          <w:szCs w:val="20"/>
          <w:color w:val="auto"/>
        </w:rPr>
        <w:t>. Seller has not received written notice from any federal or state court, commission, regulatory body, administrative agency or other governmental body (“Governmental Authority”), that there are presently any outstanding or uncured violations of any Legal Requirements.</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b w:val="1"/>
          <w:bCs w:val="1"/>
          <w:u w:val="single" w:color="auto"/>
          <w:color w:val="auto"/>
        </w:rPr>
        <w:t>Condemnation</w:t>
      </w:r>
      <w:r>
        <w:rPr>
          <w:rFonts w:ascii="Times New Roman" w:cs="Times New Roman" w:eastAsia="Times New Roman" w:hAnsi="Times New Roman"/>
          <w:sz w:val="20"/>
          <w:szCs w:val="20"/>
          <w:color w:val="auto"/>
        </w:rPr>
        <w:t>. Seller has not received any written notice of proceedings pending nor, to Seller’s actual knowledge, are any proceedings threatened, against or affecting the Real Property or any portion thereof or interest therein in the nature of or in lieu of condemnation or eminent domain proceedings.</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b w:val="1"/>
          <w:bCs w:val="1"/>
          <w:u w:val="single" w:color="auto"/>
          <w:color w:val="auto"/>
        </w:rPr>
        <w:t>Assessments</w:t>
      </w:r>
      <w:r>
        <w:rPr>
          <w:rFonts w:ascii="Times New Roman" w:cs="Times New Roman" w:eastAsia="Times New Roman" w:hAnsi="Times New Roman"/>
          <w:sz w:val="20"/>
          <w:szCs w:val="20"/>
          <w:color w:val="auto"/>
        </w:rPr>
        <w:t>. Seller has not received written notice of any assessments from any Governmental Authority imposed, contemplated or confirmed and ratified against any of the Real Property for public or private improvements which are now or hereafter payable.</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b w:val="1"/>
          <w:bCs w:val="1"/>
          <w:u w:val="single" w:color="auto"/>
          <w:color w:val="auto"/>
        </w:rPr>
        <w:t>No Hazardous Substances</w:t>
      </w:r>
      <w:r>
        <w:rPr>
          <w:rFonts w:ascii="Times New Roman" w:cs="Times New Roman" w:eastAsia="Times New Roman" w:hAnsi="Times New Roman"/>
          <w:sz w:val="20"/>
          <w:szCs w:val="20"/>
          <w:color w:val="auto"/>
        </w:rPr>
        <w:t>. Except as set forth in Seller’s environmental reports which have been or, pursuant to Section 5.1 above, will be made available to Buyer, to Seller’s actual knowledge, Seller has received no written notice from any Governmental Authority with jurisdiction over Environmental Laws and the Property, asserting or alleging the discharge, disbursement, release, or storage of Hazardous Substances on, in or under the Real Property in violation of Environmental Laws, which has not been cured or corrected as of the Effective Date.</w:t>
      </w:r>
    </w:p>
    <w:p>
      <w:pPr>
        <w:spacing w:after="0" w:line="18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b w:val="1"/>
          <w:bCs w:val="1"/>
          <w:u w:val="single" w:color="auto"/>
          <w:color w:val="auto"/>
        </w:rPr>
        <w:t>Leases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Seller is not a party to any leases, licenses or occupancy agreements in effect for any portion of the Real Property and, to Seller’s actual knowledge, no third party has any leasehold or occupancy rights to use or occupy any portion of the Real Property.</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b w:val="1"/>
          <w:bCs w:val="1"/>
          <w:u w:val="single" w:color="auto"/>
          <w:color w:val="auto"/>
        </w:rPr>
        <w:t>Management Agreement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On the Closing Date, there will be no contract or agreement in effect for the management of the Real Property.</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6.10</w:t>
      </w:r>
      <w:r>
        <w:rPr>
          <w:rFonts w:ascii="Times New Roman" w:cs="Times New Roman" w:eastAsia="Times New Roman" w:hAnsi="Times New Roman"/>
          <w:sz w:val="20"/>
          <w:szCs w:val="20"/>
          <w:b w:val="1"/>
          <w:bCs w:val="1"/>
          <w:u w:val="single" w:color="auto"/>
          <w:color w:val="auto"/>
        </w:rPr>
        <w:t>Leasing Commissions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No leasing commission, fee or other compensation is payable (or will, with the passage of time or occurrence of any event or both, be payable) with respect to any leases or similar agreements affecting the Property. To Seller’s actual knowledge, there does not currently exist any exclusive or continuing leasing or brokerage agreements that relate to the Real Property that will bind the Real Property after Closing.</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8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6.11</w:t>
      </w:r>
      <w:r>
        <w:rPr>
          <w:rFonts w:ascii="Times New Roman" w:cs="Times New Roman" w:eastAsia="Times New Roman" w:hAnsi="Times New Roman"/>
          <w:sz w:val="20"/>
          <w:szCs w:val="20"/>
          <w:b w:val="1"/>
          <w:bCs w:val="1"/>
          <w:u w:val="single" w:color="auto"/>
          <w:color w:val="auto"/>
        </w:rPr>
        <w:t>OFAC</w:t>
      </w:r>
      <w:r>
        <w:rPr>
          <w:rFonts w:ascii="Times New Roman" w:cs="Times New Roman" w:eastAsia="Times New Roman" w:hAnsi="Times New Roman"/>
          <w:sz w:val="20"/>
          <w:szCs w:val="20"/>
          <w:color w:val="auto"/>
        </w:rPr>
        <w:t>. Seller and, to Seller’s knowledge, each person or entity owning an interest in Seller is (i) not currently identified on the Specially Designated Nationals and Blocked Persons List maintained by the Office of Foreign Assets Control, Department of the Treasury and/or on any other similar list and (ii) not a person or entity with whom a citizen of the United States is prohibited to engage in transactions by any trade embargo, economic sanction, or other prohibition of United States law, regulation or Executive Order of the President of the United States.</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6.12</w:t>
      </w:r>
      <w:r>
        <w:rPr>
          <w:rFonts w:ascii="Times New Roman" w:cs="Times New Roman" w:eastAsia="Times New Roman" w:hAnsi="Times New Roman"/>
          <w:sz w:val="20"/>
          <w:szCs w:val="20"/>
          <w:b w:val="1"/>
          <w:bCs w:val="1"/>
          <w:u w:val="single" w:color="auto"/>
          <w:color w:val="auto"/>
        </w:rPr>
        <w:t>Service Agreements; Warranties</w:t>
      </w:r>
      <w:r>
        <w:rPr>
          <w:rFonts w:ascii="Times New Roman" w:cs="Times New Roman" w:eastAsia="Times New Roman" w:hAnsi="Times New Roman"/>
          <w:sz w:val="20"/>
          <w:szCs w:val="20"/>
          <w:color w:val="auto"/>
        </w:rPr>
        <w:t xml:space="preserve">. Except for any Service Agreement or amendments entered into pursuant to this Agreement (and, to the extent required, approved by Buyer thereunder), the Service Agreements constitute all of the agreements to which Seller is a party relating to the maintenance, management, security, services, supplies, and operation of the Property, including all modifications, supplements, and amendments thereof and thereto. To Seller’s actual knowledge, neither Seller nor any other party is in default under any Service Agreement. </w:t>
      </w:r>
      <w:r>
        <w:rPr>
          <w:rFonts w:ascii="Times New Roman" w:cs="Times New Roman" w:eastAsia="Times New Roman" w:hAnsi="Times New Roman"/>
          <w:sz w:val="20"/>
          <w:szCs w:val="20"/>
          <w:b w:val="1"/>
          <w:bCs w:val="1"/>
          <w:u w:val="single" w:color="auto"/>
          <w:color w:val="auto"/>
        </w:rPr>
        <w:t>Schedule 1</w:t>
      </w:r>
      <w:r>
        <w:rPr>
          <w:rFonts w:ascii="Times New Roman" w:cs="Times New Roman" w:eastAsia="Times New Roman" w:hAnsi="Times New Roman"/>
          <w:sz w:val="20"/>
          <w:szCs w:val="20"/>
          <w:color w:val="auto"/>
        </w:rPr>
        <w:t xml:space="preserve"> attached hereto contains a comprehensive list of all Warranties that relate to the Real Property in full force and effect as of the Effective Date.</w:t>
      </w:r>
    </w:p>
    <w:p>
      <w:pPr>
        <w:spacing w:after="0" w:line="17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6.13</w:t>
      </w:r>
      <w:r>
        <w:rPr>
          <w:rFonts w:ascii="Times New Roman" w:cs="Times New Roman" w:eastAsia="Times New Roman" w:hAnsi="Times New Roman"/>
          <w:sz w:val="20"/>
          <w:szCs w:val="20"/>
          <w:b w:val="1"/>
          <w:bCs w:val="1"/>
          <w:u w:val="single" w:color="auto"/>
          <w:color w:val="auto"/>
        </w:rPr>
        <w:t>Liability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Except as expressly set forth in Section 6 of this Agreement, Seller agrees that, following the Closing, it shall be liable for the direct, but not consequential or punitive, damages resulting from any breach of its representations and warranties expressly set forth in Section 6 of this Agreement; provided, however, that (i) the representations and warranties are personal to Buyer and may not be assigned to or enforced by any other person, other than to an permitted assignee of Buyer in accordance with this Agreement and (ii) such liability shall only survive closing for the Survival Period and no action or proceeding thereon shall be valid or enforceable, at law or in equity, if not commenced prior to the expiration of the Survival Period. Buyer shall not have the right to bring a cause of action for a breach of a representation or warranty unless the valid claims for all such breaches collectively aggregate more than Twenty Five Thousand and 00/100 Dollars ($25,000.00) (the “Basket”). The aggregate liability of Seller to Buyer, all those claiming by or through Buyer, or otherwise for claims, demands, damages, expenses (including reasonable attorneys’ fees), suits, awards, judgments and liabilities asserted, awarded or otherwise recovered against Seller in connection this Agreement, any document executed by Seller in connection with this Agreement and/or the Property, including claims for breaches of Seller’s representations or warranties or under any law applicable to the Property shall not exceed one and one half percent (1.5%) of the Purchase Price (the “Liability Cap”). Notwithstanding anything to the contrary contained in this Agreement, Seller’s liability in connection with the following shall not be subject to or count toward the Liability Cap or the Basket and shall survive indefinitely (except as otherwise expressly set forth herein): (a) Seller’s indemnity obligations under Section 14, (b) claims based on Seller’s willful and intentional fraud, and (c) re-prorations, reconciliations, and closing costs under Section 9.2.</w:t>
      </w:r>
    </w:p>
    <w:p>
      <w:pPr>
        <w:spacing w:after="0" w:line="19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Subject to the limitations set forth in this Section 6, Buyer agrees to look solely to the Seller and its assets and the proceeds therefrom for the satisfaction of any liability or obligation arising under this Agreement, the transactions contemplated hereby or the Closing Documents executed pursuant hereto, or for the performance of any of the covenants, warranties, or other agreements contained herein or therein. The terms, covenants, and conditions set forth in this Section shall survive Closing through the last day of the Survival Period.</w:t>
      </w:r>
    </w:p>
    <w:p>
      <w:pPr>
        <w:spacing w:after="0" w:line="16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For purposes of this Agreement, “Seller’s actual knowledge”, “knowledge of Seller” or words of similar import shall refer to the actual (as opposed to constructive or imputed), present knowledge of the Designated Representatives as to a fact at the time given, and shall not be construed to refer to the knowledge of any other partner, beneficial owner, officer, employee, or agent of Seller and shall not be construed to impose upon the Designated Representatives any duty to investigate the matters to which such</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knowledge, or the absence thereof, pertains, including, but not limited to, the contents of the materials delivered to or made available to Buyer or the contents of files maintained by the Designated Representatives. There shall be no personal liability on the part of such person(s) arising out of any representations or warranties made herein or otherwise. The term “Designated Representatives” shall mean, collectively, Paul Papali in his capacity as Senior Building Engineer at Seller and Todd Girolamo in his capacity as Chief Legal Officer and Corporate Secretary who are the most knowledgeable representatives of Seller with respect to those matters for which such knowledge is sought hereunder.</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6.14</w:t>
      </w:r>
      <w:r>
        <w:rPr>
          <w:rFonts w:ascii="Times New Roman" w:cs="Times New Roman" w:eastAsia="Times New Roman" w:hAnsi="Times New Roman"/>
          <w:sz w:val="20"/>
          <w:szCs w:val="20"/>
          <w:b w:val="1"/>
          <w:bCs w:val="1"/>
          <w:u w:val="single" w:color="auto"/>
          <w:color w:val="auto"/>
        </w:rPr>
        <w:t>Survival</w:t>
      </w:r>
      <w:r>
        <w:rPr>
          <w:rFonts w:ascii="Times New Roman" w:cs="Times New Roman" w:eastAsia="Times New Roman" w:hAnsi="Times New Roman"/>
          <w:sz w:val="20"/>
          <w:szCs w:val="20"/>
          <w:color w:val="auto"/>
        </w:rPr>
        <w:t>. The foregoing representations, warranties, indemnities and covenants of Seller in this Section 6 shall survive the Closing or termination of this Agreement for a period of six (6) months (the “Survival Period”); provided, however, any claims made on or prior to the date the Survival Period expires shall survive until final resolution or settlement thereof.</w:t>
      </w:r>
    </w:p>
    <w:p>
      <w:pPr>
        <w:spacing w:after="0" w:line="16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6.15</w:t>
      </w:r>
      <w:r>
        <w:rPr>
          <w:rFonts w:ascii="Times New Roman" w:cs="Times New Roman" w:eastAsia="Times New Roman" w:hAnsi="Times New Roman"/>
          <w:sz w:val="20"/>
          <w:szCs w:val="20"/>
          <w:b w:val="1"/>
          <w:bCs w:val="1"/>
          <w:u w:val="single" w:color="auto"/>
          <w:color w:val="auto"/>
        </w:rPr>
        <w:t>Seller’s Warranties</w:t>
      </w:r>
      <w:r>
        <w:rPr>
          <w:rFonts w:ascii="Times New Roman" w:cs="Times New Roman" w:eastAsia="Times New Roman" w:hAnsi="Times New Roman"/>
          <w:sz w:val="20"/>
          <w:szCs w:val="20"/>
          <w:color w:val="auto"/>
        </w:rPr>
        <w:t>. If after the expiration of the Due Diligence Period but prior to the Closing, Buyer first obtains knowledge that any of the representations or warranties made herein by Seller are untrue, inaccurate or incorrect in any material respect, Buyer shall give Seller written notice thereof within five (5) Business Days of obtaining such knowledge (but, in any event, prior to the Closing). In such event, Seller shall have the right (but not the obligation) to attempt to cure such misrepresentation or breach and shall, at its option, be entitled to a reasonable adjournment of the Closing (not to exceed thirty (30) days) for the purpose of such cure. If Seller elects to attempt to so cure but is unable to so cure any misrepresentation or breach of warranty, then Buyer, as its sole remedy for any and all such materially untrue, inaccurate or incorrect representations or warranties, shall elect either (i) to waive such misrepresentations or breaches of representations and warranties and consummate the transaction contemplated hereby without any reduction of or credit against the Purchase Price, or (ii) if Buyer first obtained knowledge of such material misrepresentation or breach of warranty after the Due Diligence Date, to terminate this Agreement in its entirety by written notice given to Seller, in which event this Agreement shall be terminated, the Earnest Money Deposit less the Independent Contract Consideration shall be returned to Buyer and, except as otherwise provided herein, neither party shall have any further rights or obligations hereunder.</w:t>
      </w:r>
    </w:p>
    <w:p>
      <w:pPr>
        <w:spacing w:after="0" w:line="19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No claim for a breach of any representation, warranty, indemnity, covenant or other agreement of Seller under or pursuant to this Agreement including, without limitation, any instrument delivered to Buyer under or pursuant to this Agreement shall be actionable or payable if the breach in question results from or is based on a condition, state of facts or other matter which was actually known to Buyer prior to the Closing or for which Buyer had knowledge, and Buyer nevertheless consummates the transaction contemplated by this Agreement. Buyer shall be deemed to have knowledge of such information from (a) Buyer’s Inspections, including, without limitation, any third-party reports obtained in connection with such Inspections, and (b) Submission Items actually provided by Seller to Buyer.</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6.16</w:t>
      </w:r>
      <w:r>
        <w:rPr>
          <w:rFonts w:ascii="Times New Roman" w:cs="Times New Roman" w:eastAsia="Times New Roman" w:hAnsi="Times New Roman"/>
          <w:sz w:val="20"/>
          <w:szCs w:val="20"/>
          <w:b w:val="1"/>
          <w:bCs w:val="1"/>
          <w:u w:val="single" w:color="auto"/>
          <w:color w:val="auto"/>
        </w:rPr>
        <w:t>Changed Circumstance</w:t>
      </w:r>
      <w:r>
        <w:rPr>
          <w:rFonts w:ascii="Times New Roman" w:cs="Times New Roman" w:eastAsia="Times New Roman" w:hAnsi="Times New Roman"/>
          <w:sz w:val="20"/>
          <w:szCs w:val="20"/>
          <w:color w:val="auto"/>
        </w:rPr>
        <w:t>. In the event that any representation or warranty of Seller needs to be modified due to changes or information that come into the possession of Seller after the Effective Date which make any representation or warranty untrue in any material respect, Seller shall promptly notify Buyer thereof and deliver to Buyer a certificate (“Certificate”) executed by Seller, identifying any representation or warranty which is not, or no longer is, true and correct in all material respects and explaining the state of facts giving rise to the change (“Changed Circumstance”). In such event, Seller shall have the right (but not the obligation) to attempt to cure such misrepresentation or breach and shall, at its option, be entitled to a reasonable adjournment of the Closing (not to exceed thirty (30) days) for the purpose of such cure. If Seller elects to attempt to so cure but is unable to so cure any misrepresentation or breach of warranty, then Buyer, may, as its sole and exclusive remedy, either (a) terminate this Agreement</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by written notice to Seller, in which event the Agreement shall terminate, the Earnest Money Deposit less the Independent Contract Consideration and Non-Refundable EMD shall be returned to Buyer and neither party shall have any further obligations hereunder other than those obligations which expressly survive the termination of this Agreement or (b) waive any such breach and proceed with the Closing without any reduction of the Purchase Price. In the event that Buyer fails terminate this Agreement in accordance with this Section 6.16, then the representations and warranties of Seller as set forth in this Agreement shall be deemed to have been modified by all statements made in such Certificate and Buyer shall have no further right to terminate the Agreement under this Section.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SECTION 7: </w:t>
      </w:r>
      <w:r>
        <w:rPr>
          <w:rFonts w:ascii="Times New Roman" w:cs="Times New Roman" w:eastAsia="Times New Roman" w:hAnsi="Times New Roman"/>
          <w:sz w:val="19"/>
          <w:szCs w:val="19"/>
          <w:b w:val="1"/>
          <w:bCs w:val="1"/>
          <w:color w:val="auto"/>
        </w:rPr>
        <w:t>BUYER’S REPRESENTATIONS, WARRANTIES, AND COVENANTS</w:t>
      </w:r>
    </w:p>
    <w:p>
      <w:pPr>
        <w:spacing w:after="0" w:line="21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Buyer represents, warrants and covenants to Seller, which representations and warranties shall be true and correct in all material respects on and as of the date hereof, all of which representations and warranties shall be deemed to have been remade by Buyer to Seller, and shall be true and correct in all material respects on or as of the Closing (updated to reflect the then state of facts), as follows:</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u w:val="single" w:color="auto"/>
          <w:color w:val="auto"/>
        </w:rPr>
        <w:t>Authority</w:t>
      </w:r>
      <w:r>
        <w:rPr>
          <w:rFonts w:ascii="Times New Roman" w:cs="Times New Roman" w:eastAsia="Times New Roman" w:hAnsi="Times New Roman"/>
          <w:sz w:val="20"/>
          <w:szCs w:val="20"/>
          <w:color w:val="auto"/>
        </w:rPr>
        <w:t>. Buyer is duly organized and in good standing under the laws of the State of North Carolina and has the full power and right to enter into this Agreement and to execute and deliver this Agreement and to perform all duties and obligations imposed upon it hereunder, and Buyer has obtained all necessary corporate authorizations required in connection with the execution, delivery and performance contemplated by this Agreement and has obtained the consent of all entities and parties necessary to bind Buyer to this Agreement.</w:t>
      </w:r>
    </w:p>
    <w:p>
      <w:pPr>
        <w:spacing w:after="0" w:line="18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b w:val="1"/>
          <w:bCs w:val="1"/>
          <w:u w:val="single" w:color="auto"/>
          <w:color w:val="auto"/>
        </w:rPr>
        <w:t>No Conflicts.</w:t>
      </w:r>
      <w:r>
        <w:rPr>
          <w:rFonts w:ascii="Times New Roman" w:cs="Times New Roman" w:eastAsia="Times New Roman" w:hAnsi="Times New Roman"/>
          <w:sz w:val="20"/>
          <w:szCs w:val="20"/>
          <w:color w:val="auto"/>
        </w:rPr>
        <w:t xml:space="preserve"> Neither the execution nor the delivery of this Agreement, nor the consummation of the purchase and sale contemplated hereby, nor the fulfillment of or compliance with the terms and conditions of this Agreement conflict with or will result in the breach of any of the terms, conditions, or provisions of any agreement instrument judgment, order or injunction to which Buyer is a party or by which Buyer or any of Buyer’s assets is bound, or the organizational documents of Buyer, and this Agreement, and the covenants and agreements of Buyer under this Agreement, are the valid and binding obligations of Buyer, enforceable in accordance with their terms.</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u w:val="single" w:color="auto"/>
          <w:color w:val="auto"/>
        </w:rPr>
        <w:t>Litigation</w:t>
      </w:r>
      <w:r>
        <w:rPr>
          <w:rFonts w:ascii="Times New Roman" w:cs="Times New Roman" w:eastAsia="Times New Roman" w:hAnsi="Times New Roman"/>
          <w:sz w:val="20"/>
          <w:szCs w:val="20"/>
          <w:color w:val="auto"/>
        </w:rPr>
        <w:t>. Buyer has not received written notice of any pending or, to Buyer’s actual knowledge, threatened litigation, administrative action, investigation or other governmental or quasi-governmental proceeding wherein an unfavorable ruling, decision, or finding, upon consummation of the would have a material adverse effect on its ability to purchase the Property or to carry out its obligations under this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b w:val="1"/>
          <w:bCs w:val="1"/>
          <w:u w:val="single" w:color="auto"/>
          <w:color w:val="auto"/>
        </w:rPr>
        <w:t>Intentionally Omitted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b w:val="1"/>
          <w:bCs w:val="1"/>
          <w:u w:val="single" w:color="auto"/>
          <w:color w:val="auto"/>
        </w:rPr>
        <w:t>OFAC Compliance</w:t>
      </w:r>
      <w:r>
        <w:rPr>
          <w:rFonts w:ascii="Times New Roman" w:cs="Times New Roman" w:eastAsia="Times New Roman" w:hAnsi="Times New Roman"/>
          <w:sz w:val="20"/>
          <w:szCs w:val="20"/>
          <w:color w:val="auto"/>
        </w:rPr>
        <w:t>. Buyer and, to Buyer’s actual knowledge, each person or entity owning an interest in Buyer is (i) not currently identified on the Specially Designated Nationals and Blocked Persons List maintained by the Office of Foreign Assets Control, Department of the Treasury and/or on any other similar list, and (ii) not a person or entity with whom a citizen of the United States is prohibited to engage in transactions by any trade embargo, economic sanction, or other prohibition of United States law, regulation or Executive Order of the President of the United States.</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b w:val="1"/>
          <w:bCs w:val="1"/>
          <w:u w:val="single" w:color="auto"/>
          <w:color w:val="auto"/>
        </w:rPr>
        <w:t>ERISA</w:t>
      </w:r>
      <w:r>
        <w:rPr>
          <w:rFonts w:ascii="Times New Roman" w:cs="Times New Roman" w:eastAsia="Times New Roman" w:hAnsi="Times New Roman"/>
          <w:sz w:val="20"/>
          <w:szCs w:val="20"/>
          <w:color w:val="auto"/>
        </w:rPr>
        <w:t>. Buyer is not, and is not acquiring the Property on behalf of or with the assets of, (i) an “employee benefit plan” as defined in Section 3(3) of the Employee Retirement Income Security Act of 1974, as amended, and its applicable regulations as issued by the Department of Labor and the Internal</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Revenue Service (collectively, “</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which is subject to Title I of ERISA, (ii) a “plan” as defined in and subject to Section 4975 of the IRC, or (iii) an entity deemed to hold “plan assets” (within the meaning of 29 C.F.R. 2510.3-101, as modified by Section 3(42) of ERISA) of either of the foregoing.</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b w:val="1"/>
          <w:bCs w:val="1"/>
          <w:u w:val="single" w:color="auto"/>
          <w:color w:val="auto"/>
        </w:rPr>
        <w:t>Survival</w:t>
      </w:r>
      <w:r>
        <w:rPr>
          <w:rFonts w:ascii="Times New Roman" w:cs="Times New Roman" w:eastAsia="Times New Roman" w:hAnsi="Times New Roman"/>
          <w:sz w:val="20"/>
          <w:szCs w:val="20"/>
          <w:color w:val="auto"/>
        </w:rPr>
        <w:t>. The foregoing representations, warranties, indemnities and covenants of Buyer in this Section shall survive the Closing or termination of this Agreement for the Survival Period.</w:t>
      </w:r>
    </w:p>
    <w:p>
      <w:pPr>
        <w:spacing w:after="0" w:line="15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For purposes of this Agreement, “Buyer’s actual knowledge”, “knowledge of Buyer” or words of similar import shall refer to the actual, present knowledge of Dustin Camloh and Wakeel Rahman (the “Buyer Representative”), and shall not be construed to impose upon the Buyer Representatives any duty to investigate the matters to which such knowledge, or the absence thereof, pertains. There shall by no personal liability on the part of the Buyer Representative arising out of any of the Buyer’s representations and warranties. Buyer represents that the Buyer Representative is the individual on behalf of Buyer with knowledge of the matters set forth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SECTION 8: </w:t>
      </w:r>
      <w:r>
        <w:rPr>
          <w:rFonts w:ascii="Times New Roman" w:cs="Times New Roman" w:eastAsia="Times New Roman" w:hAnsi="Times New Roman"/>
          <w:sz w:val="19"/>
          <w:szCs w:val="19"/>
          <w:b w:val="1"/>
          <w:bCs w:val="1"/>
          <w:color w:val="auto"/>
        </w:rPr>
        <w:t>OPERATIONS PENDING CLOSING</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From and after the date hereof, through and including the Closing Date or earlier termination of this Agreement, Seller agrees 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19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b w:val="1"/>
          <w:bCs w:val="1"/>
          <w:u w:val="single" w:color="auto"/>
          <w:color w:val="auto"/>
        </w:rPr>
        <w:t>Management Prior to Closing</w:t>
      </w:r>
      <w:r>
        <w:rPr>
          <w:rFonts w:ascii="Times New Roman" w:cs="Times New Roman" w:eastAsia="Times New Roman" w:hAnsi="Times New Roman"/>
          <w:sz w:val="20"/>
          <w:szCs w:val="20"/>
          <w:color w:val="auto"/>
        </w:rPr>
        <w:t>. Between the Effective Date and the Date of Closing, (a) Seller shall maintain, manage and operate the Property in the customary course of business (including full performance under any Service Agreement), make all necessary repairs, committing or permitting no waste thereto, and shall comply with all Legal Requirements and Environmental Laws and otherwise in substantially the same physical condition as on the date of Seller’s execution of this Agreement, casualty and ordinary wear and tear excepted, (b) cause to be maintained property insurance covering the Improvements for their full replacement cost with commercially reasonable deductibles and commercial general liability insurance with commercially reasonable coverage amounts, and (c) Seller shall maintain all Permits, if any, in full force and effect.</w:t>
      </w:r>
    </w:p>
    <w:p>
      <w:pPr>
        <w:spacing w:after="0" w:line="179"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 xml:space="preserve">8.2 </w:t>
      </w: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 Seller shall promptly furnish Buyer with copies of all written notices received by Seller of (i) any violation of any law, statute, ordinance, regulation or order of any Governmental Authority which would adversely affect the Property, (ii) any proposed change in any zoning or law affecting the use of the Property or any part thereof, (iii) any pending or threatened in writing (and unresolved) litigation which affects or relates to the Property or any part thereof and would subject Buyer to liability or which would materially and adversely affect the transaction contemplated hereby, (iv) any material damage or destruction (excluding normal wear and tear) to the Property or any part thereof, (v) any approved or pending special assessment or other similar tax by any Governmental Authority, and (vi) any pending or threatened in writing (and unresolved) condemnation or eminent domain proceeding affecting the Property or any part thereof.</w:t>
      </w:r>
    </w:p>
    <w:p>
      <w:pPr>
        <w:spacing w:after="0" w:line="16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b w:val="1"/>
          <w:bCs w:val="1"/>
          <w:u w:val="single" w:color="auto"/>
          <w:color w:val="auto"/>
        </w:rPr>
        <w:t>Leasing</w:t>
      </w:r>
      <w:r>
        <w:rPr>
          <w:rFonts w:ascii="Times New Roman" w:cs="Times New Roman" w:eastAsia="Times New Roman" w:hAnsi="Times New Roman"/>
          <w:sz w:val="20"/>
          <w:szCs w:val="20"/>
          <w:color w:val="auto"/>
        </w:rPr>
        <w:t>. Following the Effective Date, Seller shall not lease or rent space or enter into any lease or agreements for occupancy of the Real Property or any portion thereof or otherwise create any rights of occupancy or possession in the Real Property prior to Closing or the earlier termination of this Agreement without the prior written consent of Buyer, which consent shall be in Buyer’s sole and absolute discretion.</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b w:val="1"/>
          <w:bCs w:val="1"/>
          <w:u w:val="single" w:color="auto"/>
          <w:color w:val="auto"/>
        </w:rPr>
        <w:t>Service Agreements</w:t>
      </w:r>
      <w:r>
        <w:rPr>
          <w:rFonts w:ascii="Times New Roman" w:cs="Times New Roman" w:eastAsia="Times New Roman" w:hAnsi="Times New Roman"/>
          <w:sz w:val="20"/>
          <w:szCs w:val="20"/>
          <w:color w:val="auto"/>
        </w:rPr>
        <w:t>. Following the Effective Date, Seller shall not enter into any new Service Agreement that will bind the Property after the Closing Date, or extend, modify or renew any</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existing Service Agreements in any manner that will bind the Property after the Closing Date without the prior written consent of Buyer, which consent shall be in Buyer’s sole and absolute discretion.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SECTION 9: </w:t>
      </w:r>
      <w:r>
        <w:rPr>
          <w:rFonts w:ascii="Times New Roman" w:cs="Times New Roman" w:eastAsia="Times New Roman" w:hAnsi="Times New Roman"/>
          <w:sz w:val="19"/>
          <w:szCs w:val="19"/>
          <w:b w:val="1"/>
          <w:bCs w:val="1"/>
          <w:color w:val="auto"/>
        </w:rPr>
        <w:t>CLOSING</w:t>
      </w:r>
    </w:p>
    <w:p>
      <w:pPr>
        <w:spacing w:after="0" w:line="21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Subject to satisfaction of all conditions to Closing and unless extended pursuant to the terms of this Agreement, the Closing shall be held during regular business hours on the Closing Date.</w:t>
      </w:r>
    </w:p>
    <w:p>
      <w:pPr>
        <w:spacing w:after="0" w:line="15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b w:val="1"/>
          <w:bCs w:val="1"/>
          <w:u w:val="single" w:color="auto"/>
          <w:color w:val="auto"/>
        </w:rPr>
        <w:t>Delivery; Possession</w:t>
      </w:r>
      <w:r>
        <w:rPr>
          <w:rFonts w:ascii="Times New Roman" w:cs="Times New Roman" w:eastAsia="Times New Roman" w:hAnsi="Times New Roman"/>
          <w:sz w:val="20"/>
          <w:szCs w:val="20"/>
          <w:color w:val="auto"/>
        </w:rPr>
        <w:t>. At Closing, Seller shall deliver its interest in the Property to Buyer and shall also deliver to Buyer the items required of Seller under Section 11 of this Agreement, and Buyer shall deliver to Seller the balance of the Purchase Price, after crediting Buyer with the Earnest Money Deposit (and making other adjustments and prorations as provided herein) and the other items required of Buyer under Section 11 this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b w:val="1"/>
          <w:bCs w:val="1"/>
          <w:u w:val="single" w:color="auto"/>
          <w:color w:val="auto"/>
        </w:rPr>
        <w:t>Closing Costs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9.2.1  </w:t>
      </w:r>
      <w:r>
        <w:rPr>
          <w:rFonts w:ascii="Times New Roman" w:cs="Times New Roman" w:eastAsia="Times New Roman" w:hAnsi="Times New Roman"/>
          <w:sz w:val="20"/>
          <w:szCs w:val="20"/>
          <w:b w:val="1"/>
          <w:bCs w:val="1"/>
          <w:u w:val="single" w:color="auto"/>
          <w:color w:val="auto"/>
        </w:rPr>
        <w:t>Seller’s Costs</w:t>
      </w:r>
      <w:r>
        <w:rPr>
          <w:rFonts w:ascii="Times New Roman" w:cs="Times New Roman" w:eastAsia="Times New Roman" w:hAnsi="Times New Roman"/>
          <w:sz w:val="20"/>
          <w:szCs w:val="20"/>
          <w:color w:val="auto"/>
        </w:rPr>
        <w:t>. Seller shall pay (i) all North Carolina transfer taxes, (ii) the fees and expenses of Seller’s attorneys,</w:t>
      </w:r>
    </w:p>
    <w:p>
      <w:pPr>
        <w:spacing w:after="0" w:line="26" w:lineRule="exact"/>
        <w:rPr>
          <w:sz w:val="20"/>
          <w:szCs w:val="20"/>
          <w:color w:val="auto"/>
        </w:rPr>
      </w:pPr>
    </w:p>
    <w:p>
      <w:pPr>
        <w:ind w:firstLine="8"/>
        <w:spacing w:after="0" w:line="246" w:lineRule="auto"/>
        <w:tabs>
          <w:tab w:leader="none" w:pos="37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one-half of escrow charges or closing fees charged by the Title Company, and (iv) recording charges due on the satisfaction of any Monetary Encumbrances (subject to the terms of Section 4.2 herein).</w:t>
      </w:r>
    </w:p>
    <w:p>
      <w:pPr>
        <w:spacing w:after="0" w:line="178"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9.2.2 </w:t>
      </w:r>
      <w:r>
        <w:rPr>
          <w:rFonts w:ascii="Times New Roman" w:cs="Times New Roman" w:eastAsia="Times New Roman" w:hAnsi="Times New Roman"/>
          <w:sz w:val="20"/>
          <w:szCs w:val="20"/>
          <w:b w:val="1"/>
          <w:bCs w:val="1"/>
          <w:u w:val="single" w:color="auto"/>
          <w:color w:val="auto"/>
        </w:rPr>
        <w:t>Buyer’s Costs</w:t>
      </w:r>
      <w:r>
        <w:rPr>
          <w:rFonts w:ascii="Times New Roman" w:cs="Times New Roman" w:eastAsia="Times New Roman" w:hAnsi="Times New Roman"/>
          <w:sz w:val="20"/>
          <w:szCs w:val="20"/>
          <w:color w:val="auto"/>
        </w:rPr>
        <w:t>. Buyer shall pay (i) any costs incurred by Buyer in preparing and performing its Inspections, Physical Testing, or other due diligence related to the Property, (ii) the fees and expenses of Buyer’s attorneys, (iii) any costs incurred in connection with transferring Warranties to Buyer, (iv) the cost of title insurance (title search, commitment, premium, extended coverage and endorsement costs) and the Survey, (v) one-half of any escrow charges or escrow closing fees charged by the Title Company, and (vi) recording charges due in connection with the Deed and any mortgages or other financing documents.</w:t>
      </w:r>
    </w:p>
    <w:p>
      <w:pPr>
        <w:spacing w:after="0" w:line="180"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9.2.3 </w:t>
      </w:r>
      <w:r>
        <w:rPr>
          <w:rFonts w:ascii="Times New Roman" w:cs="Times New Roman" w:eastAsia="Times New Roman" w:hAnsi="Times New Roman"/>
          <w:sz w:val="20"/>
          <w:szCs w:val="20"/>
          <w:b w:val="1"/>
          <w:bCs w:val="1"/>
          <w:u w:val="single" w:color="auto"/>
          <w:color w:val="auto"/>
        </w:rPr>
        <w:t>Other Costs</w:t>
      </w:r>
      <w:r>
        <w:rPr>
          <w:rFonts w:ascii="Times New Roman" w:cs="Times New Roman" w:eastAsia="Times New Roman" w:hAnsi="Times New Roman"/>
          <w:sz w:val="20"/>
          <w:szCs w:val="20"/>
          <w:color w:val="auto"/>
        </w:rPr>
        <w:t>. Any other costs not specifically provided for herein shall be paid by the party who incurred those costs, or if neither party is charged with incurring any such costs, then by the party customarily assessed for such costs in the State of North Carolina.</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b w:val="1"/>
          <w:bCs w:val="1"/>
          <w:u w:val="single" w:color="auto"/>
          <w:color w:val="auto"/>
        </w:rPr>
        <w:t>Conditions to Closing</w:t>
      </w:r>
      <w:r>
        <w:rPr>
          <w:rFonts w:ascii="Times New Roman" w:cs="Times New Roman" w:eastAsia="Times New Roman" w:hAnsi="Times New Roman"/>
          <w:sz w:val="20"/>
          <w:szCs w:val="20"/>
          <w:color w:val="auto"/>
        </w:rPr>
        <w:t>. Notwithstanding any other conditions to Closing set forth in this Agreement, Buyer’s obligation to purchase the Property or otherwise to perform any obligation provided in this Agreement is expressly conditioned upon:</w:t>
      </w:r>
    </w:p>
    <w:p>
      <w:pPr>
        <w:spacing w:after="0" w:line="15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9.3.1 Seller’s due performance in all material respects of each undertaking, covenant, obligation, and agreement contained in this Agreement, including but not limited to, delivery of all Closing Documents and items and documents required under Section 11 below.</w:t>
      </w:r>
    </w:p>
    <w:p>
      <w:pPr>
        <w:spacing w:after="0" w:line="17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9.3.2 Each of Seller’s representations and warranties set forth in this Agreement shall be true and correct, in all material respects as of Closing, as the same may be updated by Seller in accordance with the terms and conditions set forth in Section 6, subject to (1) changes that: (y) are caused by the acts or omissions of Buyer or its agents or affiliates; or (z) are a result of the operation of the Property in the normal course of business since the Effective Date and in accordance with the terms of this Agreement and do not, individually or in the aggregate, have a material adverse effect on the value or operation of the Property; and (2) casualty or condemnation.</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8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9.3.3 The Title Company shall be irrevocably committed to issue the Owner’s Title Policy with liability in the amount of the Purchase Price, insuring fee title of the Property vests in Buyer subject only to the Permitted Exceptions.</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Upon failure of any such condition, Buyer may either (i) extend the Closing Date for a period not to exceed thirty (30) days in order for the Seller to have additional time to perform each undertaking, covenant and agreement hereunder, or (ii) terminate this Agreement. If the conditions set forth above are not satisfied by the deadline set forth therein following such extension, Buyer shall again have the right to terminate as set forth in the foregoing clause (i). In the event of termination of this Agreement pursuant to this Section 9, the Earnest Money Deposit, and any other monies theretofore paid on account, if any, shall be returned to Buyer and neither party shall have any further liability or obligation to the other hereunder, except for the liabilities and obligations which expressly survive the termination or expiration of this Agreement as set forth in this Agreement. Buyer may waive any such condition in writing. Notwithstanding anything herein to the contrary, Buyer shall have the right to pursue any of its available remedies under Section 16.1 in the event any of the above conditions is not satisfied due to a default by Seller hereunder.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SECTION 10: </w:t>
      </w:r>
      <w:r>
        <w:rPr>
          <w:rFonts w:ascii="Times New Roman" w:cs="Times New Roman" w:eastAsia="Times New Roman" w:hAnsi="Times New Roman"/>
          <w:sz w:val="19"/>
          <w:szCs w:val="19"/>
          <w:b w:val="1"/>
          <w:bCs w:val="1"/>
          <w:color w:val="auto"/>
        </w:rPr>
        <w:t>PRORATIONS AND CREDITS AT CLOSING</w:t>
      </w:r>
    </w:p>
    <w:p>
      <w:pPr>
        <w:spacing w:after="0" w:line="215"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All prorations provided to be made “as of the Closing Date” shall each be made as of 11:59 P.M. local time at the Property on the date immediately preceding the Closing Date. In each proration set forth below, the portion thereof allocable to periods beginning with the Closing Date shall be credited to Buyer, or charged to Buyer, as applicable, at Closing or, in the case of allocations made after Closing, upon receipt of such payments or invoice as of the Closing Date. Seller shall provide draft prorations for Buyer’s review at least three (3) business days prior to the Closing Date. The following items shall, as applicable, be prorated between Buyer and Seller or credited to Buyer or Seller:</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10.1</w:t>
      </w:r>
      <w:r>
        <w:rPr>
          <w:rFonts w:ascii="Times New Roman" w:cs="Times New Roman" w:eastAsia="Times New Roman" w:hAnsi="Times New Roman"/>
          <w:sz w:val="20"/>
          <w:szCs w:val="20"/>
          <w:b w:val="1"/>
          <w:bCs w:val="1"/>
          <w:u w:val="single" w:color="auto"/>
          <w:color w:val="auto"/>
        </w:rPr>
        <w:t>Property Taxes and Assessments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b w:val="1"/>
          <w:bCs w:val="1"/>
          <w:u w:val="single" w:color="auto"/>
          <w:color w:val="auto"/>
        </w:rPr>
        <w:t>Prorations</w:t>
      </w:r>
      <w:r>
        <w:rPr>
          <w:rFonts w:ascii="Times New Roman" w:cs="Times New Roman" w:eastAsia="Times New Roman" w:hAnsi="Times New Roman"/>
          <w:sz w:val="20"/>
          <w:szCs w:val="20"/>
          <w:color w:val="auto"/>
        </w:rPr>
        <w:t>. All assessments (other than special assessments), water and sewer fees, charges or rentals and ad valorem or general property taxes with respect to the Real Property shall be prorated and apportioned on a per diem basis as of the Closing Date based on the latest available tax information. Property taxes shall be prorated on a calendar year basis. Seller shall deliver to Buyer copies of all ad valorem real property and personal property taxes for the Property for calendar year 2025 within thirty (30) days after Seller’s receipt of same.</w:t>
      </w:r>
    </w:p>
    <w:p>
      <w:pPr>
        <w:spacing w:after="0" w:line="180"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10.1.2 </w:t>
      </w:r>
      <w:r>
        <w:rPr>
          <w:rFonts w:ascii="Times New Roman" w:cs="Times New Roman" w:eastAsia="Times New Roman" w:hAnsi="Times New Roman"/>
          <w:sz w:val="20"/>
          <w:szCs w:val="20"/>
          <w:b w:val="1"/>
          <w:bCs w:val="1"/>
          <w:u w:val="single" w:color="auto"/>
          <w:color w:val="auto"/>
        </w:rPr>
        <w:t>Special Assessments</w:t>
      </w:r>
      <w:r>
        <w:rPr>
          <w:rFonts w:ascii="Times New Roman" w:cs="Times New Roman" w:eastAsia="Times New Roman" w:hAnsi="Times New Roman"/>
          <w:sz w:val="20"/>
          <w:szCs w:val="20"/>
          <w:color w:val="auto"/>
        </w:rPr>
        <w:t>. Certified, confirmed and ratified special assessment liens as of Date of Closing (and not as of the Effective Date) shall be paid by Seller or Buyer shall receive a credit therefor at Closing.</w:t>
      </w:r>
    </w:p>
    <w:p>
      <w:pPr>
        <w:spacing w:after="0" w:line="15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10.2</w:t>
      </w:r>
      <w:r>
        <w:rPr>
          <w:rFonts w:ascii="Times New Roman" w:cs="Times New Roman" w:eastAsia="Times New Roman" w:hAnsi="Times New Roman"/>
          <w:sz w:val="20"/>
          <w:szCs w:val="20"/>
          <w:b w:val="1"/>
          <w:bCs w:val="1"/>
          <w:u w:val="single" w:color="auto"/>
          <w:color w:val="auto"/>
        </w:rPr>
        <w:t>Utility Expenses and Payments</w:t>
      </w:r>
      <w:r>
        <w:rPr>
          <w:rFonts w:ascii="Times New Roman" w:cs="Times New Roman" w:eastAsia="Times New Roman" w:hAnsi="Times New Roman"/>
          <w:sz w:val="20"/>
          <w:szCs w:val="20"/>
          <w:color w:val="auto"/>
        </w:rPr>
        <w:t>. All utility charges for the Property (including, without limitation, telephone, water, storm and sanitary sewer, electricity, gas, garbage and waste removal) shall be prorated as of the Closing Date, transfer fees required with respect to any such utility shall be paid by or charged to Buyer, and Seller shall be credited with any deposits transferred to the account of Buyer; provided, however, that, at Buyer’s election, any one or more of such utility accounts shall be closed as of the Closing Date, in which event Seller shall be liable and responsible for all charges for service through the Closing Date and shall be entitled to all deposits theretofore made by Seller with respect to such utility, and Buyer shall be responsible for reopening and reinstituting such service in Buyer’s name, and shall be responsible for any fees, charges and deposits required in connection with such new account. Final readings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and final billings for utilities will be made if possible as of the Closing Date, in which event no proration shall be made at the Closing with respect to utility bills. Otherwise, a proration shall be made based upon the parties’ reasonable good faith estimate and a re-adjustment made within sixty (60) days after Closing.</w:t>
      </w:r>
    </w:p>
    <w:p>
      <w:pPr>
        <w:spacing w:after="0" w:line="17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10.3</w:t>
      </w:r>
      <w:r>
        <w:rPr>
          <w:rFonts w:ascii="Times New Roman" w:cs="Times New Roman" w:eastAsia="Times New Roman" w:hAnsi="Times New Roman"/>
          <w:sz w:val="20"/>
          <w:szCs w:val="20"/>
          <w:b w:val="1"/>
          <w:bCs w:val="1"/>
          <w:u w:val="single" w:color="auto"/>
          <w:color w:val="auto"/>
        </w:rPr>
        <w:t>Service Agreement Payments</w:t>
      </w:r>
      <w:r>
        <w:rPr>
          <w:rFonts w:ascii="Times New Roman" w:cs="Times New Roman" w:eastAsia="Times New Roman" w:hAnsi="Times New Roman"/>
          <w:sz w:val="20"/>
          <w:szCs w:val="20"/>
          <w:color w:val="auto"/>
        </w:rPr>
        <w:t>. All payments due or made under any Assumed Service Agreements shall be prorated on a per diem basis as of the Closing Date.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10.4</w:t>
      </w:r>
      <w:r>
        <w:rPr>
          <w:rFonts w:ascii="Times New Roman" w:cs="Times New Roman" w:eastAsia="Times New Roman" w:hAnsi="Times New Roman"/>
          <w:sz w:val="20"/>
          <w:szCs w:val="20"/>
          <w:b w:val="1"/>
          <w:bCs w:val="1"/>
          <w:u w:val="single" w:color="auto"/>
          <w:color w:val="auto"/>
        </w:rPr>
        <w:t>Intentionally Omitted</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10.5</w:t>
      </w:r>
      <w:r>
        <w:rPr>
          <w:rFonts w:ascii="Times New Roman" w:cs="Times New Roman" w:eastAsia="Times New Roman" w:hAnsi="Times New Roman"/>
          <w:sz w:val="20"/>
          <w:szCs w:val="20"/>
          <w:b w:val="1"/>
          <w:bCs w:val="1"/>
          <w:u w:val="single" w:color="auto"/>
          <w:color w:val="auto"/>
        </w:rPr>
        <w:t>Other Matters</w:t>
      </w:r>
      <w:r>
        <w:rPr>
          <w:rFonts w:ascii="Times New Roman" w:cs="Times New Roman" w:eastAsia="Times New Roman" w:hAnsi="Times New Roman"/>
          <w:sz w:val="20"/>
          <w:szCs w:val="20"/>
          <w:color w:val="auto"/>
        </w:rPr>
        <w:t>. Seller and Buyer shall make such other adjustments and apportionments as are expressly set forth in this Agreement.</w:t>
      </w:r>
    </w:p>
    <w:p>
      <w:pPr>
        <w:spacing w:after="0" w:line="15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10.6</w:t>
      </w:r>
      <w:r>
        <w:rPr>
          <w:rFonts w:ascii="Times New Roman" w:cs="Times New Roman" w:eastAsia="Times New Roman" w:hAnsi="Times New Roman"/>
          <w:sz w:val="19"/>
          <w:szCs w:val="19"/>
          <w:b w:val="1"/>
          <w:bCs w:val="1"/>
          <w:u w:val="single" w:color="auto"/>
          <w:color w:val="auto"/>
        </w:rPr>
        <w:t>Survival</w:t>
      </w:r>
      <w:r>
        <w:rPr>
          <w:rFonts w:ascii="Times New Roman" w:cs="Times New Roman" w:eastAsia="Times New Roman" w:hAnsi="Times New Roman"/>
          <w:sz w:val="19"/>
          <w:szCs w:val="19"/>
          <w:color w:val="auto"/>
        </w:rPr>
        <w:t>. The provisions of this Section 10 shall survive the Closing for a period of ninety (90) days; provided, however, the reconciliation of ad valorem real property or personal property taxes shall survive until March 1, 2026. In the event final figures have not been reached on any of the adjustments, prorations or costs, as a result of unavailability of information or otherwise, which are to be adjusted at or prior to Closing pursuant to this Section 10, the parties shall close using adjustments and prorations reasonably estimated by Seller and Buyer, subject to later readjustment when such final figures have been obtained. If more current information is not available, estimates shall be based upon the prior operating history of the Property, as shown on the most recent bills or payments available. The parties hereto agree that they shall seek to determine the amounts of all prorations and adjustments required hereunder on or before the Closing Date, if possible, and to the extent not then obtainable, as soon as practicable thereafter. Seller and Buyer hereby covenant and agree to make available to each other for review such records as are necessary to complete such re-prorations or adjustments hereunder. If any errors or omissions are made at Closing regarding adjustments or prorations, the parties shall make the appropriate corrections promptly after the discovery thereof.</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SECTION 11: </w:t>
      </w:r>
      <w:r>
        <w:rPr>
          <w:rFonts w:ascii="Times New Roman" w:cs="Times New Roman" w:eastAsia="Times New Roman" w:hAnsi="Times New Roman"/>
          <w:sz w:val="19"/>
          <w:szCs w:val="19"/>
          <w:b w:val="1"/>
          <w:bCs w:val="1"/>
          <w:color w:val="auto"/>
        </w:rPr>
        <w:t>CONVEYANCES AND DELIVERIES</w:t>
      </w:r>
    </w:p>
    <w:p>
      <w:pPr>
        <w:spacing w:after="0" w:line="21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11.1At the Closing, Seller shall deliver the following documents to the Escrow Agent in the forms attached hereto properly executed and acknowledged:</w:t>
      </w:r>
    </w:p>
    <w:p>
      <w:pPr>
        <w:spacing w:after="0" w:line="155"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11.1.1 </w:t>
      </w:r>
      <w:r>
        <w:rPr>
          <w:rFonts w:ascii="Times New Roman" w:cs="Times New Roman" w:eastAsia="Times New Roman" w:hAnsi="Times New Roman"/>
          <w:sz w:val="20"/>
          <w:szCs w:val="20"/>
          <w:b w:val="1"/>
          <w:bCs w:val="1"/>
          <w:u w:val="single" w:color="auto"/>
          <w:color w:val="auto"/>
        </w:rPr>
        <w:t>Deed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 special warranty deed(s) (the “Deed”) to the Property in recordable form, duly executed by Seller and acknowledged and in substantially the same form as set forth in </w:t>
      </w:r>
      <w:r>
        <w:rPr>
          <w:rFonts w:ascii="Times New Roman" w:cs="Times New Roman" w:eastAsia="Times New Roman" w:hAnsi="Times New Roman"/>
          <w:sz w:val="20"/>
          <w:szCs w:val="20"/>
          <w:b w:val="1"/>
          <w:bCs w:val="1"/>
          <w:u w:val="single" w:color="auto"/>
          <w:color w:val="auto"/>
        </w:rPr>
        <w:t>Exhibit E</w:t>
      </w:r>
      <w:r>
        <w:rPr>
          <w:rFonts w:ascii="Times New Roman" w:cs="Times New Roman" w:eastAsia="Times New Roman" w:hAnsi="Times New Roman"/>
          <w:sz w:val="20"/>
          <w:szCs w:val="20"/>
          <w:color w:val="auto"/>
        </w:rPr>
        <w:t xml:space="preserve"> attached hereto, conveying to Buyer title to the Real Property, subject to the Permitted Exceptions, provided, should the legal description of the Property drawn from the Survey differ from the description set forth in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attached hereto, Seller shall, in addition to the Deed, deliver to Buyer at Closing a North Carolina form of non-warranty deed using the description from the Survey;</w:t>
      </w:r>
    </w:p>
    <w:p>
      <w:pPr>
        <w:spacing w:after="0" w:line="180"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11.1.2 </w:t>
      </w:r>
      <w:r>
        <w:rPr>
          <w:rFonts w:ascii="Times New Roman" w:cs="Times New Roman" w:eastAsia="Times New Roman" w:hAnsi="Times New Roman"/>
          <w:sz w:val="20"/>
          <w:szCs w:val="20"/>
          <w:b w:val="1"/>
          <w:bCs w:val="1"/>
          <w:u w:val="single" w:color="auto"/>
          <w:color w:val="auto"/>
        </w:rPr>
        <w:t>Bill of Sale</w:t>
      </w:r>
      <w:r>
        <w:rPr>
          <w:rFonts w:ascii="Times New Roman" w:cs="Times New Roman" w:eastAsia="Times New Roman" w:hAnsi="Times New Roman"/>
          <w:sz w:val="20"/>
          <w:szCs w:val="20"/>
          <w:color w:val="auto"/>
        </w:rPr>
        <w:t xml:space="preserve">. A bill of sale and general assignment (the “Bill of Sale”) duly executed by Seller, in substantially the same form as set forth in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xml:space="preserve"> attached hereto, conveying the Personal Property, Assumed Service Agreements and Intangible Property to Buyer, without recourse to Seller;</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11.1.3 Intentionally Omitted.</w:t>
      </w:r>
    </w:p>
    <w:p>
      <w:pPr>
        <w:spacing w:after="0" w:line="212"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11.1.4 </w:t>
      </w:r>
      <w:r>
        <w:rPr>
          <w:rFonts w:ascii="Times New Roman" w:cs="Times New Roman" w:eastAsia="Times New Roman" w:hAnsi="Times New Roman"/>
          <w:sz w:val="20"/>
          <w:szCs w:val="20"/>
          <w:b w:val="1"/>
          <w:bCs w:val="1"/>
          <w:u w:val="single" w:color="auto"/>
          <w:color w:val="auto"/>
        </w:rPr>
        <w:t>Section 1445 Certificate</w:t>
      </w:r>
      <w:r>
        <w:rPr>
          <w:rFonts w:ascii="Times New Roman" w:cs="Times New Roman" w:eastAsia="Times New Roman" w:hAnsi="Times New Roman"/>
          <w:sz w:val="20"/>
          <w:szCs w:val="20"/>
          <w:color w:val="auto"/>
        </w:rPr>
        <w:t>. A certificate stating that Seller is not a “foreign person” as defined in Section 1445 of the Internal Revenue Code and the regulations thereunder;</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80"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11.1.5 </w:t>
      </w:r>
      <w:r>
        <w:rPr>
          <w:rFonts w:ascii="Times New Roman" w:cs="Times New Roman" w:eastAsia="Times New Roman" w:hAnsi="Times New Roman"/>
          <w:sz w:val="20"/>
          <w:szCs w:val="20"/>
          <w:b w:val="1"/>
          <w:bCs w:val="1"/>
          <w:u w:val="single" w:color="auto"/>
          <w:color w:val="auto"/>
        </w:rPr>
        <w:t>1099</w:t>
      </w:r>
      <w:r>
        <w:rPr>
          <w:rFonts w:ascii="Times New Roman" w:cs="Times New Roman" w:eastAsia="Times New Roman" w:hAnsi="Times New Roman"/>
          <w:sz w:val="20"/>
          <w:szCs w:val="20"/>
          <w:color w:val="auto"/>
        </w:rPr>
        <w:t>. An IRS Form 1099 with respect to this transaction and such other documents or instruments as may be required by the Internal Revenue Code (or regulations promulgated pursuant thereto) to consummate the transaction contemplated by this Agreement;</w:t>
      </w:r>
    </w:p>
    <w:p>
      <w:pPr>
        <w:spacing w:after="0" w:line="169"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11.1.6 </w:t>
      </w:r>
      <w:r>
        <w:rPr>
          <w:rFonts w:ascii="Times New Roman" w:cs="Times New Roman" w:eastAsia="Times New Roman" w:hAnsi="Times New Roman"/>
          <w:sz w:val="20"/>
          <w:szCs w:val="20"/>
          <w:b w:val="1"/>
          <w:bCs w:val="1"/>
          <w:u w:val="single" w:color="auto"/>
          <w:color w:val="auto"/>
        </w:rPr>
        <w:t>Termination of Service Agreements</w:t>
      </w:r>
      <w:r>
        <w:rPr>
          <w:rFonts w:ascii="Times New Roman" w:cs="Times New Roman" w:eastAsia="Times New Roman" w:hAnsi="Times New Roman"/>
          <w:sz w:val="20"/>
          <w:szCs w:val="20"/>
          <w:color w:val="auto"/>
        </w:rPr>
        <w:t>. Seller shall, at Closing, deliver to Buyer evidence of the termination of the Nonassumed Service Agreements, if any;</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11.1.7 </w:t>
      </w:r>
      <w:r>
        <w:rPr>
          <w:rFonts w:ascii="Times New Roman" w:cs="Times New Roman" w:eastAsia="Times New Roman" w:hAnsi="Times New Roman"/>
          <w:sz w:val="20"/>
          <w:szCs w:val="20"/>
          <w:b w:val="1"/>
          <w:bCs w:val="1"/>
          <w:u w:val="single" w:color="auto"/>
          <w:color w:val="auto"/>
        </w:rPr>
        <w:t>Physical Possession</w:t>
      </w:r>
      <w:r>
        <w:rPr>
          <w:rFonts w:ascii="Times New Roman" w:cs="Times New Roman" w:eastAsia="Times New Roman" w:hAnsi="Times New Roman"/>
          <w:sz w:val="20"/>
          <w:szCs w:val="20"/>
          <w:color w:val="auto"/>
        </w:rPr>
        <w:t>. Keys, building and operational manuals and security codes to the Real Property;</w:t>
      </w:r>
    </w:p>
    <w:p>
      <w:pPr>
        <w:spacing w:after="0" w:line="216"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11.1.8 </w:t>
      </w:r>
      <w:r>
        <w:rPr>
          <w:rFonts w:ascii="Times New Roman" w:cs="Times New Roman" w:eastAsia="Times New Roman" w:hAnsi="Times New Roman"/>
          <w:sz w:val="20"/>
          <w:szCs w:val="20"/>
          <w:b w:val="1"/>
          <w:bCs w:val="1"/>
          <w:u w:val="single" w:color="auto"/>
          <w:color w:val="auto"/>
        </w:rPr>
        <w:t>Files, Etc</w:t>
      </w:r>
      <w:r>
        <w:rPr>
          <w:rFonts w:ascii="Times New Roman" w:cs="Times New Roman" w:eastAsia="Times New Roman" w:hAnsi="Times New Roman"/>
          <w:sz w:val="20"/>
          <w:szCs w:val="20"/>
          <w:color w:val="auto"/>
        </w:rPr>
        <w:t>. The original Warranties, Permits, Plans and Specifications, and those Service Agreements that Buyer has elected in writing to assume, to the extent same are in Seller’s possession or control;</w:t>
      </w:r>
    </w:p>
    <w:p>
      <w:pPr>
        <w:spacing w:after="0" w:line="152"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 xml:space="preserve">11.1.9 </w:t>
      </w:r>
      <w:r>
        <w:rPr>
          <w:rFonts w:ascii="Times New Roman" w:cs="Times New Roman" w:eastAsia="Times New Roman" w:hAnsi="Times New Roman"/>
          <w:sz w:val="20"/>
          <w:szCs w:val="20"/>
          <w:b w:val="1"/>
          <w:bCs w:val="1"/>
          <w:u w:val="single" w:color="auto"/>
          <w:color w:val="auto"/>
        </w:rPr>
        <w:t>Owner’s Title Affidavit; Authority Documents</w:t>
      </w:r>
      <w:r>
        <w:rPr>
          <w:rFonts w:ascii="Times New Roman" w:cs="Times New Roman" w:eastAsia="Times New Roman" w:hAnsi="Times New Roman"/>
          <w:sz w:val="20"/>
          <w:szCs w:val="20"/>
          <w:color w:val="auto"/>
        </w:rPr>
        <w:t>. An owner’s title affidavit in form acceptable to the Title Company and sufficient to delete all standard/pre-printed exceptions to title, including, but not limited to, mechanics’ and materialmens’ liens and parties in possession and gap indemnity; evidence of good standing and required limited liability company authority and the capacity of the signatory for Seller;</w:t>
      </w:r>
    </w:p>
    <w:p>
      <w:pPr>
        <w:spacing w:after="0" w:line="176"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11.1.10</w:t>
      </w:r>
      <w:r>
        <w:rPr>
          <w:rFonts w:ascii="Times New Roman" w:cs="Times New Roman" w:eastAsia="Times New Roman" w:hAnsi="Times New Roman"/>
          <w:sz w:val="20"/>
          <w:szCs w:val="20"/>
          <w:b w:val="1"/>
          <w:bCs w:val="1"/>
          <w:u w:val="single" w:color="auto"/>
          <w:color w:val="auto"/>
        </w:rPr>
        <w:t>Closing Statement</w:t>
      </w:r>
      <w:r>
        <w:rPr>
          <w:rFonts w:ascii="Times New Roman" w:cs="Times New Roman" w:eastAsia="Times New Roman" w:hAnsi="Times New Roman"/>
          <w:sz w:val="20"/>
          <w:szCs w:val="20"/>
          <w:color w:val="auto"/>
        </w:rPr>
        <w:t>. A closing statement to be prepared by Escrow Agent, evidencing the transaction contemplated by this Agreement (the “</w:t>
      </w:r>
      <w:r>
        <w:rPr>
          <w:rFonts w:ascii="Times New Roman" w:cs="Times New Roman" w:eastAsia="Times New Roman" w:hAnsi="Times New Roman"/>
          <w:sz w:val="20"/>
          <w:szCs w:val="20"/>
          <w:b w:val="1"/>
          <w:bCs w:val="1"/>
          <w:color w:val="auto"/>
        </w:rPr>
        <w:t>Closing Statement</w:t>
      </w:r>
      <w:r>
        <w:rPr>
          <w:rFonts w:ascii="Times New Roman" w:cs="Times New Roman" w:eastAsia="Times New Roman" w:hAnsi="Times New Roman"/>
          <w:sz w:val="20"/>
          <w:szCs w:val="20"/>
          <w:color w:val="auto"/>
        </w:rPr>
        <w:t>”) duly executed by Seller;</w:t>
      </w:r>
    </w:p>
    <w:p>
      <w:pPr>
        <w:spacing w:after="0" w:line="152"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11.1.11</w:t>
      </w:r>
      <w:r>
        <w:rPr>
          <w:rFonts w:ascii="Times New Roman" w:cs="Times New Roman" w:eastAsia="Times New Roman" w:hAnsi="Times New Roman"/>
          <w:sz w:val="20"/>
          <w:szCs w:val="20"/>
          <w:b w:val="1"/>
          <w:bCs w:val="1"/>
          <w:u w:val="single" w:color="auto"/>
          <w:color w:val="auto"/>
        </w:rPr>
        <w:t>Bring Down Certificate</w:t>
      </w:r>
      <w:r>
        <w:rPr>
          <w:rFonts w:ascii="Times New Roman" w:cs="Times New Roman" w:eastAsia="Times New Roman" w:hAnsi="Times New Roman"/>
          <w:sz w:val="20"/>
          <w:szCs w:val="20"/>
          <w:color w:val="auto"/>
        </w:rPr>
        <w:t>. A written certificate stating that all representations and warranties contained in Section 6 remain, as of the Closing Date, true, correct, and complete in all material respects as when first made hereunder or as otherwise modified under the terms of this Agreement; and</w:t>
      </w:r>
    </w:p>
    <w:p>
      <w:pPr>
        <w:spacing w:after="0" w:line="169"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11.1.12</w:t>
      </w:r>
      <w:r>
        <w:rPr>
          <w:rFonts w:ascii="Times New Roman" w:cs="Times New Roman" w:eastAsia="Times New Roman" w:hAnsi="Times New Roman"/>
          <w:sz w:val="20"/>
          <w:szCs w:val="20"/>
          <w:b w:val="1"/>
          <w:bCs w:val="1"/>
          <w:u w:val="single" w:color="auto"/>
          <w:color w:val="auto"/>
        </w:rPr>
        <w:t>Other Documents</w:t>
      </w:r>
      <w:r>
        <w:rPr>
          <w:rFonts w:ascii="Times New Roman" w:cs="Times New Roman" w:eastAsia="Times New Roman" w:hAnsi="Times New Roman"/>
          <w:sz w:val="20"/>
          <w:szCs w:val="20"/>
          <w:color w:val="auto"/>
        </w:rPr>
        <w:t>. Such other documents expressly required to be delivered or furnished pursuant to any other provisions of this Agreement or as are reasonably and customarily required by the Escrow Agent or otherwise required to close the escrow and carry out the purpose and intent of this Agreement, all in a form reasonably acceptable to Buyer and Seller.</w:t>
      </w:r>
    </w:p>
    <w:p>
      <w:pPr>
        <w:spacing w:after="0" w:line="173"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11.2At the Closing, Buyer shall deliver the following documents to the Escrow Agent in the forms attached hereto properly executed and acknowledged:</w:t>
      </w:r>
    </w:p>
    <w:p>
      <w:pPr>
        <w:spacing w:after="0" w:line="155" w:lineRule="exact"/>
        <w:rPr>
          <w:sz w:val="20"/>
          <w:szCs w:val="20"/>
          <w:color w:val="auto"/>
        </w:rPr>
      </w:pPr>
    </w:p>
    <w:p>
      <w:pPr>
        <w:jc w:val="both"/>
        <w:ind w:right="20" w:firstLine="1497"/>
        <w:spacing w:after="0" w:line="273" w:lineRule="auto"/>
        <w:rPr>
          <w:sz w:val="20"/>
          <w:szCs w:val="20"/>
          <w:color w:val="auto"/>
        </w:rPr>
      </w:pPr>
      <w:r>
        <w:rPr>
          <w:rFonts w:ascii="Times New Roman" w:cs="Times New Roman" w:eastAsia="Times New Roman" w:hAnsi="Times New Roman"/>
          <w:sz w:val="20"/>
          <w:szCs w:val="20"/>
          <w:color w:val="auto"/>
        </w:rPr>
        <w:t xml:space="preserve">11.2.1 </w:t>
      </w:r>
      <w:r>
        <w:rPr>
          <w:rFonts w:ascii="Times New Roman" w:cs="Times New Roman" w:eastAsia="Times New Roman" w:hAnsi="Times New Roman"/>
          <w:sz w:val="20"/>
          <w:szCs w:val="20"/>
          <w:b w:val="1"/>
          <w:bCs w:val="1"/>
          <w:u w:val="single" w:color="auto"/>
          <w:color w:val="auto"/>
        </w:rPr>
        <w:t>Purchase Price</w:t>
      </w:r>
      <w:r>
        <w:rPr>
          <w:rFonts w:ascii="Times New Roman" w:cs="Times New Roman" w:eastAsia="Times New Roman" w:hAnsi="Times New Roman"/>
          <w:sz w:val="20"/>
          <w:szCs w:val="20"/>
          <w:color w:val="auto"/>
        </w:rPr>
        <w:t>. The Purchase Price, after crediting the Earnest Money Deposit, and as adjusted in accordance with the terms hereof shall be in deposit with the Escrow Agent in good funds by 2:00 pm local time at the Property;</w:t>
      </w:r>
    </w:p>
    <w:p>
      <w:pPr>
        <w:spacing w:after="0" w:line="152"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11.2.2 </w:t>
      </w:r>
      <w:r>
        <w:rPr>
          <w:rFonts w:ascii="Times New Roman" w:cs="Times New Roman" w:eastAsia="Times New Roman" w:hAnsi="Times New Roman"/>
          <w:sz w:val="20"/>
          <w:szCs w:val="20"/>
          <w:b w:val="1"/>
          <w:bCs w:val="1"/>
          <w:u w:val="single" w:color="auto"/>
          <w:color w:val="auto"/>
        </w:rPr>
        <w:t>Authority</w:t>
      </w:r>
      <w:r>
        <w:rPr>
          <w:rFonts w:ascii="Times New Roman" w:cs="Times New Roman" w:eastAsia="Times New Roman" w:hAnsi="Times New Roman"/>
          <w:sz w:val="20"/>
          <w:szCs w:val="20"/>
          <w:color w:val="auto"/>
        </w:rPr>
        <w:t>. Evidence in form and substance reasonably satisfactory to Escrow Agent that Buyer has the power and authority to execute and enter into this Agreement and to consummate the purchase and sale of the Property, and that any and all actions required to authorize and approve the execution of and entry into this Agreement by Buyer, the performance by Buyer of all of Buyer’s duties and obligations under this Agreement, and the execution and delivery by Buyer of all documents and other items to be executed and delivered to Seller at Closing, have been accomplished;</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11.2.3 </w:t>
      </w:r>
      <w:r>
        <w:rPr>
          <w:rFonts w:ascii="Times New Roman" w:cs="Times New Roman" w:eastAsia="Times New Roman" w:hAnsi="Times New Roman"/>
          <w:sz w:val="20"/>
          <w:szCs w:val="20"/>
          <w:b w:val="1"/>
          <w:bCs w:val="1"/>
          <w:u w:val="single" w:color="auto"/>
          <w:color w:val="auto"/>
        </w:rPr>
        <w:t>Bill of Sale</w:t>
      </w:r>
      <w:r>
        <w:rPr>
          <w:rFonts w:ascii="Times New Roman" w:cs="Times New Roman" w:eastAsia="Times New Roman" w:hAnsi="Times New Roman"/>
          <w:sz w:val="20"/>
          <w:szCs w:val="20"/>
          <w:color w:val="auto"/>
        </w:rPr>
        <w:t>. A Bill of Sale duly executed by Buyer;</w:t>
      </w: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11.2.4 </w:t>
      </w:r>
      <w:r>
        <w:rPr>
          <w:rFonts w:ascii="Times New Roman" w:cs="Times New Roman" w:eastAsia="Times New Roman" w:hAnsi="Times New Roman"/>
          <w:sz w:val="20"/>
          <w:szCs w:val="20"/>
          <w:b w:val="1"/>
          <w:bCs w:val="1"/>
          <w:u w:val="single" w:color="auto"/>
          <w:color w:val="auto"/>
        </w:rPr>
        <w:t>Closing Statement</w:t>
      </w:r>
      <w:r>
        <w:rPr>
          <w:rFonts w:ascii="Times New Roman" w:cs="Times New Roman" w:eastAsia="Times New Roman" w:hAnsi="Times New Roman"/>
          <w:sz w:val="20"/>
          <w:szCs w:val="20"/>
          <w:color w:val="auto"/>
        </w:rPr>
        <w:t>. A Closing Statement duly executed by Buyer; and</w:t>
      </w:r>
    </w:p>
    <w:p>
      <w:pPr>
        <w:spacing w:after="0" w:line="216"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11.2.5 </w:t>
      </w:r>
      <w:r>
        <w:rPr>
          <w:rFonts w:ascii="Times New Roman" w:cs="Times New Roman" w:eastAsia="Times New Roman" w:hAnsi="Times New Roman"/>
          <w:sz w:val="20"/>
          <w:szCs w:val="20"/>
          <w:b w:val="1"/>
          <w:bCs w:val="1"/>
          <w:u w:val="single" w:color="auto"/>
          <w:color w:val="auto"/>
        </w:rPr>
        <w:t>Other Documents</w:t>
      </w:r>
      <w:r>
        <w:rPr>
          <w:rFonts w:ascii="Times New Roman" w:cs="Times New Roman" w:eastAsia="Times New Roman" w:hAnsi="Times New Roman"/>
          <w:sz w:val="20"/>
          <w:szCs w:val="20"/>
          <w:color w:val="auto"/>
        </w:rPr>
        <w:t>. Such other documents expressly required to be delivered or furnished pursuant to any other provisions of this Agreement or as are reasonably and customarily required by the Escrow Agent or otherwise required to close the escrow and carry out the purpose and intent of this Agreement, all in form reasonably acceptable to Buyer and Seller.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19"/>
          <w:szCs w:val="19"/>
          <w:b w:val="1"/>
          <w:bCs w:val="1"/>
          <w:color w:val="auto"/>
        </w:rPr>
        <w:t>NOTICES</w:t>
      </w:r>
    </w:p>
    <w:p>
      <w:pPr>
        <w:spacing w:after="0" w:line="21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19"/>
          <w:szCs w:val="19"/>
          <w:color w:val="auto"/>
        </w:rPr>
        <w:t>All notices, consents, approvals and other communications which may be or are required to be given by either Seller or Buyer under this Agreement shall be properly given only if made in writing (except as expressly provided to the contrary in this Agreement) and sent by</w:t>
      </w:r>
    </w:p>
    <w:p>
      <w:pPr>
        <w:jc w:val="both"/>
        <w:ind w:firstLine="8"/>
        <w:spacing w:after="0"/>
        <w:tabs>
          <w:tab w:leader="none" w:pos="23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hand delivery, (ii) electronic mail, or (iii) a nationally recognized overnight delivery service (such as Federal Express, UPS Next Day Air), with all delivery charges paid by the sender and addressed to the Buyer or Seller, as applicable, as follows, or at such other address as each may request in writing. Such notices shall be deemed received, (x) if delivered by overnight delivery service, one Business Day after delivery to such overnight delivery service, (y) if delivered by hand, the day of such delivery, or (z) if sent by electronic mail, on the date of transmission. Notices to be sent on behalf of Buyer or Seller may be sent by their respective counsel. The refusal to accept delivery shall constitute acceptance and, in such event, the date of delivery shall be the date on which delivery was refused. Said addresses for notices are to be as follows:</w:t>
      </w:r>
    </w:p>
    <w:p>
      <w:pPr>
        <w:spacing w:after="0" w:line="191"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u w:val="single" w:color="auto"/>
          <w:color w:val="auto"/>
        </w:rPr>
        <w:t>If to Buyer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Northpoint Development, LLC</w:t>
      </w:r>
    </w:p>
    <w:p>
      <w:pPr>
        <w:spacing w:after="0" w:line="2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3315 N. Oak Trafficway</w:t>
      </w:r>
    </w:p>
    <w:p>
      <w:pPr>
        <w:ind w:left="3000"/>
        <w:spacing w:after="0"/>
        <w:rPr>
          <w:sz w:val="20"/>
          <w:szCs w:val="20"/>
          <w:color w:val="auto"/>
        </w:rPr>
      </w:pPr>
      <w:r>
        <w:rPr>
          <w:rFonts w:ascii="Times New Roman" w:cs="Times New Roman" w:eastAsia="Times New Roman" w:hAnsi="Times New Roman"/>
          <w:sz w:val="20"/>
          <w:szCs w:val="20"/>
          <w:color w:val="auto"/>
        </w:rPr>
        <w:t>Kansas City, MO 64116</w:t>
      </w:r>
    </w:p>
    <w:p>
      <w:pPr>
        <w:ind w:left="3000"/>
        <w:spacing w:after="0"/>
        <w:rPr>
          <w:sz w:val="20"/>
          <w:szCs w:val="20"/>
          <w:color w:val="auto"/>
        </w:rPr>
      </w:pPr>
      <w:r>
        <w:rPr>
          <w:rFonts w:ascii="Times New Roman" w:cs="Times New Roman" w:eastAsia="Times New Roman" w:hAnsi="Times New Roman"/>
          <w:sz w:val="20"/>
          <w:szCs w:val="20"/>
          <w:color w:val="auto"/>
        </w:rPr>
        <w:t>Attention: Dustin Camloh &amp; Wakeel Rahman</w:t>
      </w:r>
    </w:p>
    <w:p>
      <w:pPr>
        <w:ind w:left="3000"/>
        <w:spacing w:after="0"/>
        <w:rPr>
          <w:sz w:val="20"/>
          <w:szCs w:val="20"/>
          <w:color w:val="auto"/>
        </w:rPr>
      </w:pPr>
      <w:r>
        <w:rPr>
          <w:rFonts w:ascii="Times New Roman" w:cs="Times New Roman" w:eastAsia="Times New Roman" w:hAnsi="Times New Roman"/>
          <w:sz w:val="20"/>
          <w:szCs w:val="20"/>
          <w:color w:val="auto"/>
        </w:rPr>
        <w:t>Email: dcamloh@northpointkc.com</w:t>
      </w:r>
    </w:p>
    <w:p>
      <w:pPr>
        <w:ind w:left="3000"/>
        <w:spacing w:after="0"/>
        <w:rPr>
          <w:sz w:val="20"/>
          <w:szCs w:val="20"/>
          <w:color w:val="auto"/>
        </w:rPr>
      </w:pPr>
      <w:r>
        <w:rPr>
          <w:rFonts w:ascii="Times New Roman" w:cs="Times New Roman" w:eastAsia="Times New Roman" w:hAnsi="Times New Roman"/>
          <w:sz w:val="20"/>
          <w:szCs w:val="20"/>
          <w:color w:val="auto"/>
        </w:rPr>
        <w:t>wrahman@northpointkc.com</w:t>
      </w:r>
    </w:p>
    <w:p>
      <w:pPr>
        <w:sectPr>
          <w:pgSz w:w="11900" w:h="16838" w:orient="portrait"/>
          <w:cols w:equalWidth="0" w:num="1">
            <w:col w:w="11240"/>
          </w:cols>
          <w:pgMar w:left="320" w:top="1440" w:right="339" w:bottom="1440" w:gutter="0" w:footer="0" w:header="0"/>
        </w:sectPr>
      </w:pP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u w:val="single" w:color="auto"/>
          <w:color w:val="auto"/>
        </w:rPr>
        <w:t>with a copy to</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Polsinelli PC</w:t>
      </w:r>
    </w:p>
    <w:p>
      <w:pPr>
        <w:ind w:left="80"/>
        <w:spacing w:after="0" w:line="212" w:lineRule="auto"/>
        <w:rPr>
          <w:sz w:val="20"/>
          <w:szCs w:val="20"/>
          <w:color w:val="auto"/>
        </w:rPr>
      </w:pPr>
      <w:r>
        <w:rPr>
          <w:rFonts w:ascii="Times New Roman" w:cs="Times New Roman" w:eastAsia="Times New Roman" w:hAnsi="Times New Roman"/>
          <w:sz w:val="20"/>
          <w:szCs w:val="20"/>
          <w:color w:val="auto"/>
        </w:rPr>
        <w:t>900 West 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Place, Suite 900</w:t>
      </w:r>
    </w:p>
    <w:p>
      <w:pPr>
        <w:ind w:left="80"/>
        <w:spacing w:after="0"/>
        <w:rPr>
          <w:sz w:val="20"/>
          <w:szCs w:val="20"/>
          <w:color w:val="auto"/>
        </w:rPr>
      </w:pPr>
      <w:r>
        <w:rPr>
          <w:rFonts w:ascii="Times New Roman" w:cs="Times New Roman" w:eastAsia="Times New Roman" w:hAnsi="Times New Roman"/>
          <w:sz w:val="20"/>
          <w:szCs w:val="20"/>
          <w:color w:val="auto"/>
        </w:rPr>
        <w:t>Kansas City, MO 64112</w:t>
      </w:r>
    </w:p>
    <w:p>
      <w:pPr>
        <w:ind w:left="80"/>
        <w:spacing w:after="0"/>
        <w:rPr>
          <w:sz w:val="20"/>
          <w:szCs w:val="20"/>
          <w:color w:val="auto"/>
        </w:rPr>
      </w:pPr>
      <w:r>
        <w:rPr>
          <w:rFonts w:ascii="Times New Roman" w:cs="Times New Roman" w:eastAsia="Times New Roman" w:hAnsi="Times New Roman"/>
          <w:sz w:val="20"/>
          <w:szCs w:val="20"/>
          <w:color w:val="auto"/>
        </w:rPr>
        <w:t>Attention: Mike Fisher</w:t>
      </w:r>
    </w:p>
    <w:p>
      <w:pPr>
        <w:ind w:left="80"/>
        <w:spacing w:after="0"/>
        <w:rPr>
          <w:sz w:val="20"/>
          <w:szCs w:val="20"/>
          <w:color w:val="auto"/>
        </w:rPr>
      </w:pPr>
      <w:r>
        <w:rPr>
          <w:rFonts w:ascii="Times New Roman" w:cs="Times New Roman" w:eastAsia="Times New Roman" w:hAnsi="Times New Roman"/>
          <w:sz w:val="20"/>
          <w:szCs w:val="20"/>
          <w:color w:val="auto"/>
        </w:rPr>
        <w:t>Email: mfisher@polsinelli.com</w:t>
      </w:r>
    </w:p>
    <w:p>
      <w:pPr>
        <w:spacing w:after="0" w:line="200" w:lineRule="exact"/>
        <w:rPr>
          <w:sz w:val="20"/>
          <w:szCs w:val="20"/>
          <w:color w:val="auto"/>
        </w:rPr>
      </w:pPr>
    </w:p>
    <w:p>
      <w:pPr>
        <w:sectPr>
          <w:pgSz w:w="11900" w:h="16838" w:orient="portrait"/>
          <w:cols w:equalWidth="0" w:num="2">
            <w:col w:w="2200" w:space="720"/>
            <w:col w:w="8320"/>
          </w:cols>
          <w:pgMar w:left="320" w:top="1440" w:right="339" w:bottom="1440" w:gutter="0" w:footer="0" w:header="0"/>
          <w:type w:val="continuous"/>
        </w:sectPr>
      </w:pPr>
    </w:p>
    <w:p>
      <w:pPr>
        <w:spacing w:after="0" w:line="7"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If to Seller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ProKidney Acquisition Company, LLC</w:t>
      </w:r>
    </w:p>
    <w:p>
      <w:pPr>
        <w:spacing w:after="0" w:line="2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9"/>
          <w:szCs w:val="19"/>
          <w:color w:val="auto"/>
        </w:rPr>
        <w:t>2000 Frontis Plaza Boulevard, Suite 250</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Winston-Salem, NC 27103</w:t>
      </w:r>
    </w:p>
    <w:p>
      <w:pPr>
        <w:ind w:left="3000"/>
        <w:spacing w:after="0"/>
        <w:rPr>
          <w:sz w:val="20"/>
          <w:szCs w:val="20"/>
          <w:color w:val="auto"/>
        </w:rPr>
      </w:pPr>
      <w:r>
        <w:rPr>
          <w:rFonts w:ascii="Times New Roman" w:cs="Times New Roman" w:eastAsia="Times New Roman" w:hAnsi="Times New Roman"/>
          <w:sz w:val="20"/>
          <w:szCs w:val="20"/>
          <w:color w:val="auto"/>
        </w:rPr>
        <w:t>Attn: Todd Girolamo</w:t>
      </w:r>
    </w:p>
    <w:p>
      <w:pPr>
        <w:ind w:left="3000"/>
        <w:spacing w:after="0"/>
        <w:rPr>
          <w:sz w:val="20"/>
          <w:szCs w:val="20"/>
          <w:color w:val="auto"/>
        </w:rPr>
      </w:pPr>
      <w:r>
        <w:rPr>
          <w:rFonts w:ascii="Times New Roman" w:cs="Times New Roman" w:eastAsia="Times New Roman" w:hAnsi="Times New Roman"/>
          <w:sz w:val="20"/>
          <w:szCs w:val="20"/>
          <w:color w:val="auto"/>
        </w:rPr>
        <w:t>Telephone: 914-439-4082</w:t>
      </w:r>
    </w:p>
    <w:p>
      <w:pPr>
        <w:ind w:left="3000"/>
        <w:spacing w:after="0"/>
        <w:rPr>
          <w:sz w:val="20"/>
          <w:szCs w:val="20"/>
          <w:color w:val="auto"/>
        </w:rPr>
      </w:pPr>
      <w:r>
        <w:rPr>
          <w:rFonts w:ascii="Times New Roman" w:cs="Times New Roman" w:eastAsia="Times New Roman" w:hAnsi="Times New Roman"/>
          <w:sz w:val="20"/>
          <w:szCs w:val="20"/>
          <w:color w:val="auto"/>
        </w:rPr>
        <w:t>Email: Todd.Girolamo@prokidney.com</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1" w:name="page172"/>
    <w:bookmarkEnd w:id="171"/>
    <w:p>
      <w:pPr>
        <w:spacing w:after="0" w:line="2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with a copy to</w:t>
      </w:r>
      <w:r>
        <w:rPr>
          <w:rFonts w:ascii="Times New Roman" w:cs="Times New Roman" w:eastAsia="Times New Roman" w:hAnsi="Times New Roman"/>
          <w:sz w:val="20"/>
          <w:szCs w:val="20"/>
          <w:color w:val="auto"/>
        </w:rPr>
        <w:t>:</w:t>
      </w:r>
    </w:p>
    <w:p>
      <w:pPr>
        <w:spacing w:after="0" w:line="2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Mintz, Levin, Cohn, Ferris, Glovsky, and Popeo, P.C.</w:t>
      </w:r>
    </w:p>
    <w:p>
      <w:pPr>
        <w:ind w:left="3000"/>
        <w:spacing w:after="0"/>
        <w:rPr>
          <w:sz w:val="20"/>
          <w:szCs w:val="20"/>
          <w:color w:val="auto"/>
        </w:rPr>
      </w:pPr>
      <w:r>
        <w:rPr>
          <w:rFonts w:ascii="Times New Roman" w:cs="Times New Roman" w:eastAsia="Times New Roman" w:hAnsi="Times New Roman"/>
          <w:sz w:val="20"/>
          <w:szCs w:val="20"/>
          <w:color w:val="auto"/>
        </w:rPr>
        <w:t>One Financial Center</w:t>
      </w:r>
    </w:p>
    <w:p>
      <w:pPr>
        <w:ind w:left="3000"/>
        <w:spacing w:after="0"/>
        <w:rPr>
          <w:sz w:val="20"/>
          <w:szCs w:val="20"/>
          <w:color w:val="auto"/>
        </w:rPr>
      </w:pPr>
      <w:r>
        <w:rPr>
          <w:rFonts w:ascii="Times New Roman" w:cs="Times New Roman" w:eastAsia="Times New Roman" w:hAnsi="Times New Roman"/>
          <w:sz w:val="20"/>
          <w:szCs w:val="20"/>
          <w:color w:val="auto"/>
        </w:rPr>
        <w:t>Boston, Massachusetts 02111</w:t>
      </w:r>
    </w:p>
    <w:p>
      <w:pPr>
        <w:ind w:left="3000"/>
        <w:spacing w:after="0"/>
        <w:rPr>
          <w:sz w:val="20"/>
          <w:szCs w:val="20"/>
          <w:color w:val="auto"/>
        </w:rPr>
      </w:pPr>
      <w:r>
        <w:rPr>
          <w:rFonts w:ascii="Times New Roman" w:cs="Times New Roman" w:eastAsia="Times New Roman" w:hAnsi="Times New Roman"/>
          <w:sz w:val="20"/>
          <w:szCs w:val="20"/>
          <w:color w:val="auto"/>
        </w:rPr>
        <w:t>Attention: Ashley Mahoney, Esq.</w:t>
      </w:r>
    </w:p>
    <w:p>
      <w:pPr>
        <w:ind w:left="3000"/>
        <w:spacing w:after="0"/>
        <w:rPr>
          <w:sz w:val="20"/>
          <w:szCs w:val="20"/>
          <w:color w:val="auto"/>
        </w:rPr>
      </w:pPr>
      <w:r>
        <w:rPr>
          <w:rFonts w:ascii="Times New Roman" w:cs="Times New Roman" w:eastAsia="Times New Roman" w:hAnsi="Times New Roman"/>
          <w:sz w:val="20"/>
          <w:szCs w:val="20"/>
          <w:color w:val="auto"/>
        </w:rPr>
        <w:t>Tel: (617) 348-1669</w:t>
      </w:r>
    </w:p>
    <w:p>
      <w:pPr>
        <w:ind w:left="3000"/>
        <w:spacing w:after="0"/>
        <w:rPr>
          <w:sz w:val="20"/>
          <w:szCs w:val="20"/>
          <w:color w:val="auto"/>
        </w:rPr>
      </w:pPr>
      <w:r>
        <w:rPr>
          <w:rFonts w:ascii="Times New Roman" w:cs="Times New Roman" w:eastAsia="Times New Roman" w:hAnsi="Times New Roman"/>
          <w:sz w:val="20"/>
          <w:szCs w:val="20"/>
          <w:color w:val="auto"/>
        </w:rPr>
        <w:t>Email: ABMahoney@mintz.com</w:t>
      </w:r>
    </w:p>
    <w:p>
      <w:pPr>
        <w:ind w:left="3000"/>
        <w:spacing w:after="0"/>
        <w:rPr>
          <w:sz w:val="20"/>
          <w:szCs w:val="20"/>
          <w:color w:val="auto"/>
        </w:rPr>
      </w:pPr>
      <w:r>
        <w:rPr>
          <w:rFonts w:ascii="Times New Roman" w:cs="Times New Roman" w:eastAsia="Times New Roman" w:hAnsi="Times New Roman"/>
          <w:sz w:val="20"/>
          <w:szCs w:val="20"/>
          <w:color w:val="auto"/>
        </w:rPr>
        <w:t>Attention: Samantha M. Spellman, Esq.</w:t>
      </w:r>
    </w:p>
    <w:p>
      <w:pPr>
        <w:ind w:left="3000"/>
        <w:spacing w:after="0"/>
        <w:rPr>
          <w:sz w:val="20"/>
          <w:szCs w:val="20"/>
          <w:color w:val="auto"/>
        </w:rPr>
      </w:pPr>
      <w:r>
        <w:rPr>
          <w:rFonts w:ascii="Times New Roman" w:cs="Times New Roman" w:eastAsia="Times New Roman" w:hAnsi="Times New Roman"/>
          <w:sz w:val="20"/>
          <w:szCs w:val="20"/>
          <w:color w:val="auto"/>
        </w:rPr>
        <w:t>Tel: (617) 348-1713</w:t>
      </w:r>
    </w:p>
    <w:p>
      <w:pPr>
        <w:ind w:left="3000"/>
        <w:spacing w:after="0"/>
        <w:rPr>
          <w:sz w:val="20"/>
          <w:szCs w:val="20"/>
          <w:color w:val="auto"/>
        </w:rPr>
      </w:pPr>
      <w:r>
        <w:rPr>
          <w:rFonts w:ascii="Times New Roman" w:cs="Times New Roman" w:eastAsia="Times New Roman" w:hAnsi="Times New Roman"/>
          <w:sz w:val="20"/>
          <w:szCs w:val="20"/>
          <w:color w:val="auto"/>
        </w:rPr>
        <w:t>Email: SMSpellman@mintz.com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SECTION 13: </w:t>
      </w:r>
      <w:r>
        <w:rPr>
          <w:rFonts w:ascii="Times New Roman" w:cs="Times New Roman" w:eastAsia="Times New Roman" w:hAnsi="Times New Roman"/>
          <w:sz w:val="19"/>
          <w:szCs w:val="19"/>
          <w:b w:val="1"/>
          <w:bCs w:val="1"/>
          <w:color w:val="auto"/>
        </w:rPr>
        <w:t>CASUALTY AND CONDEMNATION</w:t>
      </w:r>
    </w:p>
    <w:p>
      <w:pPr>
        <w:spacing w:after="0" w:line="21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13.1</w:t>
      </w:r>
      <w:r>
        <w:rPr>
          <w:rFonts w:ascii="Times New Roman" w:cs="Times New Roman" w:eastAsia="Times New Roman" w:hAnsi="Times New Roman"/>
          <w:sz w:val="19"/>
          <w:szCs w:val="19"/>
          <w:b w:val="1"/>
          <w:bCs w:val="1"/>
          <w:u w:val="single" w:color="auto"/>
          <w:color w:val="auto"/>
        </w:rPr>
        <w:t>Casualty</w:t>
      </w:r>
      <w:r>
        <w:rPr>
          <w:rFonts w:ascii="Times New Roman" w:cs="Times New Roman" w:eastAsia="Times New Roman" w:hAnsi="Times New Roman"/>
          <w:sz w:val="19"/>
          <w:szCs w:val="19"/>
          <w:color w:val="auto"/>
        </w:rPr>
        <w:t>. Prior to the Closing Date, and notwithstanding the pendency of this Agreement, the entire risk of loss or damage by fire or other casualty shall be borne and assumed by Seller, except as otherwise provided in this Section 13.1. Until the Closing has occurred, Seller shall keep all presently existing insurance policies in effect. If, prior to the Closing Date, any part of the Real Property, Improvements or Personal Property is damaged or destroyed by fire or other casualty, Seller shall promptly notify Buyer of such fact. If such damage or destruction is material (as defined below), Buyer shall have the option to terminate this Agreement upon written notice to Seller given not later than thirty (30) days after receipt of Seller’s notice whereupon the Earnest Money Deposit less the Independent Contract Consideration and Non-Refundable EMD shall be refunded to Buyer and this Agreement shall terminate and thereafter neither party shall have any rights, obligations or liabilities hereunder, except for those rights and obligations which expressly survive the termination of this Agreement. For purposes hereof “material” shall be deemed to be any uninsured damage or destruction to the Real Property, Improvements or Personal Property (except that a casualty shall not be deemed uninsured solely because all, or a portion of, the cost of the casualty is subject to a deductible) or any insured damage or destruction where the cost of repair or replacement is estimated, in Seller’s good faith judgment, to be more than five percent (5%) of the Purchase Price. If Buyer does not exercise this option to terminate this Agreement within such thirty (30) day period, or if the casualty is not material, neither party shall have the right to terminate this Agreement, and the parties shall proceed to the Closing pursuant to the terms hereof without modification of the terms of this Agreement and without any reduction in the Purchase Price but, Seller, at Closing, shall assign to Buyer (and obtain the consent of the insurance carrier to such assignment), and Buyer shall be entitled to receive and keep, all insurance proceeds payable with respect to such casualty (which shall then be repaired or not at Buyer’s option and cost), plus Seller shall pay over to Buyer the sum of (x) all casualty insurance proceeds previously paid to Seller with respect to such casualty (other than amounts expended by Seller for emergency repairs or for repairs which are approved in writing by Buyer) and (y) an amount equal to the deductible amount with respect to the insurance (provided that if the balance of the casualty loss is less than the deductible, then only the amount of the loss shall be paid to Buyer). In such event, Seller shall not be obligated to repair or restore the Real Property or Improvements. If Buyer does not elect to terminate this Agreement by reason of any casualty, Buyer shall have the right to participate in any adjustment of the insurance claim and, in such event, Buyer and Seller shall cooperate each with the other in good faith.</w:t>
      </w:r>
    </w:p>
    <w:p>
      <w:pPr>
        <w:spacing w:after="0" w:line="17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13.2</w:t>
      </w:r>
      <w:r>
        <w:rPr>
          <w:rFonts w:ascii="Times New Roman" w:cs="Times New Roman" w:eastAsia="Times New Roman" w:hAnsi="Times New Roman"/>
          <w:sz w:val="20"/>
          <w:szCs w:val="20"/>
          <w:b w:val="1"/>
          <w:bCs w:val="1"/>
          <w:u w:val="single" w:color="auto"/>
          <w:color w:val="auto"/>
        </w:rPr>
        <w:t>Condemnation</w:t>
      </w:r>
      <w:r>
        <w:rPr>
          <w:rFonts w:ascii="Times New Roman" w:cs="Times New Roman" w:eastAsia="Times New Roman" w:hAnsi="Times New Roman"/>
          <w:sz w:val="20"/>
          <w:szCs w:val="20"/>
          <w:color w:val="auto"/>
        </w:rPr>
        <w:t>. At Closing, Seller shall assign to Buyer all of Seller’s right, title and interest in and to all awards paid or payable by or on behalf of any condemning authority by reason of any exercise of the power of eminent domain with respect thereto or for the taking of the Real Property, Improvements, or any part thereof occurring following the Effective Date. If after the expiration of the Due Diligence Period and prior to the Closing Date, all or any portion of the Real Property is taken, or if access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thereto or parking is reduced or restricted, by eminent domain proceedings (or if such taking, reduction or restriction is pending, threatened or contemplated) (hereinafter a “Condemnation Proceeding”), Seller shall promptly notify Buyer of such fact. In the event that such notice relates to the taking of a material (as defined below) portion of the Real Property or Improvements, Buyer shall have the option, in its sole and absolute discretion, to terminate this Agreement upon written notice to Seller given not later than thirty (30) days after receipt of Seller’s notice; whereupon the Earnest Money Deposit less the Independent Contract Consideration and Non-Refundable EMD shall be refunded to Buyer and thereafter neither party shall have any rights, obligations or liabilities hereunder, except for those rights and obligations which expressly survive the termination of this Agreement. For the purposes of this Section, and without limiting the generality of the foregoing, a taking shall be deemed material if it (i) eliminates access to the Real Property, or (ii) reduces the value of the remaining Property, in Seller’s good faith judgment, by more than five percent (5%) of the Purchase Price, or (iii) reduces the parking available to the Improvements to an extent that requires a variance from any parking ratio requirements pursuant to Legal Requirements, or (iv) causes the Real Property or Improvements to be non-conforming pursuant to Legal Requirements. If Buyer does not elect to terminate this Agreement as herein provided, the parties shall proceed to the Closing pursuant to the terms hereof without modification of the terms of this Agreement and without any reduction in the Purchase Price but Seller shall pay to Buyer any award received by Seller prior to Closing and Buyer shall have the right to participate with Seller in any Condemnation Proceeding affecting the Real Property or Improvements, and Buyer and Seller shall cooperate with each other in good faith.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SECTION 14: </w:t>
      </w:r>
      <w:r>
        <w:rPr>
          <w:rFonts w:ascii="Times New Roman" w:cs="Times New Roman" w:eastAsia="Times New Roman" w:hAnsi="Times New Roman"/>
          <w:sz w:val="19"/>
          <w:szCs w:val="19"/>
          <w:b w:val="1"/>
          <w:bCs w:val="1"/>
          <w:color w:val="auto"/>
        </w:rPr>
        <w:t>BROKERS</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Seller and Buyer acknowledge that they have not dealt with any broker, finder or agent in connection with this transaction other than CBRE (“Broker”), representing Seller and Buyer. Seller shall pay a commission to the Broker pursuant to a separate agreement between Seller and Broker. Buyer represents and warrants to Seller that other than Broker, Buyer has not worked with any other broker in connection with this Agreement or the acquisition of the Property. Seller and Buyer shall indemnify and hold harmless the other against any and all claims, demands, causes of action, losses, costs and expenses (including legal fees and expenses) resulting from a breach of said representation of the indemnifying party. The representations, warranties, undertakings and indemnities of this Section 14 shall survive the Closing hereunder and any termination of this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SECTION 15: </w:t>
      </w:r>
      <w:r>
        <w:rPr>
          <w:rFonts w:ascii="Times New Roman" w:cs="Times New Roman" w:eastAsia="Times New Roman" w:hAnsi="Times New Roman"/>
          <w:sz w:val="19"/>
          <w:szCs w:val="19"/>
          <w:b w:val="1"/>
          <w:bCs w:val="1"/>
          <w:color w:val="auto"/>
        </w:rPr>
        <w:t>ASSIGNMENT</w:t>
      </w:r>
    </w:p>
    <w:p>
      <w:pPr>
        <w:spacing w:after="0" w:line="21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Neither party shall assign its rights under this Agreement without the other party’s prior written consent. Notwithstanding the foregoing, upon written notice to Seller, Buyer may, without Seller’s consent, assign this Agreement to any entity in which Buyer serves as manager or any entity which directly or indirectly controls, is controlled by, or is under common control with Buyer. Notwithstanding any assignment by Buyer pursuant to this Section 15 whether permitted or consented to by Seller, Buyer shall remain liable for all of the obligations of Buyer contained in this Agreement until the Closing Date. In accordance with the terms of this Section 15, Buyer shall send written notice to Seller of its designated assignee or nominee, if any, no later than three (3) Business Days prior to Closing, together with an assignment and assumption of this Agreement in form and substance reasonably satisfactory to Seller executed by Buyer and its designated assignee or nominee.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SECTION 16: </w:t>
      </w:r>
      <w:r>
        <w:rPr>
          <w:rFonts w:ascii="Times New Roman" w:cs="Times New Roman" w:eastAsia="Times New Roman" w:hAnsi="Times New Roman"/>
          <w:sz w:val="19"/>
          <w:szCs w:val="19"/>
          <w:b w:val="1"/>
          <w:bCs w:val="1"/>
          <w:color w:val="auto"/>
        </w:rPr>
        <w:t>DEFAULT/REMEDIES</w:t>
      </w:r>
    </w:p>
    <w:p>
      <w:pPr>
        <w:spacing w:after="0" w:line="211"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16.1</w:t>
      </w:r>
      <w:r>
        <w:rPr>
          <w:rFonts w:ascii="Times New Roman" w:cs="Times New Roman" w:eastAsia="Times New Roman" w:hAnsi="Times New Roman"/>
          <w:sz w:val="20"/>
          <w:szCs w:val="20"/>
          <w:b w:val="1"/>
          <w:bCs w:val="1"/>
          <w:u w:val="single" w:color="auto"/>
          <w:color w:val="auto"/>
        </w:rPr>
        <w:t>Seller’s Default/Buyer’s Remedies</w:t>
      </w:r>
      <w:r>
        <w:rPr>
          <w:rFonts w:ascii="Times New Roman" w:cs="Times New Roman" w:eastAsia="Times New Roman" w:hAnsi="Times New Roman"/>
          <w:sz w:val="20"/>
          <w:szCs w:val="20"/>
          <w:color w:val="auto"/>
        </w:rPr>
        <w:t>. If Seller fails to sell the Property to Buyer in accordance with this Agreement, or breaches any of its covenants, representations or warranties contained</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in this Agreement in any material respect, and any such breach or failure continues and is not cured within five (5) Business Days after Seller’s receipt of written notice of such failure or breach (other than the failure to convey the Property at Closing as required by this Agreement for which Seller shall be afforded only one (1) Business Day to cure such failure or breach), Buyer shall be entitled to either (1) terminate this Agreement and receive a refund of the Earnest Money Deposit (including, for the avoidance of doubt, the Non-Refundable EMD) and the Out of Pocket Expenses actually incurred by Buyer in connection with the investigation of the Property, including consultant and attorney’s fees, up to but not exceeding Seventy Five Thousand and No/100 Dollars ($75,000.00), (2) pursue an action for specific performance; provided, however that such action shall be commenced by Buyer within sixty (60) days of the default or Buyer shall be deemed to have irrevocably waived such right to pursue specific performance; provided, if Buyer is unsuccessful in enforcing specific performance pursuant to this clause (2), Buyer shall have the right to exercise its remedies under the foregoing clause (1), or (3) waive the default or breach and proceed to Closing in accordance with the provision of this Agreement without modification of the terms of this Agreement and without any reduction in the Purchase Price. Notwithstanding the foregoing, Buyer shall have available to it all rights and remedies at law and in equity in the event (i) Buyer’s remedy set forth in clause (2) above is unavailable due to Seller transferring the Property to a third party, and (ii) of fraud committed by Seller.</w:t>
      </w:r>
    </w:p>
    <w:p>
      <w:pPr>
        <w:spacing w:after="0" w:line="19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16.2</w:t>
      </w:r>
      <w:r>
        <w:rPr>
          <w:rFonts w:ascii="Times New Roman" w:cs="Times New Roman" w:eastAsia="Times New Roman" w:hAnsi="Times New Roman"/>
          <w:sz w:val="20"/>
          <w:szCs w:val="20"/>
          <w:b w:val="1"/>
          <w:bCs w:val="1"/>
          <w:u w:val="single" w:color="auto"/>
          <w:color w:val="auto"/>
        </w:rPr>
        <w:t>Buyer’s Default/Seller’s Remedies</w:t>
      </w:r>
      <w:r>
        <w:rPr>
          <w:rFonts w:ascii="Times New Roman" w:cs="Times New Roman" w:eastAsia="Times New Roman" w:hAnsi="Times New Roman"/>
          <w:sz w:val="20"/>
          <w:szCs w:val="20"/>
          <w:color w:val="auto"/>
        </w:rPr>
        <w:t>. If Buyer fails to buy the Property from Seller in accordance with this Agreement, or breaches any of its covenants, representations or warranties contained in this Agreement in any material respect, and any such breach or failure continues and is not cured within five (5) Business Days after Seller’s receipt of written notice of such failure or breach (other than the failure to purchase the Property at Closing as required by this Agreement for which Buyer shall be afforded only one (1) Business Day to cure such failure or breach), then Seller, as its sole and exclusive remedy at law or in equity, shall be entitled (any time thereafter and prior to any subsequent occurrence of Closing) to terminate this Agreement by written notice to Buyer and receive the Earnest Money Deposit from Escrow Agent as liquidated damages. SELLER AND BUYER ACKNOWLEDGE AND AGREE THAT IT WOULD BE EXTREMELY DIFFICULT AND IMPRACTICAL TO DETERMINE THE AMOUNT AND EXTENT OF DETRIMENT TO SELLER. BUYER AND SELLER THEREFORE AGREE THAT, IF BUYER DEFAULTS HEREUNDER AND FAILS TO CURE SUCH DEFAULT IN ACCORDANCE WITH THE EXPRESS TERMS OF THIS SECTION 16.2, BUYER’S EARNEST MONEY IS A REASONABLE ESTIMATE OF SELLER’S DAMAGES AND THAT SELLER SHALL BE ENTITLED TO SAID SUM AS LIQUIDATED DAMAGES, WHICH SHALL BE SELLER’S SOLE AND EXCLUSIVE REMEDY, EITHER AT LAW OR IN EQUITY, AS A RESULT OF SUCH DEFAULT. IN SUCH EVENT, THE ESCROW AGENT SHALL UPON WRITTEN DEMAND BY SELLER WITHOUT JOINDER OF BUYER, IMMEDIATELY DELIVER THE DEPOSIT TO SELLER. Notwithstanding the foregoing, this Section 16.2 shall not limit Buyer’s obligations or Seller’s rights and remedies under Sections 5.2 and 14 hereto.</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SECTION 17: </w:t>
      </w:r>
      <w:r>
        <w:rPr>
          <w:rFonts w:ascii="Times New Roman" w:cs="Times New Roman" w:eastAsia="Times New Roman" w:hAnsi="Times New Roman"/>
          <w:sz w:val="19"/>
          <w:szCs w:val="19"/>
          <w:b w:val="1"/>
          <w:bCs w:val="1"/>
          <w:color w:val="auto"/>
        </w:rPr>
        <w:t>GENERAL PROVISIONS</w:t>
      </w:r>
    </w:p>
    <w:p>
      <w:pPr>
        <w:spacing w:after="0" w:line="211" w:lineRule="exact"/>
        <w:rPr>
          <w:sz w:val="20"/>
          <w:szCs w:val="20"/>
          <w:color w:val="auto"/>
        </w:rPr>
      </w:pPr>
    </w:p>
    <w:p>
      <w:pPr>
        <w:jc w:val="both"/>
        <w:ind w:right="20" w:firstLine="749"/>
        <w:spacing w:after="0" w:line="300" w:lineRule="auto"/>
        <w:rPr>
          <w:sz w:val="20"/>
          <w:szCs w:val="20"/>
          <w:color w:val="auto"/>
        </w:rPr>
      </w:pPr>
      <w:r>
        <w:rPr>
          <w:rFonts w:ascii="Times New Roman" w:cs="Times New Roman" w:eastAsia="Times New Roman" w:hAnsi="Times New Roman"/>
          <w:sz w:val="19"/>
          <w:szCs w:val="19"/>
          <w:color w:val="auto"/>
        </w:rPr>
        <w:t>17.1</w:t>
      </w:r>
      <w:r>
        <w:rPr>
          <w:rFonts w:ascii="Times New Roman" w:cs="Times New Roman" w:eastAsia="Times New Roman" w:hAnsi="Times New Roman"/>
          <w:sz w:val="19"/>
          <w:szCs w:val="19"/>
          <w:b w:val="1"/>
          <w:bCs w:val="1"/>
          <w:u w:val="single" w:color="auto"/>
          <w:color w:val="auto"/>
        </w:rPr>
        <w:t>Agreement Binding</w:t>
      </w:r>
      <w:r>
        <w:rPr>
          <w:rFonts w:ascii="Times New Roman" w:cs="Times New Roman" w:eastAsia="Times New Roman" w:hAnsi="Times New Roman"/>
          <w:sz w:val="19"/>
          <w:szCs w:val="19"/>
          <w:color w:val="auto"/>
        </w:rPr>
        <w:t>. This Agreement shall be binding upon each party hereto and such party’s heirs, legal representatives, successors and assigns and shall inure to the benefit of each party hereto and such party’s heirs, legal representatives, successors and assigns.</w:t>
      </w:r>
    </w:p>
    <w:p>
      <w:pPr>
        <w:spacing w:after="0" w:line="1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17.2</w:t>
      </w: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Agreement, and all the Exhibits referenced herein and annexed hereto, contain the final, complete and entire agreement of the parties hereto with respect to the matters contained herein, and no prior agreement or understanding pertaining to any of the matters connected with this transaction shall be effective for any purpose. Except as may be otherwise provided herein, the</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agreements embodied herein may not be amended except by an agreement in writing signed by the parties hereto.</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17.3</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Agreement shall be governed by and construed under the laws of the State of North Carolina.</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17.4</w:t>
      </w:r>
      <w:r>
        <w:rPr>
          <w:rFonts w:ascii="Times New Roman" w:cs="Times New Roman" w:eastAsia="Times New Roman" w:hAnsi="Times New Roman"/>
          <w:sz w:val="20"/>
          <w:szCs w:val="20"/>
          <w:b w:val="1"/>
          <w:bCs w:val="1"/>
          <w:u w:val="single" w:color="auto"/>
          <w:color w:val="auto"/>
        </w:rPr>
        <w:t>Further Assurances</w:t>
      </w:r>
      <w:r>
        <w:rPr>
          <w:rFonts w:ascii="Times New Roman" w:cs="Times New Roman" w:eastAsia="Times New Roman" w:hAnsi="Times New Roman"/>
          <w:sz w:val="20"/>
          <w:szCs w:val="20"/>
          <w:color w:val="auto"/>
        </w:rPr>
        <w:t>. Seller and Buyer each agree to execute and deliver to the other such further documents or instruments as may be reasonable and necessary in furtherance of the performance of the terms, covenants and conditions of this Agreement. This covenant shall survive the Closing for a period of thirty (30) days.</w:t>
      </w:r>
    </w:p>
    <w:p>
      <w:pPr>
        <w:spacing w:after="0" w:line="16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17.5</w:t>
      </w:r>
      <w:r>
        <w:rPr>
          <w:rFonts w:ascii="Times New Roman" w:cs="Times New Roman" w:eastAsia="Times New Roman" w:hAnsi="Times New Roman"/>
          <w:sz w:val="20"/>
          <w:szCs w:val="20"/>
          <w:b w:val="1"/>
          <w:bCs w:val="1"/>
          <w:u w:val="single" w:color="auto"/>
          <w:color w:val="auto"/>
        </w:rPr>
        <w:t>Interpretation</w:t>
      </w:r>
      <w:r>
        <w:rPr>
          <w:rFonts w:ascii="Times New Roman" w:cs="Times New Roman" w:eastAsia="Times New Roman" w:hAnsi="Times New Roman"/>
          <w:sz w:val="20"/>
          <w:szCs w:val="20"/>
          <w:color w:val="auto"/>
        </w:rPr>
        <w:t>. The titles, captions and paragraph headings are inserted for convenience only and are in no way intended to interpret, define, limit or expand the scope or content of this Agreement or any provision hereof. If any party to this Agreement is made up of more than one person, then all such persons shall be included jointly and severally, even though the defined term for such party is used in the singular in this Agreement. This Agreement shall be construed without regard to any presumption or other rule requiring construction against the party causing this Agreement to be drafted. If any words or phrases in this Agreement shall have been stricken out or otherwise eliminated, whether or not any other words or phrases have been added, this Agreement shall be construed as if the words or phrases so stricken out or otherwise eliminated were never included in this Agreement and no implication or inference shall be drawn from the fact that said words or phrases were so stricken out or otherwise eliminated.</w:t>
      </w:r>
    </w:p>
    <w:p>
      <w:pPr>
        <w:spacing w:after="0" w:line="18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17.6</w:t>
      </w: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Agreement may be executed in separate counterparts. It shall be fully executed when each party whose signature is required has signed at least one (1) counterpart even though no one (1) counterpart contains the signatures of all of the parties to this Agreement. Furthermore, the parties agree that (i) this Agreement may be transmitted between them by electronic mail and (ii) electronic signatures and copies (including electronic copies) of manual signatures shall have the effect of original signatures relative to this Agreement. Copies of this Agreement (including copies stored electronically) shall be deemed originals for all purposes.</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17.7</w:t>
      </w:r>
      <w:r>
        <w:rPr>
          <w:rFonts w:ascii="Times New Roman" w:cs="Times New Roman" w:eastAsia="Times New Roman" w:hAnsi="Times New Roman"/>
          <w:sz w:val="20"/>
          <w:szCs w:val="20"/>
          <w:b w:val="1"/>
          <w:bCs w:val="1"/>
          <w:u w:val="single" w:color="auto"/>
          <w:color w:val="auto"/>
        </w:rPr>
        <w:t>Non-waiver</w:t>
      </w:r>
      <w:r>
        <w:rPr>
          <w:rFonts w:ascii="Times New Roman" w:cs="Times New Roman" w:eastAsia="Times New Roman" w:hAnsi="Times New Roman"/>
          <w:sz w:val="20"/>
          <w:szCs w:val="20"/>
          <w:color w:val="auto"/>
        </w:rPr>
        <w:t>. No delay or omission in the exercise of any right or remedy accruing to Seller or Buyer upon any breach under this Agreement shall impair such right or remedy or be construed as a waiver of any such breach theretofore or thereafter occurring. The waiver by Seller or Buyer of any breach of any term, covenant or condition herein stated shall not be deemed to be a waiver of any other breach, or of a subsequent breach of the same or any other term, covenant or condition herein contained.</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17.8</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This Agreement is intended to be performed in accordance with and only to the extent permitted by applicable law. If any provisions of this Agreement or the application thereof to any person or circumstance shall, for any reason and to any extent, be invalid or unenforceable, but the extent of the invalidity or unenforceability does not destroy the basis of the bargain between the parties as contained herein, the remainder of this Agreement and the application of such provision to other persons or circumstances shall not be affected thereby, but rather shall be enforced to the greatest extent permitted by law.</w:t>
      </w:r>
    </w:p>
    <w:p>
      <w:pPr>
        <w:spacing w:after="0" w:line="180"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17.9</w:t>
      </w:r>
      <w:r>
        <w:rPr>
          <w:rFonts w:ascii="Times New Roman" w:cs="Times New Roman" w:eastAsia="Times New Roman" w:hAnsi="Times New Roman"/>
          <w:sz w:val="20"/>
          <w:szCs w:val="20"/>
          <w:b w:val="1"/>
          <w:bCs w:val="1"/>
          <w:u w:val="single" w:color="auto"/>
          <w:color w:val="auto"/>
        </w:rPr>
        <w:t>Exhibits and Schedules</w:t>
      </w:r>
      <w:r>
        <w:rPr>
          <w:rFonts w:ascii="Times New Roman" w:cs="Times New Roman" w:eastAsia="Times New Roman" w:hAnsi="Times New Roman"/>
          <w:sz w:val="20"/>
          <w:szCs w:val="20"/>
          <w:color w:val="auto"/>
        </w:rPr>
        <w:t>. The Exhibits and Schedules referred in and attached to this Agreement are incorporated herein in full by this reference.</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17.10</w:t>
      </w:r>
      <w:r>
        <w:rPr>
          <w:rFonts w:ascii="Times New Roman" w:cs="Times New Roman" w:eastAsia="Times New Roman" w:hAnsi="Times New Roman"/>
          <w:sz w:val="20"/>
          <w:szCs w:val="20"/>
          <w:b w:val="1"/>
          <w:bCs w:val="1"/>
          <w:u w:val="single" w:color="auto"/>
          <w:color w:val="auto"/>
        </w:rPr>
        <w:t>Attorneys’ Fees and Costs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the event suit or action is instituted to interpret or enforce the terms of this Agreement, or in connection with any arbitration or mediation of any dispute, the prevailing</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party, as determined by a court of competent jurisdiction, the arbitrator or mediator, as applicable, shall be entitled to recover from the other party such sum as the court, arbitrator or mediator may adjudge reasonable as such party’s costs and attorney’s fees, including such costs and fees as are incurred in any trial, on any appeal, and in any petition for review.</w:t>
      </w:r>
    </w:p>
    <w:p>
      <w:pPr>
        <w:spacing w:after="0" w:line="17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17.11</w:t>
      </w:r>
      <w:r>
        <w:rPr>
          <w:rFonts w:ascii="Times New Roman" w:cs="Times New Roman" w:eastAsia="Times New Roman" w:hAnsi="Times New Roman"/>
          <w:sz w:val="19"/>
          <w:szCs w:val="19"/>
          <w:b w:val="1"/>
          <w:bCs w:val="1"/>
          <w:u w:val="single" w:color="auto"/>
          <w:color w:val="auto"/>
        </w:rPr>
        <w:t>Time of the Essence</w:t>
      </w:r>
      <w:r>
        <w:rPr>
          <w:rFonts w:ascii="Times New Roman" w:cs="Times New Roman" w:eastAsia="Times New Roman" w:hAnsi="Times New Roman"/>
          <w:sz w:val="19"/>
          <w:szCs w:val="19"/>
          <w:color w:val="auto"/>
        </w:rPr>
        <w:t>. Time shall be of the essence in enforcing this Agreement. Anywhere a day certain is stated for payment or for performance of any obligation, the day certain so stated enters into and becomes a part of the consideration for this Agreement. If any date set forth in this Agreement shall fall on, or any time period set forth in this Agreement shall expire on, a day which is a Saturday, Sunday, federal or state holiday, or other non-Business Day in the state where the Property is located, such date shall automatically be extended to, and the expiration of such time period shall automatically be extended to, the next day which is not a Saturday, Sunday, federal or state holiday or other non-Business Day. The final day of any time period under this Agreement or any deadline under this Agreement shall be the specified day or date and shall include the period of time through and including such specified day or date.</w:t>
      </w:r>
    </w:p>
    <w:p>
      <w:pPr>
        <w:spacing w:after="0" w:line="16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17.12</w:t>
      </w:r>
      <w:r>
        <w:rPr>
          <w:rFonts w:ascii="Times New Roman" w:cs="Times New Roman" w:eastAsia="Times New Roman" w:hAnsi="Times New Roman"/>
          <w:sz w:val="20"/>
          <w:szCs w:val="20"/>
          <w:b w:val="1"/>
          <w:bCs w:val="1"/>
          <w:u w:val="single" w:color="auto"/>
          <w:color w:val="auto"/>
        </w:rPr>
        <w:t>1031 Exchange</w:t>
      </w:r>
      <w:r>
        <w:rPr>
          <w:rFonts w:ascii="Times New Roman" w:cs="Times New Roman" w:eastAsia="Times New Roman" w:hAnsi="Times New Roman"/>
          <w:sz w:val="20"/>
          <w:szCs w:val="20"/>
          <w:color w:val="auto"/>
        </w:rPr>
        <w:t>. Upon request of a party hereto (the “Requesting Party”), the other party (the “Cooperating Party”) shall cooperate in effecting one or more tax-deferred like kind exchanges under Section 1031 of the Code in connection with the transaction contemplated by this Agreement, including the execution of escrow instructions and other documents as are necessary therefor (subject to the reasonable approval of their respective legal counsel); provided that, the exchange does not extend the Closing Date and the Requesting Party will pay any and all additional fees, costs or expenses connected with such exchange. Requesting Party may assign its rights in, and delegate its duties under, this Agreement (in part or in whole), as well as transfer its interest in the Property, to an exchange intermediary, and Requesting Party may add such intermediary as an additional party to the escrow; provided that, Requesting Party shall remain primarily liable under this Agreement, such assignment, delegation or transfer shall not delay Closing, and Cooperating Party incurs no additional expense as a result thereof. Without limiting the foregoing, Cooperating Party shall not by this Agreement or acquiescence to any exchange requested by Requesting Party have its rights under this Agreement modified or diminished in any manner or be responsible for compliance with or be deemed to have warranted to Requesting Party that any such exchange in fact complies with Section 1031 of the Code. Cooperating Party shall have the right to review and approve any documents to be executed by Cooperating Party in connection with any such exchange requested by Requesting Party; provided, however, such approval shall not be unreasonably withheld, conditioned or delayed. Cooperating Party shall have no obligation to execute any documents or to undertake any action by which Cooperating Party would or might incur any liability or obligation not otherwise provided for in the other provisions of this Agreement or to take title to any additional property. Neither the conveyance of title to the Property to Requesting Party’s designated intermediary, or qualified exchange accommodation title holder (if applicable), nor any exchange shall amend or modify the representations, warranties and covenants of Requesting Party to Cooperating Party under this Agreement or the survival thereof pursuant to this Agreement in any respect, nor shall any such conveyance or exchange result in a release of Requesting Party with respect to such representations, warranties and/or covenants. Requesting Party hereby agrees to indemnify, defend and hold Cooperating Party harmless from and against any and all losses, damages, injuries, liabilities, claims, costs or expenses (including, but not limited to, reasonable attorneys’ fees) arising from any such exchange requested by Requesting Party (other than what would have been applicable under this Agreement without such exchange), which indemnification agreement shall expressly survive the Closing and not be merged therein. Requesting Party will be relying solely upon the advice and counsel of professionals of the Requesting Party’s choice in structuring, executing and consummating any such exchange.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17.13</w:t>
      </w:r>
      <w:r>
        <w:rPr>
          <w:rFonts w:ascii="Times New Roman" w:cs="Times New Roman" w:eastAsia="Times New Roman" w:hAnsi="Times New Roman"/>
          <w:sz w:val="20"/>
          <w:szCs w:val="20"/>
          <w:b w:val="1"/>
          <w:bCs w:val="1"/>
          <w:u w:val="single" w:color="auto"/>
          <w:color w:val="auto"/>
        </w:rPr>
        <w:t>Confidentiality</w:t>
      </w:r>
      <w:r>
        <w:rPr>
          <w:rFonts w:ascii="Times New Roman" w:cs="Times New Roman" w:eastAsia="Times New Roman" w:hAnsi="Times New Roman"/>
          <w:sz w:val="20"/>
          <w:szCs w:val="20"/>
          <w:color w:val="auto"/>
        </w:rPr>
        <w:t>. Both Seller and Buyer agree to maintain confidentiality regarding, and</w:t>
      </w: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shall not disclose without the prior written consent of the other party, (a) the terms and conditions of this Agreement and any negotiations thereof, (b) in the case of the Buyer, information learned relating to the condition of the Property, and (c) the identity or any financial information of the other party; provided, however, nothing in this Section 17.13 shall prevent Buyer or Seller from disclosing such matters to</w:t>
      </w:r>
    </w:p>
    <w:p>
      <w:pPr>
        <w:jc w:val="both"/>
        <w:ind w:firstLine="8"/>
        <w:spacing w:after="0" w:line="239" w:lineRule="auto"/>
        <w:tabs>
          <w:tab w:leader="none" w:pos="27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officers, employees, investment managers, investors, consultants, accountants, attorneys, lenders and advisors who are bound by obligations of confidentiality to the disclosing party, (ii) in the case of Seller, to governmental entities for incentive or approval purposes, or</w:t>
      </w:r>
    </w:p>
    <w:p>
      <w:pPr>
        <w:jc w:val="both"/>
        <w:ind w:firstLine="8"/>
        <w:spacing w:after="0" w:line="241" w:lineRule="auto"/>
        <w:tabs>
          <w:tab w:leader="none" w:pos="395"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required by law. Further, each of Seller and Buyer is expressly permitted, following the Closing, to issue press releases or announcements relating to such party’s acquisition or disposition of the Property, so long as such press releases/announcements do not contain the identity or any financial information of the other party. The terms and conditions of this Section 17.13 shall survive the expiration or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to follow]</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IN WITNESS WHEREOF, Seller and Buyer have caused this Agreement to be executed, as of the day and year first above written.</w:t>
      </w:r>
    </w:p>
    <w:p>
      <w:pPr>
        <w:spacing w:after="0" w:line="2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BUYER:</w:t>
      </w:r>
    </w:p>
    <w:p>
      <w:pPr>
        <w:spacing w:after="0" w:line="2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NORTHPOINT DEVELOPMENT, LLC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194" w:lineRule="exact"/>
        <w:rPr>
          <w:sz w:val="20"/>
          <w:szCs w:val="20"/>
          <w:color w:val="auto"/>
        </w:rPr>
      </w:pPr>
    </w:p>
    <w:tbl>
      <w:tblPr>
        <w:tblLayout w:type="fixed"/>
        <w:tblInd w:w="4240" w:type="dxa"/>
        <w:tblCellMar>
          <w:top w:w="0" w:type="dxa"/>
          <w:left w:w="0" w:type="dxa"/>
          <w:bottom w:w="0" w:type="dxa"/>
          <w:right w:w="0" w:type="dxa"/>
        </w:tblCellMar>
      </w:tblPr>
      <w:tr>
        <w:trPr>
          <w:trHeight w:val="252"/>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Nathaniel Hagedorn</w:t>
            </w:r>
          </w:p>
        </w:tc>
      </w:tr>
      <w:tr>
        <w:trPr>
          <w:trHeight w:val="200"/>
        </w:trPr>
        <w:tc>
          <w:tcPr>
            <w:tcW w:w="11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86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Nathaniel Hagedorn</w:t>
            </w:r>
          </w:p>
        </w:tc>
      </w:tr>
      <w:tr>
        <w:trPr>
          <w:trHeight w:val="258"/>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Manager</w:t>
            </w:r>
          </w:p>
        </w:tc>
      </w:tr>
    </w:tbl>
    <w:p>
      <w:pPr>
        <w:spacing w:after="0" w:line="200" w:lineRule="exact"/>
        <w:rPr>
          <w:sz w:val="20"/>
          <w:szCs w:val="20"/>
          <w:color w:val="auto"/>
        </w:rPr>
      </w:pPr>
    </w:p>
    <w:p>
      <w:pPr>
        <w:spacing w:after="0" w:line="21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SELLER:</w:t>
      </w:r>
    </w:p>
    <w:p>
      <w:pPr>
        <w:spacing w:after="0" w:line="2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PROKIDNEY ACQUISITION COMPANY</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tbl>
      <w:tblPr>
        <w:tblLayout w:type="fixed"/>
        <w:tblInd w:w="4240" w:type="dxa"/>
        <w:tblCellMar>
          <w:top w:w="0" w:type="dxa"/>
          <w:left w:w="0" w:type="dxa"/>
          <w:bottom w:w="0" w:type="dxa"/>
          <w:right w:w="0" w:type="dxa"/>
        </w:tblCellMar>
      </w:tblPr>
      <w:tr>
        <w:trPr>
          <w:trHeight w:val="252"/>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Bruce Culleton</w:t>
            </w:r>
          </w:p>
        </w:tc>
      </w:tr>
      <w:tr>
        <w:trPr>
          <w:trHeight w:val="200"/>
        </w:trPr>
        <w:tc>
          <w:tcPr>
            <w:tcW w:w="11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86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Bruce Culleton</w:t>
            </w:r>
          </w:p>
        </w:tc>
      </w:tr>
      <w:tr>
        <w:trPr>
          <w:trHeight w:val="258"/>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861695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680" w:top="1440" w:right="41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EXHIBITS</w:t>
            </w:r>
          </w:p>
        </w:tc>
        <w:tc>
          <w:tcPr>
            <w:tcW w:w="9760" w:type="dxa"/>
            <w:vAlign w:val="bottom"/>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r>
      <w:tr>
        <w:trPr>
          <w:trHeight w:val="918"/>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A</w:t>
            </w:r>
          </w:p>
        </w:tc>
        <w:tc>
          <w:tcPr>
            <w:tcW w:w="3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Legal Description</w:t>
            </w:r>
          </w:p>
        </w:tc>
      </w:tr>
      <w:tr>
        <w:trPr>
          <w:trHeight w:val="446"/>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B</w:t>
            </w:r>
          </w:p>
        </w:tc>
        <w:tc>
          <w:tcPr>
            <w:tcW w:w="102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List of Service Agreements</w:t>
            </w:r>
          </w:p>
        </w:tc>
      </w:tr>
      <w:tr>
        <w:trPr>
          <w:trHeight w:val="445"/>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C -</w:t>
            </w:r>
          </w:p>
        </w:tc>
        <w:tc>
          <w:tcPr>
            <w:tcW w:w="102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Intentionally Omitted</w:t>
            </w:r>
          </w:p>
        </w:tc>
      </w:tr>
      <w:tr>
        <w:trPr>
          <w:trHeight w:val="446"/>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D</w:t>
            </w:r>
          </w:p>
        </w:tc>
        <w:tc>
          <w:tcPr>
            <w:tcW w:w="3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Escrow Agreement</w:t>
            </w:r>
          </w:p>
        </w:tc>
      </w:tr>
      <w:tr>
        <w:trPr>
          <w:trHeight w:val="445"/>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E -</w:t>
            </w:r>
          </w:p>
        </w:tc>
        <w:tc>
          <w:tcPr>
            <w:tcW w:w="102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Form of Deed</w:t>
            </w:r>
          </w:p>
        </w:tc>
      </w:tr>
      <w:tr>
        <w:trPr>
          <w:trHeight w:val="446"/>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F -</w:t>
            </w:r>
          </w:p>
        </w:tc>
        <w:tc>
          <w:tcPr>
            <w:tcW w:w="102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Form of Bill of Sale</w:t>
            </w:r>
          </w:p>
        </w:tc>
      </w:tr>
      <w:tr>
        <w:trPr>
          <w:trHeight w:val="446"/>
        </w:trPr>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w:t>
            </w:r>
          </w:p>
        </w:tc>
        <w:tc>
          <w:tcPr>
            <w:tcW w:w="3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97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Warranties</w:t>
            </w:r>
          </w:p>
        </w:tc>
      </w:tr>
      <w:tr>
        <w:trPr>
          <w:trHeight w:val="2849"/>
        </w:trPr>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79" w:name="page180"/>
    <w:bookmarkEnd w:id="179"/>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LAND</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BEING ALL OF LOT 2B as shown on that certain plat entitled “FINAL PLAT OF LOTS 2A &amp; 2B FOR GREENLEA 68 SITE” recorded in Plat Book 208, Page 70 of the Guilford County Registry.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Tax Parcel Number: 7816-38-3347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for Informational Purposes Only: 7901 Indlea Point, Colfax,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1561465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0" w:name="page181"/>
    <w:bookmarkEnd w:id="180"/>
    <w:p>
      <w:pPr>
        <w:spacing w:after="0" w:line="18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u w:val="single" w:color="auto"/>
          <w:color w:val="auto"/>
        </w:rPr>
        <w:t>LIST OF SERVICE AGREEMENTS</w:t>
      </w:r>
    </w:p>
    <w:p>
      <w:pPr>
        <w:spacing w:after="0" w:line="220" w:lineRule="exact"/>
        <w:rPr>
          <w:sz w:val="20"/>
          <w:szCs w:val="20"/>
          <w:color w:val="auto"/>
        </w:rPr>
      </w:pPr>
    </w:p>
    <w:p>
      <w:pPr>
        <w:ind w:left="380" w:hanging="378"/>
        <w:spacing w:after="0" w:line="269" w:lineRule="auto"/>
        <w:tabs>
          <w:tab w:leader="none" w:pos="3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Lawn and Landscape Maintenance Agreement with GLS Landscaping and Maintenance dated July 24, 2023; unwritten agreement with GLS Landscaping and Maintenance to continue services month-to-month.</w:t>
      </w:r>
    </w:p>
    <w:p>
      <w:pPr>
        <w:spacing w:after="0" w:line="172" w:lineRule="exact"/>
        <w:rPr>
          <w:rFonts w:ascii="Times New Roman" w:cs="Times New Roman" w:eastAsia="Times New Roman" w:hAnsi="Times New Roman"/>
          <w:sz w:val="20"/>
          <w:szCs w:val="20"/>
          <w:color w:val="auto"/>
        </w:rPr>
      </w:pPr>
    </w:p>
    <w:p>
      <w:pPr>
        <w:ind w:left="380" w:hanging="378"/>
        <w:spacing w:after="0"/>
        <w:tabs>
          <w:tab w:leader="none" w:pos="3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Unwritten agreement with Patriot Systems LLC for month-to-month fire system monitoring.</w:t>
      </w:r>
    </w:p>
    <w:p>
      <w:pPr>
        <w:spacing w:after="0" w:line="229" w:lineRule="exact"/>
        <w:rPr>
          <w:rFonts w:ascii="Times New Roman" w:cs="Times New Roman" w:eastAsia="Times New Roman" w:hAnsi="Times New Roman"/>
          <w:sz w:val="20"/>
          <w:szCs w:val="20"/>
          <w:color w:val="auto"/>
        </w:rPr>
      </w:pPr>
    </w:p>
    <w:p>
      <w:pPr>
        <w:ind w:left="380" w:hanging="378"/>
        <w:spacing w:after="0" w:line="269" w:lineRule="auto"/>
        <w:tabs>
          <w:tab w:leader="none" w:pos="3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Unwritten agreement with Johnson Controls Fire Protection to perform annual sprinkler and backflow inspections. No current agreement.</w:t>
      </w:r>
    </w:p>
    <w:p>
      <w:pPr>
        <w:spacing w:after="0" w:line="172" w:lineRule="exact"/>
        <w:rPr>
          <w:rFonts w:ascii="Times New Roman" w:cs="Times New Roman" w:eastAsia="Times New Roman" w:hAnsi="Times New Roman"/>
          <w:sz w:val="20"/>
          <w:szCs w:val="20"/>
          <w:color w:val="auto"/>
        </w:rPr>
      </w:pPr>
    </w:p>
    <w:p>
      <w:pPr>
        <w:ind w:left="380" w:hanging="378"/>
        <w:spacing w:after="0" w:line="269" w:lineRule="auto"/>
        <w:tabs>
          <w:tab w:leader="none" w:pos="3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Unwritten agreement with Systems Contractors for preventative maintenance of the AHU and Exhaust Fans at the Property. No current agreement.</w:t>
      </w:r>
    </w:p>
    <w:p>
      <w:pPr>
        <w:spacing w:after="0" w:line="172" w:lineRule="exact"/>
        <w:rPr>
          <w:rFonts w:ascii="Times New Roman" w:cs="Times New Roman" w:eastAsia="Times New Roman" w:hAnsi="Times New Roman"/>
          <w:sz w:val="20"/>
          <w:szCs w:val="20"/>
          <w:color w:val="auto"/>
        </w:rPr>
      </w:pPr>
    </w:p>
    <w:p>
      <w:pPr>
        <w:ind w:left="380" w:hanging="378"/>
        <w:spacing w:after="0"/>
        <w:tabs>
          <w:tab w:leader="none" w:pos="3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Stormwater Device Maintenance Service Agreement with Foster Lake &amp; Pond Management dated October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1407160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1843405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77" w:right="1440"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ESCROW AGREEMENT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THIS EARNEST MONEY ESCROW AGREEMENT, dated and effective as of this </w:t>
      </w:r>
      <w:r>
        <w:rPr>
          <w:rFonts w:ascii="Times New Roman" w:cs="Times New Roman" w:eastAsia="Times New Roman" w:hAnsi="Times New Roman"/>
          <w:sz w:val="20"/>
          <w:szCs w:val="20"/>
          <w:u w:val="single" w:color="auto"/>
          <w:color w:val="auto"/>
        </w:rPr>
        <w:t>______</w:t>
      </w:r>
      <w:r>
        <w:rPr>
          <w:rFonts w:ascii="Times New Roman" w:cs="Times New Roman" w:eastAsia="Times New Roman" w:hAnsi="Times New Roman"/>
          <w:sz w:val="20"/>
          <w:szCs w:val="20"/>
          <w:color w:val="auto"/>
        </w:rPr>
        <w:t xml:space="preserve"> day of October, 2025 (hereinafter</w:t>
      </w:r>
    </w:p>
    <w:p>
      <w:pPr>
        <w:spacing w:after="0" w:line="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referred to as this “Agreement”), made and entered into by and between </w:t>
      </w:r>
      <w:r>
        <w:rPr>
          <w:rFonts w:ascii="Times New Roman" w:cs="Times New Roman" w:eastAsia="Times New Roman" w:hAnsi="Times New Roman"/>
          <w:sz w:val="20"/>
          <w:szCs w:val="20"/>
          <w:b w:val="1"/>
          <w:bCs w:val="1"/>
          <w:color w:val="auto"/>
        </w:rPr>
        <w:t>NORTHPOINT DEVELOPMENT, LLC</w:t>
      </w:r>
      <w:r>
        <w:rPr>
          <w:rFonts w:ascii="Times New Roman" w:cs="Times New Roman" w:eastAsia="Times New Roman" w:hAnsi="Times New Roman"/>
          <w:sz w:val="20"/>
          <w:szCs w:val="20"/>
          <w:color w:val="auto"/>
        </w:rPr>
        <w:t xml:space="preserve">, a Delaware limited liability company (hereinafter referred to as “Buyer”), and </w:t>
      </w:r>
      <w:r>
        <w:rPr>
          <w:rFonts w:ascii="Times New Roman" w:cs="Times New Roman" w:eastAsia="Times New Roman" w:hAnsi="Times New Roman"/>
          <w:sz w:val="20"/>
          <w:szCs w:val="20"/>
          <w:b w:val="1"/>
          <w:bCs w:val="1"/>
          <w:color w:val="auto"/>
        </w:rPr>
        <w:t>PROKIDNEY ACQUISITION COMPANY, LLC</w:t>
      </w:r>
      <w:r>
        <w:rPr>
          <w:rFonts w:ascii="Times New Roman" w:cs="Times New Roman" w:eastAsia="Times New Roman" w:hAnsi="Times New Roman"/>
          <w:sz w:val="20"/>
          <w:szCs w:val="20"/>
          <w:color w:val="auto"/>
        </w:rPr>
        <w:t xml:space="preserve">, a Delaware limited liability company (hereinafter referred to as “Seller”), and </w:t>
      </w:r>
      <w:r>
        <w:rPr>
          <w:rFonts w:ascii="Times New Roman" w:cs="Times New Roman" w:eastAsia="Times New Roman" w:hAnsi="Times New Roman"/>
          <w:sz w:val="20"/>
          <w:szCs w:val="20"/>
          <w:b w:val="1"/>
          <w:bCs w:val="1"/>
          <w:color w:val="auto"/>
        </w:rPr>
        <w:t>CHICAGO TITLE INSURANCE COMPANY</w:t>
      </w:r>
      <w:r>
        <w:rPr>
          <w:rFonts w:ascii="Times New Roman" w:cs="Times New Roman" w:eastAsia="Times New Roman" w:hAnsi="Times New Roman"/>
          <w:sz w:val="20"/>
          <w:szCs w:val="20"/>
          <w:color w:val="auto"/>
        </w:rPr>
        <w:t xml:space="preserve"> (hereinafter referred to as “Escrow Agent”);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 xml:space="preserve"> :</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WHEREAS, Seller and Buyer have entered into and executed that certain Purchase and Sale Agreement dated October __, 2025 (hereinafter referred to as the “Contract”), under which certain sums (the same being more particularly described in the Contract and being therein and herein referred to as the “Earnest Money Deposit”)) are to be held by Escrow Agent; and</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Buyer, Seller and Escrow Agent desire to evidence their agreement with respect to the delivery, holding and disbursement of the Earnest Money Deposit, with all defined terms having the meaning as set forth in the Contract.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sum of TEN AND NO/100 DOLLARS ($10.00) in hand paid to each of the parties hereto, and other good and valuable considerations, the receipt and sufficiency whereof are hereby acknowledged, the parties hereto covenant and agree as follows:</w:t>
      </w:r>
    </w:p>
    <w:p>
      <w:pPr>
        <w:spacing w:after="0" w:line="174" w:lineRule="exact"/>
        <w:rPr>
          <w:sz w:val="20"/>
          <w:szCs w:val="20"/>
          <w:color w:val="auto"/>
        </w:rPr>
      </w:pPr>
    </w:p>
    <w:p>
      <w:pPr>
        <w:ind w:firstLine="757"/>
        <w:spacing w:after="0" w:line="269" w:lineRule="auto"/>
        <w:tabs>
          <w:tab w:leader="none" w:pos="101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hereby agree that Escrow Agent shall hold the Earnest Money Deposit as contemplated by the Contract. Escrow Agent hereby acknowledges receipt of a copy of the Contract, together with Buyer’s wire transfer of the Earnest Money Deposit.</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Escrow Agent agrees to invest the Earnest Money Deposit in a money market account at a federally insured banking institution. The tax identification number of Buyer shall be used in connection with such investment. Any return earned by such investment shall be added to and become a part of the Earnest Money Deposit.</w:t>
      </w:r>
    </w:p>
    <w:p>
      <w:pPr>
        <w:spacing w:after="0" w:line="174"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acknowledge that under the terms of the Contract, Buyer has the right to terminate the Contract by written notice to Seller, delivered to Seller at any time on or before the end of the Due Diligence Period described in the Contract. If Buyer gives written notice to Escrow Agent and Seller that the Contract has been terminated in accordance with the terms of the Contract, then Escrow Agent shall be and is hereby authorized and directed to disburse the Earnest Money Deposit less the Non-Refundable EMD, in accordance with the provisions of the Contract relating to such termination, without the need for any consent or joinder or other instructions from Seller and notwithstanding any objection by Seller.</w:t>
      </w:r>
    </w:p>
    <w:p>
      <w:pPr>
        <w:spacing w:after="0" w:line="184"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authorized disbursement of the Earnest Money Deposit in accordance with the immediately preceding paragraph, Buyer and Seller agree that Escrow Agent shall not be obligated to disburse the Earnest Money Deposit except in accordance with a written notice executed by a party in accordance with the terms of the Contract. Without limiting the generality of the foregoing, should either Buyer or Seller default under the Contract and should either Buyer or Seller notify Escrow Agent that, by reason of such default, it is entitled to receive the Earnest Money Deposit, then Escrow Agent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1525270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83" w:name="page184"/>
    <w:bookmarkEnd w:id="183"/>
    <w:p>
      <w:pPr>
        <w:spacing w:after="0" w:line="269" w:lineRule="auto"/>
        <w:rPr>
          <w:sz w:val="20"/>
          <w:szCs w:val="20"/>
          <w:color w:val="auto"/>
        </w:rPr>
      </w:pPr>
      <w:r>
        <w:rPr>
          <w:rFonts w:ascii="Times New Roman" w:cs="Times New Roman" w:eastAsia="Times New Roman" w:hAnsi="Times New Roman"/>
          <w:sz w:val="20"/>
          <w:szCs w:val="20"/>
          <w:color w:val="auto"/>
        </w:rPr>
        <w:t>obligated to disburse the Earnest Money Deposit to the party claiming the same without the prior written consent of the other party to the Contract.</w:t>
      </w:r>
    </w:p>
    <w:p>
      <w:pPr>
        <w:spacing w:after="0" w:line="159" w:lineRule="exact"/>
        <w:rPr>
          <w:sz w:val="20"/>
          <w:szCs w:val="20"/>
          <w:color w:val="auto"/>
        </w:rPr>
      </w:pPr>
    </w:p>
    <w:p>
      <w:pPr>
        <w:jc w:val="both"/>
        <w:ind w:firstLine="1505"/>
        <w:spacing w:after="0" w:line="254" w:lineRule="auto"/>
        <w:tabs>
          <w:tab w:leader="none" w:pos="2036"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to Seller or Buyer hereunder shall be delivered in accordance with Section 12 of the Contract, and notices to Escrow Agent hereunder shall be delivered to Escrow Agent in any manner provided in Section 12 of the Contract at Chicago Title Insurance Company, 100 NE Tudor Road, Ste. 104, Lee’s Summit, MO 64086, attn: Randi Canon.</w:t>
      </w:r>
    </w:p>
    <w:p>
      <w:pPr>
        <w:spacing w:after="0" w:line="174" w:lineRule="exact"/>
        <w:rPr>
          <w:rFonts w:ascii="Times New Roman" w:cs="Times New Roman" w:eastAsia="Times New Roman" w:hAnsi="Times New Roman"/>
          <w:sz w:val="20"/>
          <w:szCs w:val="20"/>
          <w:color w:val="auto"/>
        </w:rPr>
      </w:pPr>
    </w:p>
    <w:p>
      <w:pPr>
        <w:jc w:val="both"/>
        <w:ind w:firstLine="1505"/>
        <w:spacing w:after="0" w:line="241" w:lineRule="auto"/>
        <w:tabs>
          <w:tab w:leader="none" w:pos="2103"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hereby covenant and agree that in performing any of its duties under this Agreement, Escrow Agent shall not be liable for any loss, costs, or damages which it may incur as a result of serving as Escrow Agent hereunder, except for any loss, costs, or damages arising out of its willful default or gross negligence. Accordingly, Escrow Agent shall not incur any liability with respect to (a) any action taken or omitted to be taken in good faith upon advice of its counsel given with respect to any questions relating to the duties and responsibilities of Escrow Agent under the Contract or this Agreement, or (b) any action taken or omitted to be taken in reliance upon any document, including any written notice or instruction provided for in the Contract or in this Agreement, not only as to its due execution and the validity and effectiveness of its provisions, but also as to the truth and accuracy of any information contained therein, which Escrow Agent shall in good faith believe to be genuine, to have been signed or presented by a proper person or persons, and to conform with the provisions of the Contract and this Agreement. Buyer and Seller hereby agree to indemnify and hold harmless Escrow Agent from and against any and all losses, claims, damages, liabilities and expenses, including without limitation, reasonable costs of investigation and attorney’s fees and disbursements, which may be imposed upon or incurred by Escrow Agent in connection with the performance of its obligations under the Contract and this Agreement, except for any loss, costs, or damages arising out of its willful default or gross negligence.</w:t>
      </w:r>
    </w:p>
    <w:p>
      <w:pPr>
        <w:spacing w:after="0" w:line="197"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dispute between any of the parties hereto sufficient in the sole discretion of Escrow Agent to justify its doing so, Escrow Agent shall be entitled to tender into the registry or custody of any court of competent jurisdiction all money or property in its hands held under the terms of the Contract or this Agreement, together with such legal pleadings as it deems appropriate, and thereupon Escrow Agent shall be discharged from any further obligation under the Contract or this Agreement.</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party hereto may assign its rights or obligations under this Agreement, either voluntarily or by operation of law, without prior written consent of all other parties hereto. Subject to said limitation on assignment, this Agreement shall inure to the benefit of and be binding upon the parties hereto and their respective heirs, executors, legal representatives, successors, successors-in-title, and assigns. Time is of the essence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[signatures commence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1546860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under seal,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u w:val="single" w:color="auto"/>
          <w:color w:val="auto"/>
        </w:rPr>
        <w:t>BUYER</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NORTHPOINT DEVELOPMENT, LLC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19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-10795</wp:posOffset>
            </wp:positionV>
            <wp:extent cx="125666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5">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spacing w:after="0" w:line="1" w:lineRule="exact"/>
        <w:rPr>
          <w:sz w:val="20"/>
          <w:szCs w:val="20"/>
          <w:color w:val="auto"/>
        </w:rPr>
      </w:pPr>
    </w:p>
    <w:p>
      <w:pPr>
        <w:ind w:left="3740"/>
        <w:spacing w:after="0"/>
        <w:tabs>
          <w:tab w:leader="none" w:pos="4520" w:val="left"/>
        </w:tabs>
        <w:rPr>
          <w:sz w:val="20"/>
          <w:szCs w:val="20"/>
          <w:color w:val="auto"/>
        </w:rPr>
      </w:pPr>
      <w:r>
        <w:rPr>
          <w:rFonts w:ascii="Times New Roman" w:cs="Times New Roman" w:eastAsia="Times New Roman" w:hAnsi="Times New Roman"/>
          <w:sz w:val="20"/>
          <w:szCs w:val="20"/>
          <w:color w:val="auto"/>
        </w:rPr>
        <w:t>Name:</w:t>
        <w:tab/>
        <w:t>Nathaniel Hagedorn</w:t>
      </w:r>
    </w:p>
    <w:p>
      <w:pPr>
        <w:ind w:left="3740"/>
        <w:spacing w:after="0"/>
        <w:tabs>
          <w:tab w:leader="none" w:pos="4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Manager</w:t>
      </w:r>
    </w:p>
    <w:p>
      <w:pPr>
        <w:spacing w:after="0" w:line="19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u w:val="single" w:color="auto"/>
          <w:color w:val="auto"/>
        </w:rPr>
        <w:t>SELLER</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left="3740"/>
        <w:spacing w:after="0" w:line="273" w:lineRule="auto"/>
        <w:rPr>
          <w:sz w:val="20"/>
          <w:szCs w:val="20"/>
          <w:color w:val="auto"/>
        </w:rPr>
      </w:pPr>
      <w:r>
        <w:rPr>
          <w:rFonts w:ascii="Times New Roman" w:cs="Times New Roman" w:eastAsia="Times New Roman" w:hAnsi="Times New Roman"/>
          <w:sz w:val="20"/>
          <w:szCs w:val="20"/>
          <w:b w:val="1"/>
          <w:bCs w:val="1"/>
          <w:color w:val="auto"/>
        </w:rPr>
        <w:t>PROKIDNEY ACQUISITION COMPANY, LLC</w:t>
      </w:r>
      <w:r>
        <w:rPr>
          <w:rFonts w:ascii="Times New Roman" w:cs="Times New Roman" w:eastAsia="Times New Roman" w:hAnsi="Times New Roman"/>
          <w:sz w:val="20"/>
          <w:szCs w:val="20"/>
          <w:color w:val="auto"/>
        </w:rPr>
        <w:t>, a Delaware limited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-10795</wp:posOffset>
            </wp:positionV>
            <wp:extent cx="125666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6">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 w:lineRule="exact"/>
        <w:rPr>
          <w:sz w:val="20"/>
          <w:szCs w:val="20"/>
          <w:color w:val="auto"/>
        </w:rPr>
      </w:pPr>
    </w:p>
    <w:p>
      <w:pPr>
        <w:ind w:left="3740"/>
        <w:spacing w:after="0"/>
        <w:tabs>
          <w:tab w:leader="none" w:pos="4520" w:val="left"/>
        </w:tabs>
        <w:rPr>
          <w:sz w:val="20"/>
          <w:szCs w:val="20"/>
          <w:color w:val="auto"/>
        </w:rPr>
      </w:pPr>
      <w:r>
        <w:rPr>
          <w:rFonts w:ascii="Times New Roman" w:cs="Times New Roman" w:eastAsia="Times New Roman" w:hAnsi="Times New Roman"/>
          <w:sz w:val="20"/>
          <w:szCs w:val="20"/>
          <w:color w:val="auto"/>
        </w:rPr>
        <w:t>Name:</w:t>
        <w:tab/>
        <w:t>Bruce Culleton</w:t>
      </w:r>
    </w:p>
    <w:p>
      <w:pPr>
        <w:ind w:left="3740"/>
        <w:spacing w:after="0"/>
        <w:tabs>
          <w:tab w:leader="none" w:pos="4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Executive Officer</w:t>
      </w:r>
    </w:p>
    <w:p>
      <w:pPr>
        <w:spacing w:after="0" w:line="19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u w:val="single" w:color="auto"/>
          <w:color w:val="auto"/>
        </w:rPr>
        <w:t>ESCROW AGENT</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CHICAGO TITLE INSURANCE COMPANY</w:t>
      </w:r>
    </w:p>
    <w:p>
      <w:pPr>
        <w:spacing w:after="0" w:line="2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-10795</wp:posOffset>
            </wp:positionV>
            <wp:extent cx="125666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7">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Name:</w:t>
      </w:r>
    </w:p>
    <w:p>
      <w:pPr>
        <w:ind w:left="3740"/>
        <w:spacing w:after="0"/>
        <w:tabs>
          <w:tab w:leader="none" w:pos="4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1804670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994" w:right="339" w:bottom="1440" w:gutter="0" w:footer="0" w:header="0"/>
        </w:sectPr>
      </w:pPr>
    </w:p>
    <w:bookmarkStart w:id="185" w:name="page186"/>
    <w:bookmarkEnd w:id="18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FORM OF DEED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Excise Tax: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Parcel Identifier No.: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Mail after recording to: Grantee</w:t>
      </w:r>
    </w:p>
    <w:p>
      <w:pPr>
        <w:spacing w:after="0" w:line="229" w:lineRule="exact"/>
        <w:rPr>
          <w:sz w:val="20"/>
          <w:szCs w:val="20"/>
          <w:color w:val="auto"/>
        </w:rPr>
      </w:pPr>
    </w:p>
    <w:p>
      <w:pPr>
        <w:jc w:val="center"/>
        <w:ind w:right="8580"/>
        <w:spacing w:after="0"/>
        <w:rPr>
          <w:sz w:val="20"/>
          <w:szCs w:val="20"/>
          <w:color w:val="auto"/>
        </w:rPr>
      </w:pPr>
      <w:r>
        <w:rPr>
          <w:rFonts w:ascii="Times New Roman" w:cs="Times New Roman" w:eastAsia="Times New Roman" w:hAnsi="Times New Roman"/>
          <w:sz w:val="19"/>
          <w:szCs w:val="19"/>
          <w:color w:val="auto"/>
        </w:rPr>
        <w:t>This instrument was prepared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Brief description for the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-132715</wp:posOffset>
            </wp:positionV>
            <wp:extent cx="4693285" cy="1758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0">
                      <a:extLst>
                        <a:ext uri="{28A0092B-C50C-407E-A947-70E740481C1C}"/>
                      </a:extLst>
                    </a:blip>
                    <a:srcRect/>
                    <a:stretch>
                      <a:fillRect/>
                    </a:stretch>
                  </pic:blipFill>
                  <pic:spPr bwMode="auto">
                    <a:xfrm>
                      <a:off x="0" y="0"/>
                      <a:ext cx="4693285" cy="1758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NORTH CAROLINA SPECIAL WARRANTY DEED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THIS DEED </w:t>
      </w:r>
      <w:r>
        <w:rPr>
          <w:rFonts w:ascii="Times New Roman" w:cs="Times New Roman" w:eastAsia="Times New Roman" w:hAnsi="Times New Roman"/>
          <w:sz w:val="20"/>
          <w:szCs w:val="20"/>
          <w:color w:val="auto"/>
        </w:rPr>
        <w:t>made this ____ day of __________________, 2025, by and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151765</wp:posOffset>
            </wp:positionV>
            <wp:extent cx="7057390" cy="15709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2">
                      <a:extLst>
                        <a:ext uri="{28A0092B-C50C-407E-A947-70E740481C1C}"/>
                      </a:extLst>
                    </a:blip>
                    <a:srcRect/>
                    <a:stretch>
                      <a:fillRect/>
                    </a:stretch>
                  </pic:blipFill>
                  <pic:spPr bwMode="auto">
                    <a:xfrm>
                      <a:off x="0" y="0"/>
                      <a:ext cx="7057390" cy="1570990"/>
                    </a:xfrm>
                    <a:prstGeom prst="rect">
                      <a:avLst/>
                    </a:prstGeom>
                    <a:noFill/>
                  </pic:spPr>
                </pic:pic>
              </a:graphicData>
            </a:graphic>
          </wp:anchor>
        </w:drawing>
      </w:r>
    </w:p>
    <w:p>
      <w:pPr>
        <w:spacing w:after="0" w:line="331" w:lineRule="exact"/>
        <w:rPr>
          <w:sz w:val="20"/>
          <w:szCs w:val="20"/>
          <w:color w:val="auto"/>
        </w:rPr>
      </w:pPr>
    </w:p>
    <w:p>
      <w:pPr>
        <w:ind w:left="160"/>
        <w:spacing w:after="0"/>
        <w:tabs>
          <w:tab w:leader="none" w:pos="5420" w:val="left"/>
        </w:tabs>
        <w:rPr>
          <w:sz w:val="20"/>
          <w:szCs w:val="20"/>
          <w:color w:val="auto"/>
        </w:rPr>
      </w:pPr>
      <w:r>
        <w:rPr>
          <w:rFonts w:ascii="Times New Roman" w:cs="Times New Roman" w:eastAsia="Times New Roman" w:hAnsi="Times New Roman"/>
          <w:sz w:val="20"/>
          <w:szCs w:val="20"/>
          <w:b w:val="1"/>
          <w:bCs w:val="1"/>
          <w:color w:val="auto"/>
        </w:rPr>
        <w:t>GRANTOR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GRANTEE</w:t>
      </w:r>
      <w:r>
        <w:rPr>
          <w:rFonts w:ascii="Times New Roman" w:cs="Times New Roman" w:eastAsia="Times New Roman" w:hAnsi="Times New Roman"/>
          <w:sz w:val="19"/>
          <w:szCs w:val="19"/>
          <w:color w:val="auto"/>
        </w:rPr>
        <w:t>:</w:t>
      </w:r>
    </w:p>
    <w:p>
      <w:pPr>
        <w:spacing w:after="0" w:line="85"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20"/>
          <w:szCs w:val="20"/>
          <w:u w:val="single" w:color="auto"/>
          <w:color w:val="auto"/>
        </w:rPr>
        <w:t>Address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u w:val="single" w:color="auto"/>
          <w:color w:val="auto"/>
        </w:rPr>
        <w:t>Address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___________________________________</w:t>
      </w:r>
    </w:p>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___________________________________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Enter in appropriate block for each party: name, address, and, if appropriate, character of entity, e.g. corporation or partnership.</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designation Grantor and Grantee as used herein shall include said parties, their heirs, successors and assigns, and shall include singular, plural, masculine, feminine or neuter as required by context.</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WITNESSETH</w:t>
      </w:r>
      <w:r>
        <w:rPr>
          <w:rFonts w:ascii="Times New Roman" w:cs="Times New Roman" w:eastAsia="Times New Roman" w:hAnsi="Times New Roman"/>
          <w:sz w:val="20"/>
          <w:szCs w:val="20"/>
          <w:color w:val="auto"/>
        </w:rPr>
        <w:t>, that Grantor, for a valuable consideration paid by Grantee, the receipt of which is hereby acknowledged, has and by these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presents does grant, bargain, sell and convey unto the Grantee in fee simple, all that certain lot or parcel of land situated in Guilford County, North Carolina and more particularly described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and incorporated herein by reference, together with any improvements located thereon (the “</w:t>
      </w:r>
      <w:r>
        <w:rPr>
          <w:rFonts w:ascii="Times New Roman" w:cs="Times New Roman" w:eastAsia="Times New Roman" w:hAnsi="Times New Roman"/>
          <w:sz w:val="20"/>
          <w:szCs w:val="20"/>
          <w:b w:val="1"/>
          <w:bCs w:val="1"/>
          <w:u w:val="single" w:color="auto"/>
          <w:color w:val="auto"/>
        </w:rPr>
        <w:t>Property</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Property hereinabove described is a portion of that property acquired by Grantor by instrument recorded in Book 8745, Page 2829 of the Guilford County, North Carolina Register of Deeds Office (the “</w:t>
      </w:r>
      <w:r>
        <w:rPr>
          <w:rFonts w:ascii="Times New Roman" w:cs="Times New Roman" w:eastAsia="Times New Roman" w:hAnsi="Times New Roman"/>
          <w:sz w:val="20"/>
          <w:szCs w:val="20"/>
          <w:b w:val="1"/>
          <w:bCs w:val="1"/>
          <w:u w:val="single" w:color="auto"/>
          <w:color w:val="auto"/>
        </w:rPr>
        <w:t>Registry</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portion of the Property herein conveyed includes the primary residence of Grantor.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1390015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0"/>
          <w:szCs w:val="20"/>
          <w:b w:val="1"/>
          <w:bCs w:val="1"/>
          <w:color w:val="auto"/>
        </w:rPr>
        <w:t xml:space="preserve">TO HAVE AND TO HOLD </w:t>
      </w:r>
      <w:r>
        <w:rPr>
          <w:rFonts w:ascii="Times New Roman" w:cs="Times New Roman" w:eastAsia="Times New Roman" w:hAnsi="Times New Roman"/>
          <w:sz w:val="20"/>
          <w:szCs w:val="20"/>
          <w:color w:val="auto"/>
        </w:rPr>
        <w:t>the aforesaid Property and all privileges and appurtenances thereto belonging to the Grantee in fee simple.</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And the Grantor covenants with the Grantee, that Grantor has done nothing to impair such title as Grantor received, and Grantor will warrant and defend the title against the lawful claims of all persons claiming by, under or through Grantor, except for the exceptions set forth on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hereto and incorporated herein by this reference (the “</w:t>
      </w:r>
      <w:r>
        <w:rPr>
          <w:rFonts w:ascii="Times New Roman" w:cs="Times New Roman" w:eastAsia="Times New Roman" w:hAnsi="Times New Roman"/>
          <w:sz w:val="20"/>
          <w:szCs w:val="20"/>
          <w:b w:val="1"/>
          <w:bCs w:val="1"/>
          <w:u w:val="single" w:color="auto"/>
          <w:color w:val="auto"/>
        </w:rPr>
        <w:t>Permitted Exceptions</w:t>
      </w:r>
      <w:r>
        <w:rPr>
          <w:rFonts w:ascii="Times New Roman" w:cs="Times New Roman" w:eastAsia="Times New Roman" w:hAnsi="Times New Roman"/>
          <w:sz w:val="20"/>
          <w:szCs w:val="20"/>
          <w:color w:val="auto"/>
        </w:rPr>
        <w:t>”), and the conveyance of the Property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Grantor is accepted by Grantee subject to the Permitted Exceptions.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0"/>
          <w:szCs w:val="20"/>
          <w:color w:val="auto"/>
        </w:rPr>
        <w:t>IN WITNESS WHEREOF, the Grantor has duly executed the foregoing instrument as of the date first above written.</w:t>
      </w:r>
    </w:p>
    <w:p>
      <w:pPr>
        <w:spacing w:after="0" w:line="10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u w:val="single" w:color="auto"/>
          <w:color w:val="auto"/>
        </w:rPr>
        <w:t>GRANTOR</w:t>
      </w:r>
      <w:r>
        <w:rPr>
          <w:rFonts w:ascii="Times New Roman" w:cs="Times New Roman" w:eastAsia="Times New Roman" w:hAnsi="Times New Roman"/>
          <w:sz w:val="20"/>
          <w:szCs w:val="20"/>
          <w:b w:val="1"/>
          <w:bCs w:val="1"/>
          <w:color w:val="auto"/>
        </w:rPr>
        <w:t>:</w:t>
      </w:r>
    </w:p>
    <w:p>
      <w:pPr>
        <w:spacing w:after="0" w:line="175" w:lineRule="exact"/>
        <w:rPr>
          <w:sz w:val="20"/>
          <w:szCs w:val="20"/>
          <w:color w:val="auto"/>
        </w:rPr>
      </w:pPr>
    </w:p>
    <w:p>
      <w:pPr>
        <w:ind w:left="5140" w:right="1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PROKIDNEY ACQUISITION COMPANY, LLC, </w:t>
      </w:r>
      <w:r>
        <w:rPr>
          <w:rFonts w:ascii="Times New Roman" w:cs="Times New Roman" w:eastAsia="Times New Roman" w:hAnsi="Times New Roman"/>
          <w:sz w:val="20"/>
          <w:szCs w:val="20"/>
          <w:color w:val="auto"/>
        </w:rPr>
        <w:t>a Delaware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liability company</w:t>
      </w:r>
    </w:p>
    <w:p>
      <w:pPr>
        <w:spacing w:after="0" w:line="200" w:lineRule="exact"/>
        <w:rPr>
          <w:sz w:val="20"/>
          <w:szCs w:val="20"/>
          <w:color w:val="auto"/>
        </w:rPr>
      </w:pPr>
    </w:p>
    <w:p>
      <w:pPr>
        <w:spacing w:after="0" w:line="3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By:___________________________________</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Name: ________________________________</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Title:__________________________________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OF ______________________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____________________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219"/>
        <w:spacing w:after="0" w:line="269" w:lineRule="auto"/>
        <w:rPr>
          <w:sz w:val="20"/>
          <w:szCs w:val="20"/>
          <w:color w:val="auto"/>
        </w:rPr>
      </w:pPr>
      <w:r>
        <w:rPr>
          <w:rFonts w:ascii="Times New Roman" w:cs="Times New Roman" w:eastAsia="Times New Roman" w:hAnsi="Times New Roman"/>
          <w:sz w:val="20"/>
          <w:szCs w:val="20"/>
          <w:color w:val="auto"/>
        </w:rPr>
        <w:t>I certify that the following persons personally appeared before me this day, acknowledging to me that they voluntarily signed the foregoing document for the purpose stated therein and in the capacity indicated: ________________________________________.</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___________________ ____, 202__.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271145</wp:posOffset>
            </wp:positionV>
            <wp:extent cx="2514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i w:val="1"/>
          <w:iCs w:val="1"/>
          <w:color w:val="auto"/>
        </w:rPr>
        <w:t>Official Signature of Notary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556895</wp:posOffset>
            </wp:positionV>
            <wp:extent cx="25146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6">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Notary’s printed or typed name, Notary Public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(Official Seal) </w:t>
      </w:r>
      <w:r>
        <w:rPr>
          <w:rFonts w:ascii="Times New Roman" w:cs="Times New Roman" w:eastAsia="Times New Roman" w:hAnsi="Times New Roman"/>
          <w:sz w:val="20"/>
          <w:szCs w:val="20"/>
          <w:color w:val="auto"/>
        </w:rPr>
        <w:t>My commission expires: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(to Special Warranty Deed)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Legal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1306830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90" w:right="1440" w:bottom="1440" w:gutter="0" w:footer="0" w:header="0"/>
        </w:sectPr>
      </w:pPr>
    </w:p>
    <w:bookmarkStart w:id="189" w:name="page190"/>
    <w:bookmarkEnd w:id="189"/>
    <w:p>
      <w:pPr>
        <w:jc w:val="center"/>
        <w:ind w:right="-731"/>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16" w:lineRule="exact"/>
        <w:rPr>
          <w:sz w:val="20"/>
          <w:szCs w:val="20"/>
          <w:color w:val="auto"/>
        </w:rPr>
      </w:pPr>
    </w:p>
    <w:p>
      <w:pPr>
        <w:jc w:val="center"/>
        <w:ind w:right="-731"/>
        <w:spacing w:after="0"/>
        <w:rPr>
          <w:sz w:val="20"/>
          <w:szCs w:val="20"/>
          <w:color w:val="auto"/>
        </w:rPr>
      </w:pPr>
      <w:r>
        <w:rPr>
          <w:rFonts w:ascii="Times New Roman" w:cs="Times New Roman" w:eastAsia="Times New Roman" w:hAnsi="Times New Roman"/>
          <w:sz w:val="20"/>
          <w:szCs w:val="20"/>
          <w:b w:val="1"/>
          <w:bCs w:val="1"/>
          <w:i w:val="1"/>
          <w:iCs w:val="1"/>
          <w:color w:val="auto"/>
        </w:rPr>
        <w:t>(to Special Warranty Deed)</w:t>
      </w:r>
    </w:p>
    <w:p>
      <w:pPr>
        <w:spacing w:after="0" w:line="216" w:lineRule="exact"/>
        <w:rPr>
          <w:sz w:val="20"/>
          <w:szCs w:val="20"/>
          <w:color w:val="auto"/>
        </w:rPr>
      </w:pPr>
    </w:p>
    <w:p>
      <w:pPr>
        <w:ind w:left="4712"/>
        <w:spacing w:after="0"/>
        <w:rPr>
          <w:sz w:val="20"/>
          <w:szCs w:val="20"/>
          <w:color w:val="auto"/>
        </w:rPr>
      </w:pPr>
      <w:r>
        <w:rPr>
          <w:rFonts w:ascii="Times New Roman" w:cs="Times New Roman" w:eastAsia="Times New Roman" w:hAnsi="Times New Roman"/>
          <w:sz w:val="20"/>
          <w:szCs w:val="20"/>
          <w:b w:val="1"/>
          <w:bCs w:val="1"/>
          <w:u w:val="single" w:color="auto"/>
          <w:color w:val="auto"/>
        </w:rPr>
        <w:t>Permitted Exceptions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12" w:hanging="512"/>
        <w:spacing w:after="0"/>
        <w:tabs>
          <w:tab w:leader="none" w:pos="51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Taxes or assessments for the year 2025, and subsequent years, not yet due and payable.</w:t>
      </w:r>
    </w:p>
    <w:p>
      <w:pPr>
        <w:spacing w:after="0" w:line="229" w:lineRule="exact"/>
        <w:rPr>
          <w:rFonts w:ascii="Times New Roman" w:cs="Times New Roman" w:eastAsia="Times New Roman" w:hAnsi="Times New Roman"/>
          <w:sz w:val="20"/>
          <w:szCs w:val="20"/>
          <w:color w:val="auto"/>
        </w:rPr>
      </w:pPr>
    </w:p>
    <w:p>
      <w:pPr>
        <w:ind w:left="512" w:hanging="512"/>
        <w:spacing w:after="0"/>
        <w:tabs>
          <w:tab w:leader="none" w:pos="51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matters that would be shown on a current and accurate survey of the Property.</w:t>
      </w:r>
    </w:p>
    <w:p>
      <w:pPr>
        <w:spacing w:after="0" w:line="229" w:lineRule="exact"/>
        <w:rPr>
          <w:rFonts w:ascii="Times New Roman" w:cs="Times New Roman" w:eastAsia="Times New Roman" w:hAnsi="Times New Roman"/>
          <w:sz w:val="20"/>
          <w:szCs w:val="20"/>
          <w:color w:val="auto"/>
        </w:rPr>
      </w:pPr>
    </w:p>
    <w:p>
      <w:pPr>
        <w:ind w:left="52" w:hanging="52"/>
        <w:spacing w:after="0" w:line="508" w:lineRule="auto"/>
        <w:tabs>
          <w:tab w:leader="none" w:pos="51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Zoning ordinances, building codes and other applicable laws, ordinances and governmental regulations affecting the Property. [Insert other specific exceptions from Buyer’s final proforma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1989455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92"/>
          </w:cols>
          <w:pgMar w:left="328" w:top="990" w:right="1079" w:bottom="1440" w:gutter="0" w:footer="0" w:header="0"/>
        </w:sectPr>
      </w:pPr>
    </w:p>
    <w:bookmarkStart w:id="190" w:name="page191"/>
    <w:bookmarkEnd w:id="190"/>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FORM OF BILL OF SALE AND GENERAL ASSIGNMENT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191919"/>
        </w:rPr>
        <w:t>This Bill of Sale and General Assignment (this “Bill of Sale”)</w:t>
      </w:r>
      <w:r>
        <w:rPr>
          <w:rFonts w:ascii="Times New Roman" w:cs="Times New Roman" w:eastAsia="Times New Roman" w:hAnsi="Times New Roman"/>
          <w:sz w:val="20"/>
          <w:szCs w:val="20"/>
          <w:color w:val="000000"/>
        </w:rPr>
        <w:t>, is made as of the ____ day of ________________, 2025,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PROKIDNEY ACQUISITION COMPANY, LLC, a Delaware limited liability company (“Seller”), to _____________________, a</w:t>
      </w:r>
    </w:p>
    <w:p>
      <w:pPr>
        <w:spacing w:after="0"/>
        <w:rPr>
          <w:sz w:val="20"/>
          <w:szCs w:val="20"/>
          <w:color w:val="auto"/>
        </w:rPr>
      </w:pPr>
      <w:r>
        <w:rPr>
          <w:rFonts w:ascii="Times New Roman" w:cs="Times New Roman" w:eastAsia="Times New Roman" w:hAnsi="Times New Roman"/>
          <w:sz w:val="20"/>
          <w:szCs w:val="20"/>
          <w:color w:val="auto"/>
        </w:rPr>
        <w:t>_____________________ (“Buyer”).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16" w:lineRule="exact"/>
        <w:rPr>
          <w:sz w:val="20"/>
          <w:szCs w:val="20"/>
          <w:color w:val="auto"/>
        </w:rPr>
      </w:pPr>
    </w:p>
    <w:p>
      <w:pPr>
        <w:jc w:val="both"/>
        <w:ind w:firstLine="757"/>
        <w:spacing w:after="0" w:line="249" w:lineRule="auto"/>
        <w:tabs>
          <w:tab w:leader="none" w:pos="119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and Buyer entered into that certain Purchase and Sale Agreement dated October ___, 2025 (as may be amended through the date hereof, the “Contract”) for the purchase and sale of certain property located at 7901 Indlea Point, Colfax, NC (the “Property”) as more fully described in the Contract. All capitalized terms used herein and not otherwise defined shall have the meanings set forth in the Contract.</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such sale of the Property, Seller and Buyer wish to enter into this Bill of Sale to evidence the terms of the transfer by Seller to Buyer of all right, title and interest of Seller in and to the following affecting the Property: (i) the Personal Property, (ii) the Service Agreements listed on Exhibit A attached hereto, and (iii) the Intangible Property.</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for and in consideration of the foregoing recitals, which are incorporated herein, the mutual covenants contained herein and other good and valuable consideration, the receipt and sufficiency of which are hereby acknowledged by each party hereto, Seller and Buyer hereby agree as follows:</w:t>
      </w:r>
    </w:p>
    <w:p>
      <w:pPr>
        <w:spacing w:after="0" w:line="174" w:lineRule="exact"/>
        <w:rPr>
          <w:sz w:val="20"/>
          <w:szCs w:val="20"/>
          <w:color w:val="auto"/>
        </w:rPr>
      </w:pPr>
    </w:p>
    <w:p>
      <w:pPr>
        <w:jc w:val="both"/>
        <w:ind w:firstLine="757"/>
        <w:spacing w:after="0" w:line="254" w:lineRule="auto"/>
        <w:tabs>
          <w:tab w:leader="none" w:pos="101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and Assignment</w:t>
      </w:r>
      <w:r>
        <w:rPr>
          <w:rFonts w:ascii="Times New Roman" w:cs="Times New Roman" w:eastAsia="Times New Roman" w:hAnsi="Times New Roman"/>
          <w:sz w:val="20"/>
          <w:szCs w:val="20"/>
          <w:color w:val="auto"/>
        </w:rPr>
        <w:t>. For good and valuable consideration, Seller hereby assigns, transfers, sets over and conveys to Buyer from and after the date hereof and Buyer hereby accepts from and after the date hereof Seller’s right, title and interest in and to the Personal Property, the Service Agreements and the Intangible Property.</w:t>
      </w:r>
    </w:p>
    <w:p>
      <w:pPr>
        <w:spacing w:after="0" w:line="174"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Personal Property</w:t>
      </w:r>
      <w:r>
        <w:rPr>
          <w:rFonts w:ascii="Times New Roman" w:cs="Times New Roman" w:eastAsia="Times New Roman" w:hAnsi="Times New Roman"/>
          <w:sz w:val="20"/>
          <w:szCs w:val="20"/>
          <w:color w:val="auto"/>
        </w:rPr>
        <w:t>. ALL WARRANTIES OF QUALITY OF FITNESS FOR A PARTICULAR PURPOSE AND MERCHANTABILITY WITH RESPECT TO THE PERSONAL PROPERTY ARE EXPRESSLY EXCLUDED. EXCEPT AS SET FORTH IN THE CONTRACT, THE PERSONAL PROPERTY SOLD HEREUNDER IS SOLD IN “AS IS” CONDITION WITHOUT ANY REPRESENTATION OR WARRANTY BY SELLER OTHER THAN A WARRANTY OF GOOD AND MARKETABLE TITLE, FREE AND CLEAR OF ALL LIENS AND ENCUMBRANCES.</w:t>
      </w:r>
    </w:p>
    <w:p>
      <w:pPr>
        <w:spacing w:after="0" w:line="184"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INDEMNITIES</w:t>
      </w:r>
      <w:r>
        <w:rPr>
          <w:rFonts w:ascii="Times New Roman" w:cs="Times New Roman" w:eastAsia="Times New Roman" w:hAnsi="Times New Roman"/>
          <w:sz w:val="20"/>
          <w:szCs w:val="20"/>
          <w:color w:val="auto"/>
        </w:rPr>
        <w:t>. SELLER SHALL DEFEND, INDEMNIFY AND HOLD HARMLESS BUYER FROM AND AGAINST ANY LIABILITY, DAMAGES, CAUSES OF ACTION, EXPENSES AND ATTORNEYS’ FEES (COLLECTIVELY, “</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INCURRED BY BUYER BY REASON OF THE FAILURE OF SELLER TO FULFILL, PERFORM, DISCHARGE AND OBSERVE ITS OBLIGATIONS WITH RESPECT TO THE SERVICE AGREEMENTS ARISING PRIOR TO THE DATE HEREOF. BUYER SHALL DEFEND, INDEMNIFY AND HOLD HARMLESS SELLER FROM AND AGAINST ANY CLAIMS INCURRED BY SELLER BY REASON OF THE FAILURE OF BUYER TO FULFILL, PERFORM, DISCHARGE AND OBSERVE ITS OBLIGATIONS WITH RESPECT TO THE SERVICE AGREEMENTS ARISING FROM AND AFTER THE DATE HEREOF.</w:t>
      </w:r>
    </w:p>
    <w:p>
      <w:pPr>
        <w:spacing w:after="0" w:line="185"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instrument shall be binding upon and shall inure to the benefit of the parties hereto and their respective heirs, executors, administrators, legal representatives,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1217295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89" w:lineRule="exact"/>
        <w:rPr>
          <w:sz w:val="20"/>
          <w:szCs w:val="20"/>
          <w:color w:val="auto"/>
        </w:rPr>
      </w:pPr>
    </w:p>
    <w:p>
      <w:pPr>
        <w:ind w:left="-20" w:right="20" w:firstLine="757"/>
        <w:spacing w:after="0" w:line="269" w:lineRule="auto"/>
        <w:tabs>
          <w:tab w:leader="none" w:pos="99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Buyer and Seller shall take such further actions and enter into such further conveyances and documents as may reasonably be required in order to effect the provisions and intent of this Bill of Sale.</w:t>
      </w:r>
    </w:p>
    <w:p>
      <w:pPr>
        <w:spacing w:after="0" w:line="159" w:lineRule="exact"/>
        <w:rPr>
          <w:rFonts w:ascii="Times New Roman" w:cs="Times New Roman" w:eastAsia="Times New Roman" w:hAnsi="Times New Roman"/>
          <w:sz w:val="20"/>
          <w:szCs w:val="20"/>
          <w:color w:val="auto"/>
        </w:rPr>
      </w:pPr>
    </w:p>
    <w:p>
      <w:pPr>
        <w:jc w:val="both"/>
        <w:ind w:left="-20" w:firstLine="757"/>
        <w:spacing w:after="0" w:line="254" w:lineRule="auto"/>
        <w:tabs>
          <w:tab w:leader="none" w:pos="99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Electronic signatures and copies (including electronic copies) of manual signatures shall have the effect of original signatures relative to this Bill of Sale. Copies of this Bill of Sale (including copies stored electronically) shall be deemed originals for all purposes.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1024255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92" w:name="page193"/>
    <w:bookmarkEnd w:id="192"/>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IN WITNESS WHEREOF, Seller has signed this Bill of Sale this _____ day of ________________, 2025.</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SELLER:</w:t>
      </w:r>
    </w:p>
    <w:p>
      <w:pPr>
        <w:spacing w:after="0" w:line="212" w:lineRule="exact"/>
        <w:rPr>
          <w:sz w:val="20"/>
          <w:szCs w:val="20"/>
          <w:color w:val="auto"/>
        </w:rPr>
      </w:pPr>
    </w:p>
    <w:p>
      <w:pPr>
        <w:ind w:left="4500"/>
        <w:spacing w:after="0" w:line="273" w:lineRule="auto"/>
        <w:rPr>
          <w:sz w:val="20"/>
          <w:szCs w:val="20"/>
          <w:color w:val="auto"/>
        </w:rPr>
      </w:pPr>
      <w:r>
        <w:rPr>
          <w:rFonts w:ascii="Times New Roman" w:cs="Times New Roman" w:eastAsia="Times New Roman" w:hAnsi="Times New Roman"/>
          <w:sz w:val="20"/>
          <w:szCs w:val="20"/>
          <w:b w:val="1"/>
          <w:bCs w:val="1"/>
          <w:color w:val="auto"/>
        </w:rPr>
        <w:t>PROKIDNEY ACQUISITION COMPANY, LLC</w:t>
      </w:r>
      <w:r>
        <w:rPr>
          <w:rFonts w:ascii="Times New Roman" w:cs="Times New Roman" w:eastAsia="Times New Roman" w:hAnsi="Times New Roman"/>
          <w:sz w:val="20"/>
          <w:szCs w:val="20"/>
          <w:color w:val="auto"/>
        </w:rPr>
        <w:t>, a Delaware limited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-10795</wp:posOffset>
            </wp:positionV>
            <wp:extent cx="125666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2">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Name:</w:t>
        <w:tab/>
        <w:t>Bruce Culleton</w:t>
      </w: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BUYER:</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-10795</wp:posOffset>
            </wp:positionV>
            <wp:extent cx="125666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3">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w:t>
      </w:r>
    </w:p>
    <w:p>
      <w:pPr>
        <w:ind w:left="45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Attachments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 Service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1304290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40" w:type="dxa"/>
            <w:vAlign w:val="bottom"/>
            <w:gridSpan w:val="6"/>
          </w:tcPr>
          <w:p>
            <w:pPr>
              <w:jc w:val="center"/>
              <w:ind w:right="5000"/>
              <w:spacing w:after="0"/>
              <w:rPr>
                <w:sz w:val="20"/>
                <w:szCs w:val="20"/>
                <w:color w:val="auto"/>
              </w:rPr>
            </w:pPr>
            <w:r>
              <w:rPr>
                <w:rFonts w:ascii="Times New Roman" w:cs="Times New Roman" w:eastAsia="Times New Roman" w:hAnsi="Times New Roman"/>
                <w:sz w:val="20"/>
                <w:szCs w:val="20"/>
                <w:b w:val="1"/>
                <w:bCs w:val="1"/>
                <w:color w:val="auto"/>
                <w:w w:val="99"/>
              </w:rPr>
              <w:t>SCHEDULE 1</w:t>
            </w:r>
          </w:p>
        </w:tc>
      </w:tr>
      <w:tr>
        <w:trPr>
          <w:trHeight w:val="20"/>
        </w:trPr>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426"/>
        </w:trPr>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080" w:type="dxa"/>
            <w:vAlign w:val="bottom"/>
            <w:gridSpan w:val="8"/>
          </w:tcPr>
          <w:p>
            <w:pPr>
              <w:jc w:val="center"/>
              <w:ind w:right="4160"/>
              <w:spacing w:after="0"/>
              <w:rPr>
                <w:sz w:val="20"/>
                <w:szCs w:val="20"/>
                <w:color w:val="auto"/>
              </w:rPr>
            </w:pPr>
            <w:r>
              <w:rPr>
                <w:rFonts w:ascii="Times New Roman" w:cs="Times New Roman" w:eastAsia="Times New Roman" w:hAnsi="Times New Roman"/>
                <w:sz w:val="20"/>
                <w:szCs w:val="20"/>
                <w:b w:val="1"/>
                <w:bCs w:val="1"/>
                <w:color w:val="auto"/>
                <w:w w:val="98"/>
              </w:rPr>
              <w:t>WARRANTIES</w:t>
            </w:r>
          </w:p>
        </w:tc>
      </w:tr>
      <w:tr>
        <w:trPr>
          <w:trHeight w:val="258"/>
        </w:trPr>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660" w:type="dxa"/>
            <w:vAlign w:val="bottom"/>
            <w:tcBorders>
              <w:bottom w:val="single" w:sz="8" w:color="auto"/>
            </w:tcBorders>
          </w:tcPr>
          <w:p>
            <w:pPr>
              <w:spacing w:after="0"/>
              <w:rPr>
                <w:sz w:val="22"/>
                <w:szCs w:val="22"/>
                <w:color w:val="auto"/>
              </w:rPr>
            </w:pPr>
          </w:p>
        </w:tc>
      </w:tr>
      <w:tr>
        <w:trPr>
          <w:trHeight w:val="166"/>
        </w:trPr>
        <w:tc>
          <w:tcPr>
            <w:tcW w:w="120" w:type="dxa"/>
            <w:vAlign w:val="bottom"/>
            <w:tcBorders>
              <w:top w:val="single" w:sz="8" w:color="auto"/>
              <w:left w:val="single" w:sz="8" w:color="auto"/>
            </w:tcBorders>
            <w:shd w:val="clear" w:color="auto" w:fill="DAE9F7"/>
          </w:tcPr>
          <w:p>
            <w:pPr>
              <w:spacing w:after="0"/>
              <w:rPr>
                <w:sz w:val="14"/>
                <w:szCs w:val="14"/>
                <w:color w:val="auto"/>
              </w:rPr>
            </w:pPr>
          </w:p>
        </w:tc>
        <w:tc>
          <w:tcPr>
            <w:tcW w:w="4040" w:type="dxa"/>
            <w:vAlign w:val="bottom"/>
            <w:tcBorders>
              <w:top w:val="single" w:sz="8" w:color="auto"/>
            </w:tcBorders>
            <w:gridSpan w:val="2"/>
            <w:shd w:val="clear" w:color="auto" w:fill="DAE9F7"/>
          </w:tcPr>
          <w:p>
            <w:pPr>
              <w:spacing w:after="0" w:line="166" w:lineRule="exact"/>
              <w:rPr>
                <w:sz w:val="20"/>
                <w:szCs w:val="20"/>
                <w:color w:val="auto"/>
              </w:rPr>
            </w:pPr>
            <w:r>
              <w:rPr>
                <w:rFonts w:ascii="Times New Roman" w:cs="Times New Roman" w:eastAsia="Times New Roman" w:hAnsi="Times New Roman"/>
                <w:sz w:val="19"/>
                <w:szCs w:val="19"/>
                <w:b w:val="1"/>
                <w:bCs w:val="1"/>
                <w:color w:val="auto"/>
              </w:rPr>
              <w:t>Contractor</w:t>
            </w:r>
          </w:p>
        </w:tc>
        <w:tc>
          <w:tcPr>
            <w:tcW w:w="780" w:type="dxa"/>
            <w:vAlign w:val="bottom"/>
            <w:tcBorders>
              <w:top w:val="single" w:sz="8" w:color="auto"/>
            </w:tcBorders>
            <w:shd w:val="clear" w:color="auto" w:fill="DAE9F7"/>
          </w:tcPr>
          <w:p>
            <w:pPr>
              <w:spacing w:after="0"/>
              <w:rPr>
                <w:sz w:val="14"/>
                <w:szCs w:val="14"/>
                <w:color w:val="auto"/>
              </w:rPr>
            </w:pPr>
          </w:p>
        </w:tc>
        <w:tc>
          <w:tcPr>
            <w:tcW w:w="60" w:type="dxa"/>
            <w:vAlign w:val="bottom"/>
            <w:tcBorders>
              <w:top w:val="single" w:sz="8" w:color="auto"/>
            </w:tcBorders>
            <w:shd w:val="clear" w:color="auto" w:fill="DAE9F7"/>
          </w:tcPr>
          <w:p>
            <w:pPr>
              <w:spacing w:after="0"/>
              <w:rPr>
                <w:sz w:val="14"/>
                <w:szCs w:val="14"/>
                <w:color w:val="auto"/>
              </w:rPr>
            </w:pPr>
          </w:p>
        </w:tc>
        <w:tc>
          <w:tcPr>
            <w:tcW w:w="640" w:type="dxa"/>
            <w:vAlign w:val="bottom"/>
            <w:tcBorders>
              <w:top w:val="single" w:sz="8" w:color="auto"/>
              <w:right w:val="single" w:sz="8" w:color="auto"/>
            </w:tcBorders>
            <w:shd w:val="clear" w:color="auto" w:fill="DAE9F7"/>
          </w:tcPr>
          <w:p>
            <w:pPr>
              <w:spacing w:after="0"/>
              <w:rPr>
                <w:sz w:val="14"/>
                <w:szCs w:val="14"/>
                <w:color w:val="auto"/>
              </w:rPr>
            </w:pPr>
          </w:p>
        </w:tc>
        <w:tc>
          <w:tcPr>
            <w:tcW w:w="100" w:type="dxa"/>
            <w:vAlign w:val="bottom"/>
            <w:tcBorders>
              <w:top w:val="single" w:sz="8" w:color="DAE9F7"/>
            </w:tcBorders>
            <w:shd w:val="clear" w:color="auto" w:fill="DAE9F7"/>
          </w:tcPr>
          <w:p>
            <w:pPr>
              <w:spacing w:after="0"/>
              <w:rPr>
                <w:sz w:val="14"/>
                <w:szCs w:val="14"/>
                <w:color w:val="auto"/>
              </w:rPr>
            </w:pPr>
          </w:p>
        </w:tc>
        <w:tc>
          <w:tcPr>
            <w:tcW w:w="5500" w:type="dxa"/>
            <w:vAlign w:val="bottom"/>
            <w:tcBorders>
              <w:top w:val="single" w:sz="8" w:color="DAE9F7"/>
              <w:right w:val="single" w:sz="8" w:color="auto"/>
            </w:tcBorders>
            <w:gridSpan w:val="4"/>
            <w:shd w:val="clear" w:color="auto" w:fill="DAE9F7"/>
          </w:tcPr>
          <w:p>
            <w:pPr>
              <w:spacing w:after="0" w:line="166" w:lineRule="exact"/>
              <w:rPr>
                <w:sz w:val="20"/>
                <w:szCs w:val="20"/>
                <w:color w:val="auto"/>
              </w:rPr>
            </w:pPr>
            <w:r>
              <w:rPr>
                <w:rFonts w:ascii="Times New Roman" w:cs="Times New Roman" w:eastAsia="Times New Roman" w:hAnsi="Times New Roman"/>
                <w:sz w:val="19"/>
                <w:szCs w:val="19"/>
                <w:b w:val="1"/>
                <w:bCs w:val="1"/>
                <w:color w:val="auto"/>
              </w:rPr>
              <w:t>Warranty</w:t>
            </w:r>
          </w:p>
        </w:tc>
      </w:tr>
      <w:tr>
        <w:trPr>
          <w:trHeight w:val="253"/>
        </w:trPr>
        <w:tc>
          <w:tcPr>
            <w:tcW w:w="120" w:type="dxa"/>
            <w:vAlign w:val="bottom"/>
            <w:tcBorders>
              <w:top w:val="single" w:sz="8" w:color="DAE9F7"/>
              <w:left w:val="single" w:sz="8" w:color="auto"/>
              <w:bottom w:val="single" w:sz="8" w:color="auto"/>
            </w:tcBorders>
            <w:shd w:val="clear" w:color="auto" w:fill="DAE9F7"/>
          </w:tcPr>
          <w:p>
            <w:pPr>
              <w:spacing w:after="0"/>
              <w:rPr>
                <w:sz w:val="22"/>
                <w:szCs w:val="22"/>
                <w:color w:val="auto"/>
              </w:rPr>
            </w:pPr>
          </w:p>
        </w:tc>
        <w:tc>
          <w:tcPr>
            <w:tcW w:w="940" w:type="dxa"/>
            <w:vAlign w:val="bottom"/>
            <w:tcBorders>
              <w:top w:val="single" w:sz="8" w:color="auto"/>
              <w:bottom w:val="single" w:sz="8" w:color="auto"/>
            </w:tcBorders>
            <w:shd w:val="clear" w:color="auto" w:fill="DAE9F7"/>
          </w:tcPr>
          <w:p>
            <w:pPr>
              <w:spacing w:after="0"/>
              <w:rPr>
                <w:sz w:val="22"/>
                <w:szCs w:val="22"/>
                <w:color w:val="auto"/>
              </w:rPr>
            </w:pPr>
          </w:p>
        </w:tc>
        <w:tc>
          <w:tcPr>
            <w:tcW w:w="3100" w:type="dxa"/>
            <w:vAlign w:val="bottom"/>
            <w:tcBorders>
              <w:top w:val="single" w:sz="8" w:color="DAE9F7"/>
              <w:bottom w:val="single" w:sz="8" w:color="auto"/>
            </w:tcBorders>
            <w:shd w:val="clear" w:color="auto" w:fill="DAE9F7"/>
          </w:tcPr>
          <w:p>
            <w:pPr>
              <w:spacing w:after="0"/>
              <w:rPr>
                <w:sz w:val="22"/>
                <w:szCs w:val="22"/>
                <w:color w:val="auto"/>
              </w:rPr>
            </w:pPr>
          </w:p>
        </w:tc>
        <w:tc>
          <w:tcPr>
            <w:tcW w:w="780" w:type="dxa"/>
            <w:vAlign w:val="bottom"/>
            <w:tcBorders>
              <w:top w:val="single" w:sz="8" w:color="DAE9F7"/>
              <w:bottom w:val="single" w:sz="8" w:color="auto"/>
            </w:tcBorders>
            <w:shd w:val="clear" w:color="auto" w:fill="DAE9F7"/>
          </w:tcPr>
          <w:p>
            <w:pPr>
              <w:spacing w:after="0"/>
              <w:rPr>
                <w:sz w:val="22"/>
                <w:szCs w:val="22"/>
                <w:color w:val="auto"/>
              </w:rPr>
            </w:pPr>
          </w:p>
        </w:tc>
        <w:tc>
          <w:tcPr>
            <w:tcW w:w="60" w:type="dxa"/>
            <w:vAlign w:val="bottom"/>
            <w:tcBorders>
              <w:top w:val="single" w:sz="8" w:color="DAE9F7"/>
              <w:bottom w:val="single" w:sz="8" w:color="auto"/>
            </w:tcBorders>
            <w:shd w:val="clear" w:color="auto" w:fill="DAE9F7"/>
          </w:tcPr>
          <w:p>
            <w:pPr>
              <w:spacing w:after="0"/>
              <w:rPr>
                <w:sz w:val="22"/>
                <w:szCs w:val="22"/>
                <w:color w:val="auto"/>
              </w:rPr>
            </w:pPr>
          </w:p>
        </w:tc>
        <w:tc>
          <w:tcPr>
            <w:tcW w:w="640" w:type="dxa"/>
            <w:vAlign w:val="bottom"/>
            <w:tcBorders>
              <w:top w:val="single" w:sz="8" w:color="DAE9F7"/>
              <w:bottom w:val="single" w:sz="8" w:color="auto"/>
              <w:right w:val="single" w:sz="8" w:color="auto"/>
            </w:tcBorders>
            <w:shd w:val="clear" w:color="auto" w:fill="DAE9F7"/>
          </w:tcPr>
          <w:p>
            <w:pPr>
              <w:spacing w:after="0"/>
              <w:rPr>
                <w:sz w:val="22"/>
                <w:szCs w:val="22"/>
                <w:color w:val="auto"/>
              </w:rPr>
            </w:pPr>
          </w:p>
        </w:tc>
        <w:tc>
          <w:tcPr>
            <w:tcW w:w="100" w:type="dxa"/>
            <w:vAlign w:val="bottom"/>
            <w:tcBorders>
              <w:top w:val="single" w:sz="8" w:color="DAE9F7"/>
              <w:bottom w:val="single" w:sz="8" w:color="auto"/>
            </w:tcBorders>
            <w:shd w:val="clear" w:color="auto" w:fill="DAE9F7"/>
          </w:tcPr>
          <w:p>
            <w:pPr>
              <w:spacing w:after="0"/>
              <w:rPr>
                <w:sz w:val="22"/>
                <w:szCs w:val="22"/>
                <w:color w:val="auto"/>
              </w:rPr>
            </w:pPr>
          </w:p>
        </w:tc>
        <w:tc>
          <w:tcPr>
            <w:tcW w:w="500" w:type="dxa"/>
            <w:vAlign w:val="bottom"/>
            <w:tcBorders>
              <w:top w:val="single" w:sz="8" w:color="auto"/>
              <w:bottom w:val="single" w:sz="8" w:color="auto"/>
            </w:tcBorders>
            <w:shd w:val="clear" w:color="auto" w:fill="DAE9F7"/>
          </w:tcPr>
          <w:p>
            <w:pPr>
              <w:spacing w:after="0"/>
              <w:rPr>
                <w:sz w:val="22"/>
                <w:szCs w:val="22"/>
                <w:color w:val="auto"/>
              </w:rPr>
            </w:pPr>
          </w:p>
        </w:tc>
        <w:tc>
          <w:tcPr>
            <w:tcW w:w="60" w:type="dxa"/>
            <w:vAlign w:val="bottom"/>
            <w:tcBorders>
              <w:top w:val="single" w:sz="8" w:color="auto"/>
              <w:bottom w:val="single" w:sz="8" w:color="auto"/>
            </w:tcBorders>
            <w:shd w:val="clear" w:color="auto" w:fill="DAE9F7"/>
          </w:tcPr>
          <w:p>
            <w:pPr>
              <w:spacing w:after="0"/>
              <w:rPr>
                <w:sz w:val="22"/>
                <w:szCs w:val="22"/>
                <w:color w:val="auto"/>
              </w:rPr>
            </w:pPr>
          </w:p>
        </w:tc>
        <w:tc>
          <w:tcPr>
            <w:tcW w:w="280" w:type="dxa"/>
            <w:vAlign w:val="bottom"/>
            <w:tcBorders>
              <w:top w:val="single" w:sz="8" w:color="auto"/>
              <w:bottom w:val="single" w:sz="8" w:color="auto"/>
            </w:tcBorders>
            <w:shd w:val="clear" w:color="auto" w:fill="DAE9F7"/>
          </w:tcPr>
          <w:p>
            <w:pPr>
              <w:spacing w:after="0"/>
              <w:rPr>
                <w:sz w:val="22"/>
                <w:szCs w:val="22"/>
                <w:color w:val="auto"/>
              </w:rPr>
            </w:pPr>
          </w:p>
        </w:tc>
        <w:tc>
          <w:tcPr>
            <w:tcW w:w="4660" w:type="dxa"/>
            <w:vAlign w:val="bottom"/>
            <w:tcBorders>
              <w:top w:val="single" w:sz="8" w:color="DAE9F7"/>
              <w:bottom w:val="single" w:sz="8" w:color="auto"/>
              <w:right w:val="single" w:sz="8" w:color="auto"/>
            </w:tcBorders>
            <w:shd w:val="clear" w:color="auto" w:fill="DAE9F7"/>
          </w:tcPr>
          <w:p>
            <w:pPr>
              <w:spacing w:after="0"/>
              <w:rPr>
                <w:sz w:val="22"/>
                <w:szCs w:val="22"/>
                <w:color w:val="auto"/>
              </w:rPr>
            </w:pPr>
          </w:p>
        </w:tc>
      </w:tr>
      <w:tr>
        <w:trPr>
          <w:trHeight w:val="183"/>
        </w:trPr>
        <w:tc>
          <w:tcPr>
            <w:tcW w:w="120" w:type="dxa"/>
            <w:vAlign w:val="bottom"/>
            <w:tcBorders>
              <w:left w:val="single" w:sz="8" w:color="auto"/>
            </w:tcBorders>
          </w:tcPr>
          <w:p>
            <w:pPr>
              <w:spacing w:after="0"/>
              <w:rPr>
                <w:sz w:val="15"/>
                <w:szCs w:val="15"/>
                <w:color w:val="auto"/>
              </w:rPr>
            </w:pPr>
          </w:p>
        </w:tc>
        <w:tc>
          <w:tcPr>
            <w:tcW w:w="4040" w:type="dxa"/>
            <w:vAlign w:val="bottom"/>
            <w:gridSpan w:val="2"/>
          </w:tcPr>
          <w:p>
            <w:pPr>
              <w:spacing w:after="0" w:line="184" w:lineRule="exact"/>
              <w:rPr>
                <w:sz w:val="20"/>
                <w:szCs w:val="20"/>
                <w:color w:val="auto"/>
              </w:rPr>
            </w:pPr>
            <w:r>
              <w:rPr>
                <w:rFonts w:ascii="Times New Roman" w:cs="Times New Roman" w:eastAsia="Times New Roman" w:hAnsi="Times New Roman"/>
                <w:sz w:val="20"/>
                <w:szCs w:val="20"/>
                <w:color w:val="auto"/>
              </w:rPr>
              <w:t>Systems Contractors</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Borders>
              <w:right w:val="single" w:sz="8" w:color="auto"/>
            </w:tcBorders>
            <w:gridSpan w:val="4"/>
          </w:tcPr>
          <w:p>
            <w:pPr>
              <w:spacing w:after="0" w:line="184" w:lineRule="exact"/>
              <w:rPr>
                <w:sz w:val="20"/>
                <w:szCs w:val="20"/>
                <w:color w:val="auto"/>
              </w:rPr>
            </w:pPr>
            <w:r>
              <w:rPr>
                <w:rFonts w:ascii="Times New Roman" w:cs="Times New Roman" w:eastAsia="Times New Roman" w:hAnsi="Times New Roman"/>
                <w:sz w:val="20"/>
                <w:szCs w:val="20"/>
                <w:color w:val="auto"/>
              </w:rPr>
              <w:t>Warranty for fan/louver control work for 1 year from substantial</w:t>
            </w:r>
          </w:p>
        </w:tc>
      </w:tr>
      <w:tr>
        <w:trPr>
          <w:trHeight w:val="258"/>
        </w:trPr>
        <w:tc>
          <w:tcPr>
            <w:tcW w:w="120" w:type="dxa"/>
            <w:vAlign w:val="bottom"/>
            <w:tcBorders>
              <w:left w:val="single" w:sz="8" w:color="auto"/>
            </w:tcBorders>
          </w:tcPr>
          <w:p>
            <w:pPr>
              <w:spacing w:after="0"/>
              <w:rPr>
                <w:sz w:val="22"/>
                <w:szCs w:val="22"/>
                <w:color w:val="auto"/>
              </w:rPr>
            </w:pPr>
          </w:p>
        </w:tc>
        <w:tc>
          <w:tcPr>
            <w:tcW w:w="9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5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completion of work.</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660" w:type="dxa"/>
            <w:vAlign w:val="bottom"/>
            <w:tcBorders>
              <w:bottom w:val="single" w:sz="8" w:color="auto"/>
              <w:right w:val="single" w:sz="8" w:color="auto"/>
            </w:tcBorders>
          </w:tcPr>
          <w:p>
            <w:pPr>
              <w:spacing w:after="0"/>
              <w:rPr>
                <w:sz w:val="18"/>
                <w:szCs w:val="18"/>
                <w:color w:val="auto"/>
              </w:rPr>
            </w:pPr>
          </w:p>
        </w:tc>
      </w:tr>
      <w:tr>
        <w:trPr>
          <w:trHeight w:val="200"/>
        </w:trPr>
        <w:tc>
          <w:tcPr>
            <w:tcW w:w="120" w:type="dxa"/>
            <w:vAlign w:val="bottom"/>
            <w:tcBorders>
              <w:left w:val="single" w:sz="8" w:color="auto"/>
            </w:tcBorders>
          </w:tcPr>
          <w:p>
            <w:pPr>
              <w:spacing w:after="0"/>
              <w:rPr>
                <w:sz w:val="17"/>
                <w:szCs w:val="17"/>
                <w:color w:val="auto"/>
              </w:rPr>
            </w:pPr>
          </w:p>
        </w:tc>
        <w:tc>
          <w:tcPr>
            <w:tcW w:w="404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auto"/>
              </w:rPr>
              <w:t>Holcim Solutions and Products US, LLC</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500" w:type="dxa"/>
            <w:vAlign w:val="bottom"/>
            <w:tcBorders>
              <w:right w:val="single" w:sz="8" w:color="auto"/>
            </w:tcBorders>
            <w:gridSpan w:val="4"/>
          </w:tcPr>
          <w:p>
            <w:pPr>
              <w:spacing w:after="0" w:line="200" w:lineRule="exact"/>
              <w:rPr>
                <w:sz w:val="20"/>
                <w:szCs w:val="20"/>
                <w:color w:val="auto"/>
              </w:rPr>
            </w:pPr>
            <w:r>
              <w:rPr>
                <w:rFonts w:ascii="Times New Roman" w:cs="Times New Roman" w:eastAsia="Times New Roman" w:hAnsi="Times New Roman"/>
                <w:sz w:val="20"/>
                <w:szCs w:val="20"/>
                <w:color w:val="auto"/>
              </w:rPr>
              <w:t>10 year red shield roofing system limited warranty (assignable</w:t>
            </w:r>
          </w:p>
        </w:tc>
      </w:tr>
      <w:tr>
        <w:trPr>
          <w:trHeight w:val="258"/>
        </w:trPr>
        <w:tc>
          <w:tcPr>
            <w:tcW w:w="120" w:type="dxa"/>
            <w:vAlign w:val="bottom"/>
            <w:tcBorders>
              <w:left w:val="single" w:sz="8" w:color="auto"/>
            </w:tcBorders>
          </w:tcPr>
          <w:p>
            <w:pPr>
              <w:spacing w:after="0"/>
              <w:rPr>
                <w:sz w:val="22"/>
                <w:szCs w:val="22"/>
                <w:color w:val="auto"/>
              </w:rPr>
            </w:pPr>
          </w:p>
        </w:tc>
        <w:tc>
          <w:tcPr>
            <w:tcW w:w="9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5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subject to owner’s payment of current transfer fee set by Holcim).</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660" w:type="dxa"/>
            <w:vAlign w:val="bottom"/>
            <w:tcBorders>
              <w:bottom w:val="single" w:sz="8" w:color="auto"/>
              <w:right w:val="single" w:sz="8" w:color="auto"/>
            </w:tcBorders>
          </w:tcPr>
          <w:p>
            <w:pPr>
              <w:spacing w:after="0"/>
              <w:rPr>
                <w:sz w:val="18"/>
                <w:szCs w:val="18"/>
                <w:color w:val="auto"/>
              </w:rPr>
            </w:pPr>
          </w:p>
        </w:tc>
      </w:tr>
      <w:tr>
        <w:trPr>
          <w:trHeight w:val="200"/>
        </w:trPr>
        <w:tc>
          <w:tcPr>
            <w:tcW w:w="120" w:type="dxa"/>
            <w:vAlign w:val="bottom"/>
            <w:tcBorders>
              <w:left w:val="single" w:sz="8" w:color="auto"/>
            </w:tcBorders>
          </w:tcPr>
          <w:p>
            <w:pPr>
              <w:spacing w:after="0"/>
              <w:rPr>
                <w:sz w:val="17"/>
                <w:szCs w:val="17"/>
                <w:color w:val="auto"/>
              </w:rPr>
            </w:pPr>
          </w:p>
        </w:tc>
        <w:tc>
          <w:tcPr>
            <w:tcW w:w="404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auto"/>
              </w:rPr>
              <w:t>Holcim Solutions and Products US, LLC</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500" w:type="dxa"/>
            <w:vAlign w:val="bottom"/>
            <w:tcBorders>
              <w:right w:val="single" w:sz="8" w:color="auto"/>
            </w:tcBorders>
            <w:gridSpan w:val="4"/>
          </w:tcPr>
          <w:p>
            <w:pPr>
              <w:spacing w:after="0" w:line="200" w:lineRule="exact"/>
              <w:rPr>
                <w:sz w:val="20"/>
                <w:szCs w:val="20"/>
                <w:color w:val="auto"/>
              </w:rPr>
            </w:pPr>
            <w:r>
              <w:rPr>
                <w:rFonts w:ascii="Times New Roman" w:cs="Times New Roman" w:eastAsia="Times New Roman" w:hAnsi="Times New Roman"/>
                <w:sz w:val="20"/>
                <w:szCs w:val="20"/>
                <w:color w:val="auto"/>
              </w:rPr>
              <w:t>20 year roofing membrane limited warranty (assignable subject to</w:t>
            </w:r>
          </w:p>
        </w:tc>
      </w:tr>
      <w:tr>
        <w:trPr>
          <w:trHeight w:val="258"/>
        </w:trPr>
        <w:tc>
          <w:tcPr>
            <w:tcW w:w="120" w:type="dxa"/>
            <w:vAlign w:val="bottom"/>
            <w:tcBorders>
              <w:left w:val="single" w:sz="8" w:color="auto"/>
            </w:tcBorders>
          </w:tcPr>
          <w:p>
            <w:pPr>
              <w:spacing w:after="0"/>
              <w:rPr>
                <w:sz w:val="22"/>
                <w:szCs w:val="22"/>
                <w:color w:val="auto"/>
              </w:rPr>
            </w:pPr>
          </w:p>
        </w:tc>
        <w:tc>
          <w:tcPr>
            <w:tcW w:w="9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5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owner’s payment of current transfer fee set by Holcim).</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660" w:type="dxa"/>
            <w:vAlign w:val="bottom"/>
            <w:tcBorders>
              <w:bottom w:val="single" w:sz="8" w:color="auto"/>
              <w:right w:val="single" w:sz="8" w:color="auto"/>
            </w:tcBorders>
          </w:tcPr>
          <w:p>
            <w:pPr>
              <w:spacing w:after="0"/>
              <w:rPr>
                <w:sz w:val="18"/>
                <w:szCs w:val="18"/>
                <w:color w:val="auto"/>
              </w:rPr>
            </w:pPr>
          </w:p>
        </w:tc>
      </w:tr>
      <w:tr>
        <w:trPr>
          <w:trHeight w:val="252"/>
        </w:trPr>
        <w:tc>
          <w:tcPr>
            <w:tcW w:w="120" w:type="dxa"/>
            <w:vAlign w:val="bottom"/>
            <w:tcBorders>
              <w:left w:val="single" w:sz="8" w:color="auto"/>
            </w:tcBorders>
          </w:tcPr>
          <w:p>
            <w:pPr>
              <w:spacing w:after="0"/>
              <w:rPr>
                <w:sz w:val="21"/>
                <w:szCs w:val="21"/>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Pfaff’s, Inc.</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5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10 year warranty for insulated glass expiring on January 20, 2033.</w:t>
            </w:r>
          </w:p>
        </w:tc>
      </w:tr>
      <w:tr>
        <w:trPr>
          <w:trHeight w:val="187"/>
        </w:trPr>
        <w:tc>
          <w:tcPr>
            <w:tcW w:w="120" w:type="dxa"/>
            <w:vAlign w:val="bottom"/>
            <w:tcBorders>
              <w:left w:val="single" w:sz="8" w:color="auto"/>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60" w:type="dxa"/>
            <w:vAlign w:val="bottom"/>
            <w:tcBorders>
              <w:bottom w:val="single" w:sz="8" w:color="auto"/>
              <w:right w:val="single" w:sz="8" w:color="auto"/>
            </w:tcBorders>
          </w:tcPr>
          <w:p>
            <w:pPr>
              <w:spacing w:after="0"/>
              <w:rPr>
                <w:sz w:val="16"/>
                <w:szCs w:val="16"/>
                <w:color w:val="auto"/>
              </w:rPr>
            </w:pPr>
          </w:p>
        </w:tc>
      </w:tr>
      <w:tr>
        <w:trPr>
          <w:trHeight w:val="252"/>
        </w:trPr>
        <w:tc>
          <w:tcPr>
            <w:tcW w:w="120" w:type="dxa"/>
            <w:vAlign w:val="bottom"/>
            <w:tcBorders>
              <w:left w:val="single" w:sz="8" w:color="auto"/>
            </w:tcBorders>
          </w:tcPr>
          <w:p>
            <w:pPr>
              <w:spacing w:after="0"/>
              <w:rPr>
                <w:sz w:val="21"/>
                <w:szCs w:val="21"/>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AMERICAN Flow Control (AFC)</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5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10 year limited product warranty.</w:t>
            </w:r>
          </w:p>
        </w:tc>
      </w:tr>
      <w:tr>
        <w:trPr>
          <w:trHeight w:val="187"/>
        </w:trPr>
        <w:tc>
          <w:tcPr>
            <w:tcW w:w="120" w:type="dxa"/>
            <w:vAlign w:val="bottom"/>
            <w:tcBorders>
              <w:left w:val="single" w:sz="8" w:color="auto"/>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60" w:type="dxa"/>
            <w:vAlign w:val="bottom"/>
            <w:tcBorders>
              <w:bottom w:val="single" w:sz="8" w:color="auto"/>
              <w:right w:val="single" w:sz="8" w:color="auto"/>
            </w:tcBorders>
          </w:tcPr>
          <w:p>
            <w:pPr>
              <w:spacing w:after="0"/>
              <w:rPr>
                <w:sz w:val="16"/>
                <w:szCs w:val="16"/>
                <w:color w:val="auto"/>
              </w:rPr>
            </w:pPr>
          </w:p>
        </w:tc>
      </w:tr>
      <w:tr>
        <w:trPr>
          <w:trHeight w:val="1621"/>
        </w:trPr>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the Registrant</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gridSpan w:val="2"/>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240" w:type="dxa"/>
            <w:vAlign w:val="bottom"/>
          </w:tcPr>
          <w:p>
            <w:pPr>
              <w:spacing w:after="0"/>
              <w:rPr>
                <w:sz w:val="13"/>
                <w:szCs w:val="13"/>
                <w:color w:val="auto"/>
              </w:rPr>
            </w:pPr>
          </w:p>
        </w:tc>
        <w:tc>
          <w:tcPr>
            <w:tcW w:w="332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73"/>
        </w:trPr>
        <w:tc>
          <w:tcPr>
            <w:tcW w:w="76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332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ProKidney Holdings, LLC</w:t>
            </w:r>
          </w:p>
        </w:tc>
        <w:tc>
          <w:tcPr>
            <w:tcW w:w="24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ProKidney Intermediate Holdings, LLC</w:t>
            </w:r>
          </w:p>
        </w:tc>
        <w:tc>
          <w:tcPr>
            <w:tcW w:w="2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ProKidney IPCo, LLC</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ProKidney, LLC</w:t>
            </w:r>
          </w:p>
        </w:tc>
        <w:tc>
          <w:tcPr>
            <w:tcW w:w="2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ProKidney Acquisition Company, LLC</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ProKidney Acquisition Company II, LLC</w:t>
            </w:r>
          </w:p>
        </w:tc>
        <w:tc>
          <w:tcPr>
            <w:tcW w:w="2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7"/>
        </w:trPr>
        <w:tc>
          <w:tcPr>
            <w:tcW w:w="182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308" w:lineRule="exact"/>
        <w:rPr>
          <w:sz w:val="20"/>
          <w:szCs w:val="20"/>
          <w:color w:val="auto"/>
        </w:rPr>
      </w:pPr>
    </w:p>
    <w:p>
      <w:pPr>
        <w:ind w:right="2860" w:firstLine="2856"/>
        <w:spacing w:after="0" w:line="315" w:lineRule="auto"/>
        <w:rPr>
          <w:sz w:val="20"/>
          <w:szCs w:val="20"/>
          <w:color w:val="auto"/>
        </w:rPr>
      </w:pPr>
      <w:r>
        <w:rPr>
          <w:rFonts w:ascii="Times New Roman" w:cs="Times New Roman" w:eastAsia="Times New Roman" w:hAnsi="Times New Roman"/>
          <w:sz w:val="22"/>
          <w:szCs w:val="22"/>
          <w:b w:val="1"/>
          <w:bCs w:val="1"/>
          <w:color w:val="333333"/>
        </w:rPr>
        <w:t xml:space="preserve">Consent of Independent Registered Public Accounting Firm </w:t>
      </w:r>
      <w:r>
        <w:rPr>
          <w:rFonts w:ascii="Times New Roman" w:cs="Times New Roman" w:eastAsia="Times New Roman" w:hAnsi="Times New Roman"/>
          <w:sz w:val="22"/>
          <w:szCs w:val="22"/>
          <w:color w:val="333333"/>
        </w:rPr>
        <w:t>We consent to the incorporation by reference in the following Registration Statements:</w:t>
      </w:r>
    </w:p>
    <w:p>
      <w:pPr>
        <w:spacing w:after="0" w:line="1" w:lineRule="exact"/>
        <w:rPr>
          <w:sz w:val="20"/>
          <w:szCs w:val="20"/>
          <w:color w:val="auto"/>
        </w:rPr>
      </w:pPr>
    </w:p>
    <w:p>
      <w:pPr>
        <w:ind w:left="780" w:right="1440" w:hanging="398"/>
        <w:spacing w:after="0" w:line="258" w:lineRule="auto"/>
        <w:tabs>
          <w:tab w:leader="none" w:pos="780" w:val="left"/>
        </w:tabs>
        <w:numPr>
          <w:ilvl w:val="0"/>
          <w:numId w:val="117"/>
        </w:numPr>
        <w:rPr>
          <w:rFonts w:ascii="Times New Roman" w:cs="Times New Roman" w:eastAsia="Times New Roman" w:hAnsi="Times New Roman"/>
          <w:sz w:val="22"/>
          <w:szCs w:val="22"/>
          <w:color w:val="333333"/>
        </w:rPr>
      </w:pPr>
      <w:r>
        <w:rPr>
          <w:rFonts w:ascii="Times New Roman" w:cs="Times New Roman" w:eastAsia="Times New Roman" w:hAnsi="Times New Roman"/>
          <w:sz w:val="22"/>
          <w:szCs w:val="22"/>
          <w:color w:val="333333"/>
        </w:rPr>
        <w:t>Registration Statement (Post-Effective Amendment No. 3 to Form S-1 on Form S-3 No. 333-266683) of ProKidney Corp.,</w:t>
      </w:r>
    </w:p>
    <w:p>
      <w:pPr>
        <w:spacing w:after="0" w:line="36" w:lineRule="exact"/>
        <w:rPr>
          <w:rFonts w:ascii="Times New Roman" w:cs="Times New Roman" w:eastAsia="Times New Roman" w:hAnsi="Times New Roman"/>
          <w:sz w:val="22"/>
          <w:szCs w:val="22"/>
          <w:color w:val="333333"/>
        </w:rPr>
      </w:pPr>
    </w:p>
    <w:p>
      <w:pPr>
        <w:ind w:left="780" w:hanging="398"/>
        <w:spacing w:after="0"/>
        <w:tabs>
          <w:tab w:leader="none" w:pos="780" w:val="left"/>
        </w:tabs>
        <w:numPr>
          <w:ilvl w:val="0"/>
          <w:numId w:val="117"/>
        </w:numPr>
        <w:rPr>
          <w:rFonts w:ascii="Times New Roman" w:cs="Times New Roman" w:eastAsia="Times New Roman" w:hAnsi="Times New Roman"/>
          <w:sz w:val="22"/>
          <w:szCs w:val="22"/>
          <w:color w:val="333333"/>
        </w:rPr>
      </w:pPr>
      <w:r>
        <w:rPr>
          <w:rFonts w:ascii="Times New Roman" w:cs="Times New Roman" w:eastAsia="Times New Roman" w:hAnsi="Times New Roman"/>
          <w:sz w:val="22"/>
          <w:szCs w:val="22"/>
          <w:color w:val="333333"/>
        </w:rPr>
        <w:t>Registration Statement (Post-Effective Amendment No. 1 to Form S-3 No. 333-275701) of ProKidney Corp.,</w:t>
      </w:r>
    </w:p>
    <w:p>
      <w:pPr>
        <w:spacing w:after="0" w:line="71" w:lineRule="exact"/>
        <w:rPr>
          <w:rFonts w:ascii="Times New Roman" w:cs="Times New Roman" w:eastAsia="Times New Roman" w:hAnsi="Times New Roman"/>
          <w:sz w:val="22"/>
          <w:szCs w:val="22"/>
          <w:color w:val="333333"/>
        </w:rPr>
      </w:pPr>
    </w:p>
    <w:p>
      <w:pPr>
        <w:ind w:left="780" w:right="1360" w:hanging="398"/>
        <w:spacing w:after="0" w:line="282" w:lineRule="auto"/>
        <w:tabs>
          <w:tab w:leader="none" w:pos="780" w:val="left"/>
        </w:tabs>
        <w:numPr>
          <w:ilvl w:val="0"/>
          <w:numId w:val="117"/>
        </w:numPr>
        <w:rPr>
          <w:rFonts w:ascii="Times New Roman" w:cs="Times New Roman" w:eastAsia="Times New Roman" w:hAnsi="Times New Roman"/>
          <w:sz w:val="21"/>
          <w:szCs w:val="21"/>
          <w:color w:val="333333"/>
        </w:rPr>
      </w:pPr>
      <w:r>
        <w:rPr>
          <w:rFonts w:ascii="Times New Roman" w:cs="Times New Roman" w:eastAsia="Times New Roman" w:hAnsi="Times New Roman"/>
          <w:sz w:val="21"/>
          <w:szCs w:val="21"/>
          <w:color w:val="333333"/>
        </w:rPr>
        <w:t>Registration Statement (Post-Effective Amendment No. 1 to Form S-8 No. 333-267414) pertaining to the ProKidney Corp. 2022 Incentive Equity Plan and the ProKidney Corp. Employee Stock Purchase Plan,</w:t>
      </w:r>
    </w:p>
    <w:p>
      <w:pPr>
        <w:spacing w:after="0" w:line="13" w:lineRule="exact"/>
        <w:rPr>
          <w:rFonts w:ascii="Times New Roman" w:cs="Times New Roman" w:eastAsia="Times New Roman" w:hAnsi="Times New Roman"/>
          <w:sz w:val="21"/>
          <w:szCs w:val="21"/>
          <w:color w:val="333333"/>
        </w:rPr>
      </w:pPr>
    </w:p>
    <w:p>
      <w:pPr>
        <w:ind w:left="780" w:right="1360" w:hanging="398"/>
        <w:spacing w:after="0" w:line="282" w:lineRule="auto"/>
        <w:tabs>
          <w:tab w:leader="none" w:pos="780" w:val="left"/>
        </w:tabs>
        <w:numPr>
          <w:ilvl w:val="0"/>
          <w:numId w:val="117"/>
        </w:numPr>
        <w:rPr>
          <w:rFonts w:ascii="Times New Roman" w:cs="Times New Roman" w:eastAsia="Times New Roman" w:hAnsi="Times New Roman"/>
          <w:sz w:val="21"/>
          <w:szCs w:val="21"/>
          <w:color w:val="333333"/>
        </w:rPr>
      </w:pPr>
      <w:r>
        <w:rPr>
          <w:rFonts w:ascii="Times New Roman" w:cs="Times New Roman" w:eastAsia="Times New Roman" w:hAnsi="Times New Roman"/>
          <w:sz w:val="21"/>
          <w:szCs w:val="21"/>
          <w:color w:val="333333"/>
        </w:rPr>
        <w:t>Registration Statement (Post-Effective Amendment No. 1 to Form S-8 No. 333-270920) pertaining to the ProKidney Corp. 2022 Incentive Equity Plan and the ProKidney Corp. Employee Stock Purchase Plan,</w:t>
      </w:r>
    </w:p>
    <w:p>
      <w:pPr>
        <w:spacing w:after="0" w:line="13" w:lineRule="exact"/>
        <w:rPr>
          <w:rFonts w:ascii="Times New Roman" w:cs="Times New Roman" w:eastAsia="Times New Roman" w:hAnsi="Times New Roman"/>
          <w:sz w:val="21"/>
          <w:szCs w:val="21"/>
          <w:color w:val="333333"/>
        </w:rPr>
      </w:pPr>
    </w:p>
    <w:p>
      <w:pPr>
        <w:ind w:left="780" w:right="1200" w:hanging="398"/>
        <w:spacing w:after="0" w:line="281" w:lineRule="auto"/>
        <w:tabs>
          <w:tab w:leader="none" w:pos="780" w:val="left"/>
        </w:tabs>
        <w:numPr>
          <w:ilvl w:val="0"/>
          <w:numId w:val="117"/>
        </w:numPr>
        <w:rPr>
          <w:rFonts w:ascii="Times New Roman" w:cs="Times New Roman" w:eastAsia="Times New Roman" w:hAnsi="Times New Roman"/>
          <w:sz w:val="21"/>
          <w:szCs w:val="21"/>
          <w:color w:val="333333"/>
        </w:rPr>
      </w:pPr>
      <w:r>
        <w:rPr>
          <w:rFonts w:ascii="Times New Roman" w:cs="Times New Roman" w:eastAsia="Times New Roman" w:hAnsi="Times New Roman"/>
          <w:sz w:val="21"/>
          <w:szCs w:val="21"/>
          <w:color w:val="333333"/>
        </w:rPr>
        <w:t>Registration Statement (Post-Effective Amendment No. 1 to Form S-8 No. 333-278176) pertaining to the ProKidney Corp. 2022 Incentive Equity Plan and the ProKidney Corp. Employee Stock Purchase Plan, and</w:t>
      </w:r>
    </w:p>
    <w:p>
      <w:pPr>
        <w:spacing w:after="0" w:line="1" w:lineRule="exact"/>
        <w:rPr>
          <w:rFonts w:ascii="Times New Roman" w:cs="Times New Roman" w:eastAsia="Times New Roman" w:hAnsi="Times New Roman"/>
          <w:sz w:val="21"/>
          <w:szCs w:val="21"/>
          <w:color w:val="333333"/>
        </w:rPr>
      </w:pPr>
    </w:p>
    <w:p>
      <w:pPr>
        <w:ind w:left="780" w:right="1360" w:hanging="398"/>
        <w:spacing w:after="0" w:line="282" w:lineRule="auto"/>
        <w:tabs>
          <w:tab w:leader="none" w:pos="780" w:val="left"/>
        </w:tabs>
        <w:numPr>
          <w:ilvl w:val="0"/>
          <w:numId w:val="117"/>
        </w:numPr>
        <w:rPr>
          <w:rFonts w:ascii="Times New Roman" w:cs="Times New Roman" w:eastAsia="Times New Roman" w:hAnsi="Times New Roman"/>
          <w:sz w:val="21"/>
          <w:szCs w:val="21"/>
          <w:color w:val="333333"/>
        </w:rPr>
      </w:pPr>
      <w:r>
        <w:rPr>
          <w:rFonts w:ascii="Times New Roman" w:cs="Times New Roman" w:eastAsia="Times New Roman" w:hAnsi="Times New Roman"/>
          <w:sz w:val="21"/>
          <w:szCs w:val="21"/>
          <w:color w:val="333333"/>
        </w:rPr>
        <w:t>Registration Statement (Post-Effective Amendment No. 1 to Form S-8 No. 333-285975) pertaining to the ProKidney Corp. 2022 Incentive Equity Plan and the ProKidney Corp. Employee Stock Purchase Plan;</w:t>
      </w:r>
    </w:p>
    <w:p>
      <w:pPr>
        <w:spacing w:after="0" w:line="13"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333333"/>
        </w:rPr>
        <w:t>of our report dated March 18, 2026, with respect to the consolidated financial statements of ProKidney Corp. included in this Annual Report (Form 10-K) of ProKidney Corp. for the year ended December 31, 2025.</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/s/ Ernst &amp; Young LLP</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Atlanta, Georgia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March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1106170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Culleton, certify that:</w:t>
      </w:r>
    </w:p>
    <w:p>
      <w:pPr>
        <w:spacing w:after="0" w:line="225" w:lineRule="exact"/>
        <w:rPr>
          <w:sz w:val="20"/>
          <w:szCs w:val="20"/>
          <w:color w:val="auto"/>
        </w:rPr>
      </w:pPr>
    </w:p>
    <w:p>
      <w:pPr>
        <w:ind w:left="520" w:hanging="512"/>
        <w:spacing w:after="0"/>
        <w:tabs>
          <w:tab w:leader="none" w:pos="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ProKidney Corp.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18, 2026</w:t>
            </w:r>
          </w:p>
        </w:tc>
        <w:tc>
          <w:tcPr>
            <w:tcW w:w="76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Bruce Culleton</w:t>
            </w:r>
          </w:p>
        </w:tc>
      </w:tr>
      <w:tr>
        <w:trPr>
          <w:trHeight w:val="191"/>
        </w:trPr>
        <w:tc>
          <w:tcPr>
            <w:tcW w:w="3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Bruce Culleton</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79"/>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Coulston, certify that:</w:t>
      </w:r>
    </w:p>
    <w:p>
      <w:pPr>
        <w:spacing w:after="0" w:line="225" w:lineRule="exact"/>
        <w:rPr>
          <w:sz w:val="20"/>
          <w:szCs w:val="20"/>
          <w:color w:val="auto"/>
        </w:rPr>
      </w:pPr>
    </w:p>
    <w:p>
      <w:pPr>
        <w:ind w:left="520" w:hanging="512"/>
        <w:spacing w:after="0"/>
        <w:tabs>
          <w:tab w:leader="none" w:pos="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ProKidney Corp.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18, 2026</w:t>
            </w:r>
          </w:p>
        </w:tc>
        <w:tc>
          <w:tcPr>
            <w:tcW w:w="76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James Coulston</w:t>
            </w:r>
          </w:p>
        </w:tc>
      </w:tr>
      <w:tr>
        <w:trPr>
          <w:trHeight w:val="191"/>
        </w:trPr>
        <w:tc>
          <w:tcPr>
            <w:tcW w:w="36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Coulston</w:t>
            </w:r>
          </w:p>
        </w:tc>
      </w:tr>
      <w:tr>
        <w:trPr>
          <w:trHeight w:val="216"/>
        </w:trPr>
        <w:tc>
          <w:tcPr>
            <w:tcW w:w="36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79"/>
        </w:trPr>
        <w:tc>
          <w:tcPr>
            <w:tcW w:w="36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ProKidney Corp., a Delaware corporation (the “Company”) does hereby certify, to such officer’s knowledge that:</w:t>
      </w:r>
    </w:p>
    <w:p>
      <w:pPr>
        <w:spacing w:after="0" w:line="162" w:lineRule="exact"/>
        <w:rPr>
          <w:sz w:val="20"/>
          <w:szCs w:val="20"/>
          <w:color w:val="auto"/>
        </w:rPr>
      </w:pPr>
    </w:p>
    <w:p>
      <w:pPr>
        <w:ind w:left="1020" w:right="120" w:hanging="503"/>
        <w:spacing w:after="0" w:line="282" w:lineRule="auto"/>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for the year ended December 31, 2025 (the “Form 10-K”)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18, 2026</w:t>
            </w:r>
          </w:p>
        </w:tc>
        <w:tc>
          <w:tcPr>
            <w:tcW w:w="76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Bruce Culleton</w:t>
            </w:r>
          </w:p>
        </w:tc>
      </w:tr>
      <w:tr>
        <w:trPr>
          <w:trHeight w:val="191"/>
        </w:trPr>
        <w:tc>
          <w:tcPr>
            <w:tcW w:w="35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Bruce Culleton</w:t>
            </w:r>
          </w:p>
        </w:tc>
      </w:tr>
      <w:tr>
        <w:trPr>
          <w:trHeight w:val="216"/>
        </w:trPr>
        <w:tc>
          <w:tcPr>
            <w:tcW w:w="3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843"/>
        </w:trPr>
        <w:tc>
          <w:tcPr>
            <w:tcW w:w="35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ProKidney Corp., a Delaware corporation (the “Company”) does hereby certify, to such officer’s knowledge that:</w:t>
      </w:r>
    </w:p>
    <w:p>
      <w:pPr>
        <w:spacing w:after="0" w:line="162" w:lineRule="exact"/>
        <w:rPr>
          <w:sz w:val="20"/>
          <w:szCs w:val="20"/>
          <w:color w:val="auto"/>
        </w:rPr>
      </w:pPr>
    </w:p>
    <w:p>
      <w:pPr>
        <w:ind w:left="1020" w:right="120" w:hanging="503"/>
        <w:spacing w:after="0" w:line="282" w:lineRule="auto"/>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for the year ended December 31, 2025 (the “Form 10-K”)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18, 2026</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Coulston</w:t>
            </w:r>
          </w:p>
        </w:tc>
      </w:tr>
      <w:tr>
        <w:trPr>
          <w:trHeight w:val="191"/>
        </w:trPr>
        <w:tc>
          <w:tcPr>
            <w:tcW w:w="36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Coulston</w:t>
            </w:r>
          </w:p>
        </w:tc>
      </w:tr>
      <w:tr>
        <w:trPr>
          <w:trHeight w:val="216"/>
        </w:trPr>
        <w:tc>
          <w:tcPr>
            <w:tcW w:w="3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843"/>
        </w:trPr>
        <w:tc>
          <w:tcPr>
            <w:tcW w:w="36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0" w:name="page201"/>
    <w:bookmarkEnd w:id="2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1)"/>
      <w:numFmt w:val="lowerRoman"/>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
      <w:numFmt w:val="bullet"/>
      <w:start w:val="1"/>
    </w:lvl>
  </w:abstractNum>
  <w:abstractNum w:abstractNumId="63">
    <w:nsid w:val="57FC4FBB"/>
    <w:multiLevelType w:val="hybridMultilevel"/>
    <w:lvl w:ilvl="0">
      <w:lvlJc w:val="left"/>
      <w:lvlText w:val="•"/>
      <w:numFmt w:val="bullet"/>
      <w:start w:val="1"/>
    </w:lvl>
  </w:abstractNum>
  <w:abstractNum w:abstractNumId="64">
    <w:nsid w:val="CC1016F"/>
    <w:multiLevelType w:val="hybridMultilevel"/>
    <w:lvl w:ilvl="0">
      <w:lvlJc w:val="left"/>
      <w:lvlText w:val="%1"/>
      <w:numFmt w:val="decimal"/>
      <w:start w:val="97"/>
    </w:lvl>
  </w:abstractNum>
  <w:abstractNum w:abstractNumId="65">
    <w:nsid w:val="43F18422"/>
    <w:multiLevelType w:val="hybridMultilevel"/>
    <w:lvl w:ilvl="0">
      <w:lvlJc w:val="left"/>
      <w:lvlText w:val="*"/>
      <w:numFmt w:val="bullet"/>
      <w:start w:val="1"/>
    </w:lvl>
    <w:lvl w:ilvl="1">
      <w:lvlJc w:val="left"/>
      <w:lvlText w:val="†"/>
      <w:numFmt w:val="bullet"/>
      <w:start w:val="1"/>
    </w:lvl>
  </w:abstractNum>
  <w:abstractNum w:abstractNumId="66">
    <w:nsid w:val="60EF0119"/>
    <w:multiLevelType w:val="hybridMultilevel"/>
    <w:lvl w:ilvl="0">
      <w:lvlJc w:val="left"/>
      <w:lvlText w:val="%1"/>
      <w:numFmt w:val="upperLetter"/>
      <w:start w:val="61"/>
    </w:lvl>
  </w:abstractNum>
  <w:abstractNum w:abstractNumId="67">
    <w:nsid w:val="26F324BA"/>
    <w:multiLevelType w:val="hybridMultilevel"/>
    <w:lvl w:ilvl="0">
      <w:lvlJc w:val="left"/>
      <w:lvlText w:val="•"/>
      <w:numFmt w:val="bullet"/>
      <w:start w:val="1"/>
    </w:lvl>
  </w:abstractNum>
  <w:abstractNum w:abstractNumId="68">
    <w:nsid w:val="7F01579B"/>
    <w:multiLevelType w:val="hybridMultilevel"/>
    <w:lvl w:ilvl="0">
      <w:lvlJc w:val="left"/>
      <w:lvlText w:val="(%1)"/>
      <w:numFmt w:val="lowerRoman"/>
      <w:start w:val="3"/>
    </w:lvl>
  </w:abstractNum>
  <w:abstractNum w:abstractNumId="69">
    <w:nsid w:val="49DA307D"/>
    <w:multiLevelType w:val="hybridMultilevel"/>
    <w:lvl w:ilvl="0">
      <w:lvlJc w:val="left"/>
      <w:lvlText w:val="(%1)"/>
      <w:numFmt w:val="decimal"/>
      <w:start w:val="1"/>
    </w:lvl>
  </w:abstractNum>
  <w:abstractNum w:abstractNumId="70">
    <w:nsid w:val="7055A5F5"/>
    <w:multiLevelType w:val="hybridMultilevel"/>
    <w:lvl w:ilvl="0">
      <w:lvlJc w:val="left"/>
      <w:lvlText w:val="•"/>
      <w:numFmt w:val="bullet"/>
      <w:start w:val="1"/>
    </w:lvl>
  </w:abstractNum>
  <w:abstractNum w:abstractNumId="71">
    <w:nsid w:val="5FB8370B"/>
    <w:multiLevelType w:val="hybridMultilevel"/>
    <w:lvl w:ilvl="0">
      <w:lvlJc w:val="left"/>
      <w:lvlText w:val="%1"/>
      <w:numFmt w:val="upperLetter"/>
      <w:start w:val="35"/>
    </w:lvl>
  </w:abstractNum>
  <w:abstractNum w:abstractNumId="72">
    <w:nsid w:val="50801EE1"/>
    <w:multiLevelType w:val="hybridMultilevel"/>
    <w:lvl w:ilvl="0">
      <w:lvlJc w:val="left"/>
      <w:lvlText w:val="•"/>
      <w:numFmt w:val="bullet"/>
      <w:start w:val="1"/>
    </w:lvl>
  </w:abstractNum>
  <w:abstractNum w:abstractNumId="73">
    <w:nsid w:val="488AC1A"/>
    <w:multiLevelType w:val="hybridMultilevel"/>
    <w:lvl w:ilvl="0">
      <w:lvlJc w:val="left"/>
      <w:lvlText w:val="•"/>
      <w:numFmt w:val="bullet"/>
      <w:start w:val="1"/>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1."/>
      <w:numFmt w:val="decimal"/>
      <w:start w:val="1"/>
    </w:lvl>
  </w:abstractNum>
  <w:abstractNum w:abstractNumId="76">
    <w:nsid w:val="7672BD23"/>
    <w:multiLevelType w:val="hybridMultilevel"/>
    <w:lvl w:ilvl="0">
      <w:lvlJc w:val="left"/>
      <w:lvlText w:val="%1."/>
      <w:numFmt w:val="decimal"/>
      <w:start w:val="2"/>
    </w:lvl>
  </w:abstractNum>
  <w:abstractNum w:abstractNumId="77">
    <w:nsid w:val="6FC75AF8"/>
    <w:multiLevelType w:val="hybridMultilevel"/>
    <w:lvl w:ilvl="0">
      <w:lvlJc w:val="left"/>
      <w:lvlText w:val="%1."/>
      <w:numFmt w:val="decimal"/>
      <w:start w:val="3"/>
    </w:lvl>
  </w:abstractNum>
  <w:abstractNum w:abstractNumId="78">
    <w:nsid w:val="6A5F7029"/>
    <w:multiLevelType w:val="hybridMultilevel"/>
    <w:lvl w:ilvl="0">
      <w:lvlJc w:val="left"/>
      <w:lvlText w:val="%1."/>
      <w:numFmt w:val="decimal"/>
      <w:start w:val="4"/>
    </w:lvl>
  </w:abstractNum>
  <w:abstractNum w:abstractNumId="79">
    <w:nsid w:val="7D5E18F8"/>
    <w:multiLevelType w:val="hybridMultilevel"/>
    <w:lvl w:ilvl="0">
      <w:lvlJc w:val="left"/>
      <w:lvlText w:val="%1."/>
      <w:numFmt w:val="decimal"/>
      <w:start w:val="5"/>
    </w:lvl>
  </w:abstractNum>
  <w:abstractNum w:abstractNumId="80">
    <w:nsid w:val="5F3534A4"/>
    <w:multiLevelType w:val="hybridMultilevel"/>
    <w:lvl w:ilvl="0">
      <w:lvlJc w:val="left"/>
      <w:lvlText w:val="%1."/>
      <w:numFmt w:val="decimal"/>
      <w:start w:val="6"/>
    </w:lvl>
  </w:abstractNum>
  <w:abstractNum w:abstractNumId="81">
    <w:nsid w:val="73A1821B"/>
    <w:multiLevelType w:val="hybridMultilevel"/>
    <w:lvl w:ilvl="0">
      <w:lvlJc w:val="left"/>
      <w:lvlText w:val="(%1)"/>
      <w:numFmt w:val="lowerRoman"/>
      <w:start w:val="1"/>
    </w:lvl>
  </w:abstractNum>
  <w:abstractNum w:abstractNumId="82">
    <w:nsid w:val="7DE67713"/>
    <w:multiLevelType w:val="hybridMultilevel"/>
    <w:lvl w:ilvl="0">
      <w:lvlJc w:val="left"/>
      <w:lvlText w:val="%1."/>
      <w:numFmt w:val="decimal"/>
      <w:start w:val="7"/>
    </w:lvl>
  </w:abstractNum>
  <w:abstractNum w:abstractNumId="83">
    <w:nsid w:val="555C55B5"/>
    <w:multiLevelType w:val="hybridMultilevel"/>
    <w:lvl w:ilvl="0">
      <w:lvlJc w:val="left"/>
      <w:lvlText w:val="%1."/>
      <w:numFmt w:val="decimal"/>
      <w:start w:val="8"/>
    </w:lvl>
  </w:abstractNum>
  <w:abstractNum w:abstractNumId="84">
    <w:nsid w:val="3FA62ACA"/>
    <w:multiLevelType w:val="hybridMultilevel"/>
    <w:lvl w:ilvl="0">
      <w:lvlJc w:val="left"/>
      <w:lvlText w:val="%1."/>
      <w:numFmt w:val="decimal"/>
      <w:start w:val="9"/>
    </w:lvl>
  </w:abstractNum>
  <w:abstractNum w:abstractNumId="85">
    <w:nsid w:val="14FCE74E"/>
    <w:multiLevelType w:val="hybridMultilevel"/>
    <w:lvl w:ilvl="0">
      <w:lvlJc w:val="left"/>
      <w:lvlText w:val="1"/>
      <w:numFmt w:val="bullet"/>
      <w:start w:val="1"/>
    </w:lvl>
  </w:abstractNum>
  <w:abstractNum w:abstractNumId="86">
    <w:nsid w:val="6A3DD3E8"/>
    <w:multiLevelType w:val="hybridMultilevel"/>
    <w:lvl w:ilvl="0">
      <w:lvlJc w:val="left"/>
      <w:lvlText w:val="%1."/>
      <w:numFmt w:val="decimal"/>
      <w:start w:val="10"/>
    </w:lvl>
  </w:abstractNum>
  <w:abstractNum w:abstractNumId="87">
    <w:nsid w:val="71C91298"/>
    <w:multiLevelType w:val="hybridMultilevel"/>
    <w:lvl w:ilvl="0">
      <w:lvlJc w:val="left"/>
      <w:lvlText w:val="%1."/>
      <w:numFmt w:val="decimal"/>
      <w:start w:val="11"/>
    </w:lvl>
  </w:abstractNum>
  <w:abstractNum w:abstractNumId="88">
    <w:nsid w:val="9DAF632"/>
    <w:multiLevelType w:val="hybridMultilevel"/>
    <w:lvl w:ilvl="0">
      <w:lvlJc w:val="left"/>
      <w:lvlText w:val="%1."/>
      <w:numFmt w:val="decimal"/>
      <w:start w:val="12"/>
    </w:lvl>
  </w:abstractNum>
  <w:abstractNum w:abstractNumId="89">
    <w:nsid w:val="53299938"/>
    <w:multiLevelType w:val="hybridMultilevel"/>
    <w:lvl w:ilvl="0">
      <w:lvlJc w:val="left"/>
      <w:lvlText w:val="%1."/>
      <w:numFmt w:val="decimal"/>
      <w:start w:val="13"/>
    </w:lvl>
  </w:abstractNum>
  <w:abstractNum w:abstractNumId="90">
    <w:nsid w:val="1FBFE8E0"/>
    <w:multiLevelType w:val="hybridMultilevel"/>
    <w:lvl w:ilvl="0">
      <w:lvlJc w:val="left"/>
      <w:lvlText w:val="%1."/>
      <w:numFmt w:val="decimal"/>
      <w:start w:val="14"/>
    </w:lvl>
  </w:abstractNum>
  <w:abstractNum w:abstractNumId="91">
    <w:nsid w:val="5092CA79"/>
    <w:multiLevelType w:val="hybridMultilevel"/>
    <w:lvl w:ilvl="0">
      <w:lvlJc w:val="left"/>
      <w:lvlText w:val="%1."/>
      <w:numFmt w:val="decimal"/>
      <w:start w:val="15"/>
    </w:lvl>
  </w:abstractNum>
  <w:abstractNum w:abstractNumId="92">
    <w:nsid w:val="1D545C4D"/>
    <w:multiLevelType w:val="hybridMultilevel"/>
    <w:lvl w:ilvl="0">
      <w:lvlJc w:val="left"/>
      <w:lvlText w:val="%1."/>
      <w:numFmt w:val="decimal"/>
      <w:start w:val="16"/>
    </w:lvl>
  </w:abstractNum>
  <w:abstractNum w:abstractNumId="93">
    <w:nsid w:val="59ADEA3D"/>
    <w:multiLevelType w:val="hybridMultilevel"/>
    <w:lvl w:ilvl="0">
      <w:lvlJc w:val="left"/>
      <w:lvlText w:val="%1."/>
      <w:numFmt w:val="upperLetter"/>
      <w:start w:val="9"/>
    </w:lvl>
  </w:abstractNum>
  <w:abstractNum w:abstractNumId="94">
    <w:nsid w:val="288F1A34"/>
    <w:multiLevelType w:val="hybridMultilevel"/>
    <w:lvl w:ilvl="0">
      <w:lvlJc w:val="left"/>
      <w:lvlText w:val="%1."/>
      <w:numFmt w:val="upperLetter"/>
      <w:start w:val="35"/>
    </w:lvl>
  </w:abstractNum>
  <w:abstractNum w:abstractNumId="95">
    <w:nsid w:val="2A155DBC"/>
    <w:multiLevelType w:val="hybridMultilevel"/>
    <w:lvl w:ilvl="0">
      <w:lvlJc w:val="left"/>
      <w:lvlText w:val="•"/>
      <w:numFmt w:val="bullet"/>
      <w:start w:val="1"/>
    </w:lvl>
  </w:abstractNum>
  <w:abstractNum w:abstractNumId="96">
    <w:nsid w:val="1D9F6E5F"/>
    <w:multiLevelType w:val="hybridMultilevel"/>
    <w:lvl w:ilvl="0">
      <w:lvlJc w:val="left"/>
      <w:lvlText w:val="•"/>
      <w:numFmt w:val="bullet"/>
      <w:start w:val="1"/>
    </w:lvl>
  </w:abstractNum>
  <w:abstractNum w:abstractNumId="97">
    <w:nsid w:val="97E1B4E"/>
    <w:multiLevelType w:val="hybridMultilevel"/>
    <w:lvl w:ilvl="0">
      <w:lvlJc w:val="left"/>
      <w:lvlText w:val="•"/>
      <w:numFmt w:val="bullet"/>
      <w:start w:val="1"/>
    </w:lvl>
  </w:abstractNum>
  <w:abstractNum w:abstractNumId="98">
    <w:nsid w:val="51088277"/>
    <w:multiLevelType w:val="hybridMultilevel"/>
    <w:lvl w:ilvl="0">
      <w:lvlJc w:val="left"/>
      <w:lvlText w:val="%1."/>
      <w:numFmt w:val="upperLetter"/>
      <w:start w:val="61"/>
    </w:lvl>
    <w:lvl w:ilvl="1">
      <w:lvlJc w:val="left"/>
      <w:lvlText w:val="%2."/>
      <w:numFmt w:val="upperLetter"/>
      <w:start w:val="1"/>
    </w:lvl>
  </w:abstractNum>
  <w:abstractNum w:abstractNumId="99">
    <w:nsid w:val="1CA0C5FA"/>
    <w:multiLevelType w:val="hybridMultilevel"/>
    <w:lvl w:ilvl="0">
      <w:lvlJc w:val="left"/>
      <w:lvlText w:val="%1."/>
      <w:numFmt w:val="upperLetter"/>
      <w:start w:val="2"/>
    </w:lvl>
  </w:abstractNum>
  <w:abstractNum w:abstractNumId="100">
    <w:nsid w:val="53584BCB"/>
    <w:multiLevelType w:val="hybridMultilevel"/>
    <w:lvl w:ilvl="0">
      <w:lvlJc w:val="left"/>
      <w:lvlText w:val="%1."/>
      <w:numFmt w:val="upperLetter"/>
      <w:start w:val="1"/>
    </w:lvl>
  </w:abstractNum>
  <w:abstractNum w:abstractNumId="101">
    <w:nsid w:val="415E286C"/>
    <w:multiLevelType w:val="hybridMultilevel"/>
    <w:lvl w:ilvl="0">
      <w:lvlJc w:val="left"/>
      <w:lvlText w:val="%1"/>
      <w:numFmt w:val="upperLetter"/>
      <w:start w:val="1"/>
    </w:lvl>
    <w:lvl w:ilvl="1">
      <w:lvlJc w:val="left"/>
      <w:lvlText w:val="%2."/>
      <w:numFmt w:val="upperLetter"/>
      <w:start w:val="3"/>
    </w:lvl>
  </w:abstractNum>
  <w:abstractNum w:abstractNumId="102">
    <w:nsid w:val="7C58FD05"/>
    <w:multiLevelType w:val="hybridMultilevel"/>
    <w:lvl w:ilvl="0">
      <w:lvlJc w:val="left"/>
      <w:lvlText w:val="%1."/>
      <w:numFmt w:val="upperLetter"/>
      <w:start w:val="22"/>
    </w:lvl>
    <w:lvl w:ilvl="1">
      <w:lvlJc w:val="left"/>
      <w:lvlText w:val="%2"/>
      <w:numFmt w:val="upperLetter"/>
      <w:start w:val="1"/>
    </w:lvl>
  </w:abstractNum>
  <w:abstractNum w:abstractNumId="103">
    <w:nsid w:val="23D86AAC"/>
    <w:multiLevelType w:val="hybridMultilevel"/>
    <w:lvl w:ilvl="0">
      <w:lvlJc w:val="left"/>
      <w:lvlText w:val="(%1)"/>
      <w:numFmt w:val="lowerRoman"/>
      <w:start w:val="2"/>
    </w:lvl>
  </w:abstractNum>
  <w:abstractNum w:abstractNumId="104">
    <w:nsid w:val="45E6D486"/>
    <w:multiLevelType w:val="hybridMultilevel"/>
    <w:lvl w:ilvl="0">
      <w:lvlJc w:val="left"/>
      <w:lvlText w:val="(%1)"/>
      <w:numFmt w:val="lowerRoman"/>
      <w:start w:val="3"/>
    </w:lvl>
  </w:abstractNum>
  <w:abstractNum w:abstractNumId="105">
    <w:nsid w:val="5C10FE21"/>
    <w:multiLevelType w:val="hybridMultilevel"/>
    <w:lvl w:ilvl="0">
      <w:lvlJc w:val="left"/>
      <w:lvlText w:val="(%1)"/>
      <w:numFmt w:val="lowerRoman"/>
      <w:start w:val="1"/>
    </w:lvl>
  </w:abstractNum>
  <w:abstractNum w:abstractNumId="106">
    <w:nsid w:val="E7FFA2B"/>
    <w:multiLevelType w:val="hybridMultilevel"/>
    <w:lvl w:ilvl="0">
      <w:lvlJc w:val="left"/>
      <w:lvlText w:val="(%1)"/>
      <w:numFmt w:val="lowerRoman"/>
      <w:start w:val="1"/>
    </w:lvl>
  </w:abstractNum>
  <w:abstractNum w:abstractNumId="107">
    <w:nsid w:val="3C5991AA"/>
    <w:multiLevelType w:val="hybridMultilevel"/>
    <w:lvl w:ilvl="0">
      <w:lvlJc w:val="left"/>
      <w:lvlText w:val="(%1)"/>
      <w:numFmt w:val="lowerRoman"/>
      <w:start w:val="3"/>
    </w:lvl>
  </w:abstractNum>
  <w:abstractNum w:abstractNumId="108">
    <w:nsid w:val="4BD8591A"/>
    <w:multiLevelType w:val="hybridMultilevel"/>
    <w:lvl w:ilvl="0">
      <w:lvlJc w:val="left"/>
      <w:lvlText w:val="•"/>
      <w:numFmt w:val="bullet"/>
      <w:start w:val="1"/>
    </w:lvl>
  </w:abstractNum>
  <w:abstractNum w:abstractNumId="109">
    <w:nsid w:val="78DF6A55"/>
    <w:multiLevelType w:val="hybridMultilevel"/>
    <w:lvl w:ilvl="0">
      <w:lvlJc w:val="left"/>
      <w:lvlText w:val="%1."/>
      <w:numFmt w:val="decimal"/>
      <w:start w:val="1"/>
    </w:lvl>
  </w:abstractNum>
  <w:abstractNum w:abstractNumId="110">
    <w:nsid w:val="39B7AAA2"/>
    <w:multiLevelType w:val="hybridMultilevel"/>
    <w:lvl w:ilvl="0">
      <w:lvlJc w:val="left"/>
      <w:lvlText w:val="%1"/>
      <w:numFmt w:val="decimal"/>
      <w:start w:val="1"/>
    </w:lvl>
    <w:lvl w:ilvl="1">
      <w:lvlJc w:val="left"/>
      <w:lvlText w:val="%2."/>
      <w:numFmt w:val="decimal"/>
      <w:start w:val="5"/>
    </w:lvl>
  </w:abstractNum>
  <w:abstractNum w:abstractNumId="111">
    <w:nsid w:val="2B0D8DBE"/>
    <w:multiLevelType w:val="hybridMultilevel"/>
    <w:lvl w:ilvl="0">
      <w:lvlJc w:val="left"/>
      <w:lvlText w:val="%1."/>
      <w:numFmt w:val="decimal"/>
      <w:start w:val="7"/>
    </w:lvl>
    <w:lvl w:ilvl="1">
      <w:lvlJc w:val="left"/>
      <w:lvlText w:val="%2"/>
      <w:numFmt w:val="decimal"/>
      <w:start w:val="1"/>
    </w:lvl>
  </w:abstractNum>
  <w:abstractNum w:abstractNumId="112">
    <w:nsid w:val="6C80EC70"/>
    <w:multiLevelType w:val="hybridMultilevel"/>
    <w:lvl w:ilvl="0">
      <w:lvlJc w:val="left"/>
      <w:lvlText w:val="%1."/>
      <w:numFmt w:val="decimal"/>
      <w:start w:val="1"/>
    </w:lvl>
  </w:abstractNum>
  <w:abstractNum w:abstractNumId="113">
    <w:nsid w:val="379E21B5"/>
    <w:multiLevelType w:val="hybridMultilevel"/>
    <w:lvl w:ilvl="0">
      <w:lvlJc w:val="left"/>
      <w:lvlText w:val="%1."/>
      <w:numFmt w:val="upperLetter"/>
      <w:start w:val="1"/>
    </w:lvl>
  </w:abstractNum>
  <w:abstractNum w:abstractNumId="114">
    <w:nsid w:val="69E373"/>
    <w:multiLevelType w:val="hybridMultilevel"/>
    <w:lvl w:ilvl="0">
      <w:lvlJc w:val="left"/>
      <w:lvlText w:val="%1."/>
      <w:numFmt w:val="decimal"/>
      <w:start w:val="1"/>
    </w:lvl>
  </w:abstractNum>
  <w:abstractNum w:abstractNumId="115">
    <w:nsid w:val="2C27173B"/>
    <w:multiLevelType w:val="hybridMultilevel"/>
    <w:lvl w:ilvl="0">
      <w:lvlJc w:val="left"/>
      <w:lvlText w:val="%1."/>
      <w:numFmt w:val="decimal"/>
      <w:start w:val="5"/>
    </w:lvl>
  </w:abstractNum>
  <w:abstractNum w:abstractNumId="116">
    <w:nsid w:val="4C9B0904"/>
    <w:multiLevelType w:val="hybridMultilevel"/>
    <w:lvl w:ilvl="0">
      <w:lvlJc w:val="left"/>
      <w:lvlText w:val="(%1)"/>
      <w:numFmt w:val="decimal"/>
      <w:start w:val="1"/>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pn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94" Type="http://schemas.openxmlformats.org/officeDocument/2006/relationships/image" Target="media/image157.png"/><Relationship Id="rId195" Type="http://schemas.openxmlformats.org/officeDocument/2006/relationships/image" Target="media/image158.png"/><Relationship Id="rId196" Type="http://schemas.openxmlformats.org/officeDocument/2006/relationships/image" Target="media/image159.png"/><Relationship Id="rId197" Type="http://schemas.openxmlformats.org/officeDocument/2006/relationships/image" Target="media/image160.png"/><Relationship Id="rId198" Type="http://schemas.openxmlformats.org/officeDocument/2006/relationships/image" Target="media/image161.png"/><Relationship Id="rId199"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203" Type="http://schemas.openxmlformats.org/officeDocument/2006/relationships/image" Target="media/image166.png"/><Relationship Id="rId204" Type="http://schemas.openxmlformats.org/officeDocument/2006/relationships/image" Target="media/image167.png"/><Relationship Id="rId205" Type="http://schemas.openxmlformats.org/officeDocument/2006/relationships/image" Target="media/image168.png"/><Relationship Id="rId206" Type="http://schemas.openxmlformats.org/officeDocument/2006/relationships/image" Target="media/image169.png"/><Relationship Id="rId207" Type="http://schemas.openxmlformats.org/officeDocument/2006/relationships/image" Target="media/image170.png"/><Relationship Id="rId208" Type="http://schemas.openxmlformats.org/officeDocument/2006/relationships/image" Target="media/image171.png"/><Relationship Id="rId209" Type="http://schemas.openxmlformats.org/officeDocument/2006/relationships/image" Target="media/image172.png"/><Relationship Id="rId210" Type="http://schemas.openxmlformats.org/officeDocument/2006/relationships/image" Target="media/image173.png"/><Relationship Id="rId211" Type="http://schemas.openxmlformats.org/officeDocument/2006/relationships/image" Target="media/image174.png"/><Relationship Id="rId212"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243" Type="http://schemas.openxmlformats.org/officeDocument/2006/relationships/image" Target="media/image206.png"/><Relationship Id="rId244" Type="http://schemas.openxmlformats.org/officeDocument/2006/relationships/image" Target="media/image207.png"/><Relationship Id="rId245" Type="http://schemas.openxmlformats.org/officeDocument/2006/relationships/image" Target="media/image208.png"/><Relationship Id="rId246" Type="http://schemas.openxmlformats.org/officeDocument/2006/relationships/image" Target="media/image209.png"/><Relationship Id="rId247" Type="http://schemas.openxmlformats.org/officeDocument/2006/relationships/image" Target="media/image210.png"/><Relationship Id="rId248" Type="http://schemas.openxmlformats.org/officeDocument/2006/relationships/image" Target="media/image211.png"/><Relationship Id="rId249" Type="http://schemas.openxmlformats.org/officeDocument/2006/relationships/image" Target="media/image212.png"/><Relationship Id="rId250" Type="http://schemas.openxmlformats.org/officeDocument/2006/relationships/image" Target="media/image213.png"/><Relationship Id="rId251" Type="http://schemas.openxmlformats.org/officeDocument/2006/relationships/image" Target="media/image214.png"/><Relationship Id="rId252" Type="http://schemas.openxmlformats.org/officeDocument/2006/relationships/image" Target="media/image215.png"/><Relationship Id="rId253" Type="http://schemas.openxmlformats.org/officeDocument/2006/relationships/image" Target="media/image216.png"/><Relationship Id="rId254" Type="http://schemas.openxmlformats.org/officeDocument/2006/relationships/image" Target="media/image217.png"/><Relationship Id="rId255" Type="http://schemas.openxmlformats.org/officeDocument/2006/relationships/image" Target="media/image218.png"/><Relationship Id="rId256" Type="http://schemas.openxmlformats.org/officeDocument/2006/relationships/image" Target="media/image219.png"/><Relationship Id="rId257" Type="http://schemas.openxmlformats.org/officeDocument/2006/relationships/image" Target="media/image220.png"/><Relationship Id="rId258" Type="http://schemas.openxmlformats.org/officeDocument/2006/relationships/image" Target="media/image221.png"/><Relationship Id="rId259" Type="http://schemas.openxmlformats.org/officeDocument/2006/relationships/image" Target="media/image222.png"/><Relationship Id="rId260" Type="http://schemas.openxmlformats.org/officeDocument/2006/relationships/image" Target="media/image223.png"/><Relationship Id="rId261" Type="http://schemas.openxmlformats.org/officeDocument/2006/relationships/image" Target="media/image224.png"/><Relationship Id="rId262" Type="http://schemas.openxmlformats.org/officeDocument/2006/relationships/image" Target="media/image225.png"/><Relationship Id="rId263" Type="http://schemas.openxmlformats.org/officeDocument/2006/relationships/image" Target="media/image226.png"/><Relationship Id="rId264" Type="http://schemas.openxmlformats.org/officeDocument/2006/relationships/image" Target="media/image227.png"/><Relationship Id="rId265" Type="http://schemas.openxmlformats.org/officeDocument/2006/relationships/image" Target="media/image228.png"/><Relationship Id="rId266" Type="http://schemas.openxmlformats.org/officeDocument/2006/relationships/image" Target="media/image229.png"/><Relationship Id="rId267" Type="http://schemas.openxmlformats.org/officeDocument/2006/relationships/image" Target="media/image230.png"/><Relationship Id="rId268" Type="http://schemas.openxmlformats.org/officeDocument/2006/relationships/image" Target="media/image231.png"/><Relationship Id="rId269" Type="http://schemas.openxmlformats.org/officeDocument/2006/relationships/image" Target="media/image232.png"/><Relationship Id="rId270" Type="http://schemas.openxmlformats.org/officeDocument/2006/relationships/image" Target="media/image233.png"/><Relationship Id="rId271" Type="http://schemas.openxmlformats.org/officeDocument/2006/relationships/image" Target="media/image234.png"/><Relationship Id="rId272" Type="http://schemas.openxmlformats.org/officeDocument/2006/relationships/image" Target="media/image235.png"/><Relationship Id="rId273" Type="http://schemas.openxmlformats.org/officeDocument/2006/relationships/image" Target="media/image236.png"/><Relationship Id="rId274" Type="http://schemas.openxmlformats.org/officeDocument/2006/relationships/image" Target="media/image237.png"/><Relationship Id="rId275" Type="http://schemas.openxmlformats.org/officeDocument/2006/relationships/image" Target="media/image238.png"/><Relationship Id="rId276" Type="http://schemas.openxmlformats.org/officeDocument/2006/relationships/image" Target="media/image239.png"/><Relationship Id="rId277" Type="http://schemas.openxmlformats.org/officeDocument/2006/relationships/image" Target="media/image240.png"/><Relationship Id="rId278" Type="http://schemas.openxmlformats.org/officeDocument/2006/relationships/image" Target="media/image241.png"/><Relationship Id="rId279" Type="http://schemas.openxmlformats.org/officeDocument/2006/relationships/image" Target="media/image242.png"/><Relationship Id="rId280" Type="http://schemas.openxmlformats.org/officeDocument/2006/relationships/image" Target="media/image243.png"/><Relationship Id="rId281" Type="http://schemas.openxmlformats.org/officeDocument/2006/relationships/image" Target="media/image244.png"/><Relationship Id="rId282" Type="http://schemas.openxmlformats.org/officeDocument/2006/relationships/image" Target="media/image245.png"/><Relationship Id="rId283" Type="http://schemas.openxmlformats.org/officeDocument/2006/relationships/image" Target="media/image246.png"/><Relationship Id="rId284" Type="http://schemas.openxmlformats.org/officeDocument/2006/relationships/image" Target="media/image247.png"/><Relationship Id="rId285" Type="http://schemas.openxmlformats.org/officeDocument/2006/relationships/image" Target="media/image248.png"/><Relationship Id="rId286" Type="http://schemas.openxmlformats.org/officeDocument/2006/relationships/image" Target="media/image249.png"/><Relationship Id="rId287" Type="http://schemas.openxmlformats.org/officeDocument/2006/relationships/image" Target="media/image250.png"/><Relationship Id="rId288" Type="http://schemas.openxmlformats.org/officeDocument/2006/relationships/image" Target="media/image251.png"/><Relationship Id="rId289" Type="http://schemas.openxmlformats.org/officeDocument/2006/relationships/image" Target="media/image252.png"/><Relationship Id="rId290" Type="http://schemas.openxmlformats.org/officeDocument/2006/relationships/image" Target="media/image253.png"/><Relationship Id="rId291" Type="http://schemas.openxmlformats.org/officeDocument/2006/relationships/image" Target="media/image254.png"/><Relationship Id="rId292" Type="http://schemas.openxmlformats.org/officeDocument/2006/relationships/image" Target="media/image255.png"/><Relationship Id="rId293" Type="http://schemas.openxmlformats.org/officeDocument/2006/relationships/image" Target="media/image256.png"/><Relationship Id="rId294" Type="http://schemas.openxmlformats.org/officeDocument/2006/relationships/image" Target="media/image257.png"/><Relationship Id="rId295" Type="http://schemas.openxmlformats.org/officeDocument/2006/relationships/image" Target="media/image258.png"/><Relationship Id="rId296" Type="http://schemas.openxmlformats.org/officeDocument/2006/relationships/image" Target="media/image259.png"/><Relationship Id="rId297" Type="http://schemas.openxmlformats.org/officeDocument/2006/relationships/image" Target="media/image260.png"/><Relationship Id="rId298" Type="http://schemas.openxmlformats.org/officeDocument/2006/relationships/image" Target="media/image261.png"/><Relationship Id="rId299" Type="http://schemas.openxmlformats.org/officeDocument/2006/relationships/image" Target="media/image262.png"/><Relationship Id="rId300" Type="http://schemas.openxmlformats.org/officeDocument/2006/relationships/image" Target="media/image263.png"/><Relationship Id="rId301" Type="http://schemas.openxmlformats.org/officeDocument/2006/relationships/image" Target="media/image264.png"/><Relationship Id="rId302" Type="http://schemas.openxmlformats.org/officeDocument/2006/relationships/image" Target="media/image265.png"/><Relationship Id="rId303" Type="http://schemas.openxmlformats.org/officeDocument/2006/relationships/image" Target="media/image266.png"/><Relationship Id="rId304" Type="http://schemas.openxmlformats.org/officeDocument/2006/relationships/image" Target="media/image267.png"/><Relationship Id="rId305" Type="http://schemas.openxmlformats.org/officeDocument/2006/relationships/image" Target="media/image268.png"/><Relationship Id="rId306" Type="http://schemas.openxmlformats.org/officeDocument/2006/relationships/image" Target="media/image269.png"/><Relationship Id="rId307" Type="http://schemas.openxmlformats.org/officeDocument/2006/relationships/image" Target="media/image270.png"/><Relationship Id="rId308" Type="http://schemas.openxmlformats.org/officeDocument/2006/relationships/image" Target="media/image271.png"/><Relationship Id="rId309" Type="http://schemas.openxmlformats.org/officeDocument/2006/relationships/image" Target="media/image272.png"/><Relationship Id="rId310" Type="http://schemas.openxmlformats.org/officeDocument/2006/relationships/image" Target="media/image273.png"/><Relationship Id="rId311" Type="http://schemas.openxmlformats.org/officeDocument/2006/relationships/image" Target="media/image274.png"/><Relationship Id="rId312" Type="http://schemas.openxmlformats.org/officeDocument/2006/relationships/image" Target="media/image275.png"/><Relationship Id="rId313" Type="http://schemas.openxmlformats.org/officeDocument/2006/relationships/image" Target="media/image276.png"/><Relationship Id="rId314" Type="http://schemas.openxmlformats.org/officeDocument/2006/relationships/image" Target="media/image277.png"/><Relationship Id="rId315" Type="http://schemas.openxmlformats.org/officeDocument/2006/relationships/image" Target="media/image278.png"/><Relationship Id="rId316" Type="http://schemas.openxmlformats.org/officeDocument/2006/relationships/image" Target="media/image279.png"/><Relationship Id="rId317" Type="http://schemas.openxmlformats.org/officeDocument/2006/relationships/image" Target="media/image280.png"/><Relationship Id="rId318" Type="http://schemas.openxmlformats.org/officeDocument/2006/relationships/image" Target="media/image281.png"/><Relationship Id="rId319" Type="http://schemas.openxmlformats.org/officeDocument/2006/relationships/image" Target="media/image282.png"/><Relationship Id="rId320" Type="http://schemas.openxmlformats.org/officeDocument/2006/relationships/image" Target="media/image283.png"/><Relationship Id="rId321" Type="http://schemas.openxmlformats.org/officeDocument/2006/relationships/image" Target="media/image284.png"/><Relationship Id="rId322" Type="http://schemas.openxmlformats.org/officeDocument/2006/relationships/image" Target="media/image285.png"/><Relationship Id="rId323" Type="http://schemas.openxmlformats.org/officeDocument/2006/relationships/image" Target="media/image286.png"/><Relationship Id="rId324" Type="http://schemas.openxmlformats.org/officeDocument/2006/relationships/image" Target="media/image287.png"/><Relationship Id="rId325" Type="http://schemas.openxmlformats.org/officeDocument/2006/relationships/image" Target="media/image288.png"/><Relationship Id="rId326" Type="http://schemas.openxmlformats.org/officeDocument/2006/relationships/image" Target="media/image289.png"/><Relationship Id="rId327" Type="http://schemas.openxmlformats.org/officeDocument/2006/relationships/image" Target="media/image290.png"/><Relationship Id="rId328" Type="http://schemas.openxmlformats.org/officeDocument/2006/relationships/image" Target="media/image291.png"/><Relationship Id="rId329" Type="http://schemas.openxmlformats.org/officeDocument/2006/relationships/image" Target="media/image292.png"/><Relationship Id="rId330" Type="http://schemas.openxmlformats.org/officeDocument/2006/relationships/image" Target="media/image293.png"/><Relationship Id="rId331" Type="http://schemas.openxmlformats.org/officeDocument/2006/relationships/image" Target="media/image294.png"/><Relationship Id="rId332" Type="http://schemas.openxmlformats.org/officeDocument/2006/relationships/image" Target="media/image295.png"/><Relationship Id="rId333" Type="http://schemas.openxmlformats.org/officeDocument/2006/relationships/image" Target="media/image296.png"/><Relationship Id="rId334" Type="http://schemas.openxmlformats.org/officeDocument/2006/relationships/image" Target="media/image297.png"/><Relationship Id="rId335" Type="http://schemas.openxmlformats.org/officeDocument/2006/relationships/image" Target="media/image298.png"/><Relationship Id="rId336" Type="http://schemas.openxmlformats.org/officeDocument/2006/relationships/image" Target="media/image299.png"/><Relationship Id="rId337" Type="http://schemas.openxmlformats.org/officeDocument/2006/relationships/image" Target="media/image300.png"/><Relationship Id="rId338" Type="http://schemas.openxmlformats.org/officeDocument/2006/relationships/image" Target="media/image301.png"/><Relationship Id="rId339" Type="http://schemas.openxmlformats.org/officeDocument/2006/relationships/image" Target="media/image302.png"/><Relationship Id="rId340" Type="http://schemas.openxmlformats.org/officeDocument/2006/relationships/image" Target="media/image303.png"/><Relationship Id="rId341" Type="http://schemas.openxmlformats.org/officeDocument/2006/relationships/image" Target="media/image304.png"/><Relationship Id="rId342" Type="http://schemas.openxmlformats.org/officeDocument/2006/relationships/image" Target="media/image305.png"/><Relationship Id="rId343" Type="http://schemas.openxmlformats.org/officeDocument/2006/relationships/image" Target="media/image306.png"/><Relationship Id="rId344" Type="http://schemas.openxmlformats.org/officeDocument/2006/relationships/image" Target="media/image307.png"/><Relationship Id="rId345" Type="http://schemas.openxmlformats.org/officeDocument/2006/relationships/image" Target="media/image308.png"/><Relationship Id="rId346" Type="http://schemas.openxmlformats.org/officeDocument/2006/relationships/image" Target="media/image309.png"/><Relationship Id="rId347" Type="http://schemas.openxmlformats.org/officeDocument/2006/relationships/image" Target="media/image310.png"/><Relationship Id="rId348" Type="http://schemas.openxmlformats.org/officeDocument/2006/relationships/image" Target="media/image311.png"/><Relationship Id="rId349" Type="http://schemas.openxmlformats.org/officeDocument/2006/relationships/image" Target="media/image312.png"/><Relationship Id="rId350" Type="http://schemas.openxmlformats.org/officeDocument/2006/relationships/image" Target="media/image313.png"/><Relationship Id="rId351" Type="http://schemas.openxmlformats.org/officeDocument/2006/relationships/image" Target="media/image314.png"/><Relationship Id="rId352" Type="http://schemas.openxmlformats.org/officeDocument/2006/relationships/image" Target="media/image315.png"/><Relationship Id="rId353" Type="http://schemas.openxmlformats.org/officeDocument/2006/relationships/image" Target="media/image316.png"/><Relationship Id="rId354" Type="http://schemas.openxmlformats.org/officeDocument/2006/relationships/image" Target="media/image317.png"/><Relationship Id="rId355" Type="http://schemas.openxmlformats.org/officeDocument/2006/relationships/image" Target="media/image318.png"/><Relationship Id="rId356" Type="http://schemas.openxmlformats.org/officeDocument/2006/relationships/image" Target="media/image319.png"/><Relationship Id="rId357" Type="http://schemas.openxmlformats.org/officeDocument/2006/relationships/image" Target="media/image320.png"/><Relationship Id="rId358" Type="http://schemas.openxmlformats.org/officeDocument/2006/relationships/image" Target="media/image321.png"/><Relationship Id="rId359" Type="http://schemas.openxmlformats.org/officeDocument/2006/relationships/image" Target="media/image322.png"/><Relationship Id="rId360" Type="http://schemas.openxmlformats.org/officeDocument/2006/relationships/image" Target="media/image323.png"/><Relationship Id="rId361" Type="http://schemas.openxmlformats.org/officeDocument/2006/relationships/image" Target="media/image324.png"/><Relationship Id="rId362" Type="http://schemas.openxmlformats.org/officeDocument/2006/relationships/image" Target="media/image325.png"/><Relationship Id="rId363" Type="http://schemas.openxmlformats.org/officeDocument/2006/relationships/image" Target="media/image326.png"/><Relationship Id="rId364" Type="http://schemas.openxmlformats.org/officeDocument/2006/relationships/image" Target="media/image327.png"/><Relationship Id="rId365" Type="http://schemas.openxmlformats.org/officeDocument/2006/relationships/image" Target="media/image328.png"/><Relationship Id="rId366" Type="http://schemas.openxmlformats.org/officeDocument/2006/relationships/image" Target="media/image329.png"/><Relationship Id="rId367" Type="http://schemas.openxmlformats.org/officeDocument/2006/relationships/image" Target="media/image330.png"/><Relationship Id="rId368" Type="http://schemas.openxmlformats.org/officeDocument/2006/relationships/image" Target="media/image331.png"/><Relationship Id="rId369" Type="http://schemas.openxmlformats.org/officeDocument/2006/relationships/image" Target="media/image332.png"/><Relationship Id="rId370" Type="http://schemas.openxmlformats.org/officeDocument/2006/relationships/image" Target="media/image333.png"/><Relationship Id="rId371" Type="http://schemas.openxmlformats.org/officeDocument/2006/relationships/image" Target="media/image334.png"/><Relationship Id="rId372" Type="http://schemas.openxmlformats.org/officeDocument/2006/relationships/image" Target="media/image335.png"/><Relationship Id="rId373" Type="http://schemas.openxmlformats.org/officeDocument/2006/relationships/image" Target="media/image336.png"/><Relationship Id="rId374" Type="http://schemas.openxmlformats.org/officeDocument/2006/relationships/image" Target="media/image337.png"/><Relationship Id="rId375" Type="http://schemas.openxmlformats.org/officeDocument/2006/relationships/image" Target="media/image338.png"/><Relationship Id="rId376" Type="http://schemas.openxmlformats.org/officeDocument/2006/relationships/image" Target="media/image339.png"/><Relationship Id="rId377" Type="http://schemas.openxmlformats.org/officeDocument/2006/relationships/image" Target="media/image340.png"/><Relationship Id="rId378" Type="http://schemas.openxmlformats.org/officeDocument/2006/relationships/image" Target="media/image341.png"/><Relationship Id="rId379" Type="http://schemas.openxmlformats.org/officeDocument/2006/relationships/image" Target="media/image342.png"/><Relationship Id="rId380" Type="http://schemas.openxmlformats.org/officeDocument/2006/relationships/image" Target="media/image343.png"/><Relationship Id="rId381" Type="http://schemas.openxmlformats.org/officeDocument/2006/relationships/image" Target="media/image344.png"/><Relationship Id="rId382" Type="http://schemas.openxmlformats.org/officeDocument/2006/relationships/image" Target="media/image345.png"/><Relationship Id="rId383" Type="http://schemas.openxmlformats.org/officeDocument/2006/relationships/image" Target="media/image346.png"/><Relationship Id="rId384" Type="http://schemas.openxmlformats.org/officeDocument/2006/relationships/image" Target="media/image347.png"/><Relationship Id="rId385" Type="http://schemas.openxmlformats.org/officeDocument/2006/relationships/image" Target="media/image348.png"/><Relationship Id="rId386" Type="http://schemas.openxmlformats.org/officeDocument/2006/relationships/image" Target="media/image349.png"/><Relationship Id="rId387" Type="http://schemas.openxmlformats.org/officeDocument/2006/relationships/image" Target="media/image350.png"/><Relationship Id="rId388" Type="http://schemas.openxmlformats.org/officeDocument/2006/relationships/image" Target="media/image351.png"/><Relationship Id="rId389" Type="http://schemas.openxmlformats.org/officeDocument/2006/relationships/image" Target="media/image352.png"/><Relationship Id="rId390" Type="http://schemas.openxmlformats.org/officeDocument/2006/relationships/image" Target="media/image353.png"/><Relationship Id="rId391" Type="http://schemas.openxmlformats.org/officeDocument/2006/relationships/image" Target="media/image354.png"/><Relationship Id="rId392" Type="http://schemas.openxmlformats.org/officeDocument/2006/relationships/image" Target="media/image355.png"/><Relationship Id="rId393" Type="http://schemas.openxmlformats.org/officeDocument/2006/relationships/image" Target="media/image356.png"/><Relationship Id="rId394" Type="http://schemas.openxmlformats.org/officeDocument/2006/relationships/image" Target="media/image357.png"/><Relationship Id="rId395" Type="http://schemas.openxmlformats.org/officeDocument/2006/relationships/image" Target="media/image358.png"/><Relationship Id="rId396" Type="http://schemas.openxmlformats.org/officeDocument/2006/relationships/image" Target="media/image359.png"/><Relationship Id="rId397" Type="http://schemas.openxmlformats.org/officeDocument/2006/relationships/image" Target="media/image360.png"/><Relationship Id="rId398" Type="http://schemas.openxmlformats.org/officeDocument/2006/relationships/image" Target="media/image361.png"/><Relationship Id="rId399" Type="http://schemas.openxmlformats.org/officeDocument/2006/relationships/image" Target="media/image362.png"/><Relationship Id="rId400" Type="http://schemas.openxmlformats.org/officeDocument/2006/relationships/image" Target="media/image363.png"/><Relationship Id="rId401" Type="http://schemas.openxmlformats.org/officeDocument/2006/relationships/image" Target="media/image364.png"/><Relationship Id="rId402" Type="http://schemas.openxmlformats.org/officeDocument/2006/relationships/image" Target="media/image365.png"/><Relationship Id="rId403" Type="http://schemas.openxmlformats.org/officeDocument/2006/relationships/image" Target="media/image366.png"/><Relationship Id="rId404" Type="http://schemas.openxmlformats.org/officeDocument/2006/relationships/image" Target="media/image367.png"/><Relationship Id="rId405" Type="http://schemas.openxmlformats.org/officeDocument/2006/relationships/image" Target="media/image368.png"/><Relationship Id="rId406" Type="http://schemas.openxmlformats.org/officeDocument/2006/relationships/image" Target="media/image369.png"/><Relationship Id="rId407" Type="http://schemas.openxmlformats.org/officeDocument/2006/relationships/image" Target="media/image370.png"/><Relationship Id="rId408" Type="http://schemas.openxmlformats.org/officeDocument/2006/relationships/image" Target="media/image371.png"/><Relationship Id="rId409" Type="http://schemas.openxmlformats.org/officeDocument/2006/relationships/image" Target="media/image372.png"/><Relationship Id="rId410" Type="http://schemas.openxmlformats.org/officeDocument/2006/relationships/image" Target="media/image373.png"/><Relationship Id="rId411" Type="http://schemas.openxmlformats.org/officeDocument/2006/relationships/image" Target="media/image374.png"/><Relationship Id="rId412" Type="http://schemas.openxmlformats.org/officeDocument/2006/relationships/image" Target="media/image375.png"/><Relationship Id="rId413" Type="http://schemas.openxmlformats.org/officeDocument/2006/relationships/image" Target="media/image376.png"/><Relationship Id="rId414" Type="http://schemas.openxmlformats.org/officeDocument/2006/relationships/image" Target="media/image377.png"/><Relationship Id="rId415" Type="http://schemas.openxmlformats.org/officeDocument/2006/relationships/image" Target="media/image378.jpeg"/><Relationship Id="rId416" Type="http://schemas.openxmlformats.org/officeDocument/2006/relationships/image" Target="media/image379.png"/><Relationship Id="rId417" Type="http://schemas.openxmlformats.org/officeDocument/2006/relationships/image" Target="media/image380.png"/><Relationship Id="rId418" Type="http://schemas.openxmlformats.org/officeDocument/2006/relationships/image" Target="media/image381.jpeg"/><Relationship Id="rId419" Type="http://schemas.openxmlformats.org/officeDocument/2006/relationships/image" Target="media/image382.png"/><Relationship Id="rId420" Type="http://schemas.openxmlformats.org/officeDocument/2006/relationships/image" Target="media/image383.jpeg"/><Relationship Id="rId421" Type="http://schemas.openxmlformats.org/officeDocument/2006/relationships/image" Target="media/image384.png"/><Relationship Id="rId422" Type="http://schemas.openxmlformats.org/officeDocument/2006/relationships/image" Target="media/image385.jpeg"/><Relationship Id="rId423" Type="http://schemas.openxmlformats.org/officeDocument/2006/relationships/image" Target="media/image386.png"/><Relationship Id="rId424" Type="http://schemas.openxmlformats.org/officeDocument/2006/relationships/image" Target="media/image387.jpeg"/><Relationship Id="rId425" Type="http://schemas.openxmlformats.org/officeDocument/2006/relationships/image" Target="media/image388.png"/><Relationship Id="rId426" Type="http://schemas.openxmlformats.org/officeDocument/2006/relationships/image" Target="media/image389.jpeg"/><Relationship Id="rId427" Type="http://schemas.openxmlformats.org/officeDocument/2006/relationships/image" Target="media/image390.png"/><Relationship Id="rId428" Type="http://schemas.openxmlformats.org/officeDocument/2006/relationships/image" Target="media/image391.png"/><Relationship Id="rId429" Type="http://schemas.openxmlformats.org/officeDocument/2006/relationships/image" Target="media/image392.jpeg"/><Relationship Id="rId430" Type="http://schemas.openxmlformats.org/officeDocument/2006/relationships/image" Target="media/image393.png"/><Relationship Id="rId431" Type="http://schemas.openxmlformats.org/officeDocument/2006/relationships/image" Target="media/image394.jpeg"/><Relationship Id="rId432" Type="http://schemas.openxmlformats.org/officeDocument/2006/relationships/image" Target="media/image395.png"/><Relationship Id="rId433" Type="http://schemas.openxmlformats.org/officeDocument/2006/relationships/image" Target="media/image396.png"/><Relationship Id="rId434" Type="http://schemas.openxmlformats.org/officeDocument/2006/relationships/image" Target="media/image397.png"/><Relationship Id="rId435" Type="http://schemas.openxmlformats.org/officeDocument/2006/relationships/image" Target="media/image398.png"/><Relationship Id="rId436" Type="http://schemas.openxmlformats.org/officeDocument/2006/relationships/image" Target="media/image399.png"/><Relationship Id="rId437" Type="http://schemas.openxmlformats.org/officeDocument/2006/relationships/image" Target="media/image400.png"/><Relationship Id="rId438" Type="http://schemas.openxmlformats.org/officeDocument/2006/relationships/image" Target="media/image401.png"/><Relationship Id="rId439" Type="http://schemas.openxmlformats.org/officeDocument/2006/relationships/image" Target="media/image402.png"/><Relationship Id="rId440" Type="http://schemas.openxmlformats.org/officeDocument/2006/relationships/image" Target="media/image403.png"/><Relationship Id="rId441" Type="http://schemas.openxmlformats.org/officeDocument/2006/relationships/image" Target="media/image404.png"/><Relationship Id="rId442" Type="http://schemas.openxmlformats.org/officeDocument/2006/relationships/image" Target="media/image405.png"/><Relationship Id="rId443" Type="http://schemas.openxmlformats.org/officeDocument/2006/relationships/image" Target="media/image406.png"/><Relationship Id="rId444" Type="http://schemas.openxmlformats.org/officeDocument/2006/relationships/image" Target="media/image407.png"/><Relationship Id="rId445" Type="http://schemas.openxmlformats.org/officeDocument/2006/relationships/image" Target="media/image408.png"/><Relationship Id="rId446" Type="http://schemas.openxmlformats.org/officeDocument/2006/relationships/image" Target="media/image409.png"/><Relationship Id="rId447" Type="http://schemas.openxmlformats.org/officeDocument/2006/relationships/image" Target="media/image410.png"/><Relationship Id="rId448" Type="http://schemas.openxmlformats.org/officeDocument/2006/relationships/image" Target="media/image411.png"/><Relationship Id="rId449" Type="http://schemas.openxmlformats.org/officeDocument/2006/relationships/image" Target="media/image412.png"/><Relationship Id="rId450" Type="http://schemas.openxmlformats.org/officeDocument/2006/relationships/image" Target="media/image413.png"/><Relationship Id="rId451" Type="http://schemas.openxmlformats.org/officeDocument/2006/relationships/image" Target="media/image414.png"/><Relationship Id="rId452" Type="http://schemas.openxmlformats.org/officeDocument/2006/relationships/image" Target="media/image415.png"/><Relationship Id="rId453" Type="http://schemas.openxmlformats.org/officeDocument/2006/relationships/image" Target="media/image416.png"/><Relationship Id="rId454" Type="http://schemas.openxmlformats.org/officeDocument/2006/relationships/image" Target="media/image417.png"/><Relationship Id="rId455" Type="http://schemas.openxmlformats.org/officeDocument/2006/relationships/image" Target="media/image418.png"/><Relationship Id="rId456" Type="http://schemas.openxmlformats.org/officeDocument/2006/relationships/image" Target="media/image419.png"/><Relationship Id="rId457" Type="http://schemas.openxmlformats.org/officeDocument/2006/relationships/image" Target="media/image420.png"/><Relationship Id="rId458" Type="http://schemas.openxmlformats.org/officeDocument/2006/relationships/image" Target="media/image421.png"/><Relationship Id="rId459" Type="http://schemas.openxmlformats.org/officeDocument/2006/relationships/image" Target="media/image422.png"/><Relationship Id="rId460" Type="http://schemas.openxmlformats.org/officeDocument/2006/relationships/image" Target="media/image423.png"/><Relationship Id="rId461" Type="http://schemas.openxmlformats.org/officeDocument/2006/relationships/image" Target="media/image424.png"/><Relationship Id="rId462" Type="http://schemas.openxmlformats.org/officeDocument/2006/relationships/image" Target="media/image425.png"/><Relationship Id="rId463" Type="http://schemas.openxmlformats.org/officeDocument/2006/relationships/image" Target="media/image426.png"/><Relationship Id="rId464" Type="http://schemas.openxmlformats.org/officeDocument/2006/relationships/image" Target="media/image427.png"/><Relationship Id="rId465" Type="http://schemas.openxmlformats.org/officeDocument/2006/relationships/image" Target="media/image428.png"/><Relationship Id="rId466" Type="http://schemas.openxmlformats.org/officeDocument/2006/relationships/image" Target="media/image429.png"/><Relationship Id="rId467" Type="http://schemas.openxmlformats.org/officeDocument/2006/relationships/image" Target="media/image430.png"/><Relationship Id="rId468" Type="http://schemas.openxmlformats.org/officeDocument/2006/relationships/image" Target="media/image431.png"/><Relationship Id="rId469" Type="http://schemas.openxmlformats.org/officeDocument/2006/relationships/image" Target="media/image432.png"/><Relationship Id="rId470" Type="http://schemas.openxmlformats.org/officeDocument/2006/relationships/image" Target="media/image433.png"/><Relationship Id="rId471" Type="http://schemas.openxmlformats.org/officeDocument/2006/relationships/image" Target="media/image434.png"/><Relationship Id="rId472" Type="http://schemas.openxmlformats.org/officeDocument/2006/relationships/image" Target="media/image435.png"/><Relationship Id="rId473" Type="http://schemas.openxmlformats.org/officeDocument/2006/relationships/image" Target="media/image436.png"/><Relationship Id="rId474" Type="http://schemas.openxmlformats.org/officeDocument/2006/relationships/image" Target="media/image437.png"/><Relationship Id="rId475" Type="http://schemas.openxmlformats.org/officeDocument/2006/relationships/image" Target="media/image438.png"/><Relationship Id="rId476" Type="http://schemas.openxmlformats.org/officeDocument/2006/relationships/image" Target="media/image439.png"/><Relationship Id="rId477" Type="http://schemas.openxmlformats.org/officeDocument/2006/relationships/image" Target="media/image440.png"/><Relationship Id="rId478" Type="http://schemas.openxmlformats.org/officeDocument/2006/relationships/image" Target="media/image441.png"/><Relationship Id="rId479" Type="http://schemas.openxmlformats.org/officeDocument/2006/relationships/image" Target="media/image442.png"/><Relationship Id="rId480" Type="http://schemas.openxmlformats.org/officeDocument/2006/relationships/image" Target="media/image443.png"/><Relationship Id="rId481" Type="http://schemas.openxmlformats.org/officeDocument/2006/relationships/image" Target="media/image444.png"/><Relationship Id="rId482" Type="http://schemas.openxmlformats.org/officeDocument/2006/relationships/image" Target="media/image445.png"/><Relationship Id="rId483" Type="http://schemas.openxmlformats.org/officeDocument/2006/relationships/image" Target="media/image446.png"/><Relationship Id="rId484" Type="http://schemas.openxmlformats.org/officeDocument/2006/relationships/image" Target="media/image447.png"/><Relationship Id="rId485" Type="http://schemas.openxmlformats.org/officeDocument/2006/relationships/image" Target="media/image448.png"/><Relationship Id="rId486" Type="http://schemas.openxmlformats.org/officeDocument/2006/relationships/image" Target="media/image449.png"/><Relationship Id="rId487" Type="http://schemas.openxmlformats.org/officeDocument/2006/relationships/image" Target="media/image450.png"/><Relationship Id="rId488" Type="http://schemas.openxmlformats.org/officeDocument/2006/relationships/image" Target="media/image451.png"/><Relationship Id="rId489" Type="http://schemas.openxmlformats.org/officeDocument/2006/relationships/image" Target="media/image452.png"/><Relationship Id="rId490" Type="http://schemas.openxmlformats.org/officeDocument/2006/relationships/image" Target="media/image453.png"/><Relationship Id="rId491" Type="http://schemas.openxmlformats.org/officeDocument/2006/relationships/image" Target="media/image454.png"/><Relationship Id="rId492" Type="http://schemas.openxmlformats.org/officeDocument/2006/relationships/image" Target="media/image455.png"/><Relationship Id="rId493" Type="http://schemas.openxmlformats.org/officeDocument/2006/relationships/image" Target="media/image456.png"/><Relationship Id="rId494" Type="http://schemas.openxmlformats.org/officeDocument/2006/relationships/image" Target="media/image457.png"/><Relationship Id="rId495" Type="http://schemas.openxmlformats.org/officeDocument/2006/relationships/image" Target="media/image458.png"/><Relationship Id="rId496" Type="http://schemas.openxmlformats.org/officeDocument/2006/relationships/image" Target="media/image459.png"/><Relationship Id="rId497" Type="http://schemas.openxmlformats.org/officeDocument/2006/relationships/image" Target="media/image460.png"/><Relationship Id="rId498" Type="http://schemas.openxmlformats.org/officeDocument/2006/relationships/image" Target="media/image461.png"/><Relationship Id="rId499" Type="http://schemas.openxmlformats.org/officeDocument/2006/relationships/image" Target="media/image462.png"/><Relationship Id="rId500" Type="http://schemas.openxmlformats.org/officeDocument/2006/relationships/image" Target="media/image463.png"/><Relationship Id="rId501" Type="http://schemas.openxmlformats.org/officeDocument/2006/relationships/image" Target="media/image464.png"/><Relationship Id="rId502" Type="http://schemas.openxmlformats.org/officeDocument/2006/relationships/image" Target="media/image465.png"/><Relationship Id="rId503" Type="http://schemas.openxmlformats.org/officeDocument/2006/relationships/image" Target="media/image466.png"/><Relationship Id="rId504" Type="http://schemas.openxmlformats.org/officeDocument/2006/relationships/image" Target="media/image467.png"/><Relationship Id="rId505" Type="http://schemas.openxmlformats.org/officeDocument/2006/relationships/image" Target="media/image468.png"/><Relationship Id="rId506" Type="http://schemas.openxmlformats.org/officeDocument/2006/relationships/image" Target="media/image469.png"/><Relationship Id="rId507" Type="http://schemas.openxmlformats.org/officeDocument/2006/relationships/image" Target="media/image470.png"/><Relationship Id="rId130" Type="http://schemas.openxmlformats.org/officeDocument/2006/relationships/hyperlink" Target="https://www.sec.gov/Archives/edgar/data/1850270/000119312522014862/d259568dex21.htm" TargetMode="External"/><Relationship Id="rId131" Type="http://schemas.openxmlformats.org/officeDocument/2006/relationships/hyperlink" Target="https://www.sec.gov/Archives/edgar/data/1850270/000114036125024839/ef20051439_ex3-1.htm" TargetMode="External"/><Relationship Id="rId132" Type="http://schemas.openxmlformats.org/officeDocument/2006/relationships/hyperlink" Target="https://www.sec.gov/Archives/edgar/data/1850270/000114036125024839/ef20051439_ex3-2.htm" TargetMode="External"/><Relationship Id="rId133" Type="http://schemas.openxmlformats.org/officeDocument/2006/relationships/hyperlink" Target="https://www.sec.gov/Archives/edgar/data/1850270/000114036125024839/ef20051439_ex3-3.htm" TargetMode="External"/><Relationship Id="rId134" Type="http://schemas.openxmlformats.org/officeDocument/2006/relationships/hyperlink" Target="https://www.sec.gov/Archives/edgar/data/1850270/000114036125024839/ef20051439_ex4-1.htm" TargetMode="External"/><Relationship Id="rId135" Type="http://schemas.openxmlformats.org/officeDocument/2006/relationships/hyperlink" Target="https://www.sec.gov/Archives/edgar/data/1850270/000114036125024839/ef20051439_ex4-2.htm" TargetMode="External"/><Relationship Id="rId136" Type="http://schemas.openxmlformats.org/officeDocument/2006/relationships/hyperlink" Target="https://www.sec.gov/Archives/edgar/data/1850270/000119312522195148/d285643dex104.htm" TargetMode="External"/><Relationship Id="rId137" Type="http://schemas.openxmlformats.org/officeDocument/2006/relationships/hyperlink" Target="https://www.sec.gov/Archives/edgar/data/1850270/000119312522195148/d285643dex1011.htm" TargetMode="External"/><Relationship Id="rId138" Type="http://schemas.openxmlformats.org/officeDocument/2006/relationships/hyperlink" Target="https://www.sec.gov/Archives/edgar/data/1850270/000119312522195148/d285643dex1012.htm" TargetMode="External"/><Relationship Id="rId139" Type="http://schemas.openxmlformats.org/officeDocument/2006/relationships/hyperlink" Target="https://www.sec.gov/Archives/edgar/data/1850270/000095017023010324/prok-ex10_17.htm" TargetMode="External"/><Relationship Id="rId140" Type="http://schemas.openxmlformats.org/officeDocument/2006/relationships/hyperlink" Target="https://www.sec.gov/Archives/edgar/data/1850270/000095017023010324/prok-ex10_18.htm" TargetMode="External"/><Relationship Id="rId143" Type="http://schemas.openxmlformats.org/officeDocument/2006/relationships/hyperlink" Target="https://www.sec.gov/Archives/edgar/data/1850270/000095017023010324/prok-ex10_30.htm" TargetMode="External"/><Relationship Id="rId144" Type="http://schemas.openxmlformats.org/officeDocument/2006/relationships/hyperlink" Target="https://www.sec.gov/Archives/edgar/data/1850270/000095017023010324/prok-ex10_31.htm" TargetMode="External"/><Relationship Id="rId145" Type="http://schemas.openxmlformats.org/officeDocument/2006/relationships/hyperlink" Target="https://www.sec.gov/Archives/edgar/data/1850270/000119312524160339/d814183dex101.htm" TargetMode="External"/><Relationship Id="rId146" Type="http://schemas.openxmlformats.org/officeDocument/2006/relationships/hyperlink" Target="https://www.sec.gov/Archives/edgar/data/1850270/000095017025040483/prok-ex10_20.htm" TargetMode="External"/><Relationship Id="rId147" Type="http://schemas.openxmlformats.org/officeDocument/2006/relationships/hyperlink" Target="https://www.sec.gov/Archives/edgar/data/1850270/000095017025040483/prok-ex10_22.htm" TargetMode="External"/><Relationship Id="rId148" Type="http://schemas.openxmlformats.org/officeDocument/2006/relationships/hyperlink" Target="https://www.sec.gov/Archives/edgar/data/1850270/000114036125024839/ef20051439_ex10-1.htm" TargetMode="External"/><Relationship Id="rId149" Type="http://schemas.openxmlformats.org/officeDocument/2006/relationships/hyperlink" Target="https://www.sec.gov/Archives/edgar/data/1850270/000114036125024839/ef20051439_ex10-2.htm" TargetMode="External"/><Relationship Id="rId150" Type="http://schemas.openxmlformats.org/officeDocument/2006/relationships/hyperlink" Target="https://www.sec.gov/Archives/edgar/data/1850270/000114036125024839/ef20051439_ex10-3.htm" TargetMode="External"/><Relationship Id="rId151" Type="http://schemas.openxmlformats.org/officeDocument/2006/relationships/hyperlink" Target="https://www.sec.gov/Archives/edgar/data/1850270/000114036125024839/ef20051439_ex10-4.htm" TargetMode="External"/><Relationship Id="rId152" Type="http://schemas.openxmlformats.org/officeDocument/2006/relationships/hyperlink" Target="https://www.sec.gov/Archives/edgar/data/1850270/000114036125024839/ef20051439_ex10-5.htm" TargetMode="External"/><Relationship Id="rId153" Type="http://schemas.openxmlformats.org/officeDocument/2006/relationships/hyperlink" Target="https://www.sec.gov/Archives/edgar/data/1850270/000114036125024839/ef20051439_ex10-6.htm" TargetMode="External"/><Relationship Id="rId154" Type="http://schemas.openxmlformats.org/officeDocument/2006/relationships/hyperlink" Target="https://www.sec.gov/Archives/edgar/data/1850270/000114036125024839/ef20051439_ex10-7.htm" TargetMode="External"/><Relationship Id="rId155" Type="http://schemas.openxmlformats.org/officeDocument/2006/relationships/hyperlink" Target="https://www.sec.gov/Archives/edgar/data/1850270/000095017025107352/prok-ex10_8.htm" TargetMode="External"/><Relationship Id="rId156" Type="http://schemas.openxmlformats.org/officeDocument/2006/relationships/hyperlink" Target="https://www.sec.gov/Archives/edgar/data/1850270/000095017025107352/prok-ex10_9.htm" TargetMode="External"/><Relationship Id="rId157" Type="http://schemas.openxmlformats.org/officeDocument/2006/relationships/hyperlink" Target="https://www.sec.gov/Archives/edgar/data/1850270/000095017025107352/prok-ex10_10.htm" TargetMode="External"/><Relationship Id="rId158" Type="http://schemas.openxmlformats.org/officeDocument/2006/relationships/hyperlink" Target="https://www.sec.gov/Archives/edgar/data/1850270/000095017025107352/prok-ex10_11.htm" TargetMode="External"/><Relationship Id="rId159" Type="http://schemas.openxmlformats.org/officeDocument/2006/relationships/hyperlink" Target="https://www.sec.gov/Archives/edgar/data/1850270/000119312525158806/d918608dex11.htm" TargetMode="External"/><Relationship Id="rId160" Type="http://schemas.openxmlformats.org/officeDocument/2006/relationships/hyperlink" Target="https://www.sec.gov/Archives/edgar/data/1850270/000095017025040483/prok-ex19_1.htm" TargetMode="External"/><Relationship Id="rId163" Type="http://schemas.openxmlformats.org/officeDocument/2006/relationships/hyperlink" Target="https://www.sec.gov/Archives/edgar/data/1850270/000095017024034946/prok-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2026-03-18T15:15:19Z</dcterms:created>
  <dcterms:modified xsi:type="dcterms:W3CDTF">2026-03-18T15:15:19Z</dcterms:modified>
</cp:coreProperties>
</file>