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ProKidney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G7S53R104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Control Empresarial de Capitales, S.A. de C.V.</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Paseo de las Palmas 781, 3rd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Lomas de Chapultepec, Sección III</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11000 Mexico City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Mexico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52 55 56 25 49 56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 copies to:</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Jorge U. Juantorena,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Kyle A. Harris,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1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G7S53R104</w:t>
            </w:r>
          </w:p>
        </w:tc>
        <w:tc>
          <w:tcPr>
            <w:tcW w:w="680" w:type="dxa"/>
            <w:vAlign w:val="bottom"/>
          </w:tcPr>
          <w:p>
            <w:pPr>
              <w:spacing w:after="0"/>
              <w:rPr>
                <w:sz w:val="20"/>
                <w:szCs w:val="20"/>
                <w:color w:val="auto"/>
              </w:rPr>
            </w:pPr>
          </w:p>
        </w:tc>
        <w:tc>
          <w:tcPr>
            <w:tcW w:w="7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SC13D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2 of 13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3"/>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Carlos Slim Helú</w:t>
            </w: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3"/>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86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3"/>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Mexican States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71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vMerge w:val="continue"/>
          </w:tcPr>
          <w:p>
            <w:pPr>
              <w:spacing w:after="0"/>
              <w:rPr>
                <w:sz w:val="24"/>
                <w:szCs w:val="24"/>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46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25.3% of the total Class A Ordinary Shares outstanding</w:t>
            </w:r>
            <w:r>
              <w:rPr>
                <w:rFonts w:ascii="Times New Roman" w:cs="Times New Roman" w:eastAsia="Times New Roman" w:hAnsi="Times New Roman"/>
                <w:sz w:val="29"/>
                <w:szCs w:val="29"/>
                <w:color w:val="auto"/>
                <w:vertAlign w:val="superscript"/>
              </w:rPr>
              <w:t>(2)</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right="20" w:firstLine="8"/>
        <w:spacing w:after="0" w:line="25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63,118,645 Class B ordinary shares, $0.0001 par value per share (the “</w:t>
      </w:r>
      <w:r>
        <w:rPr>
          <w:rFonts w:ascii="Times New Roman" w:cs="Times New Roman" w:eastAsia="Times New Roman" w:hAnsi="Times New Roman"/>
          <w:sz w:val="18"/>
          <w:szCs w:val="18"/>
          <w:u w:val="single" w:color="auto"/>
          <w:color w:val="auto"/>
        </w:rPr>
        <w:t>Class B Ordinary Shares</w:t>
      </w:r>
      <w:r>
        <w:rPr>
          <w:rFonts w:ascii="Times New Roman" w:cs="Times New Roman" w:eastAsia="Times New Roman" w:hAnsi="Times New Roman"/>
          <w:sz w:val="18"/>
          <w:szCs w:val="18"/>
          <w:color w:val="auto"/>
        </w:rPr>
        <w:t>”) of the Issuer held by Control Empresarial, each of which may, subject to the limitations set forth in the Exchange Agreement and the Second Amended and Restated Company Partnership Agreement (each as defined and as described in the Issuer’s Definitive Proxy Statement filed with the SEC on June 10, 2022), be exchanged, together with the paired Common Unit in ProKidney LP (a “</w:t>
      </w:r>
      <w:r>
        <w:rPr>
          <w:rFonts w:ascii="Times New Roman" w:cs="Times New Roman" w:eastAsia="Times New Roman" w:hAnsi="Times New Roman"/>
          <w:sz w:val="18"/>
          <w:szCs w:val="18"/>
          <w:u w:val="single" w:color="auto"/>
          <w:color w:val="auto"/>
        </w:rPr>
        <w:t>Common Unit</w:t>
      </w:r>
      <w:r>
        <w:rPr>
          <w:rFonts w:ascii="Times New Roman" w:cs="Times New Roman" w:eastAsia="Times New Roman" w:hAnsi="Times New Roman"/>
          <w:sz w:val="18"/>
          <w:szCs w:val="18"/>
          <w:color w:val="auto"/>
        </w:rPr>
        <w:t>”), for a Class A Ordinary Share on a one-for-one basis. Control Empresarial beneficially owns 63,118,645 Common Units.</w:t>
      </w:r>
    </w:p>
    <w:p>
      <w:pPr>
        <w:spacing w:after="0" w:line="1" w:lineRule="exact"/>
        <w:rPr>
          <w:rFonts w:ascii="Times New Roman" w:cs="Times New Roman" w:eastAsia="Times New Roman" w:hAnsi="Times New Roman"/>
          <w:sz w:val="18"/>
          <w:szCs w:val="18"/>
          <w:color w:val="auto"/>
        </w:rPr>
      </w:pPr>
    </w:p>
    <w:p>
      <w:pPr>
        <w:ind w:right="160" w:firstLine="8"/>
        <w:spacing w:after="0" w:line="26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283,119,677 shares issued and outstanding as of June 25, 2024, comprising 115,396,124 Class A Ordinary Shares and 167,723,553 Class B Ordinary Shares, as disclosed in the Issuer’s prospectus supplement filed with the SEC on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G7S53R104</w:t>
            </w:r>
          </w:p>
        </w:tc>
        <w:tc>
          <w:tcPr>
            <w:tcW w:w="680" w:type="dxa"/>
            <w:vAlign w:val="bottom"/>
          </w:tcPr>
          <w:p>
            <w:pPr>
              <w:spacing w:after="0"/>
              <w:rPr>
                <w:sz w:val="20"/>
                <w:szCs w:val="20"/>
                <w:color w:val="auto"/>
              </w:rPr>
            </w:pPr>
          </w:p>
        </w:tc>
        <w:tc>
          <w:tcPr>
            <w:tcW w:w="7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SC13D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3 of 13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3"/>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Carlos Slim Domit</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3"/>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86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Mexican States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71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vMerge w:val="continue"/>
          </w:tcPr>
          <w:p>
            <w:pPr>
              <w:spacing w:after="0"/>
              <w:rPr>
                <w:sz w:val="24"/>
                <w:szCs w:val="24"/>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46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25.3% of the total Class A Ordinary Shares outstanding</w:t>
            </w:r>
            <w:r>
              <w:rPr>
                <w:rFonts w:ascii="Times New Roman" w:cs="Times New Roman" w:eastAsia="Times New Roman" w:hAnsi="Times New Roman"/>
                <w:sz w:val="29"/>
                <w:szCs w:val="29"/>
                <w:color w:val="auto"/>
                <w:vertAlign w:val="superscript"/>
              </w:rPr>
              <w:t>(2)</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right="100" w:firstLine="8"/>
        <w:spacing w:after="0" w:line="25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63,118,645 Class B Ordinary Shares of the Issuer held by Control Empresarial, each of which may, subject to the limitations set forth in the Exchange Agreement and the Second Amended and Restated Company Partnership Agreement (each as defined and as described in the Issuer’s Definitive Proxy Statement filed with the SEC on June 10, 2022), be exchanged, together with the paired Common Unit, for a Class A Ordinary Share on a one-for-one basis. Control Empresarial beneficially owns 63,118,645 Common Units.</w:t>
      </w:r>
    </w:p>
    <w:p>
      <w:pPr>
        <w:spacing w:after="0" w:line="1" w:lineRule="exact"/>
        <w:rPr>
          <w:rFonts w:ascii="Times New Roman" w:cs="Times New Roman" w:eastAsia="Times New Roman" w:hAnsi="Times New Roman"/>
          <w:sz w:val="18"/>
          <w:szCs w:val="18"/>
          <w:color w:val="auto"/>
        </w:rPr>
      </w:pPr>
    </w:p>
    <w:p>
      <w:pPr>
        <w:ind w:right="160" w:firstLine="8"/>
        <w:spacing w:after="0" w:line="26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283,119,677 shares issued and outstanding as of June 25, 2024, comprising 115,396,124 Class A Ordinary Shares and 167,723,553 Class B Ordinary Shares, as disclosed in the Issuer’s prospectus supplement filed with the SEC on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G7S53R104</w:t>
            </w:r>
          </w:p>
        </w:tc>
        <w:tc>
          <w:tcPr>
            <w:tcW w:w="680" w:type="dxa"/>
            <w:vAlign w:val="bottom"/>
          </w:tcPr>
          <w:p>
            <w:pPr>
              <w:spacing w:after="0"/>
              <w:rPr>
                <w:sz w:val="20"/>
                <w:szCs w:val="20"/>
                <w:color w:val="auto"/>
              </w:rPr>
            </w:pPr>
          </w:p>
        </w:tc>
        <w:tc>
          <w:tcPr>
            <w:tcW w:w="7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SC13D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4 of 13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3"/>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Marco Antonio Slim Domit</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3"/>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86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Mexican States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71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vMerge w:val="continue"/>
          </w:tcPr>
          <w:p>
            <w:pPr>
              <w:spacing w:after="0"/>
              <w:rPr>
                <w:sz w:val="24"/>
                <w:szCs w:val="24"/>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46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25.3% of the total Class A Ordinary Shares outstanding</w:t>
            </w:r>
            <w:r>
              <w:rPr>
                <w:rFonts w:ascii="Times New Roman" w:cs="Times New Roman" w:eastAsia="Times New Roman" w:hAnsi="Times New Roman"/>
                <w:sz w:val="29"/>
                <w:szCs w:val="29"/>
                <w:color w:val="auto"/>
                <w:vertAlign w:val="superscript"/>
              </w:rPr>
              <w:t>(2)</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right="100" w:firstLine="8"/>
        <w:spacing w:after="0" w:line="25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63,118,645 Class B Ordinary Shares of the Issuer held by Control Empresarial, each of which may, subject to the limitations set forth in the Exchange Agreement and the Second Amended and Restated Company Partnership Agreement (each as defined and as described in the Issuer’s Definitive Proxy Statement filed with the SEC on June 10, 2022), be exchanged, together with the paired Common Unit, for a Class A Ordinary Share on a one-for-one basis. Control Empresarial beneficially owns 63,118,645 Common Units.</w:t>
      </w:r>
    </w:p>
    <w:p>
      <w:pPr>
        <w:spacing w:after="0" w:line="1" w:lineRule="exact"/>
        <w:rPr>
          <w:rFonts w:ascii="Times New Roman" w:cs="Times New Roman" w:eastAsia="Times New Roman" w:hAnsi="Times New Roman"/>
          <w:sz w:val="18"/>
          <w:szCs w:val="18"/>
          <w:color w:val="auto"/>
        </w:rPr>
      </w:pPr>
    </w:p>
    <w:p>
      <w:pPr>
        <w:ind w:right="160" w:firstLine="8"/>
        <w:spacing w:after="0" w:line="26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283,119,677 shares issued and outstanding as of June 25, 2024, comprising 115,396,124 Class A Ordinary Shares and 167,723,553 Class B Ordinary Shares, as disclosed in the Issuer’s prospectus supplement filed with the SEC on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G7S53R104</w:t>
            </w:r>
          </w:p>
        </w:tc>
        <w:tc>
          <w:tcPr>
            <w:tcW w:w="680" w:type="dxa"/>
            <w:vAlign w:val="bottom"/>
          </w:tcPr>
          <w:p>
            <w:pPr>
              <w:spacing w:after="0"/>
              <w:rPr>
                <w:sz w:val="20"/>
                <w:szCs w:val="20"/>
                <w:color w:val="auto"/>
              </w:rPr>
            </w:pPr>
          </w:p>
        </w:tc>
        <w:tc>
          <w:tcPr>
            <w:tcW w:w="7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SC13D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5 of 13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3"/>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Patrick Slim Domit</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3"/>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86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Mexican States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71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vMerge w:val="continue"/>
          </w:tcPr>
          <w:p>
            <w:pPr>
              <w:spacing w:after="0"/>
              <w:rPr>
                <w:sz w:val="24"/>
                <w:szCs w:val="24"/>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46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25.3% of the total Class A Ordinary Shares outstanding</w:t>
            </w:r>
            <w:r>
              <w:rPr>
                <w:rFonts w:ascii="Times New Roman" w:cs="Times New Roman" w:eastAsia="Times New Roman" w:hAnsi="Times New Roman"/>
                <w:sz w:val="29"/>
                <w:szCs w:val="29"/>
                <w:color w:val="auto"/>
                <w:vertAlign w:val="superscript"/>
              </w:rPr>
              <w:t>(2)</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right="100" w:firstLine="8"/>
        <w:spacing w:after="0" w:line="25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63,118,645 Class B Ordinary Shares of the Issuer held by Control Empresarial, each of which may, subject to the limitations set forth in the Exchange Agreement and the Second Amended and Restated Company Partnership Agreement (each as defined and as described in the Issuer’s Definitive Proxy Statement filed with the SEC on June 10, 2022), be exchanged, together with the paired Common Unit, for a Class A Ordinary Share on a one-for-one basis. Control Empresarial beneficially owns 63,118,645 Common Units.</w:t>
      </w:r>
    </w:p>
    <w:p>
      <w:pPr>
        <w:spacing w:after="0" w:line="1" w:lineRule="exact"/>
        <w:rPr>
          <w:rFonts w:ascii="Times New Roman" w:cs="Times New Roman" w:eastAsia="Times New Roman" w:hAnsi="Times New Roman"/>
          <w:sz w:val="18"/>
          <w:szCs w:val="18"/>
          <w:color w:val="auto"/>
        </w:rPr>
      </w:pPr>
    </w:p>
    <w:p>
      <w:pPr>
        <w:ind w:right="160" w:firstLine="8"/>
        <w:spacing w:after="0" w:line="26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283,119,677 shares issued and outstanding as of June 25, 2024, comprising 115,396,124 Class A Ordinary Shares and 167,723,553 Class B Ordinary Shares, as disclosed in the Issuer’s prospectus supplement filed with the SEC on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G7S53R104</w:t>
            </w:r>
          </w:p>
        </w:tc>
        <w:tc>
          <w:tcPr>
            <w:tcW w:w="680" w:type="dxa"/>
            <w:vAlign w:val="bottom"/>
          </w:tcPr>
          <w:p>
            <w:pPr>
              <w:spacing w:after="0"/>
              <w:rPr>
                <w:sz w:val="20"/>
                <w:szCs w:val="20"/>
                <w:color w:val="auto"/>
              </w:rPr>
            </w:pPr>
          </w:p>
        </w:tc>
        <w:tc>
          <w:tcPr>
            <w:tcW w:w="7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SC13D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6 of 13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3"/>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María Soumaya Slim Domit</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3"/>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86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Mexican States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71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vMerge w:val="continue"/>
          </w:tcPr>
          <w:p>
            <w:pPr>
              <w:spacing w:after="0"/>
              <w:rPr>
                <w:sz w:val="24"/>
                <w:szCs w:val="24"/>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46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25.3% of the total Class A Ordinary Shares outstanding</w:t>
            </w:r>
            <w:r>
              <w:rPr>
                <w:rFonts w:ascii="Times New Roman" w:cs="Times New Roman" w:eastAsia="Times New Roman" w:hAnsi="Times New Roman"/>
                <w:sz w:val="29"/>
                <w:szCs w:val="29"/>
                <w:color w:val="auto"/>
                <w:vertAlign w:val="superscript"/>
              </w:rPr>
              <w:t>(2)</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right="100" w:firstLine="8"/>
        <w:spacing w:after="0" w:line="25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63,118,645 Class B Ordinary Shares of the Issuer held by Control Empresarial, each of which may, subject to the limitations set forth in the Exchange Agreement and the Second Amended and Restated Company Partnership Agreement (each as defined and as described in the Issuer’s Definitive Proxy Statement filed with the SEC on June 10, 2022), be exchanged, together with the paired Common Unit, for a Class A Ordinary Share on a one-for-one basis. Control Empresarial beneficially owns 63,118,645 Common Units.</w:t>
      </w:r>
    </w:p>
    <w:p>
      <w:pPr>
        <w:spacing w:after="0" w:line="1" w:lineRule="exact"/>
        <w:rPr>
          <w:rFonts w:ascii="Times New Roman" w:cs="Times New Roman" w:eastAsia="Times New Roman" w:hAnsi="Times New Roman"/>
          <w:sz w:val="18"/>
          <w:szCs w:val="18"/>
          <w:color w:val="auto"/>
        </w:rPr>
      </w:pPr>
    </w:p>
    <w:p>
      <w:pPr>
        <w:ind w:right="160" w:firstLine="8"/>
        <w:spacing w:after="0" w:line="260"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283,119,677 shares issued and outstanding as of June 25, 2024, comprising 115,396,124 Class A Ordinary Shares and 167,723,553 Class B Ordinary Shares, as disclosed in the Issuer’s prospectus supplement filed with the SEC on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G7S53R104</w:t>
            </w:r>
          </w:p>
        </w:tc>
        <w:tc>
          <w:tcPr>
            <w:tcW w:w="680" w:type="dxa"/>
            <w:vAlign w:val="bottom"/>
          </w:tcPr>
          <w:p>
            <w:pPr>
              <w:spacing w:after="0"/>
              <w:rPr>
                <w:sz w:val="20"/>
                <w:szCs w:val="20"/>
                <w:color w:val="auto"/>
              </w:rPr>
            </w:pPr>
          </w:p>
        </w:tc>
        <w:tc>
          <w:tcPr>
            <w:tcW w:w="7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SC13D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7 of 13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3"/>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Vanessa Paola Slim Domit</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3"/>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86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Mexican States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71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vMerge w:val="continue"/>
          </w:tcPr>
          <w:p>
            <w:pPr>
              <w:spacing w:after="0"/>
              <w:rPr>
                <w:sz w:val="24"/>
                <w:szCs w:val="24"/>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46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25.3% of the total Class A Ordinary Shares outstanding</w:t>
            </w:r>
            <w:r>
              <w:rPr>
                <w:rFonts w:ascii="Times New Roman" w:cs="Times New Roman" w:eastAsia="Times New Roman" w:hAnsi="Times New Roman"/>
                <w:sz w:val="29"/>
                <w:szCs w:val="29"/>
                <w:color w:val="auto"/>
                <w:vertAlign w:val="superscript"/>
              </w:rPr>
              <w:t>(2)</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right="100" w:firstLine="8"/>
        <w:spacing w:after="0" w:line="25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63,118,645 Class B Ordinary Shares of the Issuer held by Control Empresarial, each of which may, subject to the limitations set forth in the Exchange Agreement and the Second Amended and Restated Company Partnership Agreement (each as defined and as described in the Issuer’s Definitive Proxy Statement filed with the SEC on June 10, 2022), be exchanged, together with the paired Common Unit, for a Class A Ordinary Share on a one-for-one basis. Control Empresarial beneficially owns 63,118,645 Common Units.</w:t>
      </w:r>
    </w:p>
    <w:p>
      <w:pPr>
        <w:spacing w:after="0" w:line="1" w:lineRule="exact"/>
        <w:rPr>
          <w:rFonts w:ascii="Times New Roman" w:cs="Times New Roman" w:eastAsia="Times New Roman" w:hAnsi="Times New Roman"/>
          <w:sz w:val="18"/>
          <w:szCs w:val="18"/>
          <w:color w:val="auto"/>
        </w:rPr>
      </w:pPr>
    </w:p>
    <w:p>
      <w:pPr>
        <w:ind w:right="160" w:firstLine="8"/>
        <w:spacing w:after="0" w:line="26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283,119,677 shares issued and outstanding as of June 25, 2024, comprising 115,396,124 Class A Ordinary Shares and 167,723,553 Class B Ordinary Shares, as disclosed in the Issuer’s prospectus supplement filed with the SEC on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G7S53R104</w:t>
            </w:r>
          </w:p>
        </w:tc>
        <w:tc>
          <w:tcPr>
            <w:tcW w:w="680" w:type="dxa"/>
            <w:vAlign w:val="bottom"/>
          </w:tcPr>
          <w:p>
            <w:pPr>
              <w:spacing w:after="0"/>
              <w:rPr>
                <w:sz w:val="20"/>
                <w:szCs w:val="20"/>
                <w:color w:val="auto"/>
              </w:rPr>
            </w:pPr>
          </w:p>
        </w:tc>
        <w:tc>
          <w:tcPr>
            <w:tcW w:w="7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SC13D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8 of 13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3"/>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Johanna Monique Slim Domit</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3"/>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86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Mexican States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71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vMerge w:val="continue"/>
          </w:tcPr>
          <w:p>
            <w:pPr>
              <w:spacing w:after="0"/>
              <w:rPr>
                <w:sz w:val="24"/>
                <w:szCs w:val="24"/>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46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25.3% of the total Class A Ordinary Shares outstanding</w:t>
            </w:r>
            <w:r>
              <w:rPr>
                <w:rFonts w:ascii="Times New Roman" w:cs="Times New Roman" w:eastAsia="Times New Roman" w:hAnsi="Times New Roman"/>
                <w:sz w:val="29"/>
                <w:szCs w:val="29"/>
                <w:color w:val="auto"/>
                <w:vertAlign w:val="superscript"/>
              </w:rPr>
              <w:t>(2)</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right="100" w:firstLine="8"/>
        <w:spacing w:after="0" w:line="25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63,118,645 Class B Ordinary Shares of the Issuer held by Control Empresarial, each of which may, subject to the limitations set forth in the Exchange Agreement and the Second Amended and Restated Company Partnership Agreement (each as defined and as described in the Issuer’s Definitive Proxy Statement filed with the SEC on June 10, 2022), be exchanged, together with the paired Common Unit, for a Class A Ordinary Share on a one-for-one basis. Control Empresarial beneficially owns 63,118,645 Common Units.</w:t>
      </w:r>
    </w:p>
    <w:p>
      <w:pPr>
        <w:spacing w:after="0" w:line="1" w:lineRule="exact"/>
        <w:rPr>
          <w:rFonts w:ascii="Times New Roman" w:cs="Times New Roman" w:eastAsia="Times New Roman" w:hAnsi="Times New Roman"/>
          <w:sz w:val="18"/>
          <w:szCs w:val="18"/>
          <w:color w:val="auto"/>
        </w:rPr>
      </w:pPr>
    </w:p>
    <w:p>
      <w:pPr>
        <w:ind w:right="16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283,119,677 shares issued and outstanding as of June 25, 2024, comprising 115,396,124 Class A Ordinary Shares and 167,723,553 Class B Ordinary Shares, as disclosed in the Issuer’s prospectus supplement filed with the SEC on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4"/>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CUSIP No. G7S53R104</w:t>
            </w:r>
          </w:p>
        </w:tc>
        <w:tc>
          <w:tcPr>
            <w:tcW w:w="680" w:type="dxa"/>
            <w:vAlign w:val="bottom"/>
          </w:tcPr>
          <w:p>
            <w:pPr>
              <w:spacing w:after="0"/>
              <w:rPr>
                <w:sz w:val="20"/>
                <w:szCs w:val="20"/>
                <w:color w:val="auto"/>
              </w:rPr>
            </w:pPr>
          </w:p>
        </w:tc>
        <w:tc>
          <w:tcPr>
            <w:tcW w:w="71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SC13D</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9 of 13</w:t>
            </w: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8460" w:type="dxa"/>
            <w:vAlign w:val="bottom"/>
            <w:tcBorders>
              <w:bottom w:val="single" w:sz="8" w:color="auto"/>
            </w:tcBorders>
            <w:gridSpan w:val="3"/>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Control Empresarial de Capitales, S.A. de C.V.</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460" w:type="dxa"/>
            <w:vAlign w:val="bottom"/>
            <w:tcBorders>
              <w:bottom w:val="single" w:sz="8" w:color="auto"/>
            </w:tcBorders>
            <w:gridSpan w:val="3"/>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86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7140" w:type="dxa"/>
            <w:vAlign w:val="bottom"/>
            <w:shd w:val="clear" w:color="auto" w:fill="BFBFBF"/>
          </w:tcPr>
          <w:p>
            <w:pPr>
              <w:spacing w:after="0"/>
              <w:rPr>
                <w:sz w:val="20"/>
                <w:szCs w:val="20"/>
                <w:color w:val="auto"/>
              </w:rPr>
            </w:pPr>
          </w:p>
        </w:tc>
        <w:tc>
          <w:tcPr>
            <w:tcW w:w="8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7140" w:type="dxa"/>
            <w:vAlign w:val="bottom"/>
            <w:shd w:val="clear" w:color="auto" w:fill="BFBFBF"/>
          </w:tcPr>
          <w:p>
            <w:pPr>
              <w:spacing w:after="0"/>
              <w:rPr>
                <w:sz w:val="24"/>
                <w:szCs w:val="24"/>
                <w:color w:val="auto"/>
              </w:rPr>
            </w:pPr>
          </w:p>
        </w:tc>
        <w:tc>
          <w:tcPr>
            <w:tcW w:w="8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7140" w:type="dxa"/>
            <w:vAlign w:val="bottom"/>
            <w:tcBorders>
              <w:bottom w:val="single" w:sz="8" w:color="auto"/>
            </w:tcBorders>
            <w:shd w:val="clear" w:color="auto" w:fill="BFBFBF"/>
          </w:tcPr>
          <w:p>
            <w:pPr>
              <w:spacing w:after="0"/>
              <w:rPr>
                <w:sz w:val="23"/>
                <w:szCs w:val="23"/>
                <w:color w:val="auto"/>
              </w:rPr>
            </w:pPr>
          </w:p>
        </w:tc>
        <w:tc>
          <w:tcPr>
            <w:tcW w:w="8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WC</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460" w:type="dxa"/>
            <w:vAlign w:val="bottom"/>
            <w:tcBorders>
              <w:bottom w:val="single" w:sz="8" w:color="auto"/>
            </w:tcBorders>
            <w:gridSpan w:val="3"/>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Mexican States</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7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680" w:type="dxa"/>
            <w:vAlign w:val="bottom"/>
            <w:tcBorders>
              <w:right w:val="single" w:sz="8" w:color="auto"/>
            </w:tcBorders>
            <w:vMerge w:val="continue"/>
          </w:tcPr>
          <w:p>
            <w:pPr>
              <w:spacing w:after="0"/>
              <w:rPr>
                <w:sz w:val="19"/>
                <w:szCs w:val="19"/>
                <w:color w:val="auto"/>
              </w:rPr>
            </w:pPr>
          </w:p>
        </w:tc>
        <w:tc>
          <w:tcPr>
            <w:tcW w:w="7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680" w:type="dxa"/>
            <w:vAlign w:val="bottom"/>
            <w:tcBorders>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680" w:type="dxa"/>
            <w:vAlign w:val="bottom"/>
            <w:tcBorders>
              <w:bottom w:val="single" w:sz="8" w:color="auto"/>
              <w:right w:val="single" w:sz="8" w:color="auto"/>
            </w:tcBorders>
          </w:tcPr>
          <w:p>
            <w:pPr>
              <w:spacing w:after="0"/>
              <w:rPr>
                <w:sz w:val="11"/>
                <w:szCs w:val="11"/>
                <w:color w:val="auto"/>
              </w:rPr>
            </w:pPr>
          </w:p>
        </w:tc>
        <w:tc>
          <w:tcPr>
            <w:tcW w:w="7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71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continue"/>
          </w:tcPr>
          <w:p>
            <w:pPr>
              <w:spacing w:after="0"/>
              <w:rPr>
                <w:sz w:val="16"/>
                <w:szCs w:val="16"/>
                <w:color w:val="auto"/>
              </w:rPr>
            </w:pPr>
          </w:p>
        </w:tc>
        <w:tc>
          <w:tcPr>
            <w:tcW w:w="71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7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vMerge w:val="continue"/>
          </w:tcPr>
          <w:p>
            <w:pPr>
              <w:spacing w:after="0"/>
              <w:rPr>
                <w:sz w:val="24"/>
                <w:szCs w:val="24"/>
                <w:color w:val="auto"/>
              </w:rPr>
            </w:pPr>
          </w:p>
        </w:tc>
        <w:tc>
          <w:tcPr>
            <w:tcW w:w="7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71,560,107 Class A Ordinary Shares</w:t>
            </w:r>
            <w:r>
              <w:rPr>
                <w:rFonts w:ascii="Times New Roman" w:cs="Times New Roman" w:eastAsia="Times New Roman" w:hAnsi="Times New Roman"/>
                <w:sz w:val="35"/>
                <w:szCs w:val="35"/>
                <w:color w:val="auto"/>
                <w:vertAlign w:val="superscript"/>
              </w:rPr>
              <w:t>(1)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846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84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25.3% of the total Class A Ordinary Shares outstanding</w:t>
            </w:r>
            <w:r>
              <w:rPr>
                <w:rFonts w:ascii="Times New Roman" w:cs="Times New Roman" w:eastAsia="Times New Roman" w:hAnsi="Times New Roman"/>
                <w:sz w:val="29"/>
                <w:szCs w:val="29"/>
                <w:color w:val="auto"/>
                <w:vertAlign w:val="superscript"/>
              </w:rPr>
              <w:t>(2)</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4"/>
              </w:rPr>
              <w:t>HC, CO</w:t>
            </w:r>
          </w:p>
        </w:tc>
        <w:tc>
          <w:tcPr>
            <w:tcW w:w="6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right="100" w:firstLine="8"/>
        <w:spacing w:after="0" w:line="25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63,118,645 Class B Ordinary Shares of the Issuer held by Control Empresarial, each of which may, subject to the limitations set forth in the Exchange Agreement and the Second Amended and Restated Company Partnership Agreement (each as defined and as described in the Issuer’s Definitive Proxy Statement filed with the SEC on June 10, 2022), be exchanged, together with the paired Common Unit, for a Class A Ordinary Share on a one-for-one basis. Control Empresarial beneficially owns 63,118,645 Common Units.</w:t>
      </w:r>
    </w:p>
    <w:p>
      <w:pPr>
        <w:spacing w:after="0" w:line="1" w:lineRule="exact"/>
        <w:rPr>
          <w:rFonts w:ascii="Times New Roman" w:cs="Times New Roman" w:eastAsia="Times New Roman" w:hAnsi="Times New Roman"/>
          <w:sz w:val="18"/>
          <w:szCs w:val="18"/>
          <w:color w:val="auto"/>
        </w:rPr>
      </w:pPr>
    </w:p>
    <w:p>
      <w:pPr>
        <w:ind w:right="16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283,119,677 shares issued and outstanding as of June 25, 2024, comprising 115,396,124 Class A Ordinary Shares and 167,723,553 Class B Ordinary Shares, as disclosed in the Issuer’s prospectus supplement filed with the SEC on June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tabs>
          <w:tab w:leader="none" w:pos="5340" w:val="left"/>
          <w:tab w:leader="none" w:pos="10220" w:val="left"/>
        </w:tabs>
        <w:rPr>
          <w:sz w:val="20"/>
          <w:szCs w:val="20"/>
          <w:color w:val="auto"/>
        </w:rPr>
      </w:pPr>
      <w:r>
        <w:rPr>
          <w:rFonts w:ascii="Times New Roman" w:cs="Times New Roman" w:eastAsia="Times New Roman" w:hAnsi="Times New Roman"/>
          <w:sz w:val="18"/>
          <w:szCs w:val="18"/>
          <w:color w:val="auto"/>
        </w:rPr>
        <w:t>CUSIP No. G7S53R104</w:t>
      </w:r>
      <w:r>
        <w:rPr>
          <w:sz w:val="20"/>
          <w:szCs w:val="20"/>
          <w:color w:val="auto"/>
        </w:rPr>
        <w:tab/>
      </w:r>
      <w:r>
        <w:rPr>
          <w:rFonts w:ascii="Times New Roman" w:cs="Times New Roman" w:eastAsia="Times New Roman" w:hAnsi="Times New Roman"/>
          <w:sz w:val="18"/>
          <w:szCs w:val="18"/>
          <w:color w:val="auto"/>
        </w:rPr>
        <w:t>SC13D</w:t>
      </w:r>
      <w:r>
        <w:rPr>
          <w:sz w:val="20"/>
          <w:szCs w:val="20"/>
          <w:color w:val="auto"/>
        </w:rPr>
        <w:tab/>
      </w:r>
      <w:r>
        <w:rPr>
          <w:rFonts w:ascii="Times New Roman" w:cs="Times New Roman" w:eastAsia="Times New Roman" w:hAnsi="Times New Roman"/>
          <w:sz w:val="18"/>
          <w:szCs w:val="18"/>
          <w:color w:val="auto"/>
        </w:rPr>
        <w:t>Page 10 of 13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Amendment No. 1 (the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amends the Schedule 13D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2022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the Reporting Persons (as defined below), with respect to the Class A ordinary shares, $0.0001 par value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of ProKidney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ProKidney</w:t>
      </w:r>
      <w:r>
        <w:rPr>
          <w:rFonts w:ascii="Times New Roman" w:cs="Times New Roman" w:eastAsia="Times New Roman" w:hAnsi="Times New Roman"/>
          <w:sz w:val="18"/>
          <w:szCs w:val="18"/>
          <w:color w:val="auto"/>
        </w:rPr>
        <w:t>”). Capitalized terms used but not otherwise defined in this First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meanings ascribed to such terms in the Schedule 13D.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 of Persons Filing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620" w:right="100" w:hanging="316"/>
        <w:spacing w:after="0" w:line="282"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Carlos Slim Helú, Carlos Slim Domit, Marco Antonio Slim Domit, Patrick Slim Domit, María Soumaya Slim Domit, Vanessa Paola Slim Domit and Johanna Monique Slim Domit (collectively, the “</w:t>
      </w:r>
      <w:r>
        <w:rPr>
          <w:rFonts w:ascii="Times New Roman" w:cs="Times New Roman" w:eastAsia="Times New Roman" w:hAnsi="Times New Roman"/>
          <w:sz w:val="18"/>
          <w:szCs w:val="18"/>
          <w:u w:val="single" w:color="auto"/>
          <w:color w:val="auto"/>
        </w:rPr>
        <w:t>Slim Family</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left="1620" w:right="20" w:hanging="316"/>
        <w:spacing w:after="0" w:line="267" w:lineRule="auto"/>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Control Empresarial, a </w:t>
      </w:r>
      <w:r>
        <w:rPr>
          <w:rFonts w:ascii="Times New Roman" w:cs="Times New Roman" w:eastAsia="Times New Roman" w:hAnsi="Times New Roman"/>
          <w:sz w:val="18"/>
          <w:szCs w:val="18"/>
          <w:i w:val="1"/>
          <w:iCs w:val="1"/>
          <w:color w:val="auto"/>
        </w:rPr>
        <w:t>sociedad anónima de capital variable</w:t>
      </w:r>
      <w:r>
        <w:rPr>
          <w:rFonts w:ascii="Times New Roman" w:cs="Times New Roman" w:eastAsia="Times New Roman" w:hAnsi="Times New Roman"/>
          <w:sz w:val="18"/>
          <w:szCs w:val="18"/>
          <w:color w:val="auto"/>
        </w:rPr>
        <w:t xml:space="preserve"> organized under the laws of the United Mexican States (“</w:t>
      </w:r>
      <w:r>
        <w:rPr>
          <w:rFonts w:ascii="Times New Roman" w:cs="Times New Roman" w:eastAsia="Times New Roman" w:hAnsi="Times New Roman"/>
          <w:sz w:val="18"/>
          <w:szCs w:val="18"/>
          <w:u w:val="single" w:color="auto"/>
          <w:color w:val="auto"/>
        </w:rPr>
        <w:t>Mexico</w:t>
      </w:r>
      <w:r>
        <w:rPr>
          <w:rFonts w:ascii="Times New Roman" w:cs="Times New Roman" w:eastAsia="Times New Roman" w:hAnsi="Times New Roman"/>
          <w:sz w:val="18"/>
          <w:szCs w:val="18"/>
          <w:color w:val="auto"/>
        </w:rPr>
        <w:t>”), is a holding company with portfolio investments in various companies (“</w:t>
      </w:r>
      <w:r>
        <w:rPr>
          <w:rFonts w:ascii="Times New Roman" w:cs="Times New Roman" w:eastAsia="Times New Roman" w:hAnsi="Times New Roman"/>
          <w:sz w:val="18"/>
          <w:szCs w:val="18"/>
          <w:u w:val="single" w:color="auto"/>
          <w:color w:val="auto"/>
        </w:rPr>
        <w:t>Control Empresarial</w:t>
      </w:r>
      <w:r>
        <w:rPr>
          <w:rFonts w:ascii="Times New Roman" w:cs="Times New Roman" w:eastAsia="Times New Roman" w:hAnsi="Times New Roman"/>
          <w:sz w:val="18"/>
          <w:szCs w:val="18"/>
          <w:color w:val="auto"/>
        </w:rPr>
        <w:t>” and together with the Slim Family,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of Principal Business Office:</w:t>
      </w:r>
    </w:p>
    <w:p>
      <w:pPr>
        <w:spacing w:after="0" w:line="22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address for each member of the Slim Family is:</w:t>
      </w:r>
    </w:p>
    <w:p>
      <w:pPr>
        <w:spacing w:after="0" w:line="225" w:lineRule="exact"/>
        <w:rPr>
          <w:rFonts w:ascii="Times New Roman" w:cs="Times New Roman" w:eastAsia="Times New Roman" w:hAnsi="Times New Roman"/>
          <w:sz w:val="18"/>
          <w:szCs w:val="18"/>
          <w:color w:val="auto"/>
        </w:rPr>
      </w:pPr>
    </w:p>
    <w:p>
      <w:pPr>
        <w:ind w:left="1620" w:right="7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Paseo de las Palmas 736 Colonia Lomas de Chapultepec 11000 Ciudad de México, México</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Empresarial’s principal business address is:</w:t>
      </w:r>
    </w:p>
    <w:p>
      <w:pPr>
        <w:spacing w:after="0" w:line="22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Paseo de las Palmas 781</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Piso 3, Lomas de Chapultepec, Sección III</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Miguel Hidalgo, Ciudad de México, México, 11000</w:t>
      </w:r>
    </w:p>
    <w:p>
      <w:pPr>
        <w:spacing w:after="0" w:line="206"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Slim Family are beneficiaries of a Mexican trust which owns all of the outstanding voting securities of Control Empresarial.</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members of the Slim Family have been convicted in a criminal proceeding (excluding traffic violations and similar misdemeanors).</w:t>
      </w:r>
    </w:p>
    <w:p>
      <w:pPr>
        <w:spacing w:after="0" w:line="161"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five years, none of the members of the Slim Family have been a party to a civil proceeding of a judicial or administrative body of competent jurisdiction nor were they or are they as a result of any such proceeding,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tabs>
          <w:tab w:leader="none" w:pos="5340" w:val="left"/>
          <w:tab w:leader="none" w:pos="10240" w:val="left"/>
        </w:tabs>
        <w:rPr>
          <w:sz w:val="20"/>
          <w:szCs w:val="20"/>
          <w:color w:val="auto"/>
        </w:rPr>
      </w:pPr>
      <w:r>
        <w:rPr>
          <w:rFonts w:ascii="Times New Roman" w:cs="Times New Roman" w:eastAsia="Times New Roman" w:hAnsi="Times New Roman"/>
          <w:sz w:val="18"/>
          <w:szCs w:val="18"/>
          <w:color w:val="auto"/>
        </w:rPr>
        <w:t>CUSIP No. G7S53R104</w:t>
      </w:r>
      <w:r>
        <w:rPr>
          <w:sz w:val="20"/>
          <w:szCs w:val="20"/>
          <w:color w:val="auto"/>
        </w:rPr>
        <w:tab/>
      </w:r>
      <w:r>
        <w:rPr>
          <w:rFonts w:ascii="Times New Roman" w:cs="Times New Roman" w:eastAsia="Times New Roman" w:hAnsi="Times New Roman"/>
          <w:sz w:val="18"/>
          <w:szCs w:val="18"/>
          <w:color w:val="auto"/>
        </w:rPr>
        <w:t>SC13D</w:t>
      </w:r>
      <w:r>
        <w:rPr>
          <w:sz w:val="20"/>
          <w:szCs w:val="20"/>
          <w:color w:val="auto"/>
        </w:rPr>
        <w:tab/>
      </w:r>
      <w:r>
        <w:rPr>
          <w:rFonts w:ascii="Times New Roman" w:cs="Times New Roman" w:eastAsia="Times New Roman" w:hAnsi="Times New Roman"/>
          <w:sz w:val="17"/>
          <w:szCs w:val="17"/>
          <w:color w:val="auto"/>
        </w:rPr>
        <w:t>Page 11 of 13</w:t>
      </w:r>
    </w:p>
    <w:p>
      <w:pPr>
        <w:spacing w:after="0" w:line="185"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(f)</w:t>
      </w:r>
      <w:r>
        <w:rPr>
          <w:sz w:val="20"/>
          <w:szCs w:val="20"/>
          <w:color w:val="auto"/>
        </w:rPr>
        <w:tab/>
      </w:r>
      <w:r>
        <w:rPr>
          <w:rFonts w:ascii="Times New Roman" w:cs="Times New Roman" w:eastAsia="Times New Roman" w:hAnsi="Times New Roman"/>
          <w:sz w:val="17"/>
          <w:szCs w:val="17"/>
          <w:color w:val="auto"/>
        </w:rPr>
        <w:t>Each member of the Slim Family is a Mexican citizen. Control Empresarial is a Mexican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11, 2024, the Issuer priced a public underwritten offering (the “</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of 42,774,220 Class A Ordinary Shares. Together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Public Offering, the Issuer offered to issue and sell 11,030,574 Class A Ordinary Shares to certain investors in a concurrent direct offering at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price per share and on the same terms as those of the Public Offering (the “</w:t>
      </w:r>
      <w:r>
        <w:rPr>
          <w:rFonts w:ascii="Times New Roman" w:cs="Times New Roman" w:eastAsia="Times New Roman" w:hAnsi="Times New Roman"/>
          <w:sz w:val="18"/>
          <w:szCs w:val="18"/>
          <w:u w:val="single" w:color="auto"/>
          <w:color w:val="auto"/>
        </w:rPr>
        <w:t>Direct Offering</w:t>
      </w:r>
      <w:r>
        <w:rPr>
          <w:rFonts w:ascii="Times New Roman" w:cs="Times New Roman" w:eastAsia="Times New Roman" w:hAnsi="Times New Roman"/>
          <w:sz w:val="18"/>
          <w:szCs w:val="18"/>
          <w:color w:val="auto"/>
        </w:rPr>
        <w:t>” and, together with the Public Offering,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In connection with the Offering, Control Empresarial purchased 8,264,462 Class A Ordinary Shares at an aggregate purchase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$19,999,998.04, thereby increasing its holdings in the Issuer from 63,295,645 Class A Ordinary Shares to 71,560,107 Class A Ordinary Shares.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was settled on June 13, 2024. The Class A Ordinary Shares purchased by Control Empresarial in the Offering were acquired using the working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of Control Empresarial.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Reporting Persons acquired the Class A Ordinary Shares described in Item 3 above for investment purposes and did not acquire such Class A Ordinary Shares with the purpose, or with the effect, of changing or influencing control of the Issuer, or in connection with or as a participant in any transaction having that purpose or effect.</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Reporting Persons intend to review their investment in the Issuer on a continuing basis. Depending on various factors, including, without limitation, the Issuer’s financial position, results and strategic direction, general economic and industry conditions, the securities markets in general and those for the Issuer’s stock in particular, as well as other developments and other investment opportunities, the Reporting Persons may in the future take such actions with respect to their investment in the Issuer as they deem appropriate. Such actions by the Reporting Persons may include, without limitation, increasing or decreasing their position in the Issuer through, among other things, the purchase or sale of securities of the Issuer, including through transactions involving the Class A Ordinary Shares and/or other equity, debt or other securities, in each case in the open market, in privately negotiated transactions or otherwise; entering into derivative or other instruments that are based upon or relate to the value of securities of the Issuer; engaging in discussions with the Issuer’s board of directors and/or management team; and taking other actions (including actions that could involve one or more of the types of transactions or have one or more of the results described in clauses (a) through (j) of Item 4 of Schedule 13D of the Exchange Act) or formulating and implementing plans or proposals with respect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tabs>
          <w:tab w:leader="none" w:pos="5340" w:val="left"/>
          <w:tab w:leader="none" w:pos="10220" w:val="left"/>
        </w:tabs>
        <w:rPr>
          <w:sz w:val="20"/>
          <w:szCs w:val="20"/>
          <w:color w:val="auto"/>
        </w:rPr>
      </w:pPr>
      <w:r>
        <w:rPr>
          <w:rFonts w:ascii="Times New Roman" w:cs="Times New Roman" w:eastAsia="Times New Roman" w:hAnsi="Times New Roman"/>
          <w:sz w:val="18"/>
          <w:szCs w:val="18"/>
          <w:color w:val="auto"/>
        </w:rPr>
        <w:t>CUSIP No. G7S53R104</w:t>
      </w:r>
      <w:r>
        <w:rPr>
          <w:sz w:val="20"/>
          <w:szCs w:val="20"/>
          <w:color w:val="auto"/>
        </w:rPr>
        <w:tab/>
      </w:r>
      <w:r>
        <w:rPr>
          <w:rFonts w:ascii="Times New Roman" w:cs="Times New Roman" w:eastAsia="Times New Roman" w:hAnsi="Times New Roman"/>
          <w:sz w:val="18"/>
          <w:szCs w:val="18"/>
          <w:color w:val="auto"/>
        </w:rPr>
        <w:t>SC13D</w:t>
      </w:r>
      <w:r>
        <w:rPr>
          <w:sz w:val="20"/>
          <w:szCs w:val="20"/>
          <w:color w:val="auto"/>
        </w:rPr>
        <w:tab/>
      </w:r>
      <w:r>
        <w:rPr>
          <w:rFonts w:ascii="Times New Roman" w:cs="Times New Roman" w:eastAsia="Times New Roman" w:hAnsi="Times New Roman"/>
          <w:sz w:val="18"/>
          <w:szCs w:val="18"/>
          <w:color w:val="auto"/>
        </w:rPr>
        <w:t>Page 12 of 13</w:t>
      </w:r>
    </w:p>
    <w:p>
      <w:pPr>
        <w:spacing w:after="0" w:line="18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Except as set forth in this Item 4, the Reporting Person does not have any current plans or proposals which relate to or would result in any of the matters specified in clauses (a) through (j) of Item 4 of Schedule 13D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right="40" w:firstLine="8"/>
        <w:spacing w:after="0" w:line="255"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Calculations of the percentage of the Class A Ordinary Shares beneficially owned are based on a total of 283,119,677 shares issued and outstanding as of June 25, 2024, comprising 115,396,124 Class A Ordinary Shares and 167,723,553 Class B Ordinary Shares, as disclosed in the Issuer’s prospectus supplement filed with the SEC on June 13, 2024. As of June 25, 2024, (i) Control Empresarial, directly or indirectly, owns 71,560,107 Class A Ordinary Shares (including 63,118,645 Class B Ordinary Shares) (representing approximately 25.3% of the 283,119,677 shares issued and outstanding, comprising 115,396,124 Class A Ordinary Shares and 167,723,553 Class B ordinary shares), and (ii) the Slim Family, which are beneficiaries of a Mexican trust that owns all of the issued and outstanding voting equity securities of Control Empresarial, may be deemed to beneficially own indirectly the Class A Ordinary Shares beneficially owned directly by Control Empresarial.</w:t>
      </w:r>
    </w:p>
    <w:p>
      <w:pPr>
        <w:spacing w:after="0" w:line="189"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ProKidney’s launch of the Public Offering described in Item 3, Control Empresarial entered into a lock-up agreement with the underwriters to restrict the sale of Class A Ordinary Shares or Class B Ordinary Shares for 90 days after the date of the final prospectus related to the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The Form of Lock-Up Agreement, which is incorporated by reference to Exhibit A to the Underwriting Agreement, filed as Exhibit 1.1 to ProKidney’s Current Report on Form 8-K filed with the SEC on June 13, 2024 is hereby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tabs>
          <w:tab w:leader="none" w:pos="5340" w:val="left"/>
          <w:tab w:leader="none" w:pos="10220" w:val="left"/>
        </w:tabs>
        <w:rPr>
          <w:sz w:val="20"/>
          <w:szCs w:val="20"/>
          <w:color w:val="auto"/>
        </w:rPr>
      </w:pPr>
      <w:r>
        <w:rPr>
          <w:rFonts w:ascii="Times New Roman" w:cs="Times New Roman" w:eastAsia="Times New Roman" w:hAnsi="Times New Roman"/>
          <w:sz w:val="18"/>
          <w:szCs w:val="18"/>
          <w:color w:val="auto"/>
        </w:rPr>
        <w:t>CUSIP No. G7S53R104</w:t>
      </w:r>
      <w:r>
        <w:rPr>
          <w:sz w:val="20"/>
          <w:szCs w:val="20"/>
          <w:color w:val="auto"/>
        </w:rPr>
        <w:tab/>
      </w:r>
      <w:r>
        <w:rPr>
          <w:rFonts w:ascii="Times New Roman" w:cs="Times New Roman" w:eastAsia="Times New Roman" w:hAnsi="Times New Roman"/>
          <w:sz w:val="18"/>
          <w:szCs w:val="18"/>
          <w:color w:val="auto"/>
        </w:rPr>
        <w:t>SC13D</w:t>
      </w:r>
      <w:r>
        <w:rPr>
          <w:sz w:val="20"/>
          <w:szCs w:val="20"/>
          <w:color w:val="auto"/>
        </w:rPr>
        <w:tab/>
      </w:r>
      <w:r>
        <w:rPr>
          <w:rFonts w:ascii="Times New Roman" w:cs="Times New Roman" w:eastAsia="Times New Roman" w:hAnsi="Times New Roman"/>
          <w:sz w:val="18"/>
          <w:szCs w:val="18"/>
          <w:color w:val="auto"/>
        </w:rPr>
        <w:t>Page 13 of 13</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Carlos Slim Helú</w:t>
            </w:r>
          </w:p>
        </w:tc>
        <w:tc>
          <w:tcPr>
            <w:tcW w:w="11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500" w:type="dxa"/>
            <w:vAlign w:val="bottom"/>
            <w:tcBorders>
              <w:bottom w:val="single" w:sz="8" w:color="auto"/>
            </w:tcBorders>
          </w:tcPr>
          <w:p>
            <w:pPr>
              <w:spacing w:after="0"/>
              <w:rPr>
                <w:sz w:val="18"/>
                <w:szCs w:val="18"/>
                <w:color w:val="auto"/>
              </w:rPr>
            </w:pPr>
          </w:p>
        </w:tc>
        <w:tc>
          <w:tcPr>
            <w:tcW w:w="1160" w:type="dxa"/>
            <w:vAlign w:val="bottom"/>
            <w:tcBorders>
              <w:right w:val="single" w:sz="8" w:color="auto"/>
            </w:tcBorders>
            <w:vMerge w:val="restart"/>
          </w:tcPr>
          <w:p>
            <w:pPr>
              <w:spacing w:after="0"/>
              <w:rPr>
                <w:sz w:val="18"/>
                <w:szCs w:val="18"/>
                <w:color w:val="auto"/>
              </w:rPr>
            </w:pPr>
          </w:p>
        </w:tc>
        <w:tc>
          <w:tcPr>
            <w:tcW w:w="55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By: /s/Marco Antonio Slim Domit</w:t>
            </w: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Carlos Slim Domit</w:t>
            </w:r>
          </w:p>
        </w:tc>
        <w:tc>
          <w:tcPr>
            <w:tcW w:w="1160" w:type="dxa"/>
            <w:vAlign w:val="bottom"/>
            <w:tcBorders>
              <w:right w:val="single" w:sz="8" w:color="auto"/>
            </w:tcBorders>
            <w:vMerge w:val="continue"/>
          </w:tcPr>
          <w:p>
            <w:pPr>
              <w:spacing w:after="0"/>
              <w:rPr>
                <w:sz w:val="20"/>
                <w:szCs w:val="20"/>
                <w:color w:val="auto"/>
              </w:rPr>
            </w:pPr>
          </w:p>
        </w:tc>
        <w:tc>
          <w:tcPr>
            <w:tcW w:w="55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Marco Antonio Slim Domit</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Marco Antonio Slim Domit</w:t>
            </w:r>
          </w:p>
        </w:tc>
        <w:tc>
          <w:tcPr>
            <w:tcW w:w="116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i w:val="1"/>
                <w:iCs w:val="1"/>
                <w:color w:val="auto"/>
              </w:rPr>
              <w:t>Attorney-in-Fact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4500" w:type="dxa"/>
            <w:vAlign w:val="bottom"/>
            <w:tcBorders>
              <w:bottom w:val="single" w:sz="8" w:color="auto"/>
            </w:tcBorders>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June 25, 2024</w:t>
            </w: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Patrick Slim Domit</w:t>
            </w:r>
          </w:p>
        </w:tc>
        <w:tc>
          <w:tcPr>
            <w:tcW w:w="11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500" w:type="dxa"/>
            <w:vAlign w:val="bottom"/>
            <w:tcBorders>
              <w:bottom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María Soumaya Slim Domit</w:t>
            </w:r>
          </w:p>
        </w:tc>
        <w:tc>
          <w:tcPr>
            <w:tcW w:w="11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500" w:type="dxa"/>
            <w:vAlign w:val="bottom"/>
            <w:tcBorders>
              <w:bottom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Vanessa Paola Slim Domit</w:t>
            </w:r>
          </w:p>
        </w:tc>
        <w:tc>
          <w:tcPr>
            <w:tcW w:w="11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500" w:type="dxa"/>
            <w:vAlign w:val="bottom"/>
            <w:tcBorders>
              <w:bottom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Johanna Monique Slim Domit</w:t>
            </w:r>
          </w:p>
        </w:tc>
        <w:tc>
          <w:tcPr>
            <w:tcW w:w="11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w w:val="99"/>
              </w:rPr>
              <w:t>CONTROL EMPRESARIAL DE CAPITALES S.A. DE C.V.</w:t>
            </w:r>
          </w:p>
        </w:tc>
        <w:tc>
          <w:tcPr>
            <w:tcW w:w="116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By: Víctor Manuel Gutierrez Lopez</w:t>
            </w:r>
          </w:p>
        </w:tc>
        <w:tc>
          <w:tcPr>
            <w:tcW w:w="1160" w:type="dxa"/>
            <w:vAlign w:val="bottom"/>
            <w:tcBorders>
              <w:right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Title: Attorney-in-Fact</w:t>
            </w:r>
          </w:p>
        </w:tc>
        <w:tc>
          <w:tcPr>
            <w:tcW w:w="116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60" w:firstLine="8"/>
        <w:spacing w:after="0" w:line="267" w:lineRule="auto"/>
        <w:tabs>
          <w:tab w:leader="none" w:pos="13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the Powers of Attorney for the members of the Slim Family and Control Empresarial, which are filed as exhibits to the Schedule 13D/A filed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Slim Family and Control Empresarial with the SEC on February 3, 2022 in connection with their beneficial ownership of American Depositary Shares, each representing 20 Series L Shares of América Móvil, S.A.B. de C.V., are hereby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lowerLetter"/>
      <w:start w:val="1"/>
    </w:lvl>
    <w:lvl w:ilvl="1">
      <w:lvlJc w:val="left"/>
      <w:lvlText w:val="%2."/>
      <w:numFmt w:val="lowerRoman"/>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2024-06-25T15:13:51Z</dcterms:created>
  <dcterms:modified xsi:type="dcterms:W3CDTF">2024-06-25T15:13:51Z</dcterms:modified>
</cp:coreProperties>
</file>