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PROKIDNEY CORP.</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001-40560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98-1586514</w:t>
            </w:r>
          </w:p>
        </w:tc>
      </w:tr>
      <w:tr>
        <w:trPr>
          <w:trHeight w:val="149"/>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2000 Frontis Plaza Blvd.</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Suite 250</w:t>
            </w:r>
          </w:p>
        </w:tc>
        <w:tc>
          <w:tcPr>
            <w:tcW w:w="32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Winston-Salem, North Carolina</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27103</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336 999-7019</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PROK</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May 28, 2026, ProKidney Corp. (the “Company”) held its 2026 Annual Meeting of Stockholders (the “Annual Meeting”). The matters voted on at the Annual Meeting and the votes cast with respect to each such matter are set forth below:</w:t>
      </w:r>
    </w:p>
    <w:p>
      <w:pPr>
        <w:spacing w:after="0" w:line="54" w:lineRule="exact"/>
        <w:rPr>
          <w:sz w:val="20"/>
          <w:szCs w:val="20"/>
          <w:color w:val="auto"/>
        </w:rPr>
      </w:pPr>
    </w:p>
    <w:p>
      <w:pPr>
        <w:ind w:left="1020" w:right="24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following results of the voting, the Company’s stockholders elected the nominees listed below to the Company’s Board of Directors, each to serve for a three-year term to expire at the Company’s annual meeting of stockholders in 2029 and until their successors are duly elected and qualified: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160" w:type="dxa"/>
            <w:vAlign w:val="bottom"/>
          </w:tcPr>
          <w:p>
            <w:pPr>
              <w:spacing w:after="0"/>
              <w:rPr>
                <w:sz w:val="20"/>
                <w:szCs w:val="20"/>
                <w:color w:val="auto"/>
              </w:rPr>
            </w:pPr>
          </w:p>
        </w:tc>
        <w:tc>
          <w:tcPr>
            <w:tcW w:w="20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For</w:t>
            </w:r>
          </w:p>
        </w:tc>
        <w:tc>
          <w:tcPr>
            <w:tcW w:w="300" w:type="dxa"/>
            <w:vAlign w:val="bottom"/>
          </w:tcPr>
          <w:p>
            <w:pPr>
              <w:spacing w:after="0"/>
              <w:rPr>
                <w:sz w:val="20"/>
                <w:szCs w:val="20"/>
                <w:color w:val="auto"/>
              </w:rPr>
            </w:pPr>
          </w:p>
        </w:tc>
        <w:tc>
          <w:tcPr>
            <w:tcW w:w="20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240" w:type="dxa"/>
            <w:vAlign w:val="bottom"/>
          </w:tcPr>
          <w:p>
            <w:pPr>
              <w:spacing w:after="0"/>
              <w:rPr>
                <w:sz w:val="20"/>
                <w:szCs w:val="20"/>
                <w:color w:val="auto"/>
              </w:rPr>
            </w:pPr>
          </w:p>
        </w:tc>
        <w:tc>
          <w:tcPr>
            <w:tcW w:w="2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Broker Non Votes</w:t>
            </w:r>
          </w:p>
        </w:tc>
        <w:tc>
          <w:tcPr>
            <w:tcW w:w="100" w:type="dxa"/>
            <w:vAlign w:val="bottom"/>
          </w:tcPr>
          <w:p>
            <w:pPr>
              <w:spacing w:after="0"/>
              <w:rPr>
                <w:sz w:val="20"/>
                <w:szCs w:val="20"/>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F. Doyle</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196,164,585</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1,459,235</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42,579,394</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Alan M. Lotvin, M.D.</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193,179,768</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4,444,052</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42,579,394</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Brian J.G. Pereira</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197,002,580</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621,240</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42,579,394</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Ernst &amp; Young LLP as our independent registered public accounting firm for the fiscal year ending December 31, 2026, was ratified based on the following results of the voting: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For</w:t>
            </w:r>
          </w:p>
        </w:tc>
        <w:tc>
          <w:tcPr>
            <w:tcW w:w="340" w:type="dxa"/>
            <w:vAlign w:val="bottom"/>
          </w:tcPr>
          <w:p>
            <w:pPr>
              <w:spacing w:after="0"/>
              <w:rPr>
                <w:sz w:val="20"/>
                <w:szCs w:val="20"/>
                <w:color w:val="auto"/>
              </w:rPr>
            </w:pPr>
          </w:p>
        </w:tc>
        <w:tc>
          <w:tcPr>
            <w:tcW w:w="254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40" w:type="dxa"/>
            <w:vAlign w:val="bottom"/>
          </w:tcPr>
          <w:p>
            <w:pPr>
              <w:spacing w:after="0"/>
              <w:rPr>
                <w:sz w:val="20"/>
                <w:szCs w:val="20"/>
                <w:color w:val="auto"/>
              </w:rPr>
            </w:pPr>
          </w:p>
        </w:tc>
        <w:tc>
          <w:tcPr>
            <w:tcW w:w="25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00" w:type="dxa"/>
            <w:vAlign w:val="bottom"/>
          </w:tcPr>
          <w:p>
            <w:pPr>
              <w:spacing w:after="0"/>
              <w:rPr>
                <w:sz w:val="20"/>
                <w:szCs w:val="20"/>
                <w:color w:val="auto"/>
              </w:rPr>
            </w:pPr>
          </w:p>
        </w:tc>
        <w:tc>
          <w:tcPr>
            <w:tcW w:w="25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Broker Non Votes</w:t>
            </w:r>
          </w:p>
        </w:tc>
        <w:tc>
          <w:tcPr>
            <w:tcW w:w="100" w:type="dxa"/>
            <w:vAlign w:val="bottom"/>
          </w:tcPr>
          <w:p>
            <w:pPr>
              <w:spacing w:after="0"/>
              <w:rPr>
                <w:sz w:val="20"/>
                <w:szCs w:val="20"/>
                <w:color w:val="auto"/>
              </w:rPr>
            </w:pPr>
          </w:p>
        </w:tc>
      </w:tr>
      <w:tr>
        <w:trPr>
          <w:trHeight w:val="210"/>
        </w:trPr>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239,091,167</w:t>
            </w:r>
          </w:p>
        </w:tc>
        <w:tc>
          <w:tcPr>
            <w:tcW w:w="2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729,165</w:t>
            </w:r>
          </w:p>
        </w:tc>
        <w:tc>
          <w:tcPr>
            <w:tcW w:w="2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382,882</w:t>
            </w:r>
          </w:p>
        </w:tc>
        <w:tc>
          <w:tcPr>
            <w:tcW w:w="300" w:type="dxa"/>
            <w:vAlign w:val="bottom"/>
            <w:shd w:val="clear" w:color="auto" w:fill="CFF0FC"/>
          </w:tcPr>
          <w:p>
            <w:pPr>
              <w:spacing w:after="0"/>
              <w:rPr>
                <w:sz w:val="18"/>
                <w:szCs w:val="18"/>
                <w:color w:val="auto"/>
              </w:rPr>
            </w:pPr>
          </w:p>
        </w:tc>
        <w:tc>
          <w:tcPr>
            <w:tcW w:w="2640" w:type="dxa"/>
            <w:vAlign w:val="bottom"/>
            <w:gridSpan w:val="2"/>
            <w:shd w:val="clear" w:color="auto" w:fill="CFF0FC"/>
          </w:tcPr>
          <w:p>
            <w:pPr>
              <w:ind w:left="2420"/>
              <w:spacing w:after="0"/>
              <w:rPr>
                <w:sz w:val="20"/>
                <w:szCs w:val="20"/>
                <w:color w:val="auto"/>
              </w:rPr>
            </w:pPr>
            <w:r>
              <w:rPr>
                <w:rFonts w:ascii="Times New Roman" w:cs="Times New Roman" w:eastAsia="Times New Roman" w:hAnsi="Times New Roman"/>
                <w:sz w:val="18"/>
                <w:szCs w:val="18"/>
                <w:color w:val="auto"/>
              </w:rPr>
              <w:t>–</w:t>
            </w:r>
          </w:p>
        </w:tc>
      </w:tr>
      <w:tr>
        <w:trPr>
          <w:trHeight w:val="979"/>
        </w:trPr>
        <w:tc>
          <w:tcPr>
            <w:tcW w:w="2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PROKIDNEY CORP.</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29, 2026</w:t>
      </w:r>
      <w:r>
        <w:rPr>
          <w:sz w:val="20"/>
          <w:szCs w:val="20"/>
          <w:color w:val="auto"/>
        </w:rPr>
        <w:tab/>
      </w:r>
      <w:r>
        <w:rPr>
          <w:rFonts w:ascii="Times New Roman" w:cs="Times New Roman" w:eastAsia="Times New Roman" w:hAnsi="Times New Roman"/>
          <w:sz w:val="18"/>
          <w:szCs w:val="18"/>
          <w:color w:val="auto"/>
        </w:rPr>
        <w:t>By:</w:t>
        <w:tab/>
        <w:t>/s/ Todd Girolamo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2026-05-29T15:50:05Z</dcterms:created>
  <dcterms:modified xsi:type="dcterms:W3CDTF">2026-05-29T15:50:05Z</dcterms:modified>
</cp:coreProperties>
</file>