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2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October 29, 2026</w:t>
      </w:r>
    </w:p>
    <w:p>
      <w:pPr>
        <w:ind w:left="8500"/>
        <w:spacing w:after="0"/>
        <w:rPr>
          <w:sz w:val="20"/>
          <w:szCs w:val="20"/>
          <w:color w:val="auto"/>
        </w:rPr>
      </w:pPr>
      <w:r>
        <w:rPr>
          <w:rFonts w:ascii="Times New Roman" w:cs="Times New Roman" w:eastAsia="Times New Roman" w:hAnsi="Times New Roman"/>
          <w:sz w:val="11"/>
          <w:szCs w:val="11"/>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936625</wp:posOffset>
            </wp:positionH>
            <wp:positionV relativeFrom="paragraph">
              <wp:posOffset>46355</wp:posOffset>
            </wp:positionV>
            <wp:extent cx="530098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00980" cy="6350"/>
                    </a:xfrm>
                    <a:prstGeom prst="rect">
                      <a:avLst/>
                    </a:prstGeom>
                    <a:noFill/>
                  </pic:spPr>
                </pic:pic>
              </a:graphicData>
            </a:graphic>
          </wp:anchor>
        </w:drawing>
        <w:drawing>
          <wp:anchor simplePos="0" relativeHeight="251657728" behindDoc="1" locked="0" layoutInCell="0" allowOverlap="1">
            <wp:simplePos x="0" y="0"/>
            <wp:positionH relativeFrom="column">
              <wp:posOffset>936625</wp:posOffset>
            </wp:positionH>
            <wp:positionV relativeFrom="paragraph">
              <wp:posOffset>78740</wp:posOffset>
            </wp:positionV>
            <wp:extent cx="530098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00980" cy="6350"/>
                    </a:xfrm>
                    <a:prstGeom prst="rect">
                      <a:avLst/>
                    </a:prstGeom>
                    <a:noFill/>
                  </pic:spPr>
                </pic:pic>
              </a:graphicData>
            </a:graphic>
          </wp:anchor>
        </w:drawing>
      </w:r>
    </w:p>
    <w:p>
      <w:pPr>
        <w:spacing w:after="0" w:line="1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3028315</wp:posOffset>
            </wp:positionH>
            <wp:positionV relativeFrom="paragraph">
              <wp:posOffset>111125</wp:posOffset>
            </wp:positionV>
            <wp:extent cx="111061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0615" cy="6350"/>
                    </a:xfrm>
                    <a:prstGeom prst="rect">
                      <a:avLst/>
                    </a:prstGeom>
                    <a:noFill/>
                  </pic:spPr>
                </pic:pic>
              </a:graphicData>
            </a:graphic>
          </wp:anchor>
        </w:drawing>
      </w:r>
    </w:p>
    <w:p>
      <w:pPr>
        <w:spacing w:after="0" w:line="2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FORM S-3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REGISTRATION STATEMENT</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3028315</wp:posOffset>
            </wp:positionH>
            <wp:positionV relativeFrom="paragraph">
              <wp:posOffset>119380</wp:posOffset>
            </wp:positionV>
            <wp:extent cx="111061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0615" cy="6350"/>
                    </a:xfrm>
                    <a:prstGeom prst="rect">
                      <a:avLst/>
                    </a:prstGeom>
                    <a:noFill/>
                  </pic:spPr>
                </pic:pic>
              </a:graphicData>
            </a:graphic>
          </wp:anchor>
        </w:drawing>
      </w:r>
    </w:p>
    <w:p>
      <w:pPr>
        <w:spacing w:after="0" w:line="226"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7"/>
          <w:szCs w:val="27"/>
          <w:b w:val="1"/>
          <w:bCs w:val="1"/>
          <w:color w:val="auto"/>
        </w:rPr>
        <w:t>PROKIDNEY CORP.</w:t>
      </w:r>
    </w:p>
    <w:p>
      <w:pPr>
        <w:spacing w:after="0" w:line="35"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3028315</wp:posOffset>
            </wp:positionH>
            <wp:positionV relativeFrom="paragraph">
              <wp:posOffset>104775</wp:posOffset>
            </wp:positionV>
            <wp:extent cx="111061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0615" cy="6350"/>
                    </a:xfrm>
                    <a:prstGeom prst="rect">
                      <a:avLst/>
                    </a:prstGeom>
                    <a:noFill/>
                  </pic:spPr>
                </pic:pic>
              </a:graphicData>
            </a:graphic>
          </wp:anchor>
        </w:drawing>
      </w:r>
    </w:p>
    <w:p>
      <w:pPr>
        <w:spacing w:after="0" w:line="249" w:lineRule="exact"/>
        <w:rPr>
          <w:sz w:val="24"/>
          <w:szCs w:val="24"/>
          <w:color w:val="auto"/>
        </w:rPr>
      </w:pPr>
    </w:p>
    <w:tbl>
      <w:tblPr>
        <w:tblLayout w:type="fixed"/>
        <w:tblInd w:w="2960" w:type="dxa"/>
        <w:tblCellMar>
          <w:top w:w="0" w:type="dxa"/>
          <w:left w:w="0" w:type="dxa"/>
          <w:bottom w:w="0" w:type="dxa"/>
          <w:right w:w="0" w:type="dxa"/>
        </w:tblCellMar>
      </w:tblPr>
      <w:tr>
        <w:trPr>
          <w:trHeight w:val="126"/>
        </w:trPr>
        <w:tc>
          <w:tcPr>
            <w:tcW w:w="2840" w:type="dxa"/>
            <w:vAlign w:val="bottom"/>
          </w:tcPr>
          <w:p>
            <w:pPr>
              <w:jc w:val="center"/>
              <w:ind w:right="1550"/>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2360" w:type="dxa"/>
            <w:vAlign w:val="bottom"/>
          </w:tcPr>
          <w:p>
            <w:pPr>
              <w:jc w:val="center"/>
              <w:ind w:left="1570"/>
              <w:spacing w:after="0"/>
              <w:rPr>
                <w:sz w:val="20"/>
                <w:szCs w:val="20"/>
                <w:color w:val="auto"/>
              </w:rPr>
            </w:pPr>
            <w:r>
              <w:rPr>
                <w:rFonts w:ascii="Times New Roman" w:cs="Times New Roman" w:eastAsia="Times New Roman" w:hAnsi="Times New Roman"/>
                <w:sz w:val="11"/>
                <w:szCs w:val="11"/>
                <w:b w:val="1"/>
                <w:bCs w:val="1"/>
                <w:color w:val="auto"/>
              </w:rPr>
              <w:t>98-1586514</w:t>
            </w:r>
          </w:p>
        </w:tc>
      </w:tr>
      <w:tr>
        <w:trPr>
          <w:trHeight w:val="102"/>
        </w:trPr>
        <w:tc>
          <w:tcPr>
            <w:tcW w:w="2840" w:type="dxa"/>
            <w:vAlign w:val="bottom"/>
          </w:tcPr>
          <w:p>
            <w:pPr>
              <w:jc w:val="center"/>
              <w:ind w:right="1550"/>
              <w:spacing w:after="0" w:line="103" w:lineRule="exact"/>
              <w:rPr>
                <w:sz w:val="20"/>
                <w:szCs w:val="20"/>
                <w:color w:val="auto"/>
              </w:rPr>
            </w:pPr>
            <w:r>
              <w:rPr>
                <w:rFonts w:ascii="Times New Roman" w:cs="Times New Roman" w:eastAsia="Times New Roman" w:hAnsi="Times New Roman"/>
                <w:sz w:val="10"/>
                <w:szCs w:val="10"/>
                <w:b w:val="1"/>
                <w:bCs w:val="1"/>
                <w:color w:val="auto"/>
                <w:w w:val="95"/>
              </w:rPr>
              <w:t>(State or other jurisdiction of</w:t>
            </w:r>
          </w:p>
        </w:tc>
        <w:tc>
          <w:tcPr>
            <w:tcW w:w="2360" w:type="dxa"/>
            <w:vAlign w:val="bottom"/>
          </w:tcPr>
          <w:p>
            <w:pPr>
              <w:jc w:val="center"/>
              <w:ind w:left="1570"/>
              <w:spacing w:after="0" w:line="103" w:lineRule="exact"/>
              <w:rPr>
                <w:sz w:val="20"/>
                <w:szCs w:val="20"/>
                <w:color w:val="auto"/>
              </w:rPr>
            </w:pPr>
            <w:r>
              <w:rPr>
                <w:rFonts w:ascii="Times New Roman" w:cs="Times New Roman" w:eastAsia="Times New Roman" w:hAnsi="Times New Roman"/>
                <w:sz w:val="10"/>
                <w:szCs w:val="10"/>
                <w:b w:val="1"/>
                <w:bCs w:val="1"/>
                <w:color w:val="auto"/>
                <w:w w:val="95"/>
              </w:rPr>
              <w:t>(IRS Employer</w:t>
            </w:r>
          </w:p>
        </w:tc>
      </w:tr>
      <w:tr>
        <w:trPr>
          <w:trHeight w:val="125"/>
        </w:trPr>
        <w:tc>
          <w:tcPr>
            <w:tcW w:w="2840" w:type="dxa"/>
            <w:vAlign w:val="bottom"/>
          </w:tcPr>
          <w:p>
            <w:pPr>
              <w:jc w:val="center"/>
              <w:ind w:right="1550"/>
              <w:spacing w:after="0"/>
              <w:rPr>
                <w:sz w:val="20"/>
                <w:szCs w:val="20"/>
                <w:color w:val="auto"/>
              </w:rPr>
            </w:pPr>
            <w:r>
              <w:rPr>
                <w:rFonts w:ascii="Times New Roman" w:cs="Times New Roman" w:eastAsia="Times New Roman" w:hAnsi="Times New Roman"/>
                <w:sz w:val="10"/>
                <w:szCs w:val="10"/>
                <w:b w:val="1"/>
                <w:bCs w:val="1"/>
                <w:color w:val="auto"/>
                <w:w w:val="94"/>
              </w:rPr>
              <w:t>incorporation or organization)</w:t>
            </w:r>
          </w:p>
        </w:tc>
        <w:tc>
          <w:tcPr>
            <w:tcW w:w="2360" w:type="dxa"/>
            <w:vAlign w:val="bottom"/>
          </w:tcPr>
          <w:p>
            <w:pPr>
              <w:jc w:val="center"/>
              <w:ind w:left="1570"/>
              <w:spacing w:after="0"/>
              <w:rPr>
                <w:sz w:val="20"/>
                <w:szCs w:val="20"/>
                <w:color w:val="auto"/>
              </w:rPr>
            </w:pPr>
            <w:r>
              <w:rPr>
                <w:rFonts w:ascii="Times New Roman" w:cs="Times New Roman" w:eastAsia="Times New Roman" w:hAnsi="Times New Roman"/>
                <w:sz w:val="10"/>
                <w:szCs w:val="10"/>
                <w:b w:val="1"/>
                <w:bCs w:val="1"/>
                <w:color w:val="auto"/>
                <w:w w:val="94"/>
              </w:rPr>
              <w:t>Identification No.)</w:t>
            </w:r>
          </w:p>
        </w:tc>
      </w:tr>
    </w:tbl>
    <w:p>
      <w:pPr>
        <w:spacing w:after="0" w:line="6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2000 Frontis Plaza Blvd.</w:t>
      </w:r>
    </w:p>
    <w:p>
      <w:pPr>
        <w:jc w:val="center"/>
        <w:ind w:right="-1120"/>
        <w:spacing w:after="0" w:line="213" w:lineRule="auto"/>
        <w:rPr>
          <w:sz w:val="20"/>
          <w:szCs w:val="20"/>
          <w:color w:val="auto"/>
        </w:rPr>
      </w:pPr>
      <w:r>
        <w:rPr>
          <w:rFonts w:ascii="Times New Roman" w:cs="Times New Roman" w:eastAsia="Times New Roman" w:hAnsi="Times New Roman"/>
          <w:sz w:val="11"/>
          <w:szCs w:val="11"/>
          <w:b w:val="1"/>
          <w:bCs w:val="1"/>
          <w:color w:val="auto"/>
        </w:rPr>
        <w:t>Suite 250</w:t>
      </w:r>
    </w:p>
    <w:p>
      <w:pPr>
        <w:jc w:val="center"/>
        <w:ind w:right="-1120"/>
        <w:spacing w:after="0" w:line="214" w:lineRule="auto"/>
        <w:rPr>
          <w:sz w:val="20"/>
          <w:szCs w:val="20"/>
          <w:color w:val="auto"/>
        </w:rPr>
      </w:pPr>
      <w:r>
        <w:rPr>
          <w:rFonts w:ascii="Times New Roman" w:cs="Times New Roman" w:eastAsia="Times New Roman" w:hAnsi="Times New Roman"/>
          <w:sz w:val="11"/>
          <w:szCs w:val="11"/>
          <w:b w:val="1"/>
          <w:bCs w:val="1"/>
          <w:color w:val="auto"/>
        </w:rPr>
        <w:t>Winston-Salem, NC 27103</w:t>
      </w:r>
    </w:p>
    <w:p>
      <w:pPr>
        <w:jc w:val="center"/>
        <w:ind w:right="-1120"/>
        <w:spacing w:after="0" w:line="217" w:lineRule="auto"/>
        <w:rPr>
          <w:sz w:val="20"/>
          <w:szCs w:val="20"/>
          <w:color w:val="auto"/>
        </w:rPr>
      </w:pPr>
      <w:r>
        <w:rPr>
          <w:rFonts w:ascii="Times New Roman" w:cs="Times New Roman" w:eastAsia="Times New Roman" w:hAnsi="Times New Roman"/>
          <w:sz w:val="11"/>
          <w:szCs w:val="11"/>
          <w:b w:val="1"/>
          <w:bCs w:val="1"/>
          <w:color w:val="auto"/>
        </w:rPr>
        <w:t>(336) 999-7029</w:t>
      </w:r>
    </w:p>
    <w:p>
      <w:pPr>
        <w:ind w:left="3300"/>
        <w:spacing w:after="0" w:line="236" w:lineRule="auto"/>
        <w:rPr>
          <w:sz w:val="20"/>
          <w:szCs w:val="20"/>
          <w:color w:val="auto"/>
        </w:rPr>
      </w:pPr>
      <w:r>
        <w:rPr>
          <w:rFonts w:ascii="Times New Roman" w:cs="Times New Roman" w:eastAsia="Times New Roman" w:hAnsi="Times New Roman"/>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3028315</wp:posOffset>
            </wp:positionH>
            <wp:positionV relativeFrom="paragraph">
              <wp:posOffset>105410</wp:posOffset>
            </wp:positionV>
            <wp:extent cx="111061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0615" cy="6350"/>
                    </a:xfrm>
                    <a:prstGeom prst="rect">
                      <a:avLst/>
                    </a:prstGeom>
                    <a:noFill/>
                  </pic:spPr>
                </pic:pic>
              </a:graphicData>
            </a:graphic>
          </wp:anchor>
        </w:drawing>
      </w:r>
    </w:p>
    <w:p>
      <w:pPr>
        <w:spacing w:after="0" w:line="21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Bruce Culleton, M.D.</w:t>
      </w:r>
    </w:p>
    <w:p>
      <w:pPr>
        <w:jc w:val="center"/>
        <w:ind w:right="-1120"/>
        <w:spacing w:after="0" w:line="213" w:lineRule="auto"/>
        <w:rPr>
          <w:sz w:val="20"/>
          <w:szCs w:val="20"/>
          <w:color w:val="auto"/>
        </w:rPr>
      </w:pPr>
      <w:r>
        <w:rPr>
          <w:rFonts w:ascii="Times New Roman" w:cs="Times New Roman" w:eastAsia="Times New Roman" w:hAnsi="Times New Roman"/>
          <w:sz w:val="11"/>
          <w:szCs w:val="11"/>
          <w:b w:val="1"/>
          <w:bCs w:val="1"/>
          <w:color w:val="auto"/>
        </w:rPr>
        <w:t>Chief Executive Officer</w:t>
      </w:r>
    </w:p>
    <w:p>
      <w:pPr>
        <w:jc w:val="center"/>
        <w:ind w:right="-1120"/>
        <w:spacing w:after="0" w:line="214" w:lineRule="auto"/>
        <w:rPr>
          <w:sz w:val="20"/>
          <w:szCs w:val="20"/>
          <w:color w:val="auto"/>
        </w:rPr>
      </w:pPr>
      <w:r>
        <w:rPr>
          <w:rFonts w:ascii="Times New Roman" w:cs="Times New Roman" w:eastAsia="Times New Roman" w:hAnsi="Times New Roman"/>
          <w:sz w:val="11"/>
          <w:szCs w:val="11"/>
          <w:b w:val="1"/>
          <w:bCs w:val="1"/>
          <w:color w:val="auto"/>
        </w:rPr>
        <w:t>ProKidney Corp.</w:t>
      </w:r>
    </w:p>
    <w:p>
      <w:pPr>
        <w:jc w:val="center"/>
        <w:ind w:right="-1120"/>
        <w:spacing w:after="0" w:line="213" w:lineRule="auto"/>
        <w:rPr>
          <w:sz w:val="20"/>
          <w:szCs w:val="20"/>
          <w:color w:val="auto"/>
        </w:rPr>
      </w:pPr>
      <w:r>
        <w:rPr>
          <w:rFonts w:ascii="Times New Roman" w:cs="Times New Roman" w:eastAsia="Times New Roman" w:hAnsi="Times New Roman"/>
          <w:sz w:val="11"/>
          <w:szCs w:val="11"/>
          <w:b w:val="1"/>
          <w:bCs w:val="1"/>
          <w:color w:val="auto"/>
        </w:rPr>
        <w:t>2000 Frontis Plaza Blvd., Suite 250</w:t>
      </w:r>
    </w:p>
    <w:p>
      <w:pPr>
        <w:jc w:val="center"/>
        <w:ind w:right="-1120"/>
        <w:spacing w:after="0" w:line="214" w:lineRule="auto"/>
        <w:rPr>
          <w:sz w:val="20"/>
          <w:szCs w:val="20"/>
          <w:color w:val="auto"/>
        </w:rPr>
      </w:pPr>
      <w:r>
        <w:rPr>
          <w:rFonts w:ascii="Times New Roman" w:cs="Times New Roman" w:eastAsia="Times New Roman" w:hAnsi="Times New Roman"/>
          <w:sz w:val="11"/>
          <w:szCs w:val="11"/>
          <w:b w:val="1"/>
          <w:bCs w:val="1"/>
          <w:color w:val="auto"/>
        </w:rPr>
        <w:t>Winston-Salem, NC 27103</w:t>
      </w:r>
    </w:p>
    <w:p>
      <w:pPr>
        <w:jc w:val="center"/>
        <w:ind w:right="-1120"/>
        <w:spacing w:after="0" w:line="217" w:lineRule="auto"/>
        <w:rPr>
          <w:sz w:val="20"/>
          <w:szCs w:val="20"/>
          <w:color w:val="auto"/>
        </w:rPr>
      </w:pPr>
      <w:r>
        <w:rPr>
          <w:rFonts w:ascii="Times New Roman" w:cs="Times New Roman" w:eastAsia="Times New Roman" w:hAnsi="Times New Roman"/>
          <w:sz w:val="11"/>
          <w:szCs w:val="11"/>
          <w:b w:val="1"/>
          <w:bCs w:val="1"/>
          <w:color w:val="auto"/>
        </w:rPr>
        <w:t>(336) 999-7028</w:t>
      </w:r>
    </w:p>
    <w:p>
      <w:pPr>
        <w:ind w:left="3620"/>
        <w:spacing w:after="0" w:line="236" w:lineRule="auto"/>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3028315</wp:posOffset>
            </wp:positionH>
            <wp:positionV relativeFrom="paragraph">
              <wp:posOffset>106045</wp:posOffset>
            </wp:positionV>
            <wp:extent cx="111061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0615" cy="6350"/>
                    </a:xfrm>
                    <a:prstGeom prst="rect">
                      <a:avLst/>
                    </a:prstGeom>
                    <a:noFill/>
                  </pic:spPr>
                </pic:pic>
              </a:graphicData>
            </a:graphic>
          </wp:anchor>
        </w:drawing>
      </w:r>
    </w:p>
    <w:p>
      <w:pPr>
        <w:spacing w:after="0" w:line="21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i w:val="1"/>
          <w:iCs w:val="1"/>
          <w:color w:val="auto"/>
        </w:rPr>
        <w:t>Copies to:</w:t>
      </w:r>
    </w:p>
    <w:p>
      <w:pPr>
        <w:jc w:val="center"/>
        <w:ind w:right="-1120"/>
        <w:spacing w:after="0" w:line="213" w:lineRule="auto"/>
        <w:rPr>
          <w:sz w:val="20"/>
          <w:szCs w:val="20"/>
          <w:color w:val="auto"/>
        </w:rPr>
      </w:pPr>
      <w:r>
        <w:rPr>
          <w:rFonts w:ascii="Times New Roman" w:cs="Times New Roman" w:eastAsia="Times New Roman" w:hAnsi="Times New Roman"/>
          <w:sz w:val="11"/>
          <w:szCs w:val="11"/>
          <w:b w:val="1"/>
          <w:bCs w:val="1"/>
          <w:color w:val="auto"/>
        </w:rPr>
        <w:t>William C. Hicks, Esq.</w:t>
      </w:r>
    </w:p>
    <w:p>
      <w:pPr>
        <w:jc w:val="center"/>
        <w:ind w:right="-1120"/>
        <w:spacing w:after="0" w:line="214" w:lineRule="auto"/>
        <w:rPr>
          <w:sz w:val="20"/>
          <w:szCs w:val="20"/>
          <w:color w:val="auto"/>
        </w:rPr>
      </w:pPr>
      <w:r>
        <w:rPr>
          <w:rFonts w:ascii="Times New Roman" w:cs="Times New Roman" w:eastAsia="Times New Roman" w:hAnsi="Times New Roman"/>
          <w:sz w:val="11"/>
          <w:szCs w:val="11"/>
          <w:b w:val="1"/>
          <w:bCs w:val="1"/>
          <w:color w:val="auto"/>
        </w:rPr>
        <w:t>Jason S. McCaffrey, Esq.</w:t>
      </w:r>
    </w:p>
    <w:p>
      <w:pPr>
        <w:jc w:val="center"/>
        <w:ind w:right="-1120"/>
        <w:spacing w:after="0" w:line="213" w:lineRule="auto"/>
        <w:rPr>
          <w:sz w:val="20"/>
          <w:szCs w:val="20"/>
          <w:color w:val="auto"/>
        </w:rPr>
      </w:pPr>
      <w:r>
        <w:rPr>
          <w:rFonts w:ascii="Times New Roman" w:cs="Times New Roman" w:eastAsia="Times New Roman" w:hAnsi="Times New Roman"/>
          <w:sz w:val="11"/>
          <w:szCs w:val="11"/>
          <w:b w:val="1"/>
          <w:bCs w:val="1"/>
          <w:color w:val="auto"/>
        </w:rPr>
        <w:t>Mintz, Levin, Cohn, Ferris, Glovsky and Popeo, P.C.</w:t>
      </w:r>
    </w:p>
    <w:p>
      <w:pPr>
        <w:jc w:val="center"/>
        <w:ind w:right="-1120"/>
        <w:spacing w:after="0" w:line="214" w:lineRule="auto"/>
        <w:rPr>
          <w:sz w:val="20"/>
          <w:szCs w:val="20"/>
          <w:color w:val="auto"/>
        </w:rPr>
      </w:pPr>
      <w:r>
        <w:rPr>
          <w:rFonts w:ascii="Times New Roman" w:cs="Times New Roman" w:eastAsia="Times New Roman" w:hAnsi="Times New Roman"/>
          <w:sz w:val="11"/>
          <w:szCs w:val="11"/>
          <w:b w:val="1"/>
          <w:bCs w:val="1"/>
          <w:color w:val="auto"/>
        </w:rPr>
        <w:t>One Financial Center</w:t>
      </w:r>
    </w:p>
    <w:p>
      <w:pPr>
        <w:jc w:val="center"/>
        <w:ind w:right="-1120"/>
        <w:spacing w:after="0" w:line="213" w:lineRule="auto"/>
        <w:rPr>
          <w:sz w:val="20"/>
          <w:szCs w:val="20"/>
          <w:color w:val="auto"/>
        </w:rPr>
      </w:pPr>
      <w:r>
        <w:rPr>
          <w:rFonts w:ascii="Times New Roman" w:cs="Times New Roman" w:eastAsia="Times New Roman" w:hAnsi="Times New Roman"/>
          <w:sz w:val="11"/>
          <w:szCs w:val="11"/>
          <w:b w:val="1"/>
          <w:bCs w:val="1"/>
          <w:color w:val="auto"/>
        </w:rPr>
        <w:t>Boston, MA 02111</w:t>
      </w: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(617) 542-6000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3028315</wp:posOffset>
            </wp:positionH>
            <wp:positionV relativeFrom="paragraph">
              <wp:posOffset>111125</wp:posOffset>
            </wp:positionV>
            <wp:extent cx="111061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10615" cy="6350"/>
                    </a:xfrm>
                    <a:prstGeom prst="rect">
                      <a:avLst/>
                    </a:prstGeom>
                    <a:noFill/>
                  </pic:spPr>
                </pic:pic>
              </a:graphicData>
            </a:graphic>
          </wp:anchor>
        </w:drawing>
      </w:r>
    </w:p>
    <w:p>
      <w:pPr>
        <w:spacing w:after="0" w:line="228"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1"/>
          <w:szCs w:val="11"/>
          <w:b w:val="1"/>
          <w:bCs w:val="1"/>
          <w:color w:val="auto"/>
        </w:rPr>
        <w:t>Approximate date of commencement of proposed sale to the public</w:t>
      </w:r>
      <w:r>
        <w:rPr>
          <w:rFonts w:ascii="Times New Roman" w:cs="Times New Roman" w:eastAsia="Times New Roman" w:hAnsi="Times New Roman"/>
          <w:sz w:val="11"/>
          <w:szCs w:val="11"/>
          <w:color w:val="auto"/>
        </w:rPr>
        <w:t>: From time to time after the effective date of this registration statement as determined by the registrant.</w:t>
      </w:r>
    </w:p>
    <w:p>
      <w:pPr>
        <w:spacing w:after="0" w:line="56" w:lineRule="exact"/>
        <w:rPr>
          <w:sz w:val="24"/>
          <w:szCs w:val="24"/>
          <w:color w:val="auto"/>
        </w:rPr>
      </w:pPr>
    </w:p>
    <w:p>
      <w:pPr>
        <w:ind w:left="1800"/>
        <w:spacing w:after="0" w:line="127" w:lineRule="exact"/>
        <w:rPr>
          <w:sz w:val="20"/>
          <w:szCs w:val="20"/>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102" w:lineRule="exact"/>
        <w:rPr>
          <w:sz w:val="24"/>
          <w:szCs w:val="24"/>
          <w:color w:val="auto"/>
        </w:rPr>
      </w:pPr>
    </w:p>
    <w:p>
      <w:pPr>
        <w:ind w:left="1480" w:right="559" w:firstLine="334"/>
        <w:spacing w:after="0" w:line="141"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46" w:lineRule="exact"/>
        <w:rPr>
          <w:sz w:val="24"/>
          <w:szCs w:val="24"/>
          <w:color w:val="auto"/>
        </w:rPr>
      </w:pPr>
    </w:p>
    <w:p>
      <w:pPr>
        <w:ind w:left="1480" w:right="779" w:firstLine="334"/>
        <w:spacing w:after="0" w:line="141"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46" w:lineRule="exact"/>
        <w:rPr>
          <w:sz w:val="24"/>
          <w:szCs w:val="24"/>
          <w:color w:val="auto"/>
        </w:rPr>
      </w:pPr>
    </w:p>
    <w:p>
      <w:pPr>
        <w:ind w:left="1480" w:right="419" w:firstLine="334"/>
        <w:spacing w:after="0" w:line="141"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46" w:lineRule="exact"/>
        <w:rPr>
          <w:sz w:val="24"/>
          <w:szCs w:val="24"/>
          <w:color w:val="auto"/>
        </w:rPr>
      </w:pPr>
    </w:p>
    <w:p>
      <w:pPr>
        <w:ind w:left="1480" w:right="359" w:firstLine="334"/>
        <w:spacing w:after="0" w:line="141" w:lineRule="exact"/>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1"/>
          <w:szCs w:val="11"/>
          <w:color w:val="auto"/>
        </w:rPr>
        <w:t>☐</w:t>
      </w:r>
    </w:p>
    <w:p>
      <w:pPr>
        <w:spacing w:after="0" w:line="46" w:lineRule="exact"/>
        <w:rPr>
          <w:sz w:val="24"/>
          <w:szCs w:val="24"/>
          <w:color w:val="auto"/>
        </w:rPr>
      </w:pPr>
    </w:p>
    <w:p>
      <w:pPr>
        <w:ind w:left="1480" w:right="459" w:firstLine="334"/>
        <w:spacing w:after="0" w:line="141"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44"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w:t>
      </w:r>
    </w:p>
    <w:p>
      <w:pPr>
        <w:ind w:left="1480"/>
        <w:spacing w:after="0"/>
        <w:rPr>
          <w:sz w:val="20"/>
          <w:szCs w:val="20"/>
          <w:color w:val="auto"/>
        </w:rPr>
      </w:pPr>
      <w:r>
        <w:rPr>
          <w:rFonts w:ascii="Times New Roman" w:cs="Times New Roman" w:eastAsia="Times New Roman" w:hAnsi="Times New Roman"/>
          <w:sz w:val="11"/>
          <w:szCs w:val="11"/>
          <w:color w:val="auto"/>
        </w:rPr>
        <w:t>See the definitions of “large accelerated filer,” “accelerated filer,” “smaller reporting company” and “emerging growth company” in Rule 12b-2 of the Exchange Act.</w:t>
      </w:r>
    </w:p>
    <w:p>
      <w:pPr>
        <w:spacing w:after="0" w:line="52" w:lineRule="exact"/>
        <w:rPr>
          <w:sz w:val="24"/>
          <w:szCs w:val="24"/>
          <w:color w:val="auto"/>
        </w:rPr>
      </w:pPr>
    </w:p>
    <w:tbl>
      <w:tblPr>
        <w:tblLayout w:type="fixed"/>
        <w:tblInd w:w="1480" w:type="dxa"/>
        <w:tblCellMar>
          <w:top w:w="0" w:type="dxa"/>
          <w:left w:w="0" w:type="dxa"/>
          <w:bottom w:w="0" w:type="dxa"/>
          <w:right w:w="0" w:type="dxa"/>
        </w:tblCellMar>
      </w:tblPr>
      <w:tr>
        <w:trPr>
          <w:trHeight w:val="183"/>
        </w:trPr>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78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3920" w:type="dxa"/>
            <w:vAlign w:val="bottom"/>
          </w:tcPr>
          <w:p>
            <w:pPr>
              <w:ind w:left="2440"/>
              <w:spacing w:after="0"/>
              <w:rPr>
                <w:sz w:val="20"/>
                <w:szCs w:val="20"/>
                <w:color w:val="auto"/>
              </w:rPr>
            </w:pPr>
            <w:r>
              <w:rPr>
                <w:rFonts w:ascii="Times New Roman" w:cs="Times New Roman" w:eastAsia="Times New Roman" w:hAnsi="Times New Roman"/>
                <w:sz w:val="11"/>
                <w:szCs w:val="11"/>
                <w:color w:val="auto"/>
              </w:rPr>
              <w:t>Accelerated filer</w:t>
            </w:r>
          </w:p>
        </w:tc>
        <w:tc>
          <w:tcPr>
            <w:tcW w:w="380" w:type="dxa"/>
            <w:vAlign w:val="bottom"/>
          </w:tcPr>
          <w:p>
            <w:pPr>
              <w:ind w:left="2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4"/>
        </w:trPr>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78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3920" w:type="dxa"/>
            <w:vAlign w:val="bottom"/>
          </w:tcPr>
          <w:p>
            <w:pPr>
              <w:ind w:left="244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380" w:type="dxa"/>
            <w:vAlign w:val="bottom"/>
          </w:tcPr>
          <w:p>
            <w:pPr>
              <w:ind w:left="2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4"/>
        </w:trPr>
        <w:tc>
          <w:tcPr>
            <w:tcW w:w="12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920" w:type="dxa"/>
            <w:vAlign w:val="bottom"/>
          </w:tcPr>
          <w:p>
            <w:pPr>
              <w:ind w:left="2440"/>
              <w:spacing w:after="0"/>
              <w:rPr>
                <w:sz w:val="20"/>
                <w:szCs w:val="20"/>
                <w:color w:val="auto"/>
              </w:rPr>
            </w:pPr>
            <w:r>
              <w:rPr>
                <w:rFonts w:ascii="Times New Roman" w:cs="Times New Roman" w:eastAsia="Times New Roman" w:hAnsi="Times New Roman"/>
                <w:sz w:val="11"/>
                <w:szCs w:val="11"/>
                <w:color w:val="auto"/>
              </w:rPr>
              <w:t>Emerging growth company</w:t>
            </w:r>
          </w:p>
        </w:tc>
        <w:tc>
          <w:tcPr>
            <w:tcW w:w="380" w:type="dxa"/>
            <w:vAlign w:val="bottom"/>
          </w:tcPr>
          <w:p>
            <w:pPr>
              <w:ind w:left="28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45" w:lineRule="exact"/>
        <w:rPr>
          <w:sz w:val="24"/>
          <w:szCs w:val="24"/>
          <w:color w:val="auto"/>
        </w:rPr>
      </w:pPr>
    </w:p>
    <w:p>
      <w:pPr>
        <w:ind w:left="1480" w:right="779" w:firstLine="334"/>
        <w:spacing w:after="0" w:line="141"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1"/>
          <w:szCs w:val="11"/>
          <w:color w:val="auto"/>
        </w:rPr>
        <w:t>☐</w:t>
      </w:r>
    </w:p>
    <w:p>
      <w:pPr>
        <w:spacing w:after="0" w:line="44" w:lineRule="exact"/>
        <w:rPr>
          <w:sz w:val="24"/>
          <w:szCs w:val="24"/>
          <w:color w:val="auto"/>
        </w:rPr>
      </w:pPr>
    </w:p>
    <w:p>
      <w:pPr>
        <w:ind w:left="1480" w:right="399"/>
        <w:spacing w:after="0" w:line="225"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936625</wp:posOffset>
            </wp:positionH>
            <wp:positionV relativeFrom="paragraph">
              <wp:posOffset>57785</wp:posOffset>
            </wp:positionV>
            <wp:extent cx="530098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00980" cy="6350"/>
                    </a:xfrm>
                    <a:prstGeom prst="rect">
                      <a:avLst/>
                    </a:prstGeom>
                    <a:noFill/>
                  </pic:spPr>
                </pic:pic>
              </a:graphicData>
            </a:graphic>
          </wp:anchor>
        </w:drawing>
        <w:drawing>
          <wp:anchor simplePos="0" relativeHeight="251657728" behindDoc="1" locked="0" layoutInCell="0" allowOverlap="1">
            <wp:simplePos x="0" y="0"/>
            <wp:positionH relativeFrom="column">
              <wp:posOffset>936625</wp:posOffset>
            </wp:positionH>
            <wp:positionV relativeFrom="paragraph">
              <wp:posOffset>90170</wp:posOffset>
            </wp:positionV>
            <wp:extent cx="530098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00980" cy="6350"/>
                    </a:xfrm>
                    <a:prstGeom prst="rect">
                      <a:avLst/>
                    </a:prstGeom>
                    <a:noFill/>
                  </pic:spPr>
                </pic:pic>
              </a:graphicData>
            </a:graphic>
          </wp:anchor>
        </w:drawing>
      </w:r>
    </w:p>
    <w:p>
      <w:pPr>
        <w:sectPr>
          <w:pgSz w:w="11900" w:h="16838" w:orient="portrait"/>
          <w:cols w:equalWidth="0" w:num="1">
            <w:col w:w="10159"/>
          </w:cols>
          <w:pgMar w:left="300" w:top="20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7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This registration statement contains two prospectuses:</w:t>
      </w:r>
    </w:p>
    <w:p>
      <w:pPr>
        <w:spacing w:after="0" w:line="95" w:lineRule="exact"/>
        <w:rPr>
          <w:sz w:val="20"/>
          <w:szCs w:val="20"/>
          <w:color w:val="auto"/>
        </w:rPr>
      </w:pPr>
    </w:p>
    <w:p>
      <w:pPr>
        <w:ind w:left="2200" w:right="639" w:hanging="321"/>
        <w:spacing w:after="0" w:line="265" w:lineRule="auto"/>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base prospectus which covers the offering, issuance and sale by us of up to $650,000,000 in the aggregate of the securities identified herein from time to time in one or more offerings; and</w:t>
      </w:r>
    </w:p>
    <w:p>
      <w:pPr>
        <w:spacing w:after="0" w:line="63" w:lineRule="exact"/>
        <w:rPr>
          <w:rFonts w:ascii="Times New Roman" w:cs="Times New Roman" w:eastAsia="Times New Roman" w:hAnsi="Times New Roman"/>
          <w:sz w:val="14"/>
          <w:szCs w:val="14"/>
          <w:color w:val="auto"/>
        </w:rPr>
      </w:pPr>
    </w:p>
    <w:p>
      <w:pPr>
        <w:ind w:left="2200" w:right="439" w:hanging="321"/>
        <w:spacing w:after="0" w:line="218" w:lineRule="auto"/>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sales agreement prospectus covering the offering, issuance and sale by us of up to a maximum aggregate offering price of $200,000,000 of shares of our Class A common stock that may be issued and sold from time to time under an Open Market Sale Agreement</w:t>
      </w:r>
      <w:r>
        <w:rPr>
          <w:rFonts w:ascii="Times New Roman" w:cs="Times New Roman" w:eastAsia="Times New Roman" w:hAnsi="Times New Roman"/>
          <w:sz w:val="20"/>
          <w:szCs w:val="20"/>
          <w:color w:val="auto"/>
          <w:vertAlign w:val="superscript"/>
        </w:rPr>
        <w:t>SM</w:t>
      </w:r>
      <w:r>
        <w:rPr>
          <w:rFonts w:ascii="Times New Roman" w:cs="Times New Roman" w:eastAsia="Times New Roman" w:hAnsi="Times New Roman"/>
          <w:sz w:val="14"/>
          <w:szCs w:val="14"/>
          <w:color w:val="auto"/>
        </w:rPr>
        <w:t xml:space="preserve"> with Jefferies LLC (“Jefferies”).</w:t>
      </w:r>
    </w:p>
    <w:p>
      <w:pPr>
        <w:spacing w:after="0" w:line="15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The base prospectus immediately follows this explanatory note. The specific terms of any securities to be offered pursuant to the base prospectus</w:t>
      </w:r>
    </w:p>
    <w:p>
      <w:pPr>
        <w:spacing w:after="0" w:line="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will be specified in a prospectus supplement to the base prospectus. The sales agreement prospectus immediately follows the base prospectus. The</w:t>
      </w:r>
    </w:p>
    <w:p>
      <w:pPr>
        <w:spacing w:after="0" w:line="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$200,000,000 of shares of our Class A common stock that may be offered, issued and sold under the sales agreement prospectus is included in the</w:t>
      </w:r>
    </w:p>
    <w:p>
      <w:pPr>
        <w:spacing w:after="0" w:line="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$650,000,000 of securities that may be offered, issued and sold by us under the base prospectus. Upon termination of the sales agreement with Jefferies,</w:t>
      </w:r>
    </w:p>
    <w:p>
      <w:pPr>
        <w:spacing w:after="0" w:line="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any portion of the $200,000,000 included in the sales agreement prospectus that is not sold pursuant to the sales agreement will be available for sale in</w:t>
      </w:r>
    </w:p>
    <w:p>
      <w:pPr>
        <w:spacing w:after="0" w:line="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other offerings pursuant to the base prospectus and a corresponding prospectus supplement, and if no shares are sold under the sales agreement, the full</w:t>
      </w:r>
    </w:p>
    <w:p>
      <w:pPr>
        <w:spacing w:after="0" w:line="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$650,000,000 of securities may be sold in other offerings pursuant to the base prospectus and a corresponding prospectus supplement subject to any</w:t>
      </w:r>
    </w:p>
    <w:p>
      <w:pPr>
        <w:spacing w:after="0" w:line="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applicable limitations set forth herein and therein.</w:t>
      </w:r>
    </w:p>
    <w:p>
      <w:pPr>
        <w:sectPr>
          <w:pgSz w:w="11900" w:h="16838" w:orient="portrait"/>
          <w:cols w:equalWidth="0" w:num="1">
            <w:col w:w="10159"/>
          </w:cols>
          <w:pgMar w:left="300" w:top="379"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ectPr>
          <w:pgSz w:w="11900" w:h="16838" w:orient="portrait"/>
          <w:cols w:equalWidth="0" w:num="1">
            <w:col w:w="10159"/>
          </w:cols>
          <w:pgMar w:left="300" w:top="3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1466" w:type="dxa"/>
        <w:tblCellMar>
          <w:top w:w="0" w:type="dxa"/>
          <w:left w:w="0" w:type="dxa"/>
          <w:bottom w:w="0" w:type="dxa"/>
          <w:right w:w="0" w:type="dxa"/>
        </w:tblCellMar>
      </w:tblPr>
      <w:tr>
        <w:trPr>
          <w:trHeight w:val="8440"/>
        </w:trPr>
        <w:tc>
          <w:tcPr>
            <w:tcW w:w="149" w:type="dxa"/>
            <w:vAlign w:val="bottom"/>
            <w:textDirection w:val="btLr"/>
          </w:tcPr>
          <w:p>
            <w:pPr>
              <w:spacing w:after="0"/>
              <w:rPr>
                <w:sz w:val="20"/>
                <w:szCs w:val="20"/>
                <w:color w:val="auto"/>
              </w:rPr>
            </w:pPr>
            <w:r>
              <w:rPr>
                <w:rFonts w:ascii="Times New Roman" w:cs="Times New Roman" w:eastAsia="Times New Roman" w:hAnsi="Times New Roman"/>
                <w:sz w:val="13"/>
                <w:szCs w:val="13"/>
                <w:b w:val="1"/>
                <w:bCs w:val="1"/>
                <w:color w:val="FF4338"/>
              </w:rPr>
              <w:t>THE INFORMATION IN THIS PROSPECTUS IS NOT COMPLETE AND MAY BE CHANGED. WE MAY NOT SELL THESE SECURITIES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0"/>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6"/>
              </w:rPr>
              <w:t>EFFECTIVE. THIS</w:t>
            </w:r>
          </w:p>
        </w:tc>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7"/>
              </w:rPr>
              <w:t>THESE SECURITIES IN</w:t>
            </w:r>
          </w:p>
        </w:tc>
      </w:tr>
      <w:tr>
        <w:trPr>
          <w:trHeight w:val="4326"/>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7"/>
              </w:rPr>
              <w:t>FILED WITH THE SECURITIES AND EXCHANGE COMMISSION IS</w:t>
            </w:r>
          </w:p>
        </w:tc>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6"/>
              </w:rPr>
              <w:t>THESE SECURITIES AND IS NOT SOLICITING AN OFFER TO BUY</w:t>
            </w:r>
          </w:p>
        </w:tc>
      </w:tr>
      <w:tr>
        <w:trPr>
          <w:trHeight w:val="2740"/>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6"/>
              </w:rPr>
              <w:t>UNTIL THE REGISTRATION STATEMENT</w:t>
            </w:r>
          </w:p>
        </w:tc>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7"/>
              </w:rPr>
              <w:t>PROSPECTUS IS NOT AN OFFER TO SELL</w:t>
            </w:r>
          </w:p>
        </w:tc>
      </w:tr>
    </w:tbl>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2"/>
          <w:szCs w:val="12"/>
          <w:b w:val="1"/>
          <w:bCs w:val="1"/>
          <w:color w:val="FF4338"/>
        </w:rPr>
        <w:t>SUBJECT TO COMPLETION, DATED OCTOBER 29, 2026</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91"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30"/>
          <w:szCs w:val="30"/>
          <w:b w:val="1"/>
          <w:bCs w:val="1"/>
          <w:color w:val="auto"/>
        </w:rPr>
        <w:t>ProKidney Corp.</w:t>
      </w:r>
    </w:p>
    <w:p>
      <w:pPr>
        <w:spacing w:after="0" w:line="11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22"/>
          <w:szCs w:val="22"/>
          <w:b w:val="1"/>
          <w:bCs w:val="1"/>
          <w:color w:val="auto"/>
        </w:rPr>
        <w:t>$650,000,000</w:t>
      </w:r>
    </w:p>
    <w:p>
      <w:pPr>
        <w:spacing w:after="0" w:line="109"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CLASS A COMMON STOCK</w:t>
      </w:r>
    </w:p>
    <w:p>
      <w:pPr>
        <w:spacing w:after="0" w:line="22"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PREFERRED STOCK</w:t>
      </w: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DEBT SECURITIES</w:t>
      </w: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WARRANTS</w:t>
      </w: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RIGHTS</w:t>
      </w: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1868170</wp:posOffset>
            </wp:positionH>
            <wp:positionV relativeFrom="paragraph">
              <wp:posOffset>125095</wp:posOffset>
            </wp:positionV>
            <wp:extent cx="94170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41705" cy="6350"/>
                    </a:xfrm>
                    <a:prstGeom prst="rect">
                      <a:avLst/>
                    </a:prstGeom>
                    <a:noFill/>
                  </pic:spPr>
                </pic:pic>
              </a:graphicData>
            </a:graphic>
          </wp:anchor>
        </w:drawing>
      </w:r>
    </w:p>
    <w:p>
      <w:pPr>
        <w:spacing w:after="0" w:line="287" w:lineRule="exact"/>
        <w:rPr>
          <w:sz w:val="20"/>
          <w:szCs w:val="20"/>
          <w:color w:val="auto"/>
        </w:rPr>
      </w:pPr>
    </w:p>
    <w:p>
      <w:pPr>
        <w:ind w:left="160" w:right="1019" w:firstLine="282"/>
        <w:spacing w:after="0" w:line="273" w:lineRule="auto"/>
        <w:rPr>
          <w:sz w:val="20"/>
          <w:szCs w:val="20"/>
          <w:color w:val="auto"/>
        </w:rPr>
      </w:pPr>
      <w:r>
        <w:rPr>
          <w:rFonts w:ascii="Times New Roman" w:cs="Times New Roman" w:eastAsia="Times New Roman" w:hAnsi="Times New Roman"/>
          <w:sz w:val="13"/>
          <w:szCs w:val="13"/>
          <w:color w:val="auto"/>
        </w:rPr>
        <w:t>This prospectus will allow us to issue, from time to time at prices and on terms to be determined at or prior to the time of the offering, up to $650,000,000 of any combination of the securities described in this prospectus, either individually or in units. We may also offer shares of Class A common stock or preferred stock upon conversion of or exchange for the debt securities; shares of Class A common stock upon conversion of or exchange for preferred stock; or shares of Class A common stock, shares of preferred stock or debt securities upon the exercise of warrants or rights; or any combination of these securities.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40" w:type="dxa"/>
            <w:vAlign w:val="bottom"/>
          </w:tcPr>
          <w:p>
            <w:pPr>
              <w:spacing w:after="0"/>
              <w:rPr>
                <w:sz w:val="13"/>
                <w:szCs w:val="13"/>
                <w:color w:val="auto"/>
              </w:rPr>
            </w:pPr>
          </w:p>
        </w:tc>
        <w:tc>
          <w:tcPr>
            <w:tcW w:w="7060" w:type="dxa"/>
            <w:vAlign w:val="bottom"/>
            <w:gridSpan w:val="5"/>
          </w:tcPr>
          <w:p>
            <w:pPr>
              <w:ind w:left="300"/>
              <w:spacing w:after="0"/>
              <w:rPr>
                <w:sz w:val="20"/>
                <w:szCs w:val="20"/>
                <w:color w:val="auto"/>
              </w:rPr>
            </w:pPr>
            <w:r>
              <w:rPr>
                <w:rFonts w:ascii="Times New Roman" w:cs="Times New Roman" w:eastAsia="Times New Roman" w:hAnsi="Times New Roman"/>
                <w:sz w:val="12"/>
                <w:szCs w:val="12"/>
                <w:color w:val="auto"/>
              </w:rPr>
              <w:t>This prospectus describes the general terms of these securities and the general manner in which these securities will be offered. We will</w:t>
            </w:r>
          </w:p>
        </w:tc>
        <w:tc>
          <w:tcPr>
            <w:tcW w:w="0" w:type="dxa"/>
            <w:vAlign w:val="bottom"/>
          </w:tcPr>
          <w:p>
            <w:pPr>
              <w:spacing w:after="0"/>
              <w:rPr>
                <w:sz w:val="1"/>
                <w:szCs w:val="1"/>
                <w:color w:val="auto"/>
              </w:rPr>
            </w:pPr>
          </w:p>
        </w:tc>
      </w:tr>
      <w:tr>
        <w:trPr>
          <w:trHeight w:val="153"/>
        </w:trPr>
        <w:tc>
          <w:tcPr>
            <w:tcW w:w="140" w:type="dxa"/>
            <w:vAlign w:val="bottom"/>
          </w:tcPr>
          <w:p>
            <w:pPr>
              <w:spacing w:after="0"/>
              <w:rPr>
                <w:sz w:val="13"/>
                <w:szCs w:val="13"/>
                <w:color w:val="auto"/>
              </w:rPr>
            </w:pPr>
          </w:p>
        </w:tc>
        <w:tc>
          <w:tcPr>
            <w:tcW w:w="706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provide you with the specific terms of any offering in one or more supplements to this prospectus. The prospectus supplements will also</w:t>
            </w:r>
          </w:p>
        </w:tc>
        <w:tc>
          <w:tcPr>
            <w:tcW w:w="0" w:type="dxa"/>
            <w:vAlign w:val="bottom"/>
          </w:tcPr>
          <w:p>
            <w:pPr>
              <w:spacing w:after="0"/>
              <w:rPr>
                <w:sz w:val="1"/>
                <w:szCs w:val="1"/>
                <w:color w:val="auto"/>
              </w:rPr>
            </w:pPr>
          </w:p>
        </w:tc>
      </w:tr>
      <w:tr>
        <w:trPr>
          <w:trHeight w:val="153"/>
        </w:trPr>
        <w:tc>
          <w:tcPr>
            <w:tcW w:w="140" w:type="dxa"/>
            <w:vAlign w:val="bottom"/>
          </w:tcPr>
          <w:p>
            <w:pPr>
              <w:spacing w:after="0"/>
              <w:rPr>
                <w:sz w:val="13"/>
                <w:szCs w:val="13"/>
                <w:color w:val="auto"/>
              </w:rPr>
            </w:pPr>
          </w:p>
        </w:tc>
        <w:tc>
          <w:tcPr>
            <w:tcW w:w="706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describe the specific manner in which these securities will be offered and may also supplement, update or amend information contained in this</w:t>
            </w:r>
          </w:p>
        </w:tc>
        <w:tc>
          <w:tcPr>
            <w:tcW w:w="0" w:type="dxa"/>
            <w:vAlign w:val="bottom"/>
          </w:tcPr>
          <w:p>
            <w:pPr>
              <w:spacing w:after="0"/>
              <w:rPr>
                <w:sz w:val="1"/>
                <w:szCs w:val="1"/>
                <w:color w:val="auto"/>
              </w:rPr>
            </w:pPr>
          </w:p>
        </w:tc>
      </w:tr>
      <w:tr>
        <w:trPr>
          <w:trHeight w:val="151"/>
        </w:trPr>
        <w:tc>
          <w:tcPr>
            <w:tcW w:w="140" w:type="dxa"/>
            <w:vAlign w:val="bottom"/>
          </w:tcPr>
          <w:p>
            <w:pPr>
              <w:spacing w:after="0"/>
              <w:rPr>
                <w:sz w:val="13"/>
                <w:szCs w:val="13"/>
                <w:color w:val="auto"/>
              </w:rPr>
            </w:pPr>
          </w:p>
        </w:tc>
        <w:tc>
          <w:tcPr>
            <w:tcW w:w="706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document. You should read this prospectus and any prospectus supplement, as well as any documents incorporated by reference into this</w:t>
            </w:r>
          </w:p>
        </w:tc>
        <w:tc>
          <w:tcPr>
            <w:tcW w:w="0" w:type="dxa"/>
            <w:vAlign w:val="bottom"/>
          </w:tcPr>
          <w:p>
            <w:pPr>
              <w:spacing w:after="0"/>
              <w:rPr>
                <w:sz w:val="1"/>
                <w:szCs w:val="1"/>
                <w:color w:val="auto"/>
              </w:rPr>
            </w:pPr>
          </w:p>
        </w:tc>
      </w:tr>
      <w:tr>
        <w:trPr>
          <w:trHeight w:val="153"/>
        </w:trPr>
        <w:tc>
          <w:tcPr>
            <w:tcW w:w="140" w:type="dxa"/>
            <w:vAlign w:val="bottom"/>
          </w:tcPr>
          <w:p>
            <w:pPr>
              <w:spacing w:after="0"/>
              <w:rPr>
                <w:sz w:val="13"/>
                <w:szCs w:val="13"/>
                <w:color w:val="auto"/>
              </w:rPr>
            </w:pPr>
          </w:p>
        </w:tc>
        <w:tc>
          <w:tcPr>
            <w:tcW w:w="706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 xml:space="preserve">prospectus or any prospectus supplement, carefully before you invest. </w:t>
            </w:r>
            <w:r>
              <w:rPr>
                <w:rFonts w:ascii="Times New Roman" w:cs="Times New Roman" w:eastAsia="Times New Roman" w:hAnsi="Times New Roman"/>
                <w:sz w:val="12"/>
                <w:szCs w:val="12"/>
                <w:b w:val="1"/>
                <w:bCs w:val="1"/>
                <w:color w:val="auto"/>
              </w:rPr>
              <w:t>This prospectus may not be used to consummate a sale of securities</w:t>
            </w:r>
          </w:p>
        </w:tc>
        <w:tc>
          <w:tcPr>
            <w:tcW w:w="0" w:type="dxa"/>
            <w:vAlign w:val="bottom"/>
          </w:tcPr>
          <w:p>
            <w:pPr>
              <w:spacing w:after="0"/>
              <w:rPr>
                <w:sz w:val="1"/>
                <w:szCs w:val="1"/>
                <w:color w:val="auto"/>
              </w:rPr>
            </w:pPr>
          </w:p>
        </w:tc>
      </w:tr>
      <w:tr>
        <w:trPr>
          <w:trHeight w:val="161"/>
        </w:trPr>
        <w:tc>
          <w:tcPr>
            <w:tcW w:w="140" w:type="dxa"/>
            <w:vAlign w:val="bottom"/>
            <w:vMerge w:val="restart"/>
            <w:textDirection w:val="btLr"/>
          </w:tcPr>
          <w:p>
            <w:pPr>
              <w:ind w:left="83"/>
              <w:spacing w:after="0"/>
              <w:rPr>
                <w:sz w:val="20"/>
                <w:szCs w:val="20"/>
                <w:color w:val="auto"/>
              </w:rPr>
            </w:pPr>
            <w:r>
              <w:rPr>
                <w:rFonts w:ascii="Times New Roman" w:cs="Times New Roman" w:eastAsia="Times New Roman" w:hAnsi="Times New Roman"/>
                <w:sz w:val="5"/>
                <w:szCs w:val="5"/>
                <w:b w:val="1"/>
                <w:bCs w:val="1"/>
                <w:color w:val="FF4338"/>
                <w:w w:val="82"/>
              </w:rPr>
              <w:t>PERMITTED.</w:t>
            </w:r>
          </w:p>
        </w:tc>
        <w:tc>
          <w:tcPr>
            <w:tcW w:w="7060" w:type="dxa"/>
            <w:vAlign w:val="bottom"/>
            <w:gridSpan w:val="5"/>
          </w:tcPr>
          <w:p>
            <w:pPr>
              <w:ind w:left="20"/>
              <w:spacing w:after="0"/>
              <w:rPr>
                <w:sz w:val="20"/>
                <w:szCs w:val="20"/>
                <w:color w:val="auto"/>
              </w:rPr>
            </w:pPr>
            <w:r>
              <w:rPr>
                <w:rFonts w:ascii="Times New Roman" w:cs="Times New Roman" w:eastAsia="Times New Roman" w:hAnsi="Times New Roman"/>
                <w:sz w:val="12"/>
                <w:szCs w:val="12"/>
                <w:b w:val="1"/>
                <w:bCs w:val="1"/>
                <w:color w:val="auto"/>
              </w:rPr>
              <w:t>unless accompanied by the accompanying prospectus supplement.</w:t>
            </w:r>
          </w:p>
        </w:tc>
        <w:tc>
          <w:tcPr>
            <w:tcW w:w="0" w:type="dxa"/>
            <w:vAlign w:val="bottom"/>
          </w:tcPr>
          <w:p>
            <w:pPr>
              <w:spacing w:after="0"/>
              <w:rPr>
                <w:sz w:val="1"/>
                <w:szCs w:val="1"/>
                <w:color w:val="auto"/>
              </w:rPr>
            </w:pPr>
          </w:p>
        </w:tc>
      </w:tr>
      <w:tr>
        <w:trPr>
          <w:trHeight w:val="110"/>
        </w:trPr>
        <w:tc>
          <w:tcPr>
            <w:tcW w:w="140" w:type="dxa"/>
            <w:vAlign w:val="bottom"/>
            <w:vMerge w:val="continue"/>
          </w:tcPr>
          <w:p>
            <w:pPr>
              <w:spacing w:after="0"/>
              <w:rPr>
                <w:sz w:val="9"/>
                <w:szCs w:val="9"/>
                <w:color w:val="auto"/>
              </w:rPr>
            </w:pPr>
          </w:p>
        </w:tc>
        <w:tc>
          <w:tcPr>
            <w:tcW w:w="7060" w:type="dxa"/>
            <w:vAlign w:val="bottom"/>
            <w:gridSpan w:val="5"/>
          </w:tcPr>
          <w:p>
            <w:pPr>
              <w:ind w:left="20"/>
              <w:spacing w:after="0" w:line="110" w:lineRule="exact"/>
              <w:rPr>
                <w:sz w:val="20"/>
                <w:szCs w:val="20"/>
                <w:color w:val="auto"/>
              </w:rPr>
            </w:pPr>
            <w:r>
              <w:rPr>
                <w:rFonts w:ascii="Times New Roman" w:cs="Times New Roman" w:eastAsia="Times New Roman" w:hAnsi="Times New Roman"/>
                <w:sz w:val="12"/>
                <w:szCs w:val="12"/>
                <w:color w:val="auto"/>
              </w:rPr>
              <w:t>be set forth in a prospectus supplement. The price to the public of such securities and the net proceeds that we expect to receive from such sale</w:t>
            </w:r>
          </w:p>
        </w:tc>
        <w:tc>
          <w:tcPr>
            <w:tcW w:w="0" w:type="dxa"/>
            <w:vAlign w:val="bottom"/>
          </w:tcPr>
          <w:p>
            <w:pPr>
              <w:spacing w:after="0"/>
              <w:rPr>
                <w:sz w:val="1"/>
                <w:szCs w:val="1"/>
                <w:color w:val="auto"/>
              </w:rPr>
            </w:pPr>
          </w:p>
        </w:tc>
      </w:tr>
      <w:tr>
        <w:trPr>
          <w:trHeight w:val="139"/>
        </w:trPr>
        <w:tc>
          <w:tcPr>
            <w:tcW w:w="140" w:type="dxa"/>
            <w:vAlign w:val="bottom"/>
          </w:tcPr>
          <w:p>
            <w:pPr>
              <w:spacing w:after="0"/>
              <w:rPr>
                <w:sz w:val="12"/>
                <w:szCs w:val="12"/>
                <w:color w:val="auto"/>
              </w:rPr>
            </w:pPr>
          </w:p>
        </w:tc>
        <w:tc>
          <w:tcPr>
            <w:tcW w:w="7060" w:type="dxa"/>
            <w:vAlign w:val="bottom"/>
            <w:gridSpan w:val="5"/>
          </w:tcPr>
          <w:p>
            <w:pPr>
              <w:ind w:left="300"/>
              <w:spacing w:after="0"/>
              <w:rPr>
                <w:sz w:val="20"/>
                <w:szCs w:val="20"/>
                <w:color w:val="auto"/>
              </w:rPr>
            </w:pPr>
            <w:r>
              <w:rPr>
                <w:rFonts w:ascii="Times New Roman" w:cs="Times New Roman" w:eastAsia="Times New Roman" w:hAnsi="Times New Roman"/>
                <w:sz w:val="12"/>
                <w:szCs w:val="12"/>
                <w:color w:val="auto"/>
              </w:rPr>
              <w:t>Our securities may be sold directly by us to you, through agents designated from time to time or to or through underwriters or dealers.</w:t>
            </w:r>
          </w:p>
        </w:tc>
        <w:tc>
          <w:tcPr>
            <w:tcW w:w="0" w:type="dxa"/>
            <w:vAlign w:val="bottom"/>
          </w:tcPr>
          <w:p>
            <w:pPr>
              <w:spacing w:after="0"/>
              <w:rPr>
                <w:sz w:val="1"/>
                <w:szCs w:val="1"/>
                <w:color w:val="auto"/>
              </w:rPr>
            </w:pPr>
          </w:p>
        </w:tc>
      </w:tr>
      <w:tr>
        <w:trPr>
          <w:trHeight w:val="153"/>
        </w:trPr>
        <w:tc>
          <w:tcPr>
            <w:tcW w:w="140" w:type="dxa"/>
            <w:vAlign w:val="bottom"/>
          </w:tcPr>
          <w:p>
            <w:pPr>
              <w:spacing w:after="0"/>
              <w:rPr>
                <w:sz w:val="13"/>
                <w:szCs w:val="13"/>
                <w:color w:val="auto"/>
              </w:rPr>
            </w:pPr>
          </w:p>
        </w:tc>
        <w:tc>
          <w:tcPr>
            <w:tcW w:w="706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For additional information on the methods of sale, you should refer to the section entitled “Plan of Distribution” in this prospectus and in the</w:t>
            </w:r>
          </w:p>
        </w:tc>
        <w:tc>
          <w:tcPr>
            <w:tcW w:w="0" w:type="dxa"/>
            <w:vAlign w:val="bottom"/>
          </w:tcPr>
          <w:p>
            <w:pPr>
              <w:spacing w:after="0"/>
              <w:rPr>
                <w:sz w:val="1"/>
                <w:szCs w:val="1"/>
                <w:color w:val="auto"/>
              </w:rPr>
            </w:pPr>
          </w:p>
        </w:tc>
      </w:tr>
      <w:tr>
        <w:trPr>
          <w:trHeight w:val="153"/>
        </w:trPr>
        <w:tc>
          <w:tcPr>
            <w:tcW w:w="140" w:type="dxa"/>
            <w:vAlign w:val="bottom"/>
          </w:tcPr>
          <w:p>
            <w:pPr>
              <w:spacing w:after="0"/>
              <w:rPr>
                <w:sz w:val="13"/>
                <w:szCs w:val="13"/>
                <w:color w:val="auto"/>
              </w:rPr>
            </w:pPr>
          </w:p>
        </w:tc>
        <w:tc>
          <w:tcPr>
            <w:tcW w:w="706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applicable prospectus supplement. If any underwriters or agents are involved in the sale of our securities with respect to which this prospectus</w:t>
            </w:r>
          </w:p>
        </w:tc>
        <w:tc>
          <w:tcPr>
            <w:tcW w:w="0" w:type="dxa"/>
            <w:vAlign w:val="bottom"/>
          </w:tcPr>
          <w:p>
            <w:pPr>
              <w:spacing w:after="0"/>
              <w:rPr>
                <w:sz w:val="1"/>
                <w:szCs w:val="1"/>
                <w:color w:val="auto"/>
              </w:rPr>
            </w:pPr>
          </w:p>
        </w:tc>
      </w:tr>
      <w:tr>
        <w:trPr>
          <w:trHeight w:val="159"/>
        </w:trPr>
        <w:tc>
          <w:tcPr>
            <w:tcW w:w="140" w:type="dxa"/>
            <w:vAlign w:val="bottom"/>
          </w:tcPr>
          <w:p>
            <w:pPr>
              <w:spacing w:after="0"/>
              <w:rPr>
                <w:sz w:val="13"/>
                <w:szCs w:val="13"/>
                <w:color w:val="auto"/>
              </w:rPr>
            </w:pPr>
          </w:p>
        </w:tc>
        <w:tc>
          <w:tcPr>
            <w:tcW w:w="706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is being delivered, the names of such underwriters or agents and any applicable fees, commissions or discounts and over-allotment options will</w:t>
            </w:r>
          </w:p>
        </w:tc>
        <w:tc>
          <w:tcPr>
            <w:tcW w:w="0" w:type="dxa"/>
            <w:vAlign w:val="bottom"/>
          </w:tcPr>
          <w:p>
            <w:pPr>
              <w:spacing w:after="0"/>
              <w:rPr>
                <w:sz w:val="1"/>
                <w:szCs w:val="1"/>
                <w:color w:val="auto"/>
              </w:rPr>
            </w:pPr>
          </w:p>
        </w:tc>
      </w:tr>
      <w:tr>
        <w:trPr>
          <w:trHeight w:val="307"/>
        </w:trPr>
        <w:tc>
          <w:tcPr>
            <w:tcW w:w="140" w:type="dxa"/>
            <w:vAlign w:val="bottom"/>
            <w:vMerge w:val="restart"/>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8"/>
              </w:rPr>
              <w:t>NOT</w:t>
            </w:r>
          </w:p>
        </w:tc>
        <w:tc>
          <w:tcPr>
            <w:tcW w:w="706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will also be set forth in a prospectus supplement.</w:t>
            </w:r>
          </w:p>
        </w:tc>
        <w:tc>
          <w:tcPr>
            <w:tcW w:w="0" w:type="dxa"/>
            <w:vAlign w:val="bottom"/>
          </w:tcPr>
          <w:p>
            <w:pPr>
              <w:spacing w:after="0"/>
              <w:rPr>
                <w:sz w:val="1"/>
                <w:szCs w:val="1"/>
                <w:color w:val="auto"/>
              </w:rPr>
            </w:pPr>
          </w:p>
        </w:tc>
      </w:tr>
      <w:tr>
        <w:trPr>
          <w:trHeight w:val="178"/>
        </w:trPr>
        <w:tc>
          <w:tcPr>
            <w:tcW w:w="140" w:type="dxa"/>
            <w:vAlign w:val="bottom"/>
            <w:vMerge w:val="continue"/>
          </w:tcPr>
          <w:p>
            <w:pPr>
              <w:spacing w:after="0"/>
              <w:rPr>
                <w:sz w:val="15"/>
                <w:szCs w:val="15"/>
                <w:color w:val="auto"/>
              </w:rPr>
            </w:pPr>
          </w:p>
        </w:tc>
        <w:tc>
          <w:tcPr>
            <w:tcW w:w="7060" w:type="dxa"/>
            <w:vAlign w:val="bottom"/>
            <w:gridSpan w:val="5"/>
            <w:vMerge w:val="restart"/>
          </w:tcPr>
          <w:p>
            <w:pPr>
              <w:ind w:left="300"/>
              <w:spacing w:after="0"/>
              <w:rPr>
                <w:sz w:val="20"/>
                <w:szCs w:val="20"/>
                <w:color w:val="auto"/>
              </w:rPr>
            </w:pPr>
            <w:r>
              <w:rPr>
                <w:rFonts w:ascii="Times New Roman" w:cs="Times New Roman" w:eastAsia="Times New Roman" w:hAnsi="Times New Roman"/>
                <w:sz w:val="12"/>
                <w:szCs w:val="12"/>
                <w:color w:val="auto"/>
              </w:rPr>
              <w:t>Shares of our Class A common stock are listed on the Nasdaq Capital Market under the symbol “PROK.” On October 28, 2026, the last</w:t>
            </w:r>
          </w:p>
        </w:tc>
        <w:tc>
          <w:tcPr>
            <w:tcW w:w="0" w:type="dxa"/>
            <w:vAlign w:val="bottom"/>
          </w:tcPr>
          <w:p>
            <w:pPr>
              <w:spacing w:after="0"/>
              <w:rPr>
                <w:sz w:val="1"/>
                <w:szCs w:val="1"/>
                <w:color w:val="auto"/>
              </w:rPr>
            </w:pPr>
          </w:p>
        </w:tc>
      </w:tr>
      <w:tr>
        <w:trPr>
          <w:trHeight w:val="82"/>
        </w:trPr>
        <w:tc>
          <w:tcPr>
            <w:tcW w:w="140" w:type="dxa"/>
            <w:vAlign w:val="bottom"/>
            <w:vMerge w:val="restart"/>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0"/>
              </w:rPr>
              <w:t>IS</w:t>
            </w:r>
          </w:p>
        </w:tc>
        <w:tc>
          <w:tcPr>
            <w:tcW w:w="70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40" w:type="dxa"/>
            <w:vAlign w:val="bottom"/>
            <w:vMerge w:val="continue"/>
          </w:tcPr>
          <w:p>
            <w:pPr>
              <w:spacing w:after="0"/>
              <w:rPr>
                <w:sz w:val="7"/>
                <w:szCs w:val="7"/>
                <w:color w:val="auto"/>
              </w:rPr>
            </w:pPr>
          </w:p>
        </w:tc>
        <w:tc>
          <w:tcPr>
            <w:tcW w:w="7060" w:type="dxa"/>
            <w:vAlign w:val="bottom"/>
            <w:gridSpan w:val="5"/>
            <w:vMerge w:val="restart"/>
          </w:tcPr>
          <w:p>
            <w:pPr>
              <w:ind w:left="20"/>
              <w:spacing w:after="0"/>
              <w:rPr>
                <w:sz w:val="20"/>
                <w:szCs w:val="20"/>
                <w:color w:val="auto"/>
              </w:rPr>
            </w:pPr>
            <w:r>
              <w:rPr>
                <w:rFonts w:ascii="Times New Roman" w:cs="Times New Roman" w:eastAsia="Times New Roman" w:hAnsi="Times New Roman"/>
                <w:sz w:val="12"/>
                <w:szCs w:val="12"/>
                <w:color w:val="auto"/>
              </w:rPr>
              <w:t>reported sale price of our Class A common stock was $1.52 per share. The applicable prospectus supplement will contain information, where</w:t>
            </w:r>
          </w:p>
        </w:tc>
        <w:tc>
          <w:tcPr>
            <w:tcW w:w="0" w:type="dxa"/>
            <w:vAlign w:val="bottom"/>
          </w:tcPr>
          <w:p>
            <w:pPr>
              <w:spacing w:after="0"/>
              <w:rPr>
                <w:sz w:val="1"/>
                <w:szCs w:val="1"/>
                <w:color w:val="auto"/>
              </w:rPr>
            </w:pPr>
          </w:p>
        </w:tc>
      </w:tr>
      <w:tr>
        <w:trPr>
          <w:trHeight w:val="73"/>
        </w:trPr>
        <w:tc>
          <w:tcPr>
            <w:tcW w:w="140" w:type="dxa"/>
            <w:vAlign w:val="bottom"/>
            <w:vMerge w:val="restart"/>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8"/>
              </w:rPr>
              <w:t>SALE</w:t>
            </w:r>
          </w:p>
        </w:tc>
        <w:tc>
          <w:tcPr>
            <w:tcW w:w="70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40" w:type="dxa"/>
            <w:vAlign w:val="bottom"/>
            <w:vMerge w:val="continue"/>
          </w:tcPr>
          <w:p>
            <w:pPr>
              <w:spacing w:after="0"/>
              <w:rPr>
                <w:sz w:val="13"/>
                <w:szCs w:val="13"/>
                <w:color w:val="auto"/>
              </w:rPr>
            </w:pPr>
          </w:p>
        </w:tc>
        <w:tc>
          <w:tcPr>
            <w:tcW w:w="706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applicable, as to any other listing, if any, on the Nasdaq Capital Market or any securities market or other securities exchange of the securities</w:t>
            </w:r>
          </w:p>
        </w:tc>
        <w:tc>
          <w:tcPr>
            <w:tcW w:w="0" w:type="dxa"/>
            <w:vAlign w:val="bottom"/>
          </w:tcPr>
          <w:p>
            <w:pPr>
              <w:spacing w:after="0"/>
              <w:rPr>
                <w:sz w:val="1"/>
                <w:szCs w:val="1"/>
                <w:color w:val="auto"/>
              </w:rPr>
            </w:pPr>
          </w:p>
        </w:tc>
      </w:tr>
      <w:tr>
        <w:trPr>
          <w:trHeight w:val="164"/>
        </w:trPr>
        <w:tc>
          <w:tcPr>
            <w:tcW w:w="140" w:type="dxa"/>
            <w:vAlign w:val="bottom"/>
            <w:vMerge w:val="continue"/>
          </w:tcPr>
          <w:p>
            <w:pPr>
              <w:spacing w:after="0"/>
              <w:rPr>
                <w:sz w:val="14"/>
                <w:szCs w:val="14"/>
                <w:color w:val="auto"/>
              </w:rPr>
            </w:pPr>
          </w:p>
        </w:tc>
        <w:tc>
          <w:tcPr>
            <w:tcW w:w="706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covered by the prospectus supplement. Prospective purchasers of our securities are urged to obtain current information as to the market prices</w:t>
            </w:r>
          </w:p>
        </w:tc>
        <w:tc>
          <w:tcPr>
            <w:tcW w:w="0" w:type="dxa"/>
            <w:vAlign w:val="bottom"/>
          </w:tcPr>
          <w:p>
            <w:pPr>
              <w:spacing w:after="0"/>
              <w:rPr>
                <w:sz w:val="1"/>
                <w:szCs w:val="1"/>
                <w:color w:val="auto"/>
              </w:rPr>
            </w:pPr>
          </w:p>
        </w:tc>
      </w:tr>
      <w:tr>
        <w:trPr>
          <w:trHeight w:val="159"/>
        </w:trPr>
        <w:tc>
          <w:tcPr>
            <w:tcW w:w="140" w:type="dxa"/>
            <w:vAlign w:val="bottom"/>
            <w:vMerge w:val="restart"/>
            <w:textDirection w:val="btLr"/>
          </w:tcPr>
          <w:p>
            <w:pPr>
              <w:spacing w:after="0"/>
              <w:rPr>
                <w:sz w:val="20"/>
                <w:szCs w:val="20"/>
                <w:color w:val="auto"/>
              </w:rPr>
            </w:pPr>
            <w:r>
              <w:rPr>
                <w:rFonts w:ascii="Times New Roman" w:cs="Times New Roman" w:eastAsia="Times New Roman" w:hAnsi="Times New Roman"/>
                <w:sz w:val="14"/>
                <w:szCs w:val="14"/>
                <w:b w:val="1"/>
                <w:bCs w:val="1"/>
                <w:color w:val="FF4338"/>
              </w:rPr>
              <w:t>OR</w:t>
            </w:r>
          </w:p>
        </w:tc>
        <w:tc>
          <w:tcPr>
            <w:tcW w:w="706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of our securities, where applicable.</w:t>
            </w:r>
          </w:p>
        </w:tc>
        <w:tc>
          <w:tcPr>
            <w:tcW w:w="0" w:type="dxa"/>
            <w:vAlign w:val="bottom"/>
          </w:tcPr>
          <w:p>
            <w:pPr>
              <w:spacing w:after="0"/>
              <w:rPr>
                <w:sz w:val="1"/>
                <w:szCs w:val="1"/>
                <w:color w:val="auto"/>
              </w:rPr>
            </w:pPr>
          </w:p>
        </w:tc>
      </w:tr>
      <w:tr>
        <w:trPr>
          <w:trHeight w:val="79"/>
        </w:trPr>
        <w:tc>
          <w:tcPr>
            <w:tcW w:w="140" w:type="dxa"/>
            <w:vAlign w:val="bottom"/>
            <w:vMerge w:val="continue"/>
          </w:tcPr>
          <w:p>
            <w:pPr>
              <w:spacing w:after="0"/>
              <w:rPr>
                <w:sz w:val="6"/>
                <w:szCs w:val="6"/>
                <w:color w:val="auto"/>
              </w:rPr>
            </w:pPr>
          </w:p>
        </w:tc>
        <w:tc>
          <w:tcPr>
            <w:tcW w:w="28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40" w:type="dxa"/>
            <w:vAlign w:val="bottom"/>
            <w:vMerge w:val="restart"/>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6"/>
              </w:rPr>
              <w:t>OFFER</w:t>
            </w:r>
          </w:p>
        </w:tc>
        <w:tc>
          <w:tcPr>
            <w:tcW w:w="7060" w:type="dxa"/>
            <w:vAlign w:val="bottom"/>
            <w:gridSpan w:val="5"/>
          </w:tcPr>
          <w:p>
            <w:pPr>
              <w:ind w:left="300"/>
              <w:spacing w:after="0"/>
              <w:rPr>
                <w:sz w:val="20"/>
                <w:szCs w:val="20"/>
                <w:color w:val="auto"/>
              </w:rPr>
            </w:pPr>
            <w:r>
              <w:rPr>
                <w:rFonts w:ascii="Times New Roman" w:cs="Times New Roman" w:eastAsia="Times New Roman" w:hAnsi="Times New Roman"/>
                <w:sz w:val="12"/>
                <w:szCs w:val="12"/>
                <w:color w:val="auto"/>
              </w:rPr>
              <w:t>We are an “emerging growth company” and “smaller reporting company” under the federal securities laws and, as such, are subject to</w:t>
            </w:r>
          </w:p>
        </w:tc>
        <w:tc>
          <w:tcPr>
            <w:tcW w:w="0" w:type="dxa"/>
            <w:vAlign w:val="bottom"/>
          </w:tcPr>
          <w:p>
            <w:pPr>
              <w:spacing w:after="0"/>
              <w:rPr>
                <w:sz w:val="1"/>
                <w:szCs w:val="1"/>
                <w:color w:val="auto"/>
              </w:rPr>
            </w:pPr>
          </w:p>
        </w:tc>
      </w:tr>
      <w:tr>
        <w:trPr>
          <w:trHeight w:val="153"/>
        </w:trPr>
        <w:tc>
          <w:tcPr>
            <w:tcW w:w="140" w:type="dxa"/>
            <w:vAlign w:val="bottom"/>
            <w:vMerge w:val="continue"/>
          </w:tcPr>
          <w:p>
            <w:pPr>
              <w:spacing w:after="0"/>
              <w:rPr>
                <w:sz w:val="13"/>
                <w:szCs w:val="13"/>
                <w:color w:val="auto"/>
              </w:rPr>
            </w:pPr>
          </w:p>
        </w:tc>
        <w:tc>
          <w:tcPr>
            <w:tcW w:w="706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reduced public company reporting requirements. See “Prospectus Summary—Implications of Being an Emerging Growth Company and a</w:t>
            </w:r>
          </w:p>
        </w:tc>
        <w:tc>
          <w:tcPr>
            <w:tcW w:w="0" w:type="dxa"/>
            <w:vAlign w:val="bottom"/>
          </w:tcPr>
          <w:p>
            <w:pPr>
              <w:spacing w:after="0"/>
              <w:rPr>
                <w:sz w:val="1"/>
                <w:szCs w:val="1"/>
                <w:color w:val="auto"/>
              </w:rPr>
            </w:pPr>
          </w:p>
        </w:tc>
      </w:tr>
      <w:tr>
        <w:trPr>
          <w:trHeight w:val="173"/>
        </w:trPr>
        <w:tc>
          <w:tcPr>
            <w:tcW w:w="140" w:type="dxa"/>
            <w:vAlign w:val="bottom"/>
            <w:vMerge w:val="continue"/>
          </w:tcPr>
          <w:p>
            <w:pPr>
              <w:spacing w:after="0"/>
              <w:rPr>
                <w:sz w:val="15"/>
                <w:szCs w:val="15"/>
                <w:color w:val="auto"/>
              </w:rPr>
            </w:pPr>
          </w:p>
        </w:tc>
        <w:tc>
          <w:tcPr>
            <w:tcW w:w="706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0" w:type="dxa"/>
            <w:vAlign w:val="bottom"/>
          </w:tcPr>
          <w:p>
            <w:pPr>
              <w:spacing w:after="0"/>
              <w:rPr>
                <w:sz w:val="1"/>
                <w:szCs w:val="1"/>
                <w:color w:val="auto"/>
              </w:rPr>
            </w:pPr>
          </w:p>
        </w:tc>
      </w:tr>
      <w:tr>
        <w:trPr>
          <w:trHeight w:val="186"/>
        </w:trPr>
        <w:tc>
          <w:tcPr>
            <w:tcW w:w="140" w:type="dxa"/>
            <w:vAlign w:val="bottom"/>
            <w:vMerge w:val="restart"/>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4"/>
              </w:rPr>
              <w:t>THE</w:t>
            </w:r>
          </w:p>
        </w:tc>
        <w:tc>
          <w:tcPr>
            <w:tcW w:w="280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140" w:type="dxa"/>
            <w:vAlign w:val="bottom"/>
            <w:vMerge w:val="continue"/>
          </w:tcPr>
          <w:p>
            <w:pPr>
              <w:spacing w:after="0"/>
              <w:rPr>
                <w:sz w:val="10"/>
                <w:szCs w:val="10"/>
                <w:color w:val="auto"/>
              </w:rPr>
            </w:pPr>
          </w:p>
        </w:tc>
        <w:tc>
          <w:tcPr>
            <w:tcW w:w="7060" w:type="dxa"/>
            <w:vAlign w:val="bottom"/>
            <w:gridSpan w:val="5"/>
            <w:vMerge w:val="restart"/>
          </w:tcPr>
          <w:p>
            <w:pPr>
              <w:ind w:left="380"/>
              <w:spacing w:after="0"/>
              <w:rPr>
                <w:sz w:val="20"/>
                <w:szCs w:val="20"/>
                <w:color w:val="auto"/>
              </w:rPr>
            </w:pPr>
            <w:r>
              <w:rPr>
                <w:rFonts w:ascii="Times New Roman" w:cs="Times New Roman" w:eastAsia="Times New Roman" w:hAnsi="Times New Roman"/>
                <w:sz w:val="15"/>
                <w:szCs w:val="15"/>
                <w:b w:val="1"/>
                <w:bCs w:val="1"/>
                <w:color w:val="auto"/>
              </w:rPr>
              <w:t>Investing in our securities involves a high degree of risk. See “</w:t>
            </w:r>
            <w:r>
              <w:rPr>
                <w:rFonts w:ascii="Times New Roman" w:cs="Times New Roman" w:eastAsia="Times New Roman" w:hAnsi="Times New Roman"/>
                <w:sz w:val="15"/>
                <w:szCs w:val="15"/>
                <w:b w:val="1"/>
                <w:bCs w:val="1"/>
                <w:color w:val="0000EE"/>
              </w:rPr>
              <w:t>Risk Factors</w:t>
            </w:r>
            <w:r>
              <w:rPr>
                <w:rFonts w:ascii="Times New Roman" w:cs="Times New Roman" w:eastAsia="Times New Roman" w:hAnsi="Times New Roman"/>
                <w:sz w:val="15"/>
                <w:szCs w:val="15"/>
                <w:b w:val="1"/>
                <w:bCs w:val="1"/>
                <w:color w:val="auto"/>
              </w:rPr>
              <w:t>” starting on page 6 of this</w:t>
            </w:r>
          </w:p>
        </w:tc>
        <w:tc>
          <w:tcPr>
            <w:tcW w:w="0" w:type="dxa"/>
            <w:vAlign w:val="bottom"/>
          </w:tcPr>
          <w:p>
            <w:pPr>
              <w:spacing w:after="0"/>
              <w:rPr>
                <w:sz w:val="1"/>
                <w:szCs w:val="1"/>
                <w:color w:val="auto"/>
              </w:rPr>
            </w:pPr>
          </w:p>
        </w:tc>
      </w:tr>
      <w:tr>
        <w:trPr>
          <w:trHeight w:val="130"/>
        </w:trPr>
        <w:tc>
          <w:tcPr>
            <w:tcW w:w="140" w:type="dxa"/>
            <w:vAlign w:val="bottom"/>
            <w:vMerge w:val="restart"/>
            <w:textDirection w:val="btLr"/>
          </w:tcPr>
          <w:p>
            <w:pPr>
              <w:ind w:left="14"/>
              <w:spacing w:after="0"/>
              <w:rPr>
                <w:sz w:val="20"/>
                <w:szCs w:val="20"/>
                <w:color w:val="auto"/>
              </w:rPr>
            </w:pPr>
            <w:r>
              <w:rPr>
                <w:rFonts w:ascii="Times New Roman" w:cs="Times New Roman" w:eastAsia="Times New Roman" w:hAnsi="Times New Roman"/>
                <w:sz w:val="11"/>
                <w:szCs w:val="11"/>
                <w:b w:val="1"/>
                <w:bCs w:val="1"/>
                <w:color w:val="FF4338"/>
                <w:w w:val="71"/>
              </w:rPr>
              <w:t>WHERE</w:t>
            </w:r>
          </w:p>
        </w:tc>
        <w:tc>
          <w:tcPr>
            <w:tcW w:w="70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0" w:type="dxa"/>
            <w:vAlign w:val="bottom"/>
            <w:vMerge w:val="continu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40" w:type="dxa"/>
            <w:vAlign w:val="bottom"/>
            <w:vMerge w:val="continue"/>
          </w:tcPr>
          <w:p>
            <w:pPr>
              <w:spacing w:after="0"/>
              <w:rPr>
                <w:sz w:val="12"/>
                <w:szCs w:val="12"/>
                <w:color w:val="auto"/>
              </w:rPr>
            </w:pPr>
          </w:p>
        </w:tc>
        <w:tc>
          <w:tcPr>
            <w:tcW w:w="7060" w:type="dxa"/>
            <w:vAlign w:val="bottom"/>
            <w:gridSpan w:val="5"/>
            <w:vMerge w:val="restart"/>
          </w:tcPr>
          <w:p>
            <w:pPr>
              <w:ind w:left="20"/>
              <w:spacing w:after="0" w:line="164" w:lineRule="exact"/>
              <w:rPr>
                <w:sz w:val="20"/>
                <w:szCs w:val="20"/>
                <w:color w:val="auto"/>
              </w:rPr>
            </w:pPr>
            <w:r>
              <w:rPr>
                <w:rFonts w:ascii="Times New Roman" w:cs="Times New Roman" w:eastAsia="Times New Roman" w:hAnsi="Times New Roman"/>
                <w:sz w:val="15"/>
                <w:szCs w:val="15"/>
                <w:b w:val="1"/>
                <w:bCs w:val="1"/>
                <w:color w:val="auto"/>
              </w:rPr>
              <w:t>prospectus and any similar sections contained in any prospectus supplement and in the documents</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0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40" w:type="dxa"/>
            <w:vAlign w:val="bottom"/>
          </w:tcPr>
          <w:p>
            <w:pPr>
              <w:spacing w:after="0"/>
              <w:rPr>
                <w:sz w:val="15"/>
                <w:szCs w:val="15"/>
                <w:color w:val="auto"/>
              </w:rPr>
            </w:pPr>
          </w:p>
        </w:tc>
        <w:tc>
          <w:tcPr>
            <w:tcW w:w="7060" w:type="dxa"/>
            <w:vAlign w:val="bottom"/>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rPr>
              <w:t>incorporated by reference in this prospectus or any prospectus supplement for a discussion of the factors you</w:t>
            </w:r>
          </w:p>
        </w:tc>
        <w:tc>
          <w:tcPr>
            <w:tcW w:w="0" w:type="dxa"/>
            <w:vAlign w:val="bottom"/>
          </w:tcPr>
          <w:p>
            <w:pPr>
              <w:spacing w:after="0"/>
              <w:rPr>
                <w:sz w:val="1"/>
                <w:szCs w:val="1"/>
                <w:color w:val="auto"/>
              </w:rPr>
            </w:pPr>
          </w:p>
        </w:tc>
      </w:tr>
      <w:tr>
        <w:trPr>
          <w:trHeight w:val="198"/>
        </w:trPr>
        <w:tc>
          <w:tcPr>
            <w:tcW w:w="140" w:type="dxa"/>
            <w:vAlign w:val="bottom"/>
            <w:vMerge w:val="restart"/>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87"/>
              </w:rPr>
              <w:t>STATE</w:t>
            </w:r>
          </w:p>
        </w:tc>
        <w:tc>
          <w:tcPr>
            <w:tcW w:w="7060" w:type="dxa"/>
            <w:vAlign w:val="bottom"/>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rPr>
              <w:t>should carefully consider before deciding to purchase these securities.</w:t>
            </w:r>
          </w:p>
        </w:tc>
        <w:tc>
          <w:tcPr>
            <w:tcW w:w="0" w:type="dxa"/>
            <w:vAlign w:val="bottom"/>
          </w:tcPr>
          <w:p>
            <w:pPr>
              <w:spacing w:after="0"/>
              <w:rPr>
                <w:sz w:val="1"/>
                <w:szCs w:val="1"/>
                <w:color w:val="auto"/>
              </w:rPr>
            </w:pPr>
          </w:p>
        </w:tc>
      </w:tr>
      <w:tr>
        <w:trPr>
          <w:trHeight w:val="212"/>
        </w:trPr>
        <w:tc>
          <w:tcPr>
            <w:tcW w:w="140" w:type="dxa"/>
            <w:vAlign w:val="bottom"/>
            <w:vMerge w:val="continue"/>
          </w:tcPr>
          <w:p>
            <w:pPr>
              <w:spacing w:after="0"/>
              <w:rPr>
                <w:sz w:val="18"/>
                <w:szCs w:val="18"/>
                <w:color w:val="auto"/>
              </w:rPr>
            </w:pPr>
          </w:p>
        </w:tc>
        <w:tc>
          <w:tcPr>
            <w:tcW w:w="7060" w:type="dxa"/>
            <w:vAlign w:val="bottom"/>
            <w:gridSpan w:val="5"/>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Neither the Securities and Exchange Commission nor any state securities commission has approved or disapproved of these</w:t>
            </w:r>
          </w:p>
        </w:tc>
        <w:tc>
          <w:tcPr>
            <w:tcW w:w="0" w:type="dxa"/>
            <w:vAlign w:val="bottom"/>
          </w:tcPr>
          <w:p>
            <w:pPr>
              <w:spacing w:after="0"/>
              <w:rPr>
                <w:sz w:val="1"/>
                <w:szCs w:val="1"/>
                <w:color w:val="auto"/>
              </w:rPr>
            </w:pPr>
          </w:p>
        </w:tc>
      </w:tr>
      <w:tr>
        <w:trPr>
          <w:trHeight w:val="28"/>
        </w:trPr>
        <w:tc>
          <w:tcPr>
            <w:tcW w:w="140" w:type="dxa"/>
            <w:vAlign w:val="bottom"/>
          </w:tcPr>
          <w:p>
            <w:pPr>
              <w:spacing w:after="0"/>
              <w:rPr>
                <w:sz w:val="2"/>
                <w:szCs w:val="2"/>
                <w:color w:val="auto"/>
              </w:rPr>
            </w:pPr>
          </w:p>
        </w:tc>
        <w:tc>
          <w:tcPr>
            <w:tcW w:w="70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140" w:type="dxa"/>
            <w:vAlign w:val="bottom"/>
            <w:vMerge w:val="restart"/>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8"/>
              </w:rPr>
              <w:t>ANY</w:t>
            </w:r>
          </w:p>
        </w:tc>
        <w:tc>
          <w:tcPr>
            <w:tcW w:w="7060" w:type="dxa"/>
            <w:vAlign w:val="bottom"/>
            <w:gridSpan w:val="5"/>
          </w:tcPr>
          <w:p>
            <w:pPr>
              <w:ind w:left="20"/>
              <w:spacing w:after="0"/>
              <w:rPr>
                <w:sz w:val="20"/>
                <w:szCs w:val="20"/>
                <w:color w:val="auto"/>
              </w:rPr>
            </w:pPr>
            <w:r>
              <w:rPr>
                <w:rFonts w:ascii="Times New Roman" w:cs="Times New Roman" w:eastAsia="Times New Roman" w:hAnsi="Times New Roman"/>
                <w:sz w:val="12"/>
                <w:szCs w:val="12"/>
                <w:b w:val="1"/>
                <w:bCs w:val="1"/>
                <w:color w:val="auto"/>
              </w:rPr>
              <w:t>securities or passed upon the adequacy or accuracy of this prospectus. Any representation to the contrary is a criminal offense.</w:t>
            </w:r>
          </w:p>
        </w:tc>
        <w:tc>
          <w:tcPr>
            <w:tcW w:w="0" w:type="dxa"/>
            <w:vAlign w:val="bottom"/>
          </w:tcPr>
          <w:p>
            <w:pPr>
              <w:spacing w:after="0"/>
              <w:rPr>
                <w:sz w:val="1"/>
                <w:szCs w:val="1"/>
                <w:color w:val="auto"/>
              </w:rPr>
            </w:pPr>
          </w:p>
        </w:tc>
      </w:tr>
      <w:tr>
        <w:trPr>
          <w:trHeight w:val="210"/>
        </w:trPr>
        <w:tc>
          <w:tcPr>
            <w:tcW w:w="140" w:type="dxa"/>
            <w:vAlign w:val="bottom"/>
            <w:vMerge w:val="continue"/>
          </w:tcPr>
          <w:p>
            <w:pPr>
              <w:spacing w:after="0"/>
              <w:rPr>
                <w:sz w:val="18"/>
                <w:szCs w:val="18"/>
                <w:color w:val="auto"/>
              </w:rPr>
            </w:pPr>
          </w:p>
        </w:tc>
        <w:tc>
          <w:tcPr>
            <w:tcW w:w="28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40" w:type="dxa"/>
            <w:vAlign w:val="bottom"/>
            <w:vMerge w:val="continue"/>
          </w:tcPr>
          <w:p>
            <w:pPr>
              <w:spacing w:after="0"/>
              <w:rPr>
                <w:sz w:val="2"/>
                <w:szCs w:val="2"/>
                <w:color w:val="auto"/>
              </w:rPr>
            </w:pPr>
          </w:p>
        </w:tc>
        <w:tc>
          <w:tcPr>
            <w:tcW w:w="7060" w:type="dxa"/>
            <w:vAlign w:val="bottom"/>
            <w:gridSpan w:val="5"/>
            <w:vMerge w:val="restart"/>
          </w:tcPr>
          <w:p>
            <w:pPr>
              <w:ind w:left="2360"/>
              <w:spacing w:after="0"/>
              <w:rPr>
                <w:sz w:val="20"/>
                <w:szCs w:val="20"/>
                <w:color w:val="auto"/>
              </w:rPr>
            </w:pPr>
            <w:r>
              <w:rPr>
                <w:rFonts w:ascii="Times New Roman" w:cs="Times New Roman" w:eastAsia="Times New Roman" w:hAnsi="Times New Roman"/>
                <w:sz w:val="12"/>
                <w:szCs w:val="12"/>
                <w:b w:val="1"/>
                <w:bCs w:val="1"/>
                <w:color w:val="auto"/>
              </w:rPr>
              <w:t>The date of this prospectus is            , 2026.</w:t>
            </w: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706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3">
            <w:col w:w="1616" w:space="24"/>
            <w:col w:w="280" w:space="40"/>
            <w:col w:w="8199"/>
          </w:cols>
          <w:pgMar w:left="300" w:top="379" w:right="1440"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85" w:lineRule="exact"/>
        <w:rPr>
          <w:sz w:val="20"/>
          <w:szCs w:val="20"/>
          <w:color w:val="auto"/>
        </w:rPr>
      </w:pPr>
    </w:p>
    <w:tbl>
      <w:tblPr>
        <w:tblLayout w:type="fixed"/>
        <w:tblInd w:w="1460" w:type="dxa"/>
        <w:tblCellMar>
          <w:top w:w="0" w:type="dxa"/>
          <w:left w:w="0" w:type="dxa"/>
          <w:bottom w:w="0" w:type="dxa"/>
          <w:right w:w="0" w:type="dxa"/>
        </w:tblCellMar>
      </w:tblPr>
      <w:tr>
        <w:trPr>
          <w:trHeight w:val="132"/>
        </w:trPr>
        <w:tc>
          <w:tcPr>
            <w:tcW w:w="1700" w:type="dxa"/>
            <w:vAlign w:val="bottom"/>
            <w:gridSpan w:val="8"/>
            <w:vMerge w:val="restart"/>
          </w:tcPr>
          <w:p>
            <w:pPr>
              <w:ind w:left="20"/>
              <w:spacing w:after="0"/>
              <w:rPr>
                <w:sz w:val="20"/>
                <w:szCs w:val="20"/>
                <w:color w:val="auto"/>
              </w:rPr>
            </w:pPr>
            <w:r>
              <w:rPr>
                <w:rFonts w:ascii="Times New Roman" w:cs="Times New Roman" w:eastAsia="Times New Roman" w:hAnsi="Times New Roman"/>
                <w:sz w:val="14"/>
                <w:szCs w:val="14"/>
                <w:color w:val="0000EE"/>
                <w:w w:val="95"/>
              </w:rPr>
              <w:t>ABOUT THIS PROSPECTUS</w:t>
            </w:r>
          </w:p>
        </w:tc>
        <w:tc>
          <w:tcPr>
            <w:tcW w:w="4340" w:type="dxa"/>
            <w:vAlign w:val="bottom"/>
            <w:gridSpan w:val="7"/>
            <w:vMerge w:val="restart"/>
          </w:tcPr>
          <w:p>
            <w:pPr>
              <w:spacing w:after="0"/>
              <w:rPr>
                <w:sz w:val="11"/>
                <w:szCs w:val="11"/>
                <w:color w:val="auto"/>
              </w:rPr>
            </w:pP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18"/>
        </w:trPr>
        <w:tc>
          <w:tcPr>
            <w:tcW w:w="1700" w:type="dxa"/>
            <w:vAlign w:val="bottom"/>
            <w:tcBorders>
              <w:bottom w:val="single" w:sz="8" w:color="0000EE"/>
            </w:tcBorders>
            <w:gridSpan w:val="8"/>
            <w:vMerge w:val="continue"/>
          </w:tcPr>
          <w:p>
            <w:pPr>
              <w:spacing w:after="0"/>
              <w:rPr>
                <w:sz w:val="9"/>
                <w:szCs w:val="9"/>
                <w:color w:val="auto"/>
              </w:rPr>
            </w:pPr>
          </w:p>
        </w:tc>
        <w:tc>
          <w:tcPr>
            <w:tcW w:w="4340" w:type="dxa"/>
            <w:vAlign w:val="bottom"/>
            <w:gridSpan w:val="7"/>
            <w:vMerge w:val="continue"/>
          </w:tcPr>
          <w:p>
            <w:pPr>
              <w:spacing w:after="0"/>
              <w:rPr>
                <w:sz w:val="9"/>
                <w:szCs w:val="9"/>
                <w:color w:val="auto"/>
              </w:rPr>
            </w:pPr>
          </w:p>
        </w:tc>
        <w:tc>
          <w:tcPr>
            <w:tcW w:w="1980" w:type="dxa"/>
            <w:vAlign w:val="bottom"/>
          </w:tcPr>
          <w:p>
            <w:pPr>
              <w:spacing w:after="0"/>
              <w:rPr>
                <w:sz w:val="9"/>
                <w:szCs w:val="9"/>
                <w:color w:val="auto"/>
              </w:rPr>
            </w:pPr>
          </w:p>
        </w:tc>
        <w:tc>
          <w:tcPr>
            <w:tcW w:w="30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4"/>
        </w:trPr>
        <w:tc>
          <w:tcPr>
            <w:tcW w:w="6040" w:type="dxa"/>
            <w:vAlign w:val="bottom"/>
            <w:gridSpan w:val="15"/>
          </w:tcPr>
          <w:p>
            <w:pPr>
              <w:ind w:left="20"/>
              <w:spacing w:after="0" w:line="154" w:lineRule="exact"/>
              <w:rPr>
                <w:sz w:val="20"/>
                <w:szCs w:val="20"/>
                <w:color w:val="auto"/>
              </w:rPr>
            </w:pPr>
            <w:r>
              <w:rPr>
                <w:rFonts w:ascii="Times New Roman" w:cs="Times New Roman" w:eastAsia="Times New Roman" w:hAnsi="Times New Roman"/>
                <w:sz w:val="14"/>
                <w:szCs w:val="14"/>
                <w:color w:val="0000EE"/>
              </w:rPr>
              <w:t>PROSPECTUS SUMMARY</w:t>
            </w:r>
          </w:p>
        </w:tc>
        <w:tc>
          <w:tcPr>
            <w:tcW w:w="228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4"/>
        </w:trPr>
        <w:tc>
          <w:tcPr>
            <w:tcW w:w="960" w:type="dxa"/>
            <w:vAlign w:val="bottom"/>
            <w:tcBorders>
              <w:top w:val="single" w:sz="8" w:color="0000EE"/>
              <w:bottom w:val="single" w:sz="8" w:color="0000EE"/>
            </w:tcBorders>
            <w:gridSpan w:val="2"/>
          </w:tcPr>
          <w:p>
            <w:pPr>
              <w:ind w:left="20"/>
              <w:spacing w:after="0" w:line="144" w:lineRule="exact"/>
              <w:rPr>
                <w:sz w:val="20"/>
                <w:szCs w:val="20"/>
                <w:color w:val="auto"/>
              </w:rPr>
            </w:pPr>
            <w:r>
              <w:rPr>
                <w:rFonts w:ascii="Times New Roman" w:cs="Times New Roman" w:eastAsia="Times New Roman" w:hAnsi="Times New Roman"/>
                <w:sz w:val="14"/>
                <w:szCs w:val="14"/>
                <w:color w:val="0000EE"/>
                <w:w w:val="93"/>
              </w:rPr>
              <w:t>RISK FACTORS</w:t>
            </w:r>
          </w:p>
        </w:tc>
        <w:tc>
          <w:tcPr>
            <w:tcW w:w="620" w:type="dxa"/>
            <w:vAlign w:val="bottom"/>
            <w:tcBorders>
              <w:top w:val="single" w:sz="8" w:color="0000EE"/>
            </w:tcBorders>
            <w:gridSpan w:val="4"/>
          </w:tcPr>
          <w:p>
            <w:pPr>
              <w:spacing w:after="0"/>
              <w:rPr>
                <w:sz w:val="12"/>
                <w:szCs w:val="12"/>
                <w:color w:val="auto"/>
              </w:rPr>
            </w:pPr>
          </w:p>
        </w:tc>
        <w:tc>
          <w:tcPr>
            <w:tcW w:w="4460" w:type="dxa"/>
            <w:vAlign w:val="bottom"/>
            <w:gridSpan w:val="9"/>
          </w:tcPr>
          <w:p>
            <w:pPr>
              <w:spacing w:after="0"/>
              <w:rPr>
                <w:sz w:val="12"/>
                <w:szCs w:val="12"/>
                <w:color w:val="auto"/>
              </w:rPr>
            </w:pPr>
          </w:p>
        </w:tc>
        <w:tc>
          <w:tcPr>
            <w:tcW w:w="22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4"/>
        </w:trPr>
        <w:tc>
          <w:tcPr>
            <w:tcW w:w="4060" w:type="dxa"/>
            <w:vAlign w:val="bottom"/>
            <w:tcBorders>
              <w:bottom w:val="single" w:sz="8" w:color="0000EE"/>
            </w:tcBorders>
            <w:gridSpan w:val="14"/>
          </w:tcPr>
          <w:p>
            <w:pPr>
              <w:ind w:left="20"/>
              <w:spacing w:after="0" w:line="144" w:lineRule="exact"/>
              <w:rPr>
                <w:sz w:val="20"/>
                <w:szCs w:val="20"/>
                <w:color w:val="auto"/>
              </w:rPr>
            </w:pPr>
            <w:r>
              <w:rPr>
                <w:rFonts w:ascii="Times New Roman" w:cs="Times New Roman" w:eastAsia="Times New Roman" w:hAnsi="Times New Roman"/>
                <w:sz w:val="14"/>
                <w:szCs w:val="14"/>
                <w:color w:val="0000EE"/>
                <w:w w:val="95"/>
              </w:rPr>
              <w:t>SPECIAL NOTE REGARDING FORWARD-LOOKING STATEMENTS</w:t>
            </w:r>
          </w:p>
        </w:tc>
        <w:tc>
          <w:tcPr>
            <w:tcW w:w="1980" w:type="dxa"/>
            <w:vAlign w:val="bottom"/>
          </w:tcPr>
          <w:p>
            <w:pPr>
              <w:spacing w:after="0"/>
              <w:rPr>
                <w:sz w:val="12"/>
                <w:szCs w:val="12"/>
                <w:color w:val="auto"/>
              </w:rPr>
            </w:pPr>
          </w:p>
        </w:tc>
        <w:tc>
          <w:tcPr>
            <w:tcW w:w="22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4"/>
        </w:trPr>
        <w:tc>
          <w:tcPr>
            <w:tcW w:w="6040" w:type="dxa"/>
            <w:vAlign w:val="bottom"/>
            <w:gridSpan w:val="15"/>
          </w:tcPr>
          <w:p>
            <w:pPr>
              <w:ind w:left="20"/>
              <w:spacing w:after="0" w:line="144" w:lineRule="exact"/>
              <w:rPr>
                <w:sz w:val="20"/>
                <w:szCs w:val="20"/>
                <w:color w:val="auto"/>
              </w:rPr>
            </w:pPr>
            <w:r>
              <w:rPr>
                <w:rFonts w:ascii="Times New Roman" w:cs="Times New Roman" w:eastAsia="Times New Roman" w:hAnsi="Times New Roman"/>
                <w:sz w:val="14"/>
                <w:szCs w:val="14"/>
                <w:color w:val="0000EE"/>
              </w:rPr>
              <w:t>USE OF PROCEEDS</w:t>
            </w:r>
          </w:p>
        </w:tc>
        <w:tc>
          <w:tcPr>
            <w:tcW w:w="22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040" w:type="dxa"/>
            <w:vAlign w:val="bottom"/>
            <w:gridSpan w:val="15"/>
          </w:tcPr>
          <w:p>
            <w:pPr>
              <w:ind w:left="20"/>
              <w:spacing w:after="0" w:line="144" w:lineRule="exact"/>
              <w:rPr>
                <w:sz w:val="20"/>
                <w:szCs w:val="20"/>
                <w:color w:val="auto"/>
              </w:rPr>
            </w:pPr>
            <w:r>
              <w:rPr>
                <w:rFonts w:ascii="Times New Roman" w:cs="Times New Roman" w:eastAsia="Times New Roman" w:hAnsi="Times New Roman"/>
                <w:sz w:val="14"/>
                <w:szCs w:val="14"/>
                <w:color w:val="0000EE"/>
              </w:rPr>
              <w:t>PLAN OF DISTRIBUTION</w:t>
            </w:r>
          </w:p>
        </w:tc>
        <w:tc>
          <w:tcPr>
            <w:tcW w:w="22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040" w:type="dxa"/>
            <w:vAlign w:val="bottom"/>
            <w:gridSpan w:val="15"/>
          </w:tcPr>
          <w:p>
            <w:pPr>
              <w:ind w:left="20"/>
              <w:spacing w:after="0" w:line="144"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22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040" w:type="dxa"/>
            <w:vAlign w:val="bottom"/>
            <w:gridSpan w:val="15"/>
          </w:tcPr>
          <w:p>
            <w:pPr>
              <w:ind w:left="20"/>
              <w:spacing w:after="0" w:line="144"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22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4"/>
        </w:trPr>
        <w:tc>
          <w:tcPr>
            <w:tcW w:w="2300" w:type="dxa"/>
            <w:vAlign w:val="bottom"/>
            <w:tcBorders>
              <w:top w:val="single" w:sz="8" w:color="0000EE"/>
            </w:tcBorders>
            <w:gridSpan w:val="11"/>
          </w:tcPr>
          <w:p>
            <w:pPr>
              <w:ind w:left="20"/>
              <w:spacing w:after="0" w:line="144" w:lineRule="exact"/>
              <w:rPr>
                <w:sz w:val="20"/>
                <w:szCs w:val="20"/>
                <w:color w:val="auto"/>
              </w:rPr>
            </w:pPr>
            <w:r>
              <w:rPr>
                <w:rFonts w:ascii="Times New Roman" w:cs="Times New Roman" w:eastAsia="Times New Roman" w:hAnsi="Times New Roman"/>
                <w:sz w:val="14"/>
                <w:szCs w:val="14"/>
                <w:color w:val="0000EE"/>
              </w:rPr>
              <w:t>DESCRIPTION OF WARRANTS</w:t>
            </w:r>
          </w:p>
        </w:tc>
        <w:tc>
          <w:tcPr>
            <w:tcW w:w="3740" w:type="dxa"/>
            <w:vAlign w:val="bottom"/>
            <w:gridSpan w:val="4"/>
          </w:tcPr>
          <w:p>
            <w:pPr>
              <w:spacing w:after="0"/>
              <w:rPr>
                <w:sz w:val="12"/>
                <w:szCs w:val="12"/>
                <w:color w:val="auto"/>
              </w:rPr>
            </w:pPr>
          </w:p>
        </w:tc>
        <w:tc>
          <w:tcPr>
            <w:tcW w:w="22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4"/>
        </w:trPr>
        <w:tc>
          <w:tcPr>
            <w:tcW w:w="1640" w:type="dxa"/>
            <w:vAlign w:val="bottom"/>
            <w:tcBorders>
              <w:top w:val="single" w:sz="8" w:color="0000EE"/>
              <w:bottom w:val="single" w:sz="8" w:color="0000EE"/>
            </w:tcBorders>
            <w:gridSpan w:val="7"/>
          </w:tcPr>
          <w:p>
            <w:pPr>
              <w:ind w:left="20"/>
              <w:spacing w:after="0" w:line="144" w:lineRule="exact"/>
              <w:rPr>
                <w:sz w:val="20"/>
                <w:szCs w:val="20"/>
                <w:color w:val="auto"/>
              </w:rPr>
            </w:pPr>
            <w:r>
              <w:rPr>
                <w:rFonts w:ascii="Times New Roman" w:cs="Times New Roman" w:eastAsia="Times New Roman" w:hAnsi="Times New Roman"/>
                <w:sz w:val="14"/>
                <w:szCs w:val="14"/>
                <w:color w:val="0000EE"/>
                <w:w w:val="96"/>
              </w:rPr>
              <w:t>DESCRIPTION OF RIGHTS</w:t>
            </w:r>
          </w:p>
        </w:tc>
        <w:tc>
          <w:tcPr>
            <w:tcW w:w="240" w:type="dxa"/>
            <w:vAlign w:val="bottom"/>
            <w:tcBorders>
              <w:top w:val="single" w:sz="8" w:color="0000EE"/>
            </w:tcBorders>
            <w:gridSpan w:val="2"/>
          </w:tcPr>
          <w:p>
            <w:pPr>
              <w:spacing w:after="0"/>
              <w:rPr>
                <w:sz w:val="12"/>
                <w:szCs w:val="12"/>
                <w:color w:val="auto"/>
              </w:rPr>
            </w:pPr>
          </w:p>
        </w:tc>
        <w:tc>
          <w:tcPr>
            <w:tcW w:w="4160" w:type="dxa"/>
            <w:vAlign w:val="bottom"/>
            <w:gridSpan w:val="6"/>
          </w:tcPr>
          <w:p>
            <w:pPr>
              <w:spacing w:after="0"/>
              <w:rPr>
                <w:sz w:val="12"/>
                <w:szCs w:val="12"/>
                <w:color w:val="auto"/>
              </w:rPr>
            </w:pPr>
          </w:p>
        </w:tc>
        <w:tc>
          <w:tcPr>
            <w:tcW w:w="22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4"/>
        </w:trPr>
        <w:tc>
          <w:tcPr>
            <w:tcW w:w="6040" w:type="dxa"/>
            <w:vAlign w:val="bottom"/>
            <w:gridSpan w:val="15"/>
          </w:tcPr>
          <w:p>
            <w:pPr>
              <w:ind w:left="20"/>
              <w:spacing w:after="0" w:line="144" w:lineRule="exact"/>
              <w:rPr>
                <w:sz w:val="20"/>
                <w:szCs w:val="20"/>
                <w:color w:val="auto"/>
              </w:rPr>
            </w:pPr>
            <w:r>
              <w:rPr>
                <w:rFonts w:ascii="Times New Roman" w:cs="Times New Roman" w:eastAsia="Times New Roman" w:hAnsi="Times New Roman"/>
                <w:sz w:val="14"/>
                <w:szCs w:val="14"/>
                <w:color w:val="0000EE"/>
              </w:rPr>
              <w:t>DESCRIPTION OF UNITS</w:t>
            </w:r>
          </w:p>
        </w:tc>
        <w:tc>
          <w:tcPr>
            <w:tcW w:w="22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4"/>
        </w:trPr>
        <w:tc>
          <w:tcPr>
            <w:tcW w:w="1120" w:type="dxa"/>
            <w:vAlign w:val="bottom"/>
            <w:tcBorders>
              <w:top w:val="single" w:sz="8" w:color="0000EE"/>
              <w:bottom w:val="single" w:sz="8" w:color="0000EE"/>
            </w:tcBorders>
            <w:gridSpan w:val="3"/>
          </w:tcPr>
          <w:p>
            <w:pPr>
              <w:ind w:left="20"/>
              <w:spacing w:after="0" w:line="144" w:lineRule="exact"/>
              <w:rPr>
                <w:sz w:val="20"/>
                <w:szCs w:val="20"/>
                <w:color w:val="auto"/>
              </w:rPr>
            </w:pPr>
            <w:r>
              <w:rPr>
                <w:rFonts w:ascii="Times New Roman" w:cs="Times New Roman" w:eastAsia="Times New Roman" w:hAnsi="Times New Roman"/>
                <w:sz w:val="14"/>
                <w:szCs w:val="14"/>
                <w:color w:val="0000EE"/>
                <w:w w:val="94"/>
              </w:rPr>
              <w:t>LEGAL MATTERS</w:t>
            </w:r>
          </w:p>
        </w:tc>
        <w:tc>
          <w:tcPr>
            <w:tcW w:w="440" w:type="dxa"/>
            <w:vAlign w:val="bottom"/>
            <w:tcBorders>
              <w:top w:val="single" w:sz="8" w:color="0000EE"/>
            </w:tcBorders>
            <w:gridSpan w:val="2"/>
          </w:tcPr>
          <w:p>
            <w:pPr>
              <w:spacing w:after="0"/>
              <w:rPr>
                <w:sz w:val="12"/>
                <w:szCs w:val="12"/>
                <w:color w:val="auto"/>
              </w:rPr>
            </w:pPr>
          </w:p>
        </w:tc>
        <w:tc>
          <w:tcPr>
            <w:tcW w:w="4480" w:type="dxa"/>
            <w:vAlign w:val="bottom"/>
            <w:gridSpan w:val="10"/>
          </w:tcPr>
          <w:p>
            <w:pPr>
              <w:spacing w:after="0"/>
              <w:rPr>
                <w:sz w:val="12"/>
                <w:szCs w:val="12"/>
                <w:color w:val="auto"/>
              </w:rPr>
            </w:pPr>
          </w:p>
        </w:tc>
        <w:tc>
          <w:tcPr>
            <w:tcW w:w="22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4"/>
        </w:trPr>
        <w:tc>
          <w:tcPr>
            <w:tcW w:w="600" w:type="dxa"/>
            <w:vAlign w:val="bottom"/>
            <w:tcBorders>
              <w:bottom w:val="single" w:sz="8" w:color="0000EE"/>
            </w:tcBorders>
          </w:tcPr>
          <w:p>
            <w:pPr>
              <w:ind w:left="20"/>
              <w:spacing w:after="0" w:line="144" w:lineRule="exact"/>
              <w:rPr>
                <w:sz w:val="20"/>
                <w:szCs w:val="20"/>
                <w:color w:val="auto"/>
              </w:rPr>
            </w:pPr>
            <w:r>
              <w:rPr>
                <w:rFonts w:ascii="Times New Roman" w:cs="Times New Roman" w:eastAsia="Times New Roman" w:hAnsi="Times New Roman"/>
                <w:sz w:val="14"/>
                <w:szCs w:val="14"/>
                <w:color w:val="0000EE"/>
                <w:w w:val="92"/>
              </w:rPr>
              <w:t>EXPERTS</w:t>
            </w:r>
          </w:p>
        </w:tc>
        <w:tc>
          <w:tcPr>
            <w:tcW w:w="5440" w:type="dxa"/>
            <w:vAlign w:val="bottom"/>
            <w:gridSpan w:val="14"/>
          </w:tcPr>
          <w:p>
            <w:pPr>
              <w:spacing w:after="0"/>
              <w:rPr>
                <w:sz w:val="12"/>
                <w:szCs w:val="12"/>
                <w:color w:val="auto"/>
              </w:rPr>
            </w:pPr>
          </w:p>
        </w:tc>
        <w:tc>
          <w:tcPr>
            <w:tcW w:w="22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4"/>
        </w:trPr>
        <w:tc>
          <w:tcPr>
            <w:tcW w:w="2900" w:type="dxa"/>
            <w:vAlign w:val="bottom"/>
            <w:tcBorders>
              <w:bottom w:val="single" w:sz="8" w:color="0000EE"/>
            </w:tcBorders>
            <w:gridSpan w:val="12"/>
          </w:tcPr>
          <w:p>
            <w:pPr>
              <w:ind w:left="20"/>
              <w:spacing w:after="0" w:line="144" w:lineRule="exact"/>
              <w:rPr>
                <w:sz w:val="20"/>
                <w:szCs w:val="20"/>
                <w:color w:val="auto"/>
              </w:rPr>
            </w:pPr>
            <w:r>
              <w:rPr>
                <w:rFonts w:ascii="Times New Roman" w:cs="Times New Roman" w:eastAsia="Times New Roman" w:hAnsi="Times New Roman"/>
                <w:sz w:val="14"/>
                <w:szCs w:val="14"/>
                <w:color w:val="0000EE"/>
                <w:w w:val="95"/>
              </w:rPr>
              <w:t>WHERE YOU CAN FIND MORE INFORMATION</w:t>
            </w:r>
          </w:p>
        </w:tc>
        <w:tc>
          <w:tcPr>
            <w:tcW w:w="3140" w:type="dxa"/>
            <w:vAlign w:val="bottom"/>
            <w:gridSpan w:val="3"/>
          </w:tcPr>
          <w:p>
            <w:pPr>
              <w:spacing w:after="0"/>
              <w:rPr>
                <w:sz w:val="12"/>
                <w:szCs w:val="12"/>
                <w:color w:val="auto"/>
              </w:rPr>
            </w:pPr>
          </w:p>
        </w:tc>
        <w:tc>
          <w:tcPr>
            <w:tcW w:w="22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4"/>
        </w:trPr>
        <w:tc>
          <w:tcPr>
            <w:tcW w:w="3240" w:type="dxa"/>
            <w:vAlign w:val="bottom"/>
            <w:tcBorders>
              <w:bottom w:val="single" w:sz="8" w:color="0000EE"/>
            </w:tcBorders>
            <w:gridSpan w:val="13"/>
          </w:tcPr>
          <w:p>
            <w:pPr>
              <w:ind w:left="20"/>
              <w:spacing w:after="0" w:line="144" w:lineRule="exact"/>
              <w:rPr>
                <w:sz w:val="20"/>
                <w:szCs w:val="20"/>
                <w:color w:val="auto"/>
              </w:rPr>
            </w:pPr>
            <w:r>
              <w:rPr>
                <w:rFonts w:ascii="Times New Roman" w:cs="Times New Roman" w:eastAsia="Times New Roman" w:hAnsi="Times New Roman"/>
                <w:sz w:val="14"/>
                <w:szCs w:val="14"/>
                <w:color w:val="0000EE"/>
                <w:w w:val="96"/>
              </w:rPr>
              <w:t>INCORPORATION OF DOCUMENTS BY REFERENCE</w:t>
            </w:r>
          </w:p>
        </w:tc>
        <w:tc>
          <w:tcPr>
            <w:tcW w:w="2800" w:type="dxa"/>
            <w:vAlign w:val="bottom"/>
            <w:gridSpan w:val="2"/>
          </w:tcPr>
          <w:p>
            <w:pPr>
              <w:spacing w:after="0"/>
              <w:rPr>
                <w:sz w:val="12"/>
                <w:szCs w:val="12"/>
                <w:color w:val="auto"/>
              </w:rPr>
            </w:pPr>
          </w:p>
        </w:tc>
        <w:tc>
          <w:tcPr>
            <w:tcW w:w="22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bl>
    <w:p>
      <w:pPr>
        <w:sectPr>
          <w:pgSz w:w="11900" w:h="16838" w:orient="portrait"/>
          <w:cols w:equalWidth="0" w:num="1">
            <w:col w:w="10159"/>
          </w:cols>
          <w:pgMar w:left="300" w:top="379"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0" w:lineRule="exact"/>
        <w:rPr>
          <w:sz w:val="20"/>
          <w:szCs w:val="20"/>
          <w:color w:val="auto"/>
        </w:rPr>
      </w:pPr>
    </w:p>
    <w:p>
      <w:pPr>
        <w:ind w:left="1480" w:right="459" w:firstLine="334"/>
        <w:spacing w:after="0" w:line="249"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Securities and Exchange Commission (the “SEC”) utilizing a “shelf” registration process. Under this shelf registration process, we may offer shares of our Class A common stock and preferred stock, various series of debt securities and/or warrants or rights to purchase any such securities, either individually or in units, in one or more offerings, with a total value of up to $650,000,000.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47" w:lineRule="exact"/>
        <w:rPr>
          <w:sz w:val="20"/>
          <w:szCs w:val="20"/>
          <w:color w:val="auto"/>
        </w:rPr>
      </w:pPr>
    </w:p>
    <w:p>
      <w:pPr>
        <w:ind w:left="1480" w:right="339" w:firstLine="334"/>
        <w:spacing w:after="0" w:line="247" w:lineRule="auto"/>
        <w:rPr>
          <w:sz w:val="20"/>
          <w:szCs w:val="20"/>
          <w:color w:val="auto"/>
        </w:rPr>
      </w:pPr>
      <w:r>
        <w:rPr>
          <w:rFonts w:ascii="Times New Roman" w:cs="Times New Roman" w:eastAsia="Times New Roman" w:hAnsi="Times New Roman"/>
          <w:sz w:val="14"/>
          <w:szCs w:val="14"/>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50" w:lineRule="exact"/>
        <w:rPr>
          <w:sz w:val="20"/>
          <w:szCs w:val="20"/>
          <w:color w:val="auto"/>
        </w:rPr>
      </w:pPr>
    </w:p>
    <w:p>
      <w:pPr>
        <w:ind w:left="1480" w:right="339" w:firstLine="334"/>
        <w:spacing w:after="0" w:line="269" w:lineRule="auto"/>
        <w:rPr>
          <w:sz w:val="20"/>
          <w:szCs w:val="20"/>
          <w:color w:val="auto"/>
        </w:rPr>
      </w:pPr>
      <w:r>
        <w:rPr>
          <w:rFonts w:ascii="Times New Roman" w:cs="Times New Roman" w:eastAsia="Times New Roman" w:hAnsi="Times New Roman"/>
          <w:sz w:val="13"/>
          <w:szCs w:val="13"/>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37" w:lineRule="exact"/>
        <w:rPr>
          <w:sz w:val="20"/>
          <w:szCs w:val="20"/>
          <w:color w:val="auto"/>
        </w:rPr>
      </w:pPr>
    </w:p>
    <w:p>
      <w:pPr>
        <w:ind w:left="1480" w:right="439" w:firstLine="334"/>
        <w:spacing w:after="0" w:line="249" w:lineRule="auto"/>
        <w:rPr>
          <w:sz w:val="20"/>
          <w:szCs w:val="20"/>
          <w:color w:val="auto"/>
        </w:rPr>
      </w:pPr>
      <w:r>
        <w:rPr>
          <w:rFonts w:ascii="Times New Roman" w:cs="Times New Roman" w:eastAsia="Times New Roman" w:hAnsi="Times New Roman"/>
          <w:sz w:val="14"/>
          <w:szCs w:val="14"/>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47" w:lineRule="exact"/>
        <w:rPr>
          <w:sz w:val="20"/>
          <w:szCs w:val="20"/>
          <w:color w:val="auto"/>
        </w:rPr>
      </w:pPr>
    </w:p>
    <w:p>
      <w:pPr>
        <w:ind w:left="1480" w:right="479" w:firstLine="334"/>
        <w:spacing w:after="0" w:line="254" w:lineRule="auto"/>
        <w:rPr>
          <w:sz w:val="20"/>
          <w:szCs w:val="20"/>
          <w:color w:val="auto"/>
        </w:rPr>
      </w:pPr>
      <w:r>
        <w:rPr>
          <w:rFonts w:ascii="Times New Roman" w:cs="Times New Roman" w:eastAsia="Times New Roman" w:hAnsi="Times New Roman"/>
          <w:sz w:val="14"/>
          <w:szCs w:val="14"/>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44" w:lineRule="exact"/>
        <w:rPr>
          <w:sz w:val="20"/>
          <w:szCs w:val="20"/>
          <w:color w:val="auto"/>
        </w:rPr>
      </w:pPr>
    </w:p>
    <w:p>
      <w:pPr>
        <w:ind w:left="1480" w:right="439" w:firstLine="334"/>
        <w:spacing w:after="0" w:line="265" w:lineRule="auto"/>
        <w:rPr>
          <w:sz w:val="20"/>
          <w:szCs w:val="20"/>
          <w:color w:val="auto"/>
        </w:rPr>
      </w:pPr>
      <w:r>
        <w:rPr>
          <w:rFonts w:ascii="Times New Roman" w:cs="Times New Roman" w:eastAsia="Times New Roman" w:hAnsi="Times New Roman"/>
          <w:sz w:val="14"/>
          <w:szCs w:val="14"/>
          <w:color w:val="auto"/>
        </w:rPr>
        <w:t>Unless the context otherwise requires, “ProKidney,” “PROK,” “the Company,” “we,” “us,” “our” and similar terms refer to ProKidney Corp. and our subsidiaries.</w:t>
      </w:r>
    </w:p>
    <w:p>
      <w:pPr>
        <w:spacing w:after="0" w:line="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79"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933450</wp:posOffset>
            </wp:positionH>
            <wp:positionV relativeFrom="paragraph">
              <wp:posOffset>158750</wp:posOffset>
            </wp:positionV>
            <wp:extent cx="5307330" cy="4547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07330" cy="4547235"/>
                    </a:xfrm>
                    <a:prstGeom prst="rect">
                      <a:avLst/>
                    </a:prstGeom>
                    <a:noFill/>
                  </pic:spPr>
                </pic:pic>
              </a:graphicData>
            </a:graphic>
          </wp:anchor>
        </w:drawing>
      </w:r>
    </w:p>
    <w:p>
      <w:pPr>
        <w:spacing w:after="0" w:line="35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66" w:lineRule="exact"/>
        <w:rPr>
          <w:sz w:val="20"/>
          <w:szCs w:val="20"/>
          <w:color w:val="auto"/>
        </w:rPr>
      </w:pPr>
    </w:p>
    <w:p>
      <w:pPr>
        <w:ind w:left="1600" w:right="559" w:firstLine="323"/>
        <w:spacing w:after="0" w:line="270" w:lineRule="auto"/>
        <w:rPr>
          <w:sz w:val="20"/>
          <w:szCs w:val="20"/>
          <w:color w:val="auto"/>
        </w:rPr>
      </w:pPr>
      <w:r>
        <w:rPr>
          <w:rFonts w:ascii="Times New Roman" w:cs="Times New Roman" w:eastAsia="Times New Roman" w:hAnsi="Times New Roman"/>
          <w:sz w:val="13"/>
          <w:szCs w:val="13"/>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2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About ProKidney Corp.</w:t>
      </w:r>
    </w:p>
    <w:p>
      <w:pPr>
        <w:spacing w:after="0" w:line="89" w:lineRule="exact"/>
        <w:rPr>
          <w:sz w:val="20"/>
          <w:szCs w:val="20"/>
          <w:color w:val="auto"/>
        </w:rPr>
      </w:pPr>
    </w:p>
    <w:p>
      <w:pPr>
        <w:ind w:left="1600" w:right="539" w:firstLine="323"/>
        <w:spacing w:after="0" w:line="276" w:lineRule="auto"/>
        <w:rPr>
          <w:sz w:val="20"/>
          <w:szCs w:val="20"/>
          <w:color w:val="auto"/>
        </w:rPr>
      </w:pPr>
      <w:r>
        <w:rPr>
          <w:rFonts w:ascii="Times New Roman" w:cs="Times New Roman" w:eastAsia="Times New Roman" w:hAnsi="Times New Roman"/>
          <w:sz w:val="13"/>
          <w:szCs w:val="13"/>
          <w:color w:val="auto"/>
        </w:rPr>
        <w:t>We are a late clinical-stage biotechnology company pioneering the development of rilparencel, a first-in-class autologous cell therapy designed to preserve kidney function in patients with advanced chronic kidney disease (“CKD”) and diabetes. Our approach seeks to redefine the treatment of CKD by shifting the emphasis from managing kidney failure to preserving kidney function. Our lead product candidate, rilparencel, is being evaluated in the ongoing Phase 3 REGEN-006 (PROACT 1) clinical study in patients with advanced CKD and type 2 diabetes.</w:t>
      </w:r>
    </w:p>
    <w:p>
      <w:pPr>
        <w:spacing w:after="0" w:line="131" w:lineRule="exact"/>
        <w:rPr>
          <w:sz w:val="20"/>
          <w:szCs w:val="20"/>
          <w:color w:val="auto"/>
        </w:rPr>
      </w:pPr>
    </w:p>
    <w:p>
      <w:pPr>
        <w:ind w:left="1600" w:right="799" w:firstLine="323"/>
        <w:spacing w:after="0" w:line="254" w:lineRule="auto"/>
        <w:rPr>
          <w:sz w:val="20"/>
          <w:szCs w:val="20"/>
          <w:color w:val="auto"/>
        </w:rPr>
      </w:pPr>
      <w:r>
        <w:rPr>
          <w:rFonts w:ascii="Times New Roman" w:cs="Times New Roman" w:eastAsia="Times New Roman" w:hAnsi="Times New Roman"/>
          <w:sz w:val="14"/>
          <w:szCs w:val="14"/>
          <w:color w:val="auto"/>
        </w:rPr>
        <w:t>Rilparencel comprises autologous Selected Renal Cells (“SRC”) prepared from a patient’s own kidney cells. The SRC are formulated as rilparencel and reinjected into the patient’s kidneys through a minimally invasive outpatient procedure. Rilparencel does not require preconditioning or immunosuppression.</w:t>
      </w:r>
    </w:p>
    <w:p>
      <w:pPr>
        <w:spacing w:after="0" w:line="144" w:lineRule="exact"/>
        <w:rPr>
          <w:sz w:val="20"/>
          <w:szCs w:val="20"/>
          <w:color w:val="auto"/>
        </w:rPr>
      </w:pPr>
    </w:p>
    <w:p>
      <w:pPr>
        <w:ind w:left="1600" w:right="559" w:firstLine="323"/>
        <w:spacing w:after="0" w:line="283" w:lineRule="auto"/>
        <w:rPr>
          <w:sz w:val="20"/>
          <w:szCs w:val="20"/>
          <w:color w:val="auto"/>
        </w:rPr>
      </w:pPr>
      <w:r>
        <w:rPr>
          <w:rFonts w:ascii="Times New Roman" w:cs="Times New Roman" w:eastAsia="Times New Roman" w:hAnsi="Times New Roman"/>
          <w:sz w:val="13"/>
          <w:szCs w:val="13"/>
          <w:color w:val="auto"/>
        </w:rPr>
        <w:t>We have completed several Phase 2 clinical studies of rilparencel in patients with advanced CKD. Rilparencel has received Regenerative Medicine Advanced Therapy designation from the U.S. Food and Drug Administration, which is intended to expedite the development and review of promising regenerative medicine therapies. To date, rilparencel was generally well tolerated across Phase 2 clinical studies.</w:t>
      </w:r>
    </w:p>
    <w:p>
      <w:pPr>
        <w:spacing w:after="0" w:line="126" w:lineRule="exact"/>
        <w:rPr>
          <w:sz w:val="20"/>
          <w:szCs w:val="20"/>
          <w:color w:val="auto"/>
        </w:rPr>
      </w:pPr>
    </w:p>
    <w:p>
      <w:pPr>
        <w:ind w:left="1600" w:right="499" w:firstLine="323"/>
        <w:spacing w:after="0" w:line="249" w:lineRule="auto"/>
        <w:rPr>
          <w:sz w:val="20"/>
          <w:szCs w:val="20"/>
          <w:color w:val="auto"/>
        </w:rPr>
      </w:pPr>
      <w:r>
        <w:rPr>
          <w:rFonts w:ascii="Times New Roman" w:cs="Times New Roman" w:eastAsia="Times New Roman" w:hAnsi="Times New Roman"/>
          <w:sz w:val="14"/>
          <w:szCs w:val="14"/>
          <w:color w:val="auto"/>
        </w:rPr>
        <w:t>Since our inception, we have devoted substantially all of our resources to organizing and staffing our company, business and scientific planning, conducting discovery and research activities, establishing and protecting our intellectual property portfolio, developing and progressing rilparencel, raising capital, sponsoring clinical trials, establishing arrangements with third parties for the manufacture of component materials, and providing general and administrative support for these operations. We do not have any product candidates approved for sale and have not generated any revenue from product sales.</w:t>
      </w:r>
    </w:p>
    <w:p>
      <w:pPr>
        <w:spacing w:after="0" w:line="22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89" w:lineRule="exact"/>
        <w:rPr>
          <w:sz w:val="20"/>
          <w:szCs w:val="20"/>
          <w:color w:val="auto"/>
        </w:rPr>
      </w:pPr>
    </w:p>
    <w:p>
      <w:pPr>
        <w:ind w:left="1600" w:right="699" w:firstLine="323"/>
        <w:spacing w:after="0" w:line="265" w:lineRule="auto"/>
        <w:rPr>
          <w:sz w:val="20"/>
          <w:szCs w:val="20"/>
          <w:color w:val="auto"/>
        </w:rPr>
      </w:pPr>
      <w:r>
        <w:rPr>
          <w:rFonts w:ascii="Times New Roman" w:cs="Times New Roman" w:eastAsia="Times New Roman" w:hAnsi="Times New Roman"/>
          <w:sz w:val="14"/>
          <w:szCs w:val="14"/>
          <w:color w:val="auto"/>
        </w:rPr>
        <w:t>For additional information related to our business and operations, please refer to the reports incorporated herein by reference, as described under the caption “Incorporation of Documents by Reference” on page 31 of this prospectus.</w:t>
      </w:r>
    </w:p>
    <w:p>
      <w:pPr>
        <w:spacing w:after="0" w:line="21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Our Corporate Information</w:t>
      </w:r>
    </w:p>
    <w:p>
      <w:pPr>
        <w:spacing w:after="0" w:line="89" w:lineRule="exact"/>
        <w:rPr>
          <w:sz w:val="20"/>
          <w:szCs w:val="20"/>
          <w:color w:val="auto"/>
        </w:rPr>
      </w:pPr>
    </w:p>
    <w:p>
      <w:pPr>
        <w:ind w:left="1600" w:right="819" w:firstLine="323"/>
        <w:spacing w:after="0" w:line="251" w:lineRule="auto"/>
        <w:rPr>
          <w:sz w:val="20"/>
          <w:szCs w:val="20"/>
          <w:color w:val="auto"/>
        </w:rPr>
      </w:pPr>
      <w:r>
        <w:rPr>
          <w:rFonts w:ascii="Times New Roman" w:cs="Times New Roman" w:eastAsia="Times New Roman" w:hAnsi="Times New Roman"/>
          <w:sz w:val="14"/>
          <w:szCs w:val="14"/>
          <w:color w:val="auto"/>
        </w:rPr>
        <w:t>Prior to July 11, 2022, we were a blank check company registered under the laws of the Cayman Islands and formed for the purpose of effecting a merger, capital stock exchange, asset acquisition, stock purchase, reorganization or similar business combination with one or more businesses. We entered into a business combination agreement, dated as of January 18, 2022 with ProKidney LP (“PKLP”) (the “Business Combination”). As a result of the closing (the “Closing”) of the Business Combination, our name was changed</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79"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933450</wp:posOffset>
            </wp:positionH>
            <wp:positionV relativeFrom="paragraph">
              <wp:posOffset>158750</wp:posOffset>
            </wp:positionV>
            <wp:extent cx="5307330" cy="4559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07330" cy="4559935"/>
                    </a:xfrm>
                    <a:prstGeom prst="rect">
                      <a:avLst/>
                    </a:prstGeom>
                    <a:noFill/>
                  </pic:spPr>
                </pic:pic>
              </a:graphicData>
            </a:graphic>
          </wp:anchor>
        </w:drawing>
      </w:r>
    </w:p>
    <w:p>
      <w:pPr>
        <w:spacing w:after="0" w:line="355" w:lineRule="exact"/>
        <w:rPr>
          <w:sz w:val="20"/>
          <w:szCs w:val="20"/>
          <w:color w:val="auto"/>
        </w:rPr>
      </w:pPr>
    </w:p>
    <w:p>
      <w:pPr>
        <w:ind w:left="1600" w:right="519"/>
        <w:spacing w:after="0" w:line="248" w:lineRule="auto"/>
        <w:rPr>
          <w:sz w:val="20"/>
          <w:szCs w:val="20"/>
          <w:color w:val="auto"/>
        </w:rPr>
      </w:pPr>
      <w:r>
        <w:rPr>
          <w:rFonts w:ascii="Times New Roman" w:cs="Times New Roman" w:eastAsia="Times New Roman" w:hAnsi="Times New Roman"/>
          <w:sz w:val="14"/>
          <w:szCs w:val="14"/>
          <w:color w:val="auto"/>
        </w:rPr>
        <w:t>from Social Capital Suvretta Holdings Corp. III to ProKidney Corp. We are organized in an umbrella partnership-C corporation structure. Prior to the Domestication and the consummation of the Restructuring, the Company’s direct assets consisted of common units in PKLP and all of the issued and outstanding equity interests of ProKidney Corp. GP Limited, which became the general partner of PKLP upon the Closing. As a result of the Restructuring, the Company’s direct assets consist of common units in ProKidney Holdings, LLC, a Delaware limited liability company (“ProKidney Holdings”). Substantially all of the operating assets and business of the Company are held or conducted indirectly through ProKidney Holdings.</w:t>
      </w:r>
    </w:p>
    <w:p>
      <w:pPr>
        <w:spacing w:after="0" w:line="148" w:lineRule="exact"/>
        <w:rPr>
          <w:sz w:val="20"/>
          <w:szCs w:val="20"/>
          <w:color w:val="auto"/>
        </w:rPr>
      </w:pPr>
    </w:p>
    <w:p>
      <w:pPr>
        <w:ind w:left="1600" w:right="559" w:firstLine="323"/>
        <w:spacing w:after="0" w:line="251" w:lineRule="auto"/>
        <w:rPr>
          <w:sz w:val="20"/>
          <w:szCs w:val="20"/>
          <w:color w:val="auto"/>
        </w:rPr>
      </w:pPr>
      <w:r>
        <w:rPr>
          <w:rFonts w:ascii="Times New Roman" w:cs="Times New Roman" w:eastAsia="Times New Roman" w:hAnsi="Times New Roman"/>
          <w:sz w:val="14"/>
          <w:szCs w:val="14"/>
          <w:color w:val="auto"/>
        </w:rPr>
        <w:t>Effective July 1, 2025, we completed a domestication process through which we changed our jurisdiction of incorporation from the Cayman Islands to the State of Delaware (the “Domestication”). In connection with and subsequent to the Domestication, we also entered into a series of other transactions to both change the jurisdiction of incorporation of our foreign subsidiaries to the State of Delaware and streamline our operating subsidiaries from a tax perspective (collectively, the “Restructuring”).</w:t>
      </w:r>
    </w:p>
    <w:p>
      <w:pPr>
        <w:spacing w:after="0" w:line="145" w:lineRule="exact"/>
        <w:rPr>
          <w:sz w:val="20"/>
          <w:szCs w:val="20"/>
          <w:color w:val="auto"/>
        </w:rPr>
      </w:pPr>
    </w:p>
    <w:p>
      <w:pPr>
        <w:ind w:left="1600" w:right="499" w:firstLine="323"/>
        <w:spacing w:after="0" w:line="248" w:lineRule="auto"/>
        <w:rPr>
          <w:sz w:val="20"/>
          <w:szCs w:val="20"/>
          <w:color w:val="auto"/>
        </w:rPr>
      </w:pPr>
      <w:r>
        <w:rPr>
          <w:rFonts w:ascii="Times New Roman" w:cs="Times New Roman" w:eastAsia="Times New Roman" w:hAnsi="Times New Roman"/>
          <w:sz w:val="14"/>
          <w:szCs w:val="14"/>
          <w:color w:val="auto"/>
        </w:rPr>
        <w:t>Prior to the closing of the Domestication, PKLP contributed substantially all of its assets to a newly formed subsidiary, ProKidney Holdings, and PKLP made a liquidating distribution of its limited liability company interests in ProKidney Holdings to its partners, including us. Following the Domestication, ProKidney, a wholly owned subsidiary of ProKidney Holdings and a Cayman Islands exempted company (“ProKidney-KY”), underwent a series of transactions to move its assets to Delaware through a reregistration of ProKidney-KY to a Cayman Islands limited liability company and then the domestication of such Cayman Islands limited liability company to Delaware as a Delaware limited liability company named ProKidney IPCo, LLC.</w:t>
      </w:r>
    </w:p>
    <w:p>
      <w:pPr>
        <w:spacing w:after="0" w:line="148" w:lineRule="exact"/>
        <w:rPr>
          <w:sz w:val="20"/>
          <w:szCs w:val="20"/>
          <w:color w:val="auto"/>
        </w:rPr>
      </w:pPr>
    </w:p>
    <w:p>
      <w:pPr>
        <w:ind w:left="1600" w:right="539" w:firstLine="323"/>
        <w:spacing w:after="0" w:line="251" w:lineRule="auto"/>
        <w:rPr>
          <w:sz w:val="20"/>
          <w:szCs w:val="20"/>
          <w:color w:val="auto"/>
        </w:rPr>
      </w:pPr>
      <w:r>
        <w:rPr>
          <w:rFonts w:ascii="Times New Roman" w:cs="Times New Roman" w:eastAsia="Times New Roman" w:hAnsi="Times New Roman"/>
          <w:sz w:val="14"/>
          <w:szCs w:val="14"/>
          <w:color w:val="auto"/>
        </w:rPr>
        <w:t>Our corporate headquarters are located at 2000 Frontis Plaza Boulevard, Suite 250, Winston-Salem, North Carolina 27103 and our telephone number is (336) 999-7019. We maintain a website at www.prokidney.com, to which we regularly post copies of our press releases as well as additional information about us. The information contained on, or that can be accessed through, our website is not a part of this prospectus. We have included our website address in this prospectus solely as an inactive textual reference.</w:t>
      </w:r>
    </w:p>
    <w:p>
      <w:pPr>
        <w:spacing w:after="0" w:line="145" w:lineRule="exact"/>
        <w:rPr>
          <w:sz w:val="20"/>
          <w:szCs w:val="20"/>
          <w:color w:val="auto"/>
        </w:rPr>
      </w:pPr>
    </w:p>
    <w:p>
      <w:pPr>
        <w:jc w:val="both"/>
        <w:ind w:left="1600" w:right="759" w:firstLine="323"/>
        <w:spacing w:after="0" w:line="254" w:lineRule="auto"/>
        <w:rPr>
          <w:sz w:val="20"/>
          <w:szCs w:val="20"/>
          <w:color w:val="auto"/>
        </w:rPr>
      </w:pPr>
      <w:r>
        <w:rPr>
          <w:rFonts w:ascii="Times New Roman" w:cs="Times New Roman" w:eastAsia="Times New Roman" w:hAnsi="Times New Roman"/>
          <w:sz w:val="14"/>
          <w:szCs w:val="14"/>
          <w:color w:val="auto"/>
        </w:rPr>
        <w:t>Our Annual Reports on Form 10-K, Quarterly Reports on Form 10-Q, Current Reports on Form 8-K and all amendments to those reports filed or furnished pursuant to Section 13(a) or 15(d) of the Exchange Act are available free of charge through the investor relations page of our website as soon as reasonably practicable after we electronically file such material with, or furnish it to, the SEC.</w:t>
      </w:r>
    </w:p>
    <w:p>
      <w:pPr>
        <w:spacing w:after="0" w:line="144" w:lineRule="exact"/>
        <w:rPr>
          <w:sz w:val="20"/>
          <w:szCs w:val="20"/>
          <w:color w:val="auto"/>
        </w:rPr>
      </w:pPr>
    </w:p>
    <w:p>
      <w:pPr>
        <w:ind w:left="1600" w:right="539" w:firstLine="323"/>
        <w:spacing w:after="0" w:line="254" w:lineRule="auto"/>
        <w:rPr>
          <w:sz w:val="20"/>
          <w:szCs w:val="20"/>
          <w:color w:val="auto"/>
        </w:rPr>
      </w:pPr>
      <w:r>
        <w:rPr>
          <w:rFonts w:ascii="Times New Roman" w:cs="Times New Roman" w:eastAsia="Times New Roman" w:hAnsi="Times New Roman"/>
          <w:sz w:val="14"/>
          <w:szCs w:val="14"/>
          <w:color w:val="auto"/>
        </w:rPr>
        <w:t>All brand names or trademarks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w:t>
      </w:r>
    </w:p>
    <w:p>
      <w:pPr>
        <w:spacing w:after="0" w:line="22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Offerings Under This Prospectus</w:t>
      </w:r>
    </w:p>
    <w:p>
      <w:pPr>
        <w:spacing w:after="0" w:line="89" w:lineRule="exact"/>
        <w:rPr>
          <w:sz w:val="20"/>
          <w:szCs w:val="20"/>
          <w:color w:val="auto"/>
        </w:rPr>
      </w:pPr>
    </w:p>
    <w:p>
      <w:pPr>
        <w:ind w:left="1600" w:right="639" w:firstLine="323"/>
        <w:spacing w:after="0" w:line="273" w:lineRule="auto"/>
        <w:rPr>
          <w:sz w:val="20"/>
          <w:szCs w:val="20"/>
          <w:color w:val="auto"/>
        </w:rPr>
      </w:pPr>
      <w:r>
        <w:rPr>
          <w:rFonts w:ascii="Times New Roman" w:cs="Times New Roman" w:eastAsia="Times New Roman" w:hAnsi="Times New Roman"/>
          <w:sz w:val="13"/>
          <w:szCs w:val="13"/>
          <w:color w:val="auto"/>
        </w:rPr>
        <w:t>Under this prospectus, we may offer shares of our Class A common stock and preferred stock, various series of debt securities and/or warrants or rights to purchase any of such securities, either individually or in units, with a total value of up to $650,000,000,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60" w:lineRule="exact"/>
        <w:rPr>
          <w:sz w:val="20"/>
          <w:szCs w:val="20"/>
          <w:color w:val="auto"/>
        </w:rPr>
      </w:pPr>
    </w:p>
    <w:p>
      <w:pPr>
        <w:ind w:left="2320" w:hanging="313"/>
        <w:spacing w:after="0"/>
        <w:tabs>
          <w:tab w:leader="none" w:pos="2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designation or classification;</w:t>
      </w:r>
    </w:p>
    <w:p>
      <w:pPr>
        <w:spacing w:after="0" w:line="94" w:lineRule="exact"/>
        <w:rPr>
          <w:rFonts w:ascii="Times New Roman" w:cs="Times New Roman" w:eastAsia="Times New Roman" w:hAnsi="Times New Roman"/>
          <w:sz w:val="14"/>
          <w:szCs w:val="14"/>
          <w:color w:val="auto"/>
        </w:rPr>
      </w:pPr>
    </w:p>
    <w:p>
      <w:pPr>
        <w:ind w:left="2320" w:hanging="313"/>
        <w:spacing w:after="0"/>
        <w:tabs>
          <w:tab w:leader="none" w:pos="2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principal amount or aggregate offering price;</w:t>
      </w:r>
    </w:p>
    <w:p>
      <w:pPr>
        <w:spacing w:after="0" w:line="2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79"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933450</wp:posOffset>
            </wp:positionH>
            <wp:positionV relativeFrom="paragraph">
              <wp:posOffset>158750</wp:posOffset>
            </wp:positionV>
            <wp:extent cx="5307330" cy="49434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07330" cy="4943475"/>
                    </a:xfrm>
                    <a:prstGeom prst="rect">
                      <a:avLst/>
                    </a:prstGeom>
                    <a:noFill/>
                  </pic:spPr>
                </pic:pic>
              </a:graphicData>
            </a:graphic>
          </wp:anchor>
        </w:drawing>
      </w:r>
    </w:p>
    <w:p>
      <w:pPr>
        <w:spacing w:after="0" w:line="355" w:lineRule="exact"/>
        <w:rPr>
          <w:sz w:val="20"/>
          <w:szCs w:val="20"/>
          <w:color w:val="auto"/>
        </w:rPr>
      </w:pPr>
    </w:p>
    <w:p>
      <w:pPr>
        <w:ind w:left="2320" w:hanging="313"/>
        <w:spacing w:after="0"/>
        <w:tabs>
          <w:tab w:leader="none" w:pos="2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 if applicable;</w:t>
      </w:r>
    </w:p>
    <w:p>
      <w:pPr>
        <w:spacing w:after="0" w:line="94" w:lineRule="exact"/>
        <w:rPr>
          <w:rFonts w:ascii="Times New Roman" w:cs="Times New Roman" w:eastAsia="Times New Roman" w:hAnsi="Times New Roman"/>
          <w:sz w:val="14"/>
          <w:szCs w:val="14"/>
          <w:color w:val="auto"/>
        </w:rPr>
      </w:pPr>
    </w:p>
    <w:p>
      <w:pPr>
        <w:ind w:left="2320" w:hanging="313"/>
        <w:spacing w:after="0"/>
        <w:tabs>
          <w:tab w:leader="none" w:pos="2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rates and times of payment of interest or dividends, if any;</w:t>
      </w:r>
    </w:p>
    <w:p>
      <w:pPr>
        <w:spacing w:after="0" w:line="94" w:lineRule="exact"/>
        <w:rPr>
          <w:rFonts w:ascii="Times New Roman" w:cs="Times New Roman" w:eastAsia="Times New Roman" w:hAnsi="Times New Roman"/>
          <w:sz w:val="14"/>
          <w:szCs w:val="14"/>
          <w:color w:val="auto"/>
        </w:rPr>
      </w:pPr>
    </w:p>
    <w:p>
      <w:pPr>
        <w:ind w:left="2320" w:hanging="313"/>
        <w:spacing w:after="0"/>
        <w:tabs>
          <w:tab w:leader="none" w:pos="2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conversion or sinking fund terms, if any;</w:t>
      </w:r>
    </w:p>
    <w:p>
      <w:pPr>
        <w:spacing w:after="0" w:line="94" w:lineRule="exact"/>
        <w:rPr>
          <w:rFonts w:ascii="Times New Roman" w:cs="Times New Roman" w:eastAsia="Times New Roman" w:hAnsi="Times New Roman"/>
          <w:sz w:val="14"/>
          <w:szCs w:val="14"/>
          <w:color w:val="auto"/>
        </w:rPr>
      </w:pPr>
    </w:p>
    <w:p>
      <w:pPr>
        <w:ind w:left="2320" w:hanging="313"/>
        <w:spacing w:after="0"/>
        <w:tabs>
          <w:tab w:leader="none" w:pos="2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or other rights, if any; and</w:t>
      </w:r>
    </w:p>
    <w:p>
      <w:pPr>
        <w:spacing w:after="0" w:line="94" w:lineRule="exact"/>
        <w:rPr>
          <w:rFonts w:ascii="Times New Roman" w:cs="Times New Roman" w:eastAsia="Times New Roman" w:hAnsi="Times New Roman"/>
          <w:sz w:val="14"/>
          <w:szCs w:val="14"/>
          <w:color w:val="auto"/>
        </w:rPr>
      </w:pPr>
    </w:p>
    <w:p>
      <w:pPr>
        <w:ind w:left="2320" w:hanging="313"/>
        <w:spacing w:after="0"/>
        <w:tabs>
          <w:tab w:leader="none" w:pos="2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or exercise prices, if any.</w:t>
      </w:r>
    </w:p>
    <w:p>
      <w:pPr>
        <w:spacing w:after="0" w:line="166" w:lineRule="exact"/>
        <w:rPr>
          <w:sz w:val="20"/>
          <w:szCs w:val="20"/>
          <w:color w:val="auto"/>
        </w:rPr>
      </w:pPr>
    </w:p>
    <w:p>
      <w:pPr>
        <w:jc w:val="both"/>
        <w:ind w:left="1600" w:right="519" w:firstLine="323"/>
        <w:spacing w:after="0" w:line="254" w:lineRule="auto"/>
        <w:rPr>
          <w:sz w:val="20"/>
          <w:szCs w:val="20"/>
          <w:color w:val="auto"/>
        </w:rPr>
      </w:pPr>
      <w:r>
        <w:rPr>
          <w:rFonts w:ascii="Times New Roman" w:cs="Times New Roman" w:eastAsia="Times New Roman" w:hAnsi="Times New Roman"/>
          <w:sz w:val="14"/>
          <w:szCs w:val="14"/>
          <w:color w:val="auto"/>
        </w:rPr>
        <w:t>A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44" w:lineRule="exact"/>
        <w:rPr>
          <w:sz w:val="20"/>
          <w:szCs w:val="20"/>
          <w:color w:val="auto"/>
        </w:rPr>
      </w:pPr>
    </w:p>
    <w:p>
      <w:pPr>
        <w:ind w:left="1600" w:right="579" w:firstLine="323"/>
        <w:spacing w:after="0" w:line="254" w:lineRule="auto"/>
        <w:rPr>
          <w:sz w:val="20"/>
          <w:szCs w:val="20"/>
          <w:color w:val="auto"/>
        </w:rPr>
      </w:pPr>
      <w:r>
        <w:rPr>
          <w:rFonts w:ascii="Times New Roman" w:cs="Times New Roman" w:eastAsia="Times New Roman" w:hAnsi="Times New Roman"/>
          <w:sz w:val="14"/>
          <w:szCs w:val="14"/>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72" w:lineRule="exact"/>
        <w:rPr>
          <w:sz w:val="20"/>
          <w:szCs w:val="20"/>
          <w:color w:val="auto"/>
        </w:rPr>
      </w:pPr>
    </w:p>
    <w:p>
      <w:pPr>
        <w:ind w:left="2320" w:hanging="313"/>
        <w:spacing w:after="0"/>
        <w:tabs>
          <w:tab w:leader="none" w:pos="2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those agents or underwriters;</w:t>
      </w:r>
    </w:p>
    <w:p>
      <w:pPr>
        <w:spacing w:after="0" w:line="94" w:lineRule="exact"/>
        <w:rPr>
          <w:rFonts w:ascii="Times New Roman" w:cs="Times New Roman" w:eastAsia="Times New Roman" w:hAnsi="Times New Roman"/>
          <w:sz w:val="14"/>
          <w:szCs w:val="14"/>
          <w:color w:val="auto"/>
        </w:rPr>
      </w:pPr>
    </w:p>
    <w:p>
      <w:pPr>
        <w:ind w:left="2320" w:hanging="313"/>
        <w:spacing w:after="0"/>
        <w:tabs>
          <w:tab w:leader="none" w:pos="2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fees, discounts and commissions to be paid to them;</w:t>
      </w:r>
    </w:p>
    <w:p>
      <w:pPr>
        <w:spacing w:after="0" w:line="94" w:lineRule="exact"/>
        <w:rPr>
          <w:rFonts w:ascii="Times New Roman" w:cs="Times New Roman" w:eastAsia="Times New Roman" w:hAnsi="Times New Roman"/>
          <w:sz w:val="14"/>
          <w:szCs w:val="14"/>
          <w:color w:val="auto"/>
        </w:rPr>
      </w:pPr>
    </w:p>
    <w:p>
      <w:pPr>
        <w:ind w:left="2320" w:hanging="313"/>
        <w:spacing w:after="0"/>
        <w:tabs>
          <w:tab w:leader="none" w:pos="2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details regarding over-allotment options, if any; and</w:t>
      </w:r>
    </w:p>
    <w:p>
      <w:pPr>
        <w:spacing w:after="0" w:line="94" w:lineRule="exact"/>
        <w:rPr>
          <w:rFonts w:ascii="Times New Roman" w:cs="Times New Roman" w:eastAsia="Times New Roman" w:hAnsi="Times New Roman"/>
          <w:sz w:val="14"/>
          <w:szCs w:val="14"/>
          <w:color w:val="auto"/>
        </w:rPr>
      </w:pPr>
    </w:p>
    <w:p>
      <w:pPr>
        <w:ind w:left="2320" w:hanging="313"/>
        <w:spacing w:after="0"/>
        <w:tabs>
          <w:tab w:leader="none" w:pos="2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to us.</w:t>
      </w:r>
    </w:p>
    <w:p>
      <w:pPr>
        <w:spacing w:after="0" w:line="24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This prospectus may not be used to consummate a sale of any securities unless it is accompanied by a prospectus supplement.</w:t>
      </w:r>
    </w:p>
    <w:p>
      <w:pPr>
        <w:spacing w:after="0" w:line="8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 and a Smaller Reporting Company</w:t>
      </w:r>
    </w:p>
    <w:p>
      <w:pPr>
        <w:spacing w:after="0" w:line="89" w:lineRule="exact"/>
        <w:rPr>
          <w:sz w:val="20"/>
          <w:szCs w:val="20"/>
          <w:color w:val="auto"/>
        </w:rPr>
      </w:pPr>
    </w:p>
    <w:p>
      <w:pPr>
        <w:ind w:left="1600" w:right="599" w:firstLine="323"/>
        <w:spacing w:after="0" w:line="254" w:lineRule="auto"/>
        <w:rPr>
          <w:sz w:val="20"/>
          <w:szCs w:val="20"/>
          <w:color w:val="auto"/>
        </w:rPr>
      </w:pPr>
      <w:r>
        <w:rPr>
          <w:rFonts w:ascii="Times New Roman" w:cs="Times New Roman" w:eastAsia="Times New Roman" w:hAnsi="Times New Roman"/>
          <w:sz w:val="14"/>
          <w:szCs w:val="14"/>
          <w:color w:val="auto"/>
        </w:rPr>
        <w:t>We qualify as an “emerging growth company” as defined in the Jumpstart Our Business Startups Act of 2012 (the “JOBS Act”). For so long as we remain an emerging growth company, we may take advantage of relief from certain reporting requirements and other burdens that are otherwise applicable generally to public companies. These provisions include:</w:t>
      </w:r>
    </w:p>
    <w:p>
      <w:pPr>
        <w:spacing w:after="0" w:line="72" w:lineRule="exact"/>
        <w:rPr>
          <w:sz w:val="20"/>
          <w:szCs w:val="20"/>
          <w:color w:val="auto"/>
        </w:rPr>
      </w:pPr>
    </w:p>
    <w:p>
      <w:pPr>
        <w:ind w:left="2320" w:right="619" w:hanging="313"/>
        <w:spacing w:after="0" w:line="254" w:lineRule="auto"/>
        <w:tabs>
          <w:tab w:leader="none" w:pos="2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obligations with respect to financial data, including only being required to present two years of audited financial statements, in addition to any required unaudited interim financial statements with correspondingly reduced “Management’s Discussion and Analysis of Financial Condition and Results of Operations” disclosure;</w:t>
      </w:r>
    </w:p>
    <w:p>
      <w:pPr>
        <w:spacing w:after="0" w:line="72" w:lineRule="exact"/>
        <w:rPr>
          <w:rFonts w:ascii="Times New Roman" w:cs="Times New Roman" w:eastAsia="Times New Roman" w:hAnsi="Times New Roman"/>
          <w:sz w:val="14"/>
          <w:szCs w:val="14"/>
          <w:color w:val="auto"/>
        </w:rPr>
      </w:pPr>
    </w:p>
    <w:p>
      <w:pPr>
        <w:ind w:left="2320" w:right="1019" w:hanging="313"/>
        <w:spacing w:after="0" w:line="265" w:lineRule="auto"/>
        <w:tabs>
          <w:tab w:leader="none" w:pos="2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exception from compliance with the auditor attestation requirements of Section 404 of the Sarbanes-Oxley Act of 2002, as amended;</w:t>
      </w:r>
    </w:p>
    <w:p>
      <w:pPr>
        <w:spacing w:after="0" w:line="63" w:lineRule="exact"/>
        <w:rPr>
          <w:rFonts w:ascii="Times New Roman" w:cs="Times New Roman" w:eastAsia="Times New Roman" w:hAnsi="Times New Roman"/>
          <w:sz w:val="14"/>
          <w:szCs w:val="14"/>
          <w:color w:val="auto"/>
        </w:rPr>
      </w:pPr>
    </w:p>
    <w:p>
      <w:pPr>
        <w:ind w:left="2320" w:right="1019" w:hanging="313"/>
        <w:spacing w:after="0" w:line="265" w:lineRule="auto"/>
        <w:tabs>
          <w:tab w:leader="none" w:pos="2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about our executive compensation arrangements in our periodic reports, proxy statements and registration statements;</w:t>
      </w:r>
    </w:p>
    <w:p>
      <w:pPr>
        <w:spacing w:after="0" w:line="63" w:lineRule="exact"/>
        <w:rPr>
          <w:rFonts w:ascii="Times New Roman" w:cs="Times New Roman" w:eastAsia="Times New Roman" w:hAnsi="Times New Roman"/>
          <w:sz w:val="14"/>
          <w:szCs w:val="14"/>
          <w:color w:val="auto"/>
        </w:rPr>
      </w:pPr>
    </w:p>
    <w:p>
      <w:pPr>
        <w:ind w:left="2320" w:right="1219" w:hanging="313"/>
        <w:spacing w:after="0" w:line="265" w:lineRule="auto"/>
        <w:tabs>
          <w:tab w:leader="none" w:pos="2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the requirements of holding non-binding advisory votes on executive compensation or golden parachute arrangements; and</w:t>
      </w:r>
    </w:p>
    <w:p>
      <w:pPr>
        <w:spacing w:after="0" w:line="63" w:lineRule="exact"/>
        <w:rPr>
          <w:rFonts w:ascii="Times New Roman" w:cs="Times New Roman" w:eastAsia="Times New Roman" w:hAnsi="Times New Roman"/>
          <w:sz w:val="14"/>
          <w:szCs w:val="14"/>
          <w:color w:val="auto"/>
        </w:rPr>
      </w:pPr>
    </w:p>
    <w:p>
      <w:pPr>
        <w:ind w:left="2320" w:right="1259" w:hanging="313"/>
        <w:spacing w:after="0" w:line="265" w:lineRule="auto"/>
        <w:tabs>
          <w:tab w:leader="none" w:pos="2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exemption from compliance with the requirements of the Public Company Accounting Oversight Board regarding the communication of critical audit matters in the auditor’s report on financial statements.</w:t>
      </w:r>
    </w:p>
    <w:p>
      <w:pPr>
        <w:spacing w:after="0" w:line="136" w:lineRule="exact"/>
        <w:rPr>
          <w:sz w:val="20"/>
          <w:szCs w:val="20"/>
          <w:color w:val="auto"/>
        </w:rPr>
      </w:pPr>
    </w:p>
    <w:p>
      <w:pPr>
        <w:ind w:left="1600" w:right="919" w:firstLine="323"/>
        <w:spacing w:after="0" w:line="265" w:lineRule="auto"/>
        <w:rPr>
          <w:sz w:val="20"/>
          <w:szCs w:val="20"/>
          <w:color w:val="auto"/>
        </w:rPr>
      </w:pPr>
      <w:r>
        <w:rPr>
          <w:rFonts w:ascii="Times New Roman" w:cs="Times New Roman" w:eastAsia="Times New Roman" w:hAnsi="Times New Roman"/>
          <w:sz w:val="14"/>
          <w:szCs w:val="14"/>
          <w:color w:val="auto"/>
        </w:rPr>
        <w:t>We may take advantage of these provisions until we no longer qualify as an emerging growth company. We will cease to qualify as an emerging growth company on the date that is the earliest of: (i) December 31, 2026,</w:t>
      </w:r>
    </w:p>
    <w:p>
      <w:pPr>
        <w:spacing w:after="0" w:line="2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79"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933450</wp:posOffset>
            </wp:positionH>
            <wp:positionV relativeFrom="paragraph">
              <wp:posOffset>158750</wp:posOffset>
            </wp:positionV>
            <wp:extent cx="5307330" cy="29883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07330" cy="2988310"/>
                    </a:xfrm>
                    <a:prstGeom prst="rect">
                      <a:avLst/>
                    </a:prstGeom>
                    <a:noFill/>
                  </pic:spPr>
                </pic:pic>
              </a:graphicData>
            </a:graphic>
          </wp:anchor>
        </w:drawing>
      </w:r>
    </w:p>
    <w:p>
      <w:pPr>
        <w:spacing w:after="0" w:line="355" w:lineRule="exact"/>
        <w:rPr>
          <w:sz w:val="20"/>
          <w:szCs w:val="20"/>
          <w:color w:val="auto"/>
        </w:rPr>
      </w:pPr>
    </w:p>
    <w:p>
      <w:pPr>
        <w:ind w:left="1600" w:right="499" w:firstLine="8"/>
        <w:spacing w:after="0" w:line="248" w:lineRule="auto"/>
        <w:tabs>
          <w:tab w:leader="none" w:pos="1801"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prospectus. Accordingly, the information contained herein may be different than you might obtain from other public companies in which you hold equity interests.</w:t>
      </w:r>
    </w:p>
    <w:p>
      <w:pPr>
        <w:spacing w:after="0" w:line="148" w:lineRule="exact"/>
        <w:rPr>
          <w:sz w:val="20"/>
          <w:szCs w:val="20"/>
          <w:color w:val="auto"/>
        </w:rPr>
      </w:pPr>
    </w:p>
    <w:p>
      <w:pPr>
        <w:ind w:left="1600" w:right="679" w:firstLine="323"/>
        <w:spacing w:after="0" w:line="246" w:lineRule="auto"/>
        <w:rPr>
          <w:sz w:val="20"/>
          <w:szCs w:val="20"/>
          <w:color w:val="auto"/>
        </w:rPr>
      </w:pPr>
      <w:r>
        <w:rPr>
          <w:rFonts w:ascii="Times New Roman" w:cs="Times New Roman" w:eastAsia="Times New Roman" w:hAnsi="Times New Roman"/>
          <w:sz w:val="14"/>
          <w:szCs w:val="14"/>
          <w:color w:val="auto"/>
        </w:rPr>
        <w:t>In addition, under the JOBS Act, emerging growth companies can delay adopting new or revised accounting standards until such time as those standards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As a result of these elections, the information that we provide in this prospectus may be different than the information you may receive from other public companies in which you hold equity interests. In addition, it is possible that some investors will find our common stock less attractive as a result of these elections, which may result in a less active trading market for our common stock and higher volatility in our share price.</w:t>
      </w:r>
    </w:p>
    <w:p>
      <w:pPr>
        <w:spacing w:after="0" w:line="15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color w:val="auto"/>
        </w:rPr>
        <w:t>We are also a “smaller reporting company,” meaning that the market value of our shares held by non-affiliates was less than $700 million as</w:t>
      </w:r>
    </w:p>
    <w:p>
      <w:pPr>
        <w:spacing w:after="0" w:line="2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color w:val="auto"/>
        </w:rPr>
        <w:t>of the last business day of our most recently completed second fiscal quarter and our annual revenue was less than $100 million during the most</w:t>
      </w:r>
    </w:p>
    <w:p>
      <w:pPr>
        <w:spacing w:after="0" w:line="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color w:val="auto"/>
        </w:rPr>
        <w:t>recently completed fiscal year. We may continue to be a smaller reporting company if either (i) the market value of our shares held by non-affiliates</w:t>
      </w:r>
    </w:p>
    <w:p>
      <w:pPr>
        <w:spacing w:after="0" w:line="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color w:val="auto"/>
        </w:rPr>
        <w:t>is less than $250 million as of the last business day of our most recently completed second fiscal quarter or (ii) our annual revenue was less than</w:t>
      </w:r>
    </w:p>
    <w:p>
      <w:pPr>
        <w:spacing w:after="0" w:line="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color w:val="auto"/>
        </w:rPr>
        <w:t>$100 million during the most recently completed fiscal year and the market value of our shares held by non-affiliates is less than $700 million as of</w:t>
      </w:r>
    </w:p>
    <w:p>
      <w:pPr>
        <w:spacing w:after="0" w:line="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last business day of our most recently completed second fiscal quarter. If we are a smaller reporting company at the time we cease to be an</w:t>
      </w:r>
    </w:p>
    <w:p>
      <w:pPr>
        <w:spacing w:after="0" w:line="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emerging growth company, we may continue to rely on exemptions from certain disclosure requirements that are available to smaller reporting</w:t>
      </w:r>
    </w:p>
    <w:p>
      <w:pPr>
        <w:spacing w:after="0" w:line="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companies. Specifically, as a smaller reporting company, we may choose to present only the two most recent fiscal years of audited financial</w:t>
      </w:r>
    </w:p>
    <w:p>
      <w:pPr>
        <w:spacing w:after="0" w:line="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color w:val="auto"/>
        </w:rPr>
        <w:t>statements in our Annual Report on Form 10-K and, similar to emerging growth companies, smaller reporting companies have reduced disclosure</w:t>
      </w:r>
    </w:p>
    <w:p>
      <w:pPr>
        <w:spacing w:after="0" w:line="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obligations regarding executive compensation.</w:t>
      </w:r>
    </w:p>
    <w:p>
      <w:pPr>
        <w:spacing w:after="0" w:line="2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79"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0" w:lineRule="exact"/>
        <w:rPr>
          <w:sz w:val="20"/>
          <w:szCs w:val="20"/>
          <w:color w:val="auto"/>
        </w:rPr>
      </w:pPr>
    </w:p>
    <w:p>
      <w:pPr>
        <w:ind w:left="1480" w:right="359" w:firstLine="334"/>
        <w:spacing w:after="0" w:line="246" w:lineRule="auto"/>
        <w:rPr>
          <w:sz w:val="20"/>
          <w:szCs w:val="20"/>
          <w:color w:val="auto"/>
        </w:rPr>
      </w:pPr>
      <w:r>
        <w:rPr>
          <w:rFonts w:ascii="Times New Roman" w:cs="Times New Roman" w:eastAsia="Times New Roman" w:hAnsi="Times New Roman"/>
          <w:sz w:val="14"/>
          <w:szCs w:val="14"/>
          <w:color w:val="auto"/>
        </w:rPr>
        <w:t>An investment in our securities involves a high degree of risk. Before making an investment decision you should carefully read and consider the risks and uncertainties and all of the other information, documents or reports included or incorporated by reference in this prospectus, including, without limitation, the risk factors in the section entitled “Risk Factors” in our most recent Annual Report on Form 10-K, which is on file with the SEC and incorporated by reference herein, as well as the risk factors set forth in any applicable prospectus supplement and the other reports we file from time to time with the SEC that are incorporated by reference in this prospectus. If any of the risks set forth in such “Risk Factors” disclosures actually occur, our business, financial condition, and/or results of operations could suffer. In that case, the market price of our securities offered by this prospectus could decline, and you may lose all or part of your investment. Additional risks and uncertainties that we do not presently know or that we currently deem immaterial may also have a material adverse effect on our business. See “Where You Can Find More Information” included elsewhere in this prospectus.</w:t>
      </w:r>
    </w:p>
    <w:p>
      <w:pPr>
        <w:spacing w:after="0" w:line="10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79"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0" w:lineRule="exact"/>
        <w:rPr>
          <w:sz w:val="20"/>
          <w:szCs w:val="20"/>
          <w:color w:val="auto"/>
        </w:rPr>
      </w:pPr>
    </w:p>
    <w:p>
      <w:pPr>
        <w:ind w:left="1480" w:right="339" w:firstLine="334"/>
        <w:spacing w:after="0" w:line="247" w:lineRule="auto"/>
        <w:rPr>
          <w:sz w:val="20"/>
          <w:szCs w:val="20"/>
          <w:color w:val="auto"/>
        </w:rPr>
      </w:pPr>
      <w:r>
        <w:rPr>
          <w:rFonts w:ascii="Times New Roman" w:cs="Times New Roman" w:eastAsia="Times New Roman" w:hAnsi="Times New Roman"/>
          <w:sz w:val="14"/>
          <w:szCs w:val="14"/>
          <w:color w:val="auto"/>
        </w:rPr>
        <w:t>This prospectus and the information incorporated by reference herein include “forward-looking statements” within the meaning of Section 27A of the Securities Act of 1933, as amended (the “Securities Act”), and Section 21E of the Exchange Act. All statements, other than statements of historical facts, included in this prospectus and the information incorporated by reference herein regarding our strategy, future operations, future financial position, future revenue, projected costs, prospects, plans, objectives of management, potential results of our drug development efforts or trials, the effects of competition and expected market growth are forward-looking statements. The words “anticipate,” “believe,” “contemplate,” “seeks,” “estimate,” “expect,” “forecast,” “intend,” “may,” “plan,” “predict,” “project,” “target,” “potential,” “will,” “would,” “could,” “should,” “continue” and similar expressions are intended to identify forward-looking statements, although not all forward-looking statements contain these identifying words. These forward-looking statements may include, among other things, statements about:</w:t>
      </w:r>
    </w:p>
    <w:p>
      <w:pPr>
        <w:spacing w:after="0" w:line="76" w:lineRule="exact"/>
        <w:rPr>
          <w:sz w:val="20"/>
          <w:szCs w:val="20"/>
          <w:color w:val="auto"/>
        </w:rPr>
      </w:pPr>
    </w:p>
    <w:p>
      <w:pPr>
        <w:ind w:left="2200" w:right="559" w:hanging="321"/>
        <w:spacing w:after="0" w:line="265" w:lineRule="auto"/>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the listing of our Class A common stock on Nasdaq and the continued inclusion of our Class A common stock in various market indices;</w:t>
      </w:r>
    </w:p>
    <w:p>
      <w:pPr>
        <w:spacing w:after="0" w:line="63"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our growth effectively;</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cost and timing of our product development activities, including our clinical trials;</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attributes and benefits of our product candidates, and if approved, our products;</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manufacture rilparencel, our lead product candidate;</w:t>
      </w:r>
    </w:p>
    <w:p>
      <w:pPr>
        <w:spacing w:after="0" w:line="94" w:lineRule="exact"/>
        <w:rPr>
          <w:rFonts w:ascii="Times New Roman" w:cs="Times New Roman" w:eastAsia="Times New Roman" w:hAnsi="Times New Roman"/>
          <w:sz w:val="14"/>
          <w:szCs w:val="14"/>
          <w:color w:val="auto"/>
        </w:rPr>
      </w:pPr>
    </w:p>
    <w:p>
      <w:pPr>
        <w:ind w:left="2200" w:right="639" w:hanging="321"/>
        <w:spacing w:after="0" w:line="265" w:lineRule="auto"/>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regulatory clearance or approval for our products, and any related restrictions and limitations of any cleared or approved product;</w:t>
      </w:r>
    </w:p>
    <w:p>
      <w:pPr>
        <w:spacing w:after="0" w:line="63"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in-license or acquire additional technology;</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our existing license, manufacturing and supply agreements;</w:t>
      </w:r>
    </w:p>
    <w:p>
      <w:pPr>
        <w:spacing w:after="0" w:line="94" w:lineRule="exact"/>
        <w:rPr>
          <w:rFonts w:ascii="Times New Roman" w:cs="Times New Roman" w:eastAsia="Times New Roman" w:hAnsi="Times New Roman"/>
          <w:sz w:val="14"/>
          <w:szCs w:val="14"/>
          <w:color w:val="auto"/>
        </w:rPr>
      </w:pPr>
    </w:p>
    <w:p>
      <w:pPr>
        <w:ind w:left="2200" w:right="339" w:hanging="321"/>
        <w:spacing w:after="0" w:line="265" w:lineRule="auto"/>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 parties to conduct, supervise and monitor a certain portion of our research and nonclinical testing and clinical trials for rilparencel;</w:t>
      </w:r>
    </w:p>
    <w:p>
      <w:pPr>
        <w:spacing w:after="0" w:line="63" w:lineRule="exact"/>
        <w:rPr>
          <w:rFonts w:ascii="Times New Roman" w:cs="Times New Roman" w:eastAsia="Times New Roman" w:hAnsi="Times New Roman"/>
          <w:sz w:val="14"/>
          <w:szCs w:val="14"/>
          <w:color w:val="auto"/>
        </w:rPr>
      </w:pPr>
    </w:p>
    <w:p>
      <w:pPr>
        <w:ind w:left="2200" w:right="419" w:hanging="321"/>
        <w:spacing w:after="0" w:line="265" w:lineRule="auto"/>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with other companies currently marketing or engaged in the biologics market and in the area of treatment of kidney disease, many of which have greater financial and marketing resources than us;</w:t>
      </w:r>
    </w:p>
    <w:p>
      <w:pPr>
        <w:spacing w:after="0" w:line="63" w:lineRule="exact"/>
        <w:rPr>
          <w:rFonts w:ascii="Times New Roman" w:cs="Times New Roman" w:eastAsia="Times New Roman" w:hAnsi="Times New Roman"/>
          <w:sz w:val="14"/>
          <w:szCs w:val="14"/>
          <w:color w:val="auto"/>
        </w:rPr>
      </w:pPr>
    </w:p>
    <w:p>
      <w:pPr>
        <w:ind w:left="2200" w:right="839" w:hanging="321"/>
        <w:spacing w:after="0" w:line="265" w:lineRule="auto"/>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potential of the markets for our products, if approved, and our ability to serve those markets, either alone or in partnership with others;</w:t>
      </w:r>
    </w:p>
    <w:p>
      <w:pPr>
        <w:spacing w:after="0" w:line="63"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applicable laws or regulations;</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expenses, revenue, capital requirements and needs for additional financing;</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financing in the future;</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as a going concern;</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intellectual property rights;</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breaches with respect to computer systems;</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downturns, geopolitical conflict and political and market conditions beyond our control;</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anticipated use of proceeds from this offering, if any; and</w:t>
      </w:r>
    </w:p>
    <w:p>
      <w:pPr>
        <w:spacing w:after="0" w:line="90"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detailed under the section 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ind w:left="1480" w:right="559" w:firstLine="334"/>
        <w:spacing w:after="0" w:line="265" w:lineRule="auto"/>
        <w:rPr>
          <w:sz w:val="20"/>
          <w:szCs w:val="20"/>
          <w:color w:val="auto"/>
        </w:rPr>
      </w:pPr>
      <w:r>
        <w:rPr>
          <w:rFonts w:ascii="Times New Roman" w:cs="Times New Roman" w:eastAsia="Times New Roman" w:hAnsi="Times New Roman"/>
          <w:sz w:val="14"/>
          <w:szCs w:val="14"/>
          <w:color w:val="auto"/>
        </w:rPr>
        <w:t>We may not actually achieve the plans, intentions or expectations disclosed in our forward-looking statements, and you should not place undue reliance on our forward-looking statements. Actual results or events</w:t>
      </w:r>
    </w:p>
    <w:p>
      <w:pPr>
        <w:spacing w:after="0" w:line="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79"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339"/>
        <w:spacing w:after="0" w:line="271" w:lineRule="auto"/>
        <w:rPr>
          <w:sz w:val="20"/>
          <w:szCs w:val="20"/>
          <w:color w:val="auto"/>
        </w:rPr>
      </w:pPr>
      <w:r>
        <w:rPr>
          <w:rFonts w:ascii="Times New Roman" w:cs="Times New Roman" w:eastAsia="Times New Roman" w:hAnsi="Times New Roman"/>
          <w:sz w:val="13"/>
          <w:szCs w:val="13"/>
          <w:color w:val="auto"/>
        </w:rPr>
        <w:t>could differ materially from the plans, intentions and expectations disclosed in the forward-looking statements we make. We have included important factors in the cautionary statements included in this prospectus and the information incorporated by reference herein, particularly in the “Risk Factors” sections of this prospectus, of our Annual Report on Form 10- K for the year ended December 31, 2025, filed with SEC on March 18, 2026, and our Quarterly Report on Form 10-Q for the quarter ended June 30, 2026, filed with the SEC on August 10, 2026, which are incorporated by reference herein, that could cause actual results or events to differ materially from the forward-looking statements that we make. Our forward-looking statements do not reflect the potential impact of any future acquisitions, mergers, dispositions, joint ventures or investments that we may make.</w:t>
      </w:r>
    </w:p>
    <w:p>
      <w:pPr>
        <w:spacing w:after="0" w:line="133" w:lineRule="exact"/>
        <w:rPr>
          <w:sz w:val="20"/>
          <w:szCs w:val="20"/>
          <w:color w:val="auto"/>
        </w:rPr>
      </w:pPr>
    </w:p>
    <w:p>
      <w:pPr>
        <w:jc w:val="both"/>
        <w:ind w:left="1480" w:right="359" w:firstLine="334"/>
        <w:spacing w:after="0" w:line="283" w:lineRule="auto"/>
        <w:rPr>
          <w:sz w:val="20"/>
          <w:szCs w:val="20"/>
          <w:color w:val="auto"/>
        </w:rPr>
      </w:pPr>
      <w:r>
        <w:rPr>
          <w:rFonts w:ascii="Times New Roman" w:cs="Times New Roman" w:eastAsia="Times New Roman" w:hAnsi="Times New Roman"/>
          <w:sz w:val="13"/>
          <w:szCs w:val="13"/>
          <w:color w:val="auto"/>
        </w:rPr>
        <w:t>You should read this prospectus and the information incorporated by reference herein completely and with the understanding that our actual future results may be materially different from what we expect. Any forward-looking statement speaks only as of the date of this prospectus. We do not assume any obligation to update any forward-looking statements, whether as a result of new information, future events or otherwise, except as required by law.</w:t>
      </w:r>
    </w:p>
    <w:p>
      <w:pPr>
        <w:spacing w:after="0" w:line="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79"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0" w:lineRule="exact"/>
        <w:rPr>
          <w:sz w:val="20"/>
          <w:szCs w:val="20"/>
          <w:color w:val="auto"/>
        </w:rPr>
      </w:pPr>
    </w:p>
    <w:p>
      <w:pPr>
        <w:ind w:left="1480" w:right="419" w:firstLine="334"/>
        <w:spacing w:after="0" w:line="247"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we intend to use any net proceeds from the sale of securities under this prospectus, if any, for clinical trial costs and other research and development expenses, continued investment in our drug development platform, for our pre-commercial and commercial activities, including our commercial manufacturing facility, and for other general corporate purposes, including for working capital, capital expenditures and general and administrative expenses.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their use, we plan to invest the net proceeds from this offering in short- and intermediate-term, interest- bearing securities, investment-grade instruments, certificates of deposit or direct or guaranteed obligations of the U.S. government.</w:t>
      </w:r>
    </w:p>
    <w:p>
      <w:pPr>
        <w:spacing w:after="0" w:line="9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79"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0" w:lineRule="exact"/>
        <w:rPr>
          <w:sz w:val="20"/>
          <w:szCs w:val="20"/>
          <w:color w:val="auto"/>
        </w:rPr>
      </w:pPr>
    </w:p>
    <w:p>
      <w:pPr>
        <w:ind w:left="1480" w:right="399" w:firstLine="334"/>
        <w:spacing w:after="0" w:line="254" w:lineRule="auto"/>
        <w:rPr>
          <w:sz w:val="20"/>
          <w:szCs w:val="20"/>
          <w:color w:val="auto"/>
        </w:rPr>
      </w:pPr>
      <w:r>
        <w:rPr>
          <w:rFonts w:ascii="Times New Roman" w:cs="Times New Roman" w:eastAsia="Times New Roman" w:hAnsi="Times New Roman"/>
          <w:sz w:val="14"/>
          <w:szCs w:val="14"/>
          <w:color w:val="auto"/>
        </w:rPr>
        <w:t>We may offer securities under this prospectus from time to time pursuant to underwritten public offerings,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72" w:lineRule="exact"/>
        <w:rPr>
          <w:sz w:val="20"/>
          <w:szCs w:val="20"/>
          <w:color w:val="auto"/>
        </w:rPr>
      </w:pPr>
    </w:p>
    <w:p>
      <w:pPr>
        <w:ind w:left="2200" w:hanging="321"/>
        <w:spacing w:after="0"/>
        <w:tabs>
          <w:tab w:leader="none" w:pos="2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fixed price or prices, which may be changed from time to time;</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prices prevailing at the time of sale;</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prices related to the prevailing market prices; or</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negotiated prices.</w:t>
      </w:r>
    </w:p>
    <w:p>
      <w:pPr>
        <w:spacing w:after="0" w:line="16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Any public offering price, dealer purchase price, discount, or commission may be changed from time to time.</w:t>
      </w:r>
    </w:p>
    <w:p>
      <w:pPr>
        <w:spacing w:after="0" w:line="166" w:lineRule="exact"/>
        <w:rPr>
          <w:sz w:val="20"/>
          <w:szCs w:val="20"/>
          <w:color w:val="auto"/>
        </w:rPr>
      </w:pPr>
    </w:p>
    <w:p>
      <w:pPr>
        <w:ind w:left="1480" w:right="599" w:firstLine="334"/>
        <w:spacing w:after="0" w:line="254" w:lineRule="auto"/>
        <w:rPr>
          <w:sz w:val="20"/>
          <w:szCs w:val="20"/>
          <w:color w:val="auto"/>
        </w:rPr>
      </w:pPr>
      <w:r>
        <w:rPr>
          <w:rFonts w:ascii="Times New Roman" w:cs="Times New Roman" w:eastAsia="Times New Roman" w:hAnsi="Times New Roman"/>
          <w:sz w:val="14"/>
          <w:szCs w:val="14"/>
          <w:color w:val="auto"/>
        </w:rPr>
        <w:t>We may directly solicit offers to purchase the securities being offered by this prospectus. 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spacing w:after="0" w:line="144" w:lineRule="exact"/>
        <w:rPr>
          <w:sz w:val="20"/>
          <w:szCs w:val="20"/>
          <w:color w:val="auto"/>
        </w:rPr>
      </w:pPr>
    </w:p>
    <w:p>
      <w:pPr>
        <w:ind w:left="1480" w:right="479" w:firstLine="334"/>
        <w:spacing w:after="0" w:line="265" w:lineRule="auto"/>
        <w:rPr>
          <w:sz w:val="20"/>
          <w:szCs w:val="20"/>
          <w:color w:val="auto"/>
        </w:rPr>
      </w:pPr>
      <w:r>
        <w:rPr>
          <w:rFonts w:ascii="Times New Roman" w:cs="Times New Roman" w:eastAsia="Times New Roman" w:hAnsi="Times New Roman"/>
          <w:sz w:val="14"/>
          <w:szCs w:val="14"/>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36" w:lineRule="exact"/>
        <w:rPr>
          <w:sz w:val="20"/>
          <w:szCs w:val="20"/>
          <w:color w:val="auto"/>
        </w:rPr>
      </w:pPr>
    </w:p>
    <w:p>
      <w:pPr>
        <w:ind w:left="1480" w:right="439" w:firstLine="334"/>
        <w:spacing w:after="0" w:line="249" w:lineRule="auto"/>
        <w:rPr>
          <w:sz w:val="20"/>
          <w:szCs w:val="20"/>
          <w:color w:val="auto"/>
        </w:rPr>
      </w:pPr>
      <w:r>
        <w:rPr>
          <w:rFonts w:ascii="Times New Roman" w:cs="Times New Roman" w:eastAsia="Times New Roman" w:hAnsi="Times New Roman"/>
          <w:sz w:val="14"/>
          <w:szCs w:val="14"/>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47" w:lineRule="exact"/>
        <w:rPr>
          <w:sz w:val="20"/>
          <w:szCs w:val="20"/>
          <w:color w:val="auto"/>
        </w:rPr>
      </w:pPr>
    </w:p>
    <w:p>
      <w:pPr>
        <w:ind w:left="1480" w:right="479" w:firstLine="334"/>
        <w:spacing w:after="0" w:line="247" w:lineRule="auto"/>
        <w:rPr>
          <w:sz w:val="20"/>
          <w:szCs w:val="20"/>
          <w:color w:val="auto"/>
        </w:rPr>
      </w:pPr>
      <w:r>
        <w:rPr>
          <w:rFonts w:ascii="Times New Roman" w:cs="Times New Roman" w:eastAsia="Times New Roman" w:hAnsi="Times New Roman"/>
          <w:sz w:val="14"/>
          <w:szCs w:val="14"/>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50" w:lineRule="exact"/>
        <w:rPr>
          <w:sz w:val="20"/>
          <w:szCs w:val="20"/>
          <w:color w:val="auto"/>
        </w:rPr>
      </w:pPr>
    </w:p>
    <w:p>
      <w:pPr>
        <w:ind w:left="1480" w:right="439" w:firstLine="334"/>
        <w:spacing w:after="0" w:line="248" w:lineRule="auto"/>
        <w:rPr>
          <w:sz w:val="20"/>
          <w:szCs w:val="20"/>
          <w:color w:val="auto"/>
        </w:rPr>
      </w:pPr>
      <w:r>
        <w:rPr>
          <w:rFonts w:ascii="Times New Roman" w:cs="Times New Roman" w:eastAsia="Times New Roman" w:hAnsi="Times New Roman"/>
          <w:sz w:val="14"/>
          <w:szCs w:val="14"/>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79"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359"/>
        <w:spacing w:after="0" w:line="265" w:lineRule="auto"/>
        <w:rPr>
          <w:sz w:val="20"/>
          <w:szCs w:val="20"/>
          <w:color w:val="auto"/>
        </w:rPr>
      </w:pPr>
      <w:r>
        <w:rPr>
          <w:rFonts w:ascii="Times New Roman" w:cs="Times New Roman" w:eastAsia="Times New Roman" w:hAnsi="Times New Roman"/>
          <w:sz w:val="14"/>
          <w:szCs w:val="14"/>
          <w:color w:val="auto"/>
        </w:rPr>
        <w:t>institutions and other institutions, but shall in all cases be subject to our approval. Delayed delivery contracts will not be subject to any conditions except that:</w:t>
      </w:r>
    </w:p>
    <w:p>
      <w:pPr>
        <w:spacing w:after="0" w:line="64" w:lineRule="exact"/>
        <w:rPr>
          <w:sz w:val="20"/>
          <w:szCs w:val="20"/>
          <w:color w:val="auto"/>
        </w:rPr>
      </w:pPr>
    </w:p>
    <w:p>
      <w:pPr>
        <w:ind w:left="2200" w:right="459" w:hanging="321"/>
        <w:spacing w:after="0" w:line="265" w:lineRule="auto"/>
        <w:tabs>
          <w:tab w:leader="none" w:pos="2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by an institution of the securities covered under that contract shall not at the time of delivery be prohibited under the laws of the jurisdiction to which that institution is subject; and</w:t>
      </w:r>
    </w:p>
    <w:p>
      <w:pPr>
        <w:spacing w:after="0" w:line="63" w:lineRule="exact"/>
        <w:rPr>
          <w:rFonts w:ascii="Times New Roman" w:cs="Times New Roman" w:eastAsia="Times New Roman" w:hAnsi="Times New Roman"/>
          <w:sz w:val="14"/>
          <w:szCs w:val="14"/>
          <w:color w:val="auto"/>
        </w:rPr>
      </w:pPr>
    </w:p>
    <w:p>
      <w:pPr>
        <w:ind w:left="2200" w:right="419" w:hanging="321"/>
        <w:spacing w:after="0" w:line="254" w:lineRule="auto"/>
        <w:tabs>
          <w:tab w:leader="none" w:pos="2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44" w:lineRule="exact"/>
        <w:rPr>
          <w:sz w:val="20"/>
          <w:szCs w:val="20"/>
          <w:color w:val="auto"/>
        </w:rPr>
      </w:pPr>
    </w:p>
    <w:p>
      <w:pPr>
        <w:ind w:left="1480" w:right="339" w:firstLine="334"/>
        <w:spacing w:after="0" w:line="247" w:lineRule="auto"/>
        <w:rPr>
          <w:sz w:val="20"/>
          <w:szCs w:val="20"/>
          <w:color w:val="auto"/>
        </w:rPr>
      </w:pPr>
      <w:r>
        <w:rPr>
          <w:rFonts w:ascii="Times New Roman" w:cs="Times New Roman" w:eastAsia="Times New Roman" w:hAnsi="Times New Roman"/>
          <w:sz w:val="14"/>
          <w:szCs w:val="14"/>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50" w:lineRule="exact"/>
        <w:rPr>
          <w:sz w:val="20"/>
          <w:szCs w:val="20"/>
          <w:color w:val="auto"/>
        </w:rPr>
      </w:pPr>
    </w:p>
    <w:p>
      <w:pPr>
        <w:ind w:left="1480" w:right="419" w:firstLine="334"/>
        <w:spacing w:after="0" w:line="249" w:lineRule="auto"/>
        <w:rPr>
          <w:sz w:val="20"/>
          <w:szCs w:val="20"/>
          <w:color w:val="auto"/>
        </w:rPr>
      </w:pPr>
      <w:r>
        <w:rPr>
          <w:rFonts w:ascii="Times New Roman" w:cs="Times New Roman" w:eastAsia="Times New Roman" w:hAnsi="Times New Roman"/>
          <w:sz w:val="14"/>
          <w:szCs w:val="14"/>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w:t>
      </w:r>
    </w:p>
    <w:p>
      <w:pPr>
        <w:spacing w:after="0" w:line="147" w:lineRule="exact"/>
        <w:rPr>
          <w:sz w:val="20"/>
          <w:szCs w:val="20"/>
          <w:color w:val="auto"/>
        </w:rPr>
      </w:pPr>
    </w:p>
    <w:p>
      <w:pPr>
        <w:ind w:left="1480" w:right="359" w:firstLine="334"/>
        <w:spacing w:after="0" w:line="249" w:lineRule="auto"/>
        <w:rPr>
          <w:sz w:val="20"/>
          <w:szCs w:val="20"/>
          <w:color w:val="auto"/>
        </w:rPr>
      </w:pPr>
      <w:r>
        <w:rPr>
          <w:rFonts w:ascii="Times New Roman" w:cs="Times New Roman" w:eastAsia="Times New Roman" w:hAnsi="Times New Roman"/>
          <w:sz w:val="14"/>
          <w:szCs w:val="14"/>
          <w:color w:val="auto"/>
        </w:rPr>
        <w:t>Shares of our Class A common stock sold pursuant to the registration statement of which this prospectus is a part will be authorized for listing and trading on Nasdaq. The applicable prospectus supplement will contain information, where applicable, as to any other listing, if any, on Nasdaq or any securities market or other securities exchange of the securities covered by the prospectus supplement. Underwriters may make a market in shares of our Class A common stock but will not be obligated to do so and may discontinue any market making at any time without notice. We can make no assurance as to the liquidity of or the existence, development or maintenance of trading markets for any of the securities.</w:t>
      </w:r>
    </w:p>
    <w:p>
      <w:pPr>
        <w:spacing w:after="0" w:line="147" w:lineRule="exact"/>
        <w:rPr>
          <w:sz w:val="20"/>
          <w:szCs w:val="20"/>
          <w:color w:val="auto"/>
        </w:rPr>
      </w:pPr>
    </w:p>
    <w:p>
      <w:pPr>
        <w:ind w:left="1480" w:right="339" w:firstLine="334"/>
        <w:spacing w:after="0" w:line="247" w:lineRule="auto"/>
        <w:rPr>
          <w:sz w:val="20"/>
          <w:szCs w:val="20"/>
          <w:color w:val="auto"/>
        </w:rPr>
      </w:pPr>
      <w:r>
        <w:rPr>
          <w:rFonts w:ascii="Times New Roman" w:cs="Times New Roman" w:eastAsia="Times New Roman" w:hAnsi="Times New Roman"/>
          <w:sz w:val="14"/>
          <w:szCs w:val="14"/>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48" w:lineRule="exact"/>
        <w:rPr>
          <w:sz w:val="20"/>
          <w:szCs w:val="20"/>
          <w:color w:val="auto"/>
        </w:rPr>
      </w:pPr>
    </w:p>
    <w:p>
      <w:pPr>
        <w:ind w:left="1480" w:right="419" w:firstLine="334"/>
        <w:spacing w:after="0" w:line="265" w:lineRule="auto"/>
        <w:rPr>
          <w:sz w:val="20"/>
          <w:szCs w:val="20"/>
          <w:color w:val="auto"/>
        </w:rPr>
      </w:pPr>
      <w:r>
        <w:rPr>
          <w:rFonts w:ascii="Times New Roman" w:cs="Times New Roman" w:eastAsia="Times New Roman" w:hAnsi="Times New Roman"/>
          <w:sz w:val="14"/>
          <w:szCs w:val="14"/>
          <w:color w:val="auto"/>
        </w:rPr>
        <w:t>The underwriters, dealers and agents may engage in other transactions with us, or perform other services for us and our respective subsidiaries, in the ordinary course of their business.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79"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0" w:lineRule="exact"/>
        <w:rPr>
          <w:sz w:val="20"/>
          <w:szCs w:val="20"/>
          <w:color w:val="auto"/>
        </w:rPr>
      </w:pPr>
    </w:p>
    <w:p>
      <w:pPr>
        <w:ind w:left="1480" w:right="399" w:firstLine="334"/>
        <w:spacing w:after="0" w:line="249" w:lineRule="auto"/>
        <w:rPr>
          <w:sz w:val="20"/>
          <w:szCs w:val="20"/>
          <w:color w:val="auto"/>
        </w:rPr>
      </w:pPr>
      <w:r>
        <w:rPr>
          <w:rFonts w:ascii="Times New Roman" w:cs="Times New Roman" w:eastAsia="Times New Roman" w:hAnsi="Times New Roman"/>
          <w:sz w:val="14"/>
          <w:szCs w:val="14"/>
          <w:color w:val="auto"/>
        </w:rPr>
        <w:t>The following is a brief description of the material provisions of our shares. The Class A common stock is the only class of our securities registered pursuant to Section 12 of the Exchange Act. The following description of our shares does not purport to be complete and is subject to and qualified in its entirety by our certificate of incorporation (the “Charter”), the bylaws (“Bylaws”) and the applicable provisions of the General Corporation Law of the State of Delaware (the “DGCL”). We encourage you to read the Charter, the Bylaws and the applicable provisions of the DGCL for more information.</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Authorized and Outstanding Stock</w:t>
      </w:r>
    </w:p>
    <w:p>
      <w:pPr>
        <w:spacing w:after="0" w:line="8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The Charter authorizes the issuance of up to 1,250,000,000 shares of capital stock, consisting of:</w:t>
      </w:r>
    </w:p>
    <w:p>
      <w:pPr>
        <w:spacing w:after="0" w:line="95" w:lineRule="exact"/>
        <w:rPr>
          <w:sz w:val="20"/>
          <w:szCs w:val="20"/>
          <w:color w:val="auto"/>
        </w:rPr>
      </w:pPr>
    </w:p>
    <w:p>
      <w:pPr>
        <w:ind w:left="2200" w:hanging="321"/>
        <w:spacing w:after="0"/>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700,000,000 shares of Class A common stock, par value $0.0001 per share (“Class A common stock”);</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500,000,000 shares of Class B common stock, par value $0.0001 per share (“Class B common stock”); and</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50,000,000 shares of preferred stock, par value $0.0001 per share (“preferred stock”).</w:t>
      </w:r>
    </w:p>
    <w:p>
      <w:pPr>
        <w:spacing w:after="0" w:line="166" w:lineRule="exact"/>
        <w:rPr>
          <w:sz w:val="20"/>
          <w:szCs w:val="20"/>
          <w:color w:val="auto"/>
        </w:rPr>
      </w:pPr>
    </w:p>
    <w:p>
      <w:pPr>
        <w:ind w:left="1480" w:right="539" w:firstLine="334"/>
        <w:spacing w:after="0" w:line="265" w:lineRule="auto"/>
        <w:rPr>
          <w:sz w:val="20"/>
          <w:szCs w:val="20"/>
          <w:color w:val="auto"/>
        </w:rPr>
      </w:pPr>
      <w:r>
        <w:rPr>
          <w:rFonts w:ascii="Times New Roman" w:cs="Times New Roman" w:eastAsia="Times New Roman" w:hAnsi="Times New Roman"/>
          <w:sz w:val="14"/>
          <w:szCs w:val="14"/>
          <w:color w:val="auto"/>
        </w:rPr>
        <w:t>As of October 15, 2026, there were 208,975,486 shares of Class A common stock and 93,395,714 shares of Class B common stock outstanding and approximately 30 holders of Class A common stock and two holders of Class B common stock of record.</w:t>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Class A Common Stock</w:t>
      </w:r>
    </w:p>
    <w:p>
      <w:pPr>
        <w:spacing w:after="0" w:line="8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Voting Rights</w:t>
      </w:r>
    </w:p>
    <w:p>
      <w:pPr>
        <w:spacing w:after="0" w:line="89" w:lineRule="exact"/>
        <w:rPr>
          <w:sz w:val="20"/>
          <w:szCs w:val="20"/>
          <w:color w:val="auto"/>
        </w:rPr>
      </w:pPr>
    </w:p>
    <w:p>
      <w:pPr>
        <w:ind w:left="1480" w:right="359" w:firstLine="334"/>
        <w:spacing w:after="0" w:line="246" w:lineRule="auto"/>
        <w:rPr>
          <w:sz w:val="20"/>
          <w:szCs w:val="20"/>
          <w:color w:val="auto"/>
        </w:rPr>
      </w:pPr>
      <w:r>
        <w:rPr>
          <w:rFonts w:ascii="Times New Roman" w:cs="Times New Roman" w:eastAsia="Times New Roman" w:hAnsi="Times New Roman"/>
          <w:sz w:val="14"/>
          <w:szCs w:val="14"/>
          <w:color w:val="auto"/>
        </w:rPr>
        <w:t>Each holder of Class A common stock is entitled to one vote for each share of Class A common stock held of record by such holder on all matters on which stockholders generally are entitled to vote. The holders of Class A common stock do not have cumulative voting rights in the election of directors. Generally, all matters to be voted on by stockholders must be approved by the affirmative vote of a majority in voting power of shares of stock present in person or represented by proxy and entitled to vote thereon (or, in the case of election of directors, by a plurality of voting power of the outstanding shares present in person or represented by proxy and entitled to vote on the election of directors), except as otherwise provided by the Charter or any applicable law. Notwithstanding the foregoing, the holders of the outstanding shares of Class A common stock are entitled to vote separately upon any amendment to the Charter (including by merger, consolidation, reorganization or similar event) that would alter or change the powers, preferences or special rights of such class of common stock in a manner that is adverse as compared to the Class B common stock (in addition to any other class vote required by applicable law).</w:t>
      </w:r>
    </w:p>
    <w:p>
      <w:pPr>
        <w:spacing w:after="0" w:line="23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Dividend Rights</w:t>
      </w:r>
    </w:p>
    <w:p>
      <w:pPr>
        <w:spacing w:after="0" w:line="89" w:lineRule="exact"/>
        <w:rPr>
          <w:sz w:val="20"/>
          <w:szCs w:val="20"/>
          <w:color w:val="auto"/>
        </w:rPr>
      </w:pPr>
    </w:p>
    <w:p>
      <w:pPr>
        <w:ind w:left="1480" w:right="419" w:firstLine="334"/>
        <w:spacing w:after="0" w:line="254" w:lineRule="auto"/>
        <w:rPr>
          <w:sz w:val="20"/>
          <w:szCs w:val="20"/>
          <w:color w:val="auto"/>
        </w:rPr>
      </w:pPr>
      <w:r>
        <w:rPr>
          <w:rFonts w:ascii="Times New Roman" w:cs="Times New Roman" w:eastAsia="Times New Roman" w:hAnsi="Times New Roman"/>
          <w:sz w:val="14"/>
          <w:szCs w:val="14"/>
          <w:color w:val="auto"/>
        </w:rPr>
        <w:t>Subject to applicable law and the preferences that may be applicable to any shares of preferred stock then outstanding, the holders of Class A common stock are entitled to receive ratably such dividends, if any, as may be declared from time to time by the board of directors of the Company (the “Board”) out of assets of the Company legally available therefor.</w:t>
      </w:r>
    </w:p>
    <w:p>
      <w:pPr>
        <w:spacing w:after="0" w:line="2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Rights upon Liquidation, Dissolution and Winding-Up</w:t>
      </w:r>
    </w:p>
    <w:p>
      <w:pPr>
        <w:spacing w:after="0" w:line="89" w:lineRule="exact"/>
        <w:rPr>
          <w:sz w:val="20"/>
          <w:szCs w:val="20"/>
          <w:color w:val="auto"/>
        </w:rPr>
      </w:pPr>
    </w:p>
    <w:p>
      <w:pPr>
        <w:ind w:left="1480" w:right="339" w:firstLine="334"/>
        <w:spacing w:after="0" w:line="251" w:lineRule="auto"/>
        <w:rPr>
          <w:sz w:val="20"/>
          <w:szCs w:val="20"/>
          <w:color w:val="auto"/>
        </w:rPr>
      </w:pPr>
      <w:r>
        <w:rPr>
          <w:rFonts w:ascii="Times New Roman" w:cs="Times New Roman" w:eastAsia="Times New Roman" w:hAnsi="Times New Roman"/>
          <w:sz w:val="14"/>
          <w:szCs w:val="14"/>
          <w:color w:val="auto"/>
        </w:rPr>
        <w:t>Subject to applicable law, in the event of any voluntary or involuntary liquidation, dissolution or winding up of the Company’s affairs, after payment of the Company’s debts and other liabilities, and of preferential and other amounts, if any, to which the holders of preferred stock are entitled, if any, the holders of Class A common stock are entitled to (i) receive, pari passu with the holders of Class B common stock, an amount per share equal to the par value thereof, and (ii) thereafter, to share ratably in all assets remaining and available for distribution.</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79"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Preemptive or Other Rights</w:t>
      </w:r>
    </w:p>
    <w:p>
      <w:pPr>
        <w:spacing w:after="0" w:line="89" w:lineRule="exact"/>
        <w:rPr>
          <w:sz w:val="20"/>
          <w:szCs w:val="20"/>
          <w:color w:val="auto"/>
        </w:rPr>
      </w:pPr>
    </w:p>
    <w:p>
      <w:pPr>
        <w:jc w:val="both"/>
        <w:ind w:left="1480" w:right="399" w:firstLine="334"/>
        <w:spacing w:after="0" w:line="251" w:lineRule="auto"/>
        <w:rPr>
          <w:sz w:val="20"/>
          <w:szCs w:val="20"/>
          <w:color w:val="auto"/>
        </w:rPr>
      </w:pPr>
      <w:r>
        <w:rPr>
          <w:rFonts w:ascii="Times New Roman" w:cs="Times New Roman" w:eastAsia="Times New Roman" w:hAnsi="Times New Roman"/>
          <w:sz w:val="14"/>
          <w:szCs w:val="14"/>
          <w:color w:val="auto"/>
        </w:rPr>
        <w:t>The holders of Class A common stock have no preemptive or conversion rights or other subscription rights (other than in connection with certain issuances of common units under the limited liability company agreement of ProKidney Holdings). There are no redemption or sinking fund provisions applicable to the shares of Class A common stock. The rights, preferences and privileges of holders of Class A common stock are subject to those of the holders of any shares of preferred stock the Company may issue in the future.</w:t>
      </w:r>
    </w:p>
    <w:p>
      <w:pPr>
        <w:spacing w:after="0" w:line="22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Class B Common Stock</w:t>
      </w:r>
    </w:p>
    <w:p>
      <w:pPr>
        <w:spacing w:after="0" w:line="8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Voting Rights</w:t>
      </w:r>
    </w:p>
    <w:p>
      <w:pPr>
        <w:spacing w:after="0" w:line="89" w:lineRule="exact"/>
        <w:rPr>
          <w:sz w:val="20"/>
          <w:szCs w:val="20"/>
          <w:color w:val="auto"/>
        </w:rPr>
      </w:pPr>
    </w:p>
    <w:p>
      <w:pPr>
        <w:ind w:left="1480" w:right="359" w:firstLine="334"/>
        <w:spacing w:after="0" w:line="246" w:lineRule="auto"/>
        <w:rPr>
          <w:sz w:val="20"/>
          <w:szCs w:val="20"/>
          <w:color w:val="auto"/>
        </w:rPr>
      </w:pPr>
      <w:r>
        <w:rPr>
          <w:rFonts w:ascii="Times New Roman" w:cs="Times New Roman" w:eastAsia="Times New Roman" w:hAnsi="Times New Roman"/>
          <w:sz w:val="14"/>
          <w:szCs w:val="14"/>
          <w:color w:val="auto"/>
        </w:rPr>
        <w:t>Each holder of Class B common stock is entitled to one vote for each share of Class B common stock held of record by such holder on all matters on which stockholders generally are entitled to vote. The holders of Class B common stock do not have cumulative voting rights in the election of directors. Generally, all matters to be voted on by stockholders must be approved by the affirmative vote of a majority in voting power of shares of stock present in person or represented by proxy and entitled to vote thereon (or, in the case of election of directors, by a plurality of voting power of the outstanding shares present in person or represented by proxy and entitled to vote on the election of directors), except as otherwise provided by the Charter of the Company or any applicable law. Notwithstanding the foregoing, the holders of the outstanding shares of Class B common stock are entitled to vote separately upon any amendment to the Charter (including by merger, consolidation, reorganization or similar event) that would alter or change the powers, preferences or special rights of such class of common stock in a manner that is adverse as compared to the Class A common stock (in addition to any other class vote required by applicable law).</w:t>
      </w:r>
    </w:p>
    <w:p>
      <w:pPr>
        <w:spacing w:after="0" w:line="23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Dividend Rights</w:t>
      </w:r>
    </w:p>
    <w:p>
      <w:pPr>
        <w:spacing w:after="0" w:line="89" w:lineRule="exact"/>
        <w:rPr>
          <w:sz w:val="20"/>
          <w:szCs w:val="20"/>
          <w:color w:val="auto"/>
        </w:rPr>
      </w:pPr>
    </w:p>
    <w:p>
      <w:pPr>
        <w:ind w:left="1480" w:right="679" w:firstLine="334"/>
        <w:spacing w:after="0" w:line="265" w:lineRule="auto"/>
        <w:rPr>
          <w:sz w:val="20"/>
          <w:szCs w:val="20"/>
          <w:color w:val="auto"/>
        </w:rPr>
      </w:pPr>
      <w:r>
        <w:rPr>
          <w:rFonts w:ascii="Times New Roman" w:cs="Times New Roman" w:eastAsia="Times New Roman" w:hAnsi="Times New Roman"/>
          <w:sz w:val="14"/>
          <w:szCs w:val="14"/>
          <w:color w:val="auto"/>
        </w:rPr>
        <w:t>Except as provided in the Charter with respect to stock dividends, dividends of cash or property may not be declared by the Board or paid on shares of Class B common stock.</w:t>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Rights upon Liquidation, Dissolution and Winding-Up</w:t>
      </w:r>
    </w:p>
    <w:p>
      <w:pPr>
        <w:spacing w:after="0" w:line="89" w:lineRule="exact"/>
        <w:rPr>
          <w:sz w:val="20"/>
          <w:szCs w:val="20"/>
          <w:color w:val="auto"/>
        </w:rPr>
      </w:pPr>
    </w:p>
    <w:p>
      <w:pPr>
        <w:jc w:val="both"/>
        <w:ind w:left="1480" w:right="379" w:firstLine="334"/>
        <w:spacing w:after="0" w:line="254" w:lineRule="auto"/>
        <w:rPr>
          <w:sz w:val="20"/>
          <w:szCs w:val="20"/>
          <w:color w:val="auto"/>
        </w:rPr>
      </w:pPr>
      <w:r>
        <w:rPr>
          <w:rFonts w:ascii="Times New Roman" w:cs="Times New Roman" w:eastAsia="Times New Roman" w:hAnsi="Times New Roman"/>
          <w:sz w:val="14"/>
          <w:szCs w:val="14"/>
          <w:color w:val="auto"/>
        </w:rPr>
        <w:t>In the event of any voluntary or involuntary liquidation, dissolution or winding up of the Company’s affairs, the holders of Class B common stock are not entitled to receive any assets of the Company in excess of the par value of such shares (which such payment shall be pari passu with the holders of outstanding shares of Class A common stock).</w:t>
      </w:r>
    </w:p>
    <w:p>
      <w:pPr>
        <w:spacing w:after="0" w:line="2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Preemptive or Other Rights</w:t>
      </w:r>
    </w:p>
    <w:p>
      <w:pPr>
        <w:spacing w:after="0" w:line="89" w:lineRule="exact"/>
        <w:rPr>
          <w:sz w:val="20"/>
          <w:szCs w:val="20"/>
          <w:color w:val="auto"/>
        </w:rPr>
      </w:pPr>
    </w:p>
    <w:p>
      <w:pPr>
        <w:ind w:left="1480" w:right="339" w:firstLine="334"/>
        <w:spacing w:after="0" w:line="251" w:lineRule="auto"/>
        <w:rPr>
          <w:sz w:val="20"/>
          <w:szCs w:val="20"/>
          <w:color w:val="auto"/>
        </w:rPr>
      </w:pPr>
      <w:r>
        <w:rPr>
          <w:rFonts w:ascii="Times New Roman" w:cs="Times New Roman" w:eastAsia="Times New Roman" w:hAnsi="Times New Roman"/>
          <w:sz w:val="14"/>
          <w:szCs w:val="14"/>
          <w:color w:val="auto"/>
        </w:rPr>
        <w:t>Certain holders of Class B common stock, who are also holders of common units of ProKidney Holdings (or certain permitted transferees thereof), subject to the procedures and restrictions set forth in that certain Amended and Restated Exchange Agreement, dated as of July 1, 2025, by and among the Company, ProKidney Holdings and the other parties thereto (the “Exchange Agreement”), have the right to exchange one common unit of ProKidney Holdings and one share of Class B common stock (the “Paired Interest”) for one share of Class A common stock.</w:t>
      </w:r>
    </w:p>
    <w:p>
      <w:pPr>
        <w:spacing w:after="0" w:line="145" w:lineRule="exact"/>
        <w:rPr>
          <w:sz w:val="20"/>
          <w:szCs w:val="20"/>
          <w:color w:val="auto"/>
        </w:rPr>
      </w:pPr>
    </w:p>
    <w:p>
      <w:pPr>
        <w:jc w:val="both"/>
        <w:ind w:left="1480" w:right="579" w:firstLine="334"/>
        <w:spacing w:after="0" w:line="254" w:lineRule="auto"/>
        <w:rPr>
          <w:sz w:val="20"/>
          <w:szCs w:val="20"/>
          <w:color w:val="auto"/>
        </w:rPr>
      </w:pPr>
      <w:r>
        <w:rPr>
          <w:rFonts w:ascii="Times New Roman" w:cs="Times New Roman" w:eastAsia="Times New Roman" w:hAnsi="Times New Roman"/>
          <w:sz w:val="14"/>
          <w:szCs w:val="14"/>
          <w:color w:val="auto"/>
        </w:rPr>
        <w:t>The holders of Class B common stock do not have other preemptive, subscription, redemption or conversion rights. There is no redemption or sinking fund provisions applicable to the Class B common stock, other than with respect to the exchange of the Paired Interests for Class A common stock pursuant to the Exchange Agreement.</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79"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Issuance and Retirement of Class B Common Stock</w:t>
      </w:r>
    </w:p>
    <w:p>
      <w:pPr>
        <w:spacing w:after="0" w:line="89" w:lineRule="exact"/>
        <w:rPr>
          <w:sz w:val="20"/>
          <w:szCs w:val="20"/>
          <w:color w:val="auto"/>
        </w:rPr>
      </w:pPr>
    </w:p>
    <w:p>
      <w:pPr>
        <w:ind w:left="1480" w:right="499" w:firstLine="334"/>
        <w:spacing w:after="0" w:line="304" w:lineRule="auto"/>
        <w:rPr>
          <w:sz w:val="20"/>
          <w:szCs w:val="20"/>
          <w:color w:val="auto"/>
        </w:rPr>
      </w:pPr>
      <w:r>
        <w:rPr>
          <w:rFonts w:ascii="Times New Roman" w:cs="Times New Roman" w:eastAsia="Times New Roman" w:hAnsi="Times New Roman"/>
          <w:sz w:val="13"/>
          <w:szCs w:val="13"/>
          <w:color w:val="auto"/>
        </w:rPr>
        <w:t>In the event that any outstanding share of Class B common stock ceases to be held directly or indirectly by a holder of a corresponding common unit of ProKidney Holdings, such share will automatically be transferred to the Company for no consideration and thereupon will be retired.</w:t>
      </w:r>
    </w:p>
    <w:p>
      <w:pPr>
        <w:spacing w:after="0" w:line="19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89" w:lineRule="exact"/>
        <w:rPr>
          <w:sz w:val="20"/>
          <w:szCs w:val="20"/>
          <w:color w:val="auto"/>
        </w:rPr>
      </w:pPr>
    </w:p>
    <w:p>
      <w:pPr>
        <w:ind w:left="1480" w:right="419" w:firstLine="334"/>
        <w:spacing w:after="0" w:line="268" w:lineRule="auto"/>
        <w:rPr>
          <w:sz w:val="20"/>
          <w:szCs w:val="20"/>
          <w:color w:val="auto"/>
        </w:rPr>
      </w:pPr>
      <w:r>
        <w:rPr>
          <w:rFonts w:ascii="Times New Roman" w:cs="Times New Roman" w:eastAsia="Times New Roman" w:hAnsi="Times New Roman"/>
          <w:sz w:val="13"/>
          <w:szCs w:val="13"/>
          <w:color w:val="auto"/>
        </w:rPr>
        <w:t>No shares of preferred stock are currently issued or outstanding. The Charter authorizes the Board, subject to any limitations prescribed by the DGCL, by resolution or resolutions, at any time and from time to time, to provide, out of the authorized but unissued shares of preferred stock, for one or more series of preferred stock and, with respect to each such series, to fix the number of shares constituting such series, and the designation of such series, the voting powers (whether none, limited or full) of the shares of such series, and the powers, preferences and relative, participating, optional or other special rights, if any, and any qualifications, limitations or restrictions thereof, of the shares of such series and to cause to be filed with the Secretary of State of the State of Delaware a certificate of designation with respect thereto, provided that the aggregate number of shares issued and not retired of any and all such series shall not exceed the total number of shares of preferred stock authorized in the Charter. The powers, including voting powers (whether none, limited or full), preferences and relative, participating, optional and other special rights, if any, of each series of preferred stock, and the qualifications, limitations or restrictions thereof, if any, may differ from those of any and all other series at any time outstanding.</w:t>
      </w:r>
    </w:p>
    <w:p>
      <w:pPr>
        <w:spacing w:after="0" w:line="135" w:lineRule="exact"/>
        <w:rPr>
          <w:sz w:val="20"/>
          <w:szCs w:val="20"/>
          <w:color w:val="auto"/>
        </w:rPr>
      </w:pPr>
    </w:p>
    <w:p>
      <w:pPr>
        <w:ind w:left="1480" w:right="339" w:firstLine="334"/>
        <w:spacing w:after="0" w:line="273" w:lineRule="auto"/>
        <w:rPr>
          <w:sz w:val="20"/>
          <w:szCs w:val="20"/>
          <w:color w:val="auto"/>
        </w:rPr>
      </w:pPr>
      <w:r>
        <w:rPr>
          <w:rFonts w:ascii="Times New Roman" w:cs="Times New Roman" w:eastAsia="Times New Roman" w:hAnsi="Times New Roman"/>
          <w:sz w:val="13"/>
          <w:szCs w:val="13"/>
          <w:color w:val="auto"/>
        </w:rPr>
        <w:t>The issuance of preferred stock may have the effect of delaying, deferring or preventing a change in control of the Company without further action by the stockholders. Additionally, the issuance of preferred stock may adversely affect the holders of the common stock of the Company by restricting dividends on the shares of Class A common stock, diluting the voting power of the shares of Class A common stock and the shares of Class B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21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Anti-Takeover Effects of Provisions of the Charter and the Bylaws</w:t>
      </w:r>
    </w:p>
    <w:p>
      <w:pPr>
        <w:spacing w:after="0" w:line="89" w:lineRule="exact"/>
        <w:rPr>
          <w:sz w:val="20"/>
          <w:szCs w:val="20"/>
          <w:color w:val="auto"/>
        </w:rPr>
      </w:pPr>
    </w:p>
    <w:p>
      <w:pPr>
        <w:ind w:left="1480" w:right="359" w:firstLine="334"/>
        <w:spacing w:after="0" w:line="246" w:lineRule="auto"/>
        <w:rPr>
          <w:sz w:val="20"/>
          <w:szCs w:val="20"/>
          <w:color w:val="auto"/>
        </w:rPr>
      </w:pPr>
      <w:r>
        <w:rPr>
          <w:rFonts w:ascii="Times New Roman" w:cs="Times New Roman" w:eastAsia="Times New Roman" w:hAnsi="Times New Roman"/>
          <w:sz w:val="14"/>
          <w:szCs w:val="14"/>
          <w:color w:val="auto"/>
        </w:rPr>
        <w:t>Certain provisions of the Charter and the Bylaws, as described below, could have the effect of delaying, deterring or preventing another party from acquiring or seeking to acquire control of the Company. These provisions are intended to discourage certain types of coercive takeover practices and inadequate takeover bids and to encourage anyone seeking to acquire control of the Company to negotiate first with the Board. However, these provisions may also delay, deter or prevent a change in control or other takeover of the Company that stockholders of the Company might consider to be in their best interests, including transactions that might result in a premium being paid over the market price of the common stock and also may limit the price that investors are willing to pay in the future for the common stock. These provisions may also have the effect of preventing changes in our management. We believe that the benefits of increased protection give the Company the potential ability to negotiate with the proponent of an unfriendly or unsolicited proposal to acquire or restructure the Company, and that the benefits of this increased protection outweigh the disadvantages of discouraging those proposals, because negotiation of those proposals could result in an improvement of their terms.</w:t>
      </w:r>
    </w:p>
    <w:p>
      <w:pPr>
        <w:spacing w:after="0" w:line="23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Classified Board</w:t>
      </w:r>
    </w:p>
    <w:p>
      <w:pPr>
        <w:spacing w:after="0" w:line="89" w:lineRule="exact"/>
        <w:rPr>
          <w:sz w:val="20"/>
          <w:szCs w:val="20"/>
          <w:color w:val="auto"/>
        </w:rPr>
      </w:pPr>
    </w:p>
    <w:p>
      <w:pPr>
        <w:ind w:left="1480" w:right="499" w:firstLine="334"/>
        <w:spacing w:after="0" w:line="251" w:lineRule="auto"/>
        <w:rPr>
          <w:sz w:val="20"/>
          <w:szCs w:val="20"/>
          <w:color w:val="auto"/>
        </w:rPr>
      </w:pPr>
      <w:r>
        <w:rPr>
          <w:rFonts w:ascii="Times New Roman" w:cs="Times New Roman" w:eastAsia="Times New Roman" w:hAnsi="Times New Roman"/>
          <w:sz w:val="14"/>
          <w:szCs w:val="14"/>
          <w:color w:val="auto"/>
        </w:rPr>
        <w:t>The Board is comprised of eight directors. The Charter provides that, subject to the right of holders of any series of preferred stock, the Board is divided into three classes of directors, apportioned to consist of, as nearly as possible, one third of the total number of directors, designated Class I, Class II and Class III, and with the directors serving staggered three-year terms, with only one class of directors being elected at each annual meeting. As a result, approximately one-third of the Board is elected each year.</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79"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jc w:val="both"/>
        <w:ind w:left="1480" w:right="339" w:firstLine="334"/>
        <w:spacing w:after="0" w:line="254" w:lineRule="auto"/>
        <w:rPr>
          <w:sz w:val="20"/>
          <w:szCs w:val="20"/>
          <w:color w:val="auto"/>
        </w:rPr>
      </w:pPr>
      <w:r>
        <w:rPr>
          <w:rFonts w:ascii="Times New Roman" w:cs="Times New Roman" w:eastAsia="Times New Roman" w:hAnsi="Times New Roman"/>
          <w:sz w:val="14"/>
          <w:szCs w:val="14"/>
          <w:color w:val="auto"/>
        </w:rPr>
        <w:t>The classification of directors has the effect of making it more difficult for members to change the composition of the Board. The Charter provides that the Board may increase or reduce the upper and lower limits of the number of directors by one or more resolutions of the Board, provided that in no event will a decrease in the number of directors shorten the term of any director then in office.</w:t>
      </w:r>
    </w:p>
    <w:p>
      <w:pPr>
        <w:spacing w:after="0" w:line="2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Stockholder Meetings</w:t>
      </w:r>
    </w:p>
    <w:p>
      <w:pPr>
        <w:spacing w:after="0" w:line="89" w:lineRule="exact"/>
        <w:rPr>
          <w:sz w:val="20"/>
          <w:szCs w:val="20"/>
          <w:color w:val="auto"/>
        </w:rPr>
      </w:pPr>
    </w:p>
    <w:p>
      <w:pPr>
        <w:ind w:left="1480" w:right="499" w:firstLine="334"/>
        <w:spacing w:after="0" w:line="254" w:lineRule="auto"/>
        <w:rPr>
          <w:sz w:val="20"/>
          <w:szCs w:val="20"/>
          <w:color w:val="auto"/>
        </w:rPr>
      </w:pPr>
      <w:r>
        <w:rPr>
          <w:rFonts w:ascii="Times New Roman" w:cs="Times New Roman" w:eastAsia="Times New Roman" w:hAnsi="Times New Roman"/>
          <w:sz w:val="14"/>
          <w:szCs w:val="14"/>
          <w:color w:val="auto"/>
        </w:rPr>
        <w:t>The Charter and the Bylaws provide that, subject to the rights of the holders of any outstanding series of preferred stock, special meetings of the Company’s stockholders may be called only by the chairperson of the Board, the chief executive officer or at the direction of the Board pursuant to a written resolution adopted by a majority of the total number of directors that the Company would have if there were no vacancies.</w:t>
      </w:r>
    </w:p>
    <w:p>
      <w:pPr>
        <w:spacing w:after="0" w:line="2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Stockholder Action by Consent</w:t>
      </w:r>
    </w:p>
    <w:p>
      <w:pPr>
        <w:spacing w:after="0" w:line="89" w:lineRule="exact"/>
        <w:rPr>
          <w:sz w:val="20"/>
          <w:szCs w:val="20"/>
          <w:color w:val="auto"/>
        </w:rPr>
      </w:pPr>
    </w:p>
    <w:p>
      <w:pPr>
        <w:ind w:left="1480" w:right="379" w:firstLine="334"/>
        <w:spacing w:after="0" w:line="246" w:lineRule="auto"/>
        <w:rPr>
          <w:sz w:val="20"/>
          <w:szCs w:val="20"/>
          <w:color w:val="auto"/>
        </w:rPr>
      </w:pPr>
      <w:r>
        <w:rPr>
          <w:rFonts w:ascii="Times New Roman" w:cs="Times New Roman" w:eastAsia="Times New Roman" w:hAnsi="Times New Roman"/>
          <w:sz w:val="14"/>
          <w:szCs w:val="14"/>
          <w:color w:val="auto"/>
        </w:rPr>
        <w:t>The Charter provides that any action required or permitted to be taken by the stockholders of the Company may be effected only at a duly called annual or special meeting of stockholders of the Company and may not be effected by any consent by such stockholders; provided, however, that any action required or permitted to be taken by the holders of Class B common stock, voting separately as a class, may be effected by the consent or consents (setting forth the action so taken) of the holders of the outstanding shares of Class B common stock having not less than the minimum number of votes that would be necessary to authorize or take such action at a meeting at which all shares entitled to vote thereon were present and voted, consenting together as a single class in lieu of a duly called annual or special meeting of holders of Class B common stock; provided, further, that any action required or permitted to be taken by the holders of any or all series of preferred stock voting separately as a series of preferred stock or separately as a class of preferred stock (including with respect to any such action specified in the Charter or any certificate of designation relating to any series of preferred stock) may be effected by the consent or consents (setting forth the action so taken), of the holders of outstanding shares of the relevant class or series of preferred stock having not less than the minimum number of votes that would be necessary to authorize or take such action at a meeting at which all shares entitled to vote thereon were present and voted.</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Amendment of Bylaws</w:t>
      </w:r>
    </w:p>
    <w:p>
      <w:pPr>
        <w:spacing w:after="0" w:line="8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The Bylaws may generally be altered, amended or repealed, and new bylaws of the Company may be adopted, by:</w:t>
      </w:r>
    </w:p>
    <w:p>
      <w:pPr>
        <w:spacing w:after="0" w:line="95" w:lineRule="exact"/>
        <w:rPr>
          <w:sz w:val="20"/>
          <w:szCs w:val="20"/>
          <w:color w:val="auto"/>
        </w:rPr>
      </w:pPr>
    </w:p>
    <w:p>
      <w:pPr>
        <w:ind w:left="2200" w:hanging="321"/>
        <w:spacing w:after="0"/>
        <w:tabs>
          <w:tab w:leader="none" w:pos="22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of a majority of the Board; or</w:t>
      </w:r>
    </w:p>
    <w:p>
      <w:pPr>
        <w:spacing w:after="0" w:line="94" w:lineRule="exact"/>
        <w:rPr>
          <w:rFonts w:ascii="Times New Roman" w:cs="Times New Roman" w:eastAsia="Times New Roman" w:hAnsi="Times New Roman"/>
          <w:sz w:val="14"/>
          <w:szCs w:val="14"/>
          <w:color w:val="auto"/>
        </w:rPr>
      </w:pPr>
    </w:p>
    <w:p>
      <w:pPr>
        <w:ind w:left="2200" w:right="719" w:hanging="321"/>
        <w:spacing w:after="0" w:line="265" w:lineRule="auto"/>
        <w:tabs>
          <w:tab w:leader="none" w:pos="22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affirmative vote of holders of at least 66 2/3% of the voting power of all of the then-outstanding shares of the capital stock of the Company entitled to vote thereon, voting together as a single class.</w:t>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Indemnification</w:t>
      </w:r>
    </w:p>
    <w:p>
      <w:pPr>
        <w:spacing w:after="0" w:line="89" w:lineRule="exact"/>
        <w:rPr>
          <w:sz w:val="20"/>
          <w:szCs w:val="20"/>
          <w:color w:val="auto"/>
        </w:rPr>
      </w:pPr>
    </w:p>
    <w:p>
      <w:pPr>
        <w:jc w:val="both"/>
        <w:ind w:left="1480" w:right="699" w:firstLine="334"/>
        <w:spacing w:after="0" w:line="269" w:lineRule="auto"/>
        <w:rPr>
          <w:sz w:val="20"/>
          <w:szCs w:val="20"/>
          <w:color w:val="auto"/>
        </w:rPr>
      </w:pPr>
      <w:r>
        <w:rPr>
          <w:rFonts w:ascii="Times New Roman" w:cs="Times New Roman" w:eastAsia="Times New Roman" w:hAnsi="Times New Roman"/>
          <w:sz w:val="13"/>
          <w:szCs w:val="13"/>
          <w:color w:val="auto"/>
        </w:rPr>
        <w:t>The Charter requires that the Company indemnify (and advance expenses to) its directors and officers to the fullest extent permitted by law, provided that we are not required to indemnify (or advance expenses to) any director or officer in connection with any proceeding (or part thereof) initiated by such person unless (i) such indemnification is expressly required to be made by law, (ii) the proceeding was authorized by the Board,</w:t>
      </w:r>
    </w:p>
    <w:p>
      <w:pPr>
        <w:ind w:left="1480" w:right="639" w:hanging="10"/>
        <w:spacing w:after="0" w:line="285" w:lineRule="auto"/>
        <w:tabs>
          <w:tab w:leader="none" w:pos="1718"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indemnification is provided by the Company, in its sole discretion, pursuant to the powers vested in the Company under the DGCL or any other applicable law, or (iv) such indemnification is required to be made under the indemnification rights enforcement provision of the Bylaws.</w:t>
      </w:r>
    </w:p>
    <w:p>
      <w:pPr>
        <w:spacing w:after="0" w:line="124" w:lineRule="exact"/>
        <w:rPr>
          <w:sz w:val="20"/>
          <w:szCs w:val="20"/>
          <w:color w:val="auto"/>
        </w:rPr>
      </w:pPr>
    </w:p>
    <w:p>
      <w:pPr>
        <w:ind w:left="1480" w:right="539" w:firstLine="334"/>
        <w:spacing w:after="0" w:line="265" w:lineRule="auto"/>
        <w:rPr>
          <w:sz w:val="20"/>
          <w:szCs w:val="20"/>
          <w:color w:val="auto"/>
        </w:rPr>
      </w:pPr>
      <w:r>
        <w:rPr>
          <w:rFonts w:ascii="Times New Roman" w:cs="Times New Roman" w:eastAsia="Times New Roman" w:hAnsi="Times New Roman"/>
          <w:sz w:val="14"/>
          <w:szCs w:val="14"/>
          <w:color w:val="auto"/>
        </w:rPr>
        <w:t>Pursuant to the Charter, no director or officer of the Company is personally liable to the Company or its stockholders for monetary damages for any breach of fiduciary duty as a director or officer, except to the extent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79"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399"/>
        <w:spacing w:after="0" w:line="265" w:lineRule="auto"/>
        <w:rPr>
          <w:sz w:val="20"/>
          <w:szCs w:val="20"/>
          <w:color w:val="auto"/>
        </w:rPr>
      </w:pPr>
      <w:r>
        <w:rPr>
          <w:rFonts w:ascii="Times New Roman" w:cs="Times New Roman" w:eastAsia="Times New Roman" w:hAnsi="Times New Roman"/>
          <w:sz w:val="14"/>
          <w:szCs w:val="14"/>
          <w:color w:val="auto"/>
        </w:rPr>
        <w:t>such exception from liability or limitation thereof is not permitted under the DGCL. Currently, Delaware law prohibits corporations from eliminating or limiting the liability of:</w:t>
      </w:r>
    </w:p>
    <w:p>
      <w:pPr>
        <w:spacing w:after="0" w:line="64" w:lineRule="exact"/>
        <w:rPr>
          <w:sz w:val="20"/>
          <w:szCs w:val="20"/>
          <w:color w:val="auto"/>
        </w:rPr>
      </w:pPr>
    </w:p>
    <w:p>
      <w:pPr>
        <w:ind w:left="2200" w:hanging="321"/>
        <w:spacing w:after="0"/>
        <w:tabs>
          <w:tab w:leader="none" w:pos="2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director or officer for any breach of the director’s or officer’s duty of loyalty to our company or our stockholders;</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director or officer for acts or omissions not in good faith or which involved intentional misconduct or a knowing violation of law;</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director for unlawful payments of dividends or unlawful stock repurchases or redemptions as provided in Section 174 of the DGCL;</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director or officer for any transaction from which the director or officer derived an improper personal benefit; and</w:t>
      </w:r>
    </w:p>
    <w:p>
      <w:pPr>
        <w:spacing w:after="0" w:line="94" w:lineRule="exact"/>
        <w:rPr>
          <w:rFonts w:ascii="Times New Roman" w:cs="Times New Roman" w:eastAsia="Times New Roman" w:hAnsi="Times New Roman"/>
          <w:sz w:val="14"/>
          <w:szCs w:val="14"/>
          <w:color w:val="auto"/>
        </w:rPr>
      </w:pPr>
    </w:p>
    <w:p>
      <w:pPr>
        <w:jc w:val="both"/>
        <w:ind w:left="2200" w:right="479" w:hanging="321"/>
        <w:spacing w:after="0" w:line="254" w:lineRule="auto"/>
        <w:tabs>
          <w:tab w:leader="none" w:pos="2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 in any action by or in the right of the corporation. The limitation of liability of officers of ProKidney is limited only to persons who at the time of an act or omission as to which liability is asserted is deemed to have consented to service by the delivery of process to the registered agent of ProKidney pursuant to Section 3114(b) of Title 10 of the Delaware Code.</w:t>
      </w:r>
    </w:p>
    <w:p>
      <w:pPr>
        <w:spacing w:after="0" w:line="2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Anti-Takeover Effects of Delaware Law</w:t>
      </w:r>
    </w:p>
    <w:p>
      <w:pPr>
        <w:spacing w:after="0" w:line="89" w:lineRule="exact"/>
        <w:rPr>
          <w:sz w:val="20"/>
          <w:szCs w:val="20"/>
          <w:color w:val="auto"/>
        </w:rPr>
      </w:pPr>
    </w:p>
    <w:p>
      <w:pPr>
        <w:ind w:left="1480" w:right="639" w:firstLine="334"/>
        <w:spacing w:after="0" w:line="304" w:lineRule="auto"/>
        <w:rPr>
          <w:sz w:val="20"/>
          <w:szCs w:val="20"/>
          <w:color w:val="auto"/>
        </w:rPr>
      </w:pPr>
      <w:r>
        <w:rPr>
          <w:rFonts w:ascii="Times New Roman" w:cs="Times New Roman" w:eastAsia="Times New Roman" w:hAnsi="Times New Roman"/>
          <w:sz w:val="13"/>
          <w:szCs w:val="13"/>
          <w:color w:val="auto"/>
        </w:rPr>
        <w:t>The Company is subject to Section 203 of the DGCL. Section 203 provides that the Company may not engage in a broad range of “business combinations” with any “interested stockholder” for a three-year period following the time that the person became an interested stockholder unless:</w:t>
      </w:r>
    </w:p>
    <w:p>
      <w:pPr>
        <w:spacing w:after="0" w:line="41" w:lineRule="exact"/>
        <w:rPr>
          <w:sz w:val="20"/>
          <w:szCs w:val="20"/>
          <w:color w:val="auto"/>
        </w:rPr>
      </w:pPr>
    </w:p>
    <w:p>
      <w:pPr>
        <w:ind w:left="2200" w:right="559" w:hanging="321"/>
        <w:spacing w:after="0" w:line="265" w:lineRule="auto"/>
        <w:tabs>
          <w:tab w:leader="none" w:pos="22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such time the Board approved either the business combination or the transaction which resulted in the stockholder becoming an interested stockholder;</w:t>
      </w:r>
    </w:p>
    <w:p>
      <w:pPr>
        <w:spacing w:after="0" w:line="63" w:lineRule="exact"/>
        <w:rPr>
          <w:rFonts w:ascii="Times New Roman" w:cs="Times New Roman" w:eastAsia="Times New Roman" w:hAnsi="Times New Roman"/>
          <w:sz w:val="14"/>
          <w:szCs w:val="14"/>
          <w:color w:val="auto"/>
        </w:rPr>
      </w:pPr>
    </w:p>
    <w:p>
      <w:pPr>
        <w:ind w:left="2200" w:right="379" w:hanging="321"/>
        <w:spacing w:after="0" w:line="249" w:lineRule="auto"/>
        <w:tabs>
          <w:tab w:leader="none" w:pos="22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that resulted in the stockholder becoming an interested stockholder, the interested stockholder owned at least 85% of our voting stock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75" w:lineRule="exact"/>
        <w:rPr>
          <w:rFonts w:ascii="Times New Roman" w:cs="Times New Roman" w:eastAsia="Times New Roman" w:hAnsi="Times New Roman"/>
          <w:sz w:val="14"/>
          <w:szCs w:val="14"/>
          <w:color w:val="auto"/>
        </w:rPr>
      </w:pPr>
    </w:p>
    <w:p>
      <w:pPr>
        <w:ind w:left="2200" w:right="379" w:hanging="321"/>
        <w:spacing w:after="0" w:line="254" w:lineRule="auto"/>
        <w:tabs>
          <w:tab w:leader="none" w:pos="22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the time the business combination is approved by the Board and authorized at an annual or special meeting of the stockholders, and not by written consent, by the affirmative vote of at least 66 2/3% of the outstanding voting stock which is not owned by the interested stockholder.</w:t>
      </w:r>
    </w:p>
    <w:p>
      <w:pPr>
        <w:spacing w:after="0" w:line="144" w:lineRule="exact"/>
        <w:rPr>
          <w:sz w:val="20"/>
          <w:szCs w:val="20"/>
          <w:color w:val="auto"/>
        </w:rPr>
      </w:pPr>
    </w:p>
    <w:p>
      <w:pPr>
        <w:ind w:left="1480" w:right="459" w:firstLine="334"/>
        <w:spacing w:after="0" w:line="251" w:lineRule="auto"/>
        <w:rPr>
          <w:sz w:val="20"/>
          <w:szCs w:val="20"/>
          <w:color w:val="auto"/>
        </w:rPr>
      </w:pPr>
      <w:r>
        <w:rPr>
          <w:rFonts w:ascii="Times New Roman" w:cs="Times New Roman" w:eastAsia="Times New Roman" w:hAnsi="Times New Roman"/>
          <w:sz w:val="14"/>
          <w:szCs w:val="14"/>
          <w:color w:val="auto"/>
        </w:rPr>
        <w:t>Generally, a business combination includes a merger, consolidation, asset or stock sale, issuances of securities or other transaction resulting in a financial benefit to the interested stockholder. Subject to certain exceptions, an interested stockholder is a person who, together with that person’s affiliates and associates (as such terms are defined in Section 203 of the DGCL), owns (as such term is defined in Section 203 of the DGCL), or within the previous three years owned, 15% or more of our voting stock.</w:t>
      </w:r>
    </w:p>
    <w:p>
      <w:pPr>
        <w:spacing w:after="0" w:line="145" w:lineRule="exact"/>
        <w:rPr>
          <w:sz w:val="20"/>
          <w:szCs w:val="20"/>
          <w:color w:val="auto"/>
        </w:rPr>
      </w:pPr>
    </w:p>
    <w:p>
      <w:pPr>
        <w:ind w:left="1480" w:right="399" w:firstLine="334"/>
        <w:spacing w:after="0" w:line="248" w:lineRule="auto"/>
        <w:rPr>
          <w:sz w:val="20"/>
          <w:szCs w:val="20"/>
          <w:color w:val="auto"/>
        </w:rPr>
      </w:pPr>
      <w:r>
        <w:rPr>
          <w:rFonts w:ascii="Times New Roman" w:cs="Times New Roman" w:eastAsia="Times New Roman" w:hAnsi="Times New Roman"/>
          <w:sz w:val="14"/>
          <w:szCs w:val="14"/>
          <w:color w:val="auto"/>
        </w:rPr>
        <w:t>Section 203 could prohibit or delay mergers or other takeover or change in control attempts with respect to the Company and, accordingly, may discourage attempts to acquire the Company. Prior to the consummation of the Domestication, the board of directors of ProKidney Corp., a Cayman Islands exempted company prior to the Domestication (“ProKidney Cayman”), adopted a resolution approving as an “interested stockholder” each stockholder of ProKidney Cayman who would otherwise become an “interested stockholder” of the Company as a result of the Domestication, together with their affiliates or associates, such that the restrictions on “business combinations” contained in Section 203 of the DGCL would not apply to any of such stockholders for purposes of Section 203 of the DGCL.</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79"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Exclusive Forum Provision</w:t>
      </w:r>
    </w:p>
    <w:p>
      <w:pPr>
        <w:spacing w:after="0" w:line="89" w:lineRule="exact"/>
        <w:rPr>
          <w:sz w:val="20"/>
          <w:szCs w:val="20"/>
          <w:color w:val="auto"/>
        </w:rPr>
      </w:pPr>
    </w:p>
    <w:p>
      <w:pPr>
        <w:ind w:left="1480" w:right="359" w:firstLine="334"/>
        <w:spacing w:after="0" w:line="267" w:lineRule="auto"/>
        <w:rPr>
          <w:sz w:val="20"/>
          <w:szCs w:val="20"/>
          <w:color w:val="auto"/>
        </w:rPr>
      </w:pPr>
      <w:r>
        <w:rPr>
          <w:rFonts w:ascii="Times New Roman" w:cs="Times New Roman" w:eastAsia="Times New Roman" w:hAnsi="Times New Roman"/>
          <w:sz w:val="13"/>
          <w:szCs w:val="13"/>
          <w:color w:val="auto"/>
        </w:rPr>
        <w:t>The Charter provides that, unless the Company consents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to the fullest extent permitted by applicable law, be the sole and exclusive forum for (A) any derivative action or proceeding brought on behalf of the Company;</w:t>
      </w:r>
    </w:p>
    <w:p>
      <w:pPr>
        <w:spacing w:after="0" w:line="1" w:lineRule="exact"/>
        <w:rPr>
          <w:sz w:val="20"/>
          <w:szCs w:val="20"/>
          <w:color w:val="auto"/>
        </w:rPr>
      </w:pPr>
    </w:p>
    <w:p>
      <w:pPr>
        <w:ind w:left="1480" w:right="339" w:hanging="10"/>
        <w:spacing w:after="0" w:line="265" w:lineRule="auto"/>
        <w:tabs>
          <w:tab w:leader="none" w:pos="1696"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action or proceeding (including any class action) asserting a claim of breach of a fiduciary duty owed by any current or former director, officer or other employee of the Company to the Company or the Company’s stockholders; (C) any action or proceeding (including any class action) asserting a claim against the Company or any current or former director, officer or other employee of the Company arising out of or pursuant to any provision of the DGCL, the Charter or the Bylaws (as each may be amended from time to time); (D) any action or proceeding (including any class action) to interpret, apply, enforce or determine the validity of the Charter or the Bylaws (including any right, obligation or remedy thereunder); (E) any action or proceeding as to which the DGCL confers jurisdiction to the Court of Chancery of the State of Delaware; and/or (F) any action or claim against the Company or any current or former director, officer or other employee of the Company governed by the internal affairs doctrine or an “internal corporate claim” as defined in Section 115 of the DGCL, in each case, subject to said court having personal jurisdiction over the indispensable parties named as defendants therein. The Charter further provides that the federal district courts are the exclusive forum for claims under the Securities Act.</w:t>
      </w:r>
    </w:p>
    <w:p>
      <w:pPr>
        <w:spacing w:after="0" w:line="2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8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The transfer agent and registrar for the Class A common stock and the Class B common stock is Continental Stock Transfer &amp; Trust Company.</w:t>
      </w:r>
    </w:p>
    <w:p>
      <w:pPr>
        <w:spacing w:after="0" w:line="25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Stock Exchange Listing</w:t>
      </w:r>
    </w:p>
    <w:p>
      <w:pPr>
        <w:spacing w:after="0" w:line="8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Our shares of Class A common stock are listed on Nasdaq under the symbol “PROK.”</w:t>
      </w:r>
    </w:p>
    <w:p>
      <w:pPr>
        <w:spacing w:after="0" w:line="1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79"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70" w:lineRule="exact"/>
        <w:rPr>
          <w:sz w:val="20"/>
          <w:szCs w:val="20"/>
          <w:color w:val="auto"/>
        </w:rPr>
      </w:pPr>
    </w:p>
    <w:p>
      <w:pPr>
        <w:ind w:left="1480" w:right="359" w:firstLine="334"/>
        <w:spacing w:after="0" w:line="248"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48" w:lineRule="exact"/>
        <w:rPr>
          <w:sz w:val="20"/>
          <w:szCs w:val="20"/>
          <w:color w:val="auto"/>
        </w:rPr>
      </w:pPr>
    </w:p>
    <w:p>
      <w:pPr>
        <w:ind w:left="1480" w:right="419" w:firstLine="334"/>
        <w:spacing w:after="0" w:line="247" w:lineRule="auto"/>
        <w:rPr>
          <w:sz w:val="20"/>
          <w:szCs w:val="20"/>
          <w:color w:val="auto"/>
        </w:rPr>
      </w:pPr>
      <w:r>
        <w:rPr>
          <w:rFonts w:ascii="Times New Roman" w:cs="Times New Roman" w:eastAsia="Times New Roman" w:hAnsi="Times New Roman"/>
          <w:sz w:val="14"/>
          <w:szCs w:val="14"/>
          <w:color w:val="auto"/>
        </w:rPr>
        <w:t>The debt securities (“Debt Securities”) will be either senior debt securities (“Senior Debt Securities”) or subordinated debt securities (“Subordinated Debt Securities”). The Senior Debt Securities and the Subordinated Debt Securities will be issued under separate indentures among us, the subsidiary guarantors of such Debt Securities, if any (each a “Subsidiary Guarantor”), if applicable, and a trustee to be determined (the “Trustee”). Senior Debt Securities will be issued under a senior indenture (“Senior Indenture”) and Subordinated Debt Securities will be issued under a subordinated indenture (“Subordinated Indenture” and together with the Senior Indenture, the “Indentures”). The form of each Indenture has been filed with the SEC as an exhibit to the registration statement of which this prospectus is a part, and you should read the Indentures for provisions that may be important to you.</w:t>
      </w:r>
    </w:p>
    <w:p>
      <w:pPr>
        <w:spacing w:after="0" w:line="150" w:lineRule="exact"/>
        <w:rPr>
          <w:sz w:val="20"/>
          <w:szCs w:val="20"/>
          <w:color w:val="auto"/>
        </w:rPr>
      </w:pPr>
    </w:p>
    <w:p>
      <w:pPr>
        <w:ind w:left="1480" w:right="419" w:firstLine="334"/>
        <w:spacing w:after="0" w:line="251" w:lineRule="auto"/>
        <w:rPr>
          <w:sz w:val="20"/>
          <w:szCs w:val="20"/>
          <w:color w:val="auto"/>
        </w:rPr>
      </w:pPr>
      <w:r>
        <w:rPr>
          <w:rFonts w:ascii="Times New Roman" w:cs="Times New Roman" w:eastAsia="Times New Roman" w:hAnsi="Times New Roman"/>
          <w:sz w:val="14"/>
          <w:szCs w:val="14"/>
          <w:color w:val="auto"/>
        </w:rPr>
        <w:t>The Indentures will be qualified under the Trust Indenture Act of 1939, as in effect on the date of the indenture (the “Trust Indenture Act”). We use the term “debenture trustee” to refer to either the trustee under the senior indenture or the trustee under the subordinated indenture, as applicable. The following summaries of material provisions of the Debt Securities are subject to, and qualified in their entirety by reference to, all the provisions of the indenture applicable to a particular series of debt securities.</w:t>
      </w:r>
    </w:p>
    <w:p>
      <w:pPr>
        <w:spacing w:after="0" w:line="22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9" w:lineRule="exact"/>
        <w:rPr>
          <w:sz w:val="20"/>
          <w:szCs w:val="20"/>
          <w:color w:val="auto"/>
        </w:rPr>
      </w:pPr>
    </w:p>
    <w:p>
      <w:pPr>
        <w:ind w:left="1480" w:right="539" w:firstLine="334"/>
        <w:spacing w:after="0" w:line="251" w:lineRule="auto"/>
        <w:rPr>
          <w:sz w:val="20"/>
          <w:szCs w:val="20"/>
          <w:color w:val="auto"/>
        </w:rPr>
      </w:pPr>
      <w:r>
        <w:rPr>
          <w:rFonts w:ascii="Times New Roman" w:cs="Times New Roman" w:eastAsia="Times New Roman" w:hAnsi="Times New Roman"/>
          <w:sz w:val="14"/>
          <w:szCs w:val="14"/>
          <w:color w:val="auto"/>
        </w:rPr>
        <w:t>The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the Debt Securities shall be set forth in, or determined pursuant to, an authorizing resolution and/or a supplemental indenture, if any, relating to such series.</w:t>
      </w:r>
    </w:p>
    <w:p>
      <w:pPr>
        <w:spacing w:after="0" w:line="14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The applicable prospectus supplement will contain, where applicable, the following terms of and other information relating to the Debt Securities:</w:t>
      </w:r>
    </w:p>
    <w:p>
      <w:pPr>
        <w:spacing w:after="0" w:line="106" w:lineRule="exact"/>
        <w:rPr>
          <w:sz w:val="20"/>
          <w:szCs w:val="20"/>
          <w:color w:val="auto"/>
        </w:rPr>
      </w:pPr>
    </w:p>
    <w:p>
      <w:pPr>
        <w:ind w:left="2200" w:hanging="321"/>
        <w:spacing w:after="0"/>
        <w:tabs>
          <w:tab w:leader="none" w:pos="22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principal amount and any limit on the aggregate principal amount of the Debt Securities;</w:t>
      </w:r>
    </w:p>
    <w:p>
      <w:pPr>
        <w:spacing w:after="0" w:line="94" w:lineRule="exact"/>
        <w:rPr>
          <w:rFonts w:ascii="Times New Roman" w:cs="Times New Roman" w:eastAsia="Times New Roman" w:hAnsi="Times New Roman"/>
          <w:sz w:val="14"/>
          <w:szCs w:val="14"/>
          <w:color w:val="auto"/>
        </w:rPr>
      </w:pPr>
    </w:p>
    <w:p>
      <w:pPr>
        <w:ind w:left="2200" w:right="759" w:hanging="321"/>
        <w:spacing w:after="0" w:line="265" w:lineRule="auto"/>
        <w:tabs>
          <w:tab w:leader="none" w:pos="22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units based on or relating to currencies in which Debt Securities are denominated and the currency or units in which principal or interest or both will or may be payable;</w:t>
      </w:r>
    </w:p>
    <w:p>
      <w:pPr>
        <w:spacing w:after="0" w:line="63"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will issue the series of Debt Securities in global form, the terms of any global securities and who the depositary will be;</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 Debt Securities will be secured or unsecured, and the terms of any secured debt;</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if any, to defer payment of interest and the maximum length of any such deferral period;</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Indenture will restrict our ability to pay dividends, or will require us to maintain any asset ratios or reserves;</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will be restricted from incurring any additional indebtedness;</w:t>
      </w:r>
    </w:p>
    <w:p>
      <w:pPr>
        <w:spacing w:after="0" w:line="1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79"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2200" w:hanging="321"/>
        <w:spacing w:after="0"/>
        <w:tabs>
          <w:tab w:leader="none" w:pos="2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on any material or special U.S. federal income tax considerations applicable to Debt Securities;</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we will issue Debt Securities, if other than denominations of $1,000 and any integral multiple thereof;</w:t>
      </w:r>
    </w:p>
    <w:p>
      <w:pPr>
        <w:spacing w:after="0" w:line="94" w:lineRule="exact"/>
        <w:rPr>
          <w:rFonts w:ascii="Times New Roman" w:cs="Times New Roman" w:eastAsia="Times New Roman" w:hAnsi="Times New Roman"/>
          <w:sz w:val="14"/>
          <w:szCs w:val="14"/>
          <w:color w:val="auto"/>
        </w:rPr>
      </w:pPr>
    </w:p>
    <w:p>
      <w:pPr>
        <w:ind w:left="2200" w:right="539" w:hanging="321"/>
        <w:spacing w:after="0" w:line="265" w:lineRule="auto"/>
        <w:tabs>
          <w:tab w:leader="none" w:pos="2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Senior Debt Securities or Subordinated Debt Securities and, if Subordinated Debt Securities, the related subordination terms;</w:t>
      </w:r>
    </w:p>
    <w:p>
      <w:pPr>
        <w:spacing w:after="0" w:line="63"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Subsidiary Guarantor will provide a Subsidiary Guarantee of the Debt Securities;</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date on which the principal of the Debt Securities will be payable;</w:t>
      </w:r>
    </w:p>
    <w:p>
      <w:pPr>
        <w:spacing w:after="0" w:line="94" w:lineRule="exact"/>
        <w:rPr>
          <w:rFonts w:ascii="Times New Roman" w:cs="Times New Roman" w:eastAsia="Times New Roman" w:hAnsi="Times New Roman"/>
          <w:sz w:val="14"/>
          <w:szCs w:val="14"/>
          <w:color w:val="auto"/>
        </w:rPr>
      </w:pPr>
    </w:p>
    <w:p>
      <w:pPr>
        <w:ind w:left="2200" w:right="379" w:hanging="321"/>
        <w:spacing w:after="0" w:line="265" w:lineRule="auto"/>
        <w:tabs>
          <w:tab w:leader="none" w:pos="2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which may be fixed or variable, or the method for determining the rate and date interest will begin to accrue, that the Debt Securities will bear and the interest payment dates for the Debt Securities;</w:t>
      </w:r>
    </w:p>
    <w:p>
      <w:pPr>
        <w:spacing w:after="0" w:line="63"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place where payments on the Debt Securities will be payable;</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terms upon which the Debt Securities may be redeemed, in whole or in part, at our option;</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sinking fund or other provisions that would obligate us to redeem or otherwise repurchase the Debt Securities;</w:t>
      </w:r>
    </w:p>
    <w:p>
      <w:pPr>
        <w:spacing w:after="0" w:line="94" w:lineRule="exact"/>
        <w:rPr>
          <w:rFonts w:ascii="Times New Roman" w:cs="Times New Roman" w:eastAsia="Times New Roman" w:hAnsi="Times New Roman"/>
          <w:sz w:val="14"/>
          <w:szCs w:val="14"/>
          <w:color w:val="auto"/>
        </w:rPr>
      </w:pPr>
    </w:p>
    <w:p>
      <w:pPr>
        <w:ind w:left="2200" w:right="719" w:hanging="321"/>
        <w:spacing w:after="0" w:line="265" w:lineRule="auto"/>
        <w:tabs>
          <w:tab w:leader="none" w:pos="2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the principal amount, if less than all, of the Debt Securities that will be payable upon declaration of acceleration of the maturity of the Debt Securities;</w:t>
      </w:r>
    </w:p>
    <w:p>
      <w:pPr>
        <w:spacing w:after="0" w:line="63"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defeasible;</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events of default;</w:t>
      </w:r>
    </w:p>
    <w:p>
      <w:pPr>
        <w:spacing w:after="0" w:line="94" w:lineRule="exact"/>
        <w:rPr>
          <w:rFonts w:ascii="Times New Roman" w:cs="Times New Roman" w:eastAsia="Times New Roman" w:hAnsi="Times New Roman"/>
          <w:sz w:val="14"/>
          <w:szCs w:val="14"/>
          <w:color w:val="auto"/>
        </w:rPr>
      </w:pPr>
    </w:p>
    <w:p>
      <w:pPr>
        <w:ind w:left="2200" w:right="699" w:hanging="321"/>
        <w:spacing w:after="0" w:line="254" w:lineRule="auto"/>
        <w:tabs>
          <w:tab w:leader="none" w:pos="2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convertible into shares of our Class A common stock and, if so, the terms and conditions upon which conversion will be effected, including the initial conversion price or conversion rate and any adjustments thereto and the conversion period;</w:t>
      </w:r>
    </w:p>
    <w:p>
      <w:pPr>
        <w:spacing w:after="0" w:line="72"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covenants in the Indenture applicable to the Debt Securities;</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Debt Securities; and</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not inconsistent with the provisions of the Indenture.</w:t>
      </w:r>
    </w:p>
    <w:p>
      <w:pPr>
        <w:spacing w:after="0" w:line="166" w:lineRule="exact"/>
        <w:rPr>
          <w:sz w:val="20"/>
          <w:szCs w:val="20"/>
          <w:color w:val="auto"/>
        </w:rPr>
      </w:pPr>
    </w:p>
    <w:p>
      <w:pPr>
        <w:ind w:left="1480" w:right="419" w:firstLine="334"/>
        <w:spacing w:after="0" w:line="254" w:lineRule="auto"/>
        <w:rPr>
          <w:sz w:val="20"/>
          <w:szCs w:val="20"/>
          <w:color w:val="auto"/>
        </w:rPr>
      </w:pPr>
      <w:r>
        <w:rPr>
          <w:rFonts w:ascii="Times New Roman" w:cs="Times New Roman" w:eastAsia="Times New Roman" w:hAnsi="Times New Roman"/>
          <w:sz w:val="14"/>
          <w:szCs w:val="14"/>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44" w:lineRule="exact"/>
        <w:rPr>
          <w:sz w:val="20"/>
          <w:szCs w:val="20"/>
          <w:color w:val="auto"/>
        </w:rPr>
      </w:pPr>
    </w:p>
    <w:p>
      <w:pPr>
        <w:ind w:left="1480" w:right="379" w:firstLine="334"/>
        <w:spacing w:after="0" w:line="248" w:lineRule="auto"/>
        <w:rPr>
          <w:sz w:val="20"/>
          <w:szCs w:val="20"/>
          <w:color w:val="auto"/>
        </w:rPr>
      </w:pPr>
      <w:r>
        <w:rPr>
          <w:rFonts w:ascii="Times New Roman" w:cs="Times New Roman" w:eastAsia="Times New Roman" w:hAnsi="Times New Roman"/>
          <w:sz w:val="14"/>
          <w:szCs w:val="14"/>
          <w:color w:val="auto"/>
        </w:rPr>
        <w:t>Debt Securities, including any Debt Securities that provide for an amount less than the principal amount thereof to be due and payable upon a declaration of acceleration of the maturity thereof, or original issue discount securities (“Original Issue Discount Securities”), may be sold at a substantial discount below their principal amount. Special United States federal income tax considerations applicable to Original Issue Discount Securities may be described in the applicable prospectus supplement. In addition, special United States federal income tax or other considerations applicable to any Debt Securities that are denominated in a currency or currency unit other than United States dollars may be described in the applicable prospectus supplement.</w:t>
      </w: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Conversion or Exchange Rights</w:t>
      </w:r>
    </w:p>
    <w:p>
      <w:pPr>
        <w:spacing w:after="0" w:line="89" w:lineRule="exact"/>
        <w:rPr>
          <w:sz w:val="20"/>
          <w:szCs w:val="20"/>
          <w:color w:val="auto"/>
        </w:rPr>
      </w:pPr>
    </w:p>
    <w:p>
      <w:pPr>
        <w:ind w:left="1480" w:right="499" w:firstLine="334"/>
        <w:spacing w:after="0" w:line="265" w:lineRule="auto"/>
        <w:rPr>
          <w:sz w:val="20"/>
          <w:szCs w:val="20"/>
          <w:color w:val="auto"/>
        </w:rPr>
      </w:pPr>
      <w:r>
        <w:rPr>
          <w:rFonts w:ascii="Times New Roman" w:cs="Times New Roman" w:eastAsia="Times New Roman" w:hAnsi="Times New Roman"/>
          <w:sz w:val="14"/>
          <w:szCs w:val="14"/>
          <w:color w:val="auto"/>
        </w:rPr>
        <w:t>We will set forth in the prospectus supplement the terms, if any, on which Debt Securities may be convertible into or exchangeable for shares of our Class A common stock or our other securities. We will include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78"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379"/>
        <w:spacing w:after="0" w:line="254" w:lineRule="auto"/>
        <w:rPr>
          <w:sz w:val="20"/>
          <w:szCs w:val="20"/>
          <w:color w:val="auto"/>
        </w:rPr>
      </w:pPr>
      <w:r>
        <w:rPr>
          <w:rFonts w:ascii="Times New Roman" w:cs="Times New Roman" w:eastAsia="Times New Roman" w:hAnsi="Times New Roman"/>
          <w:sz w:val="14"/>
          <w:szCs w:val="14"/>
          <w:color w:val="auto"/>
        </w:rPr>
        <w:t>provisions as to whether conversion or exchange is mandatory, at the option of the holder or at our option. We may include provisions pursuant to which the number of shares of our Class A common stock or our other securities that the holders of the series of Debt Securities receive would be subject to adjustment.</w:t>
      </w:r>
    </w:p>
    <w:p>
      <w:pPr>
        <w:spacing w:after="0" w:line="2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Consolidation, Merger or Sale; No Protection in Event of a Change of Control or Highly Leveraged Transaction</w:t>
      </w:r>
    </w:p>
    <w:p>
      <w:pPr>
        <w:spacing w:after="0" w:line="89" w:lineRule="exact"/>
        <w:rPr>
          <w:sz w:val="20"/>
          <w:szCs w:val="20"/>
          <w:color w:val="auto"/>
        </w:rPr>
      </w:pPr>
    </w:p>
    <w:p>
      <w:pPr>
        <w:ind w:left="1480" w:right="359" w:firstLine="334"/>
        <w:spacing w:after="0" w:line="251" w:lineRule="auto"/>
        <w:rPr>
          <w:sz w:val="20"/>
          <w:szCs w:val="20"/>
          <w:color w:val="auto"/>
        </w:rPr>
      </w:pPr>
      <w:r>
        <w:rPr>
          <w:rFonts w:ascii="Times New Roman" w:cs="Times New Roman" w:eastAsia="Times New Roman" w:hAnsi="Times New Roman"/>
          <w:sz w:val="14"/>
          <w:szCs w:val="14"/>
          <w:color w:val="auto"/>
        </w:rPr>
        <w:t>The Indentures do not prohibit our ability to merge or consolidate, or sell, convey, transfer or otherwise dispose of all or substantially all of our assets. However, if we consolidate with or merge into another person and we are not the surviving entity, or if we sell or convey all or substantially all of our property, the successor or acquirer must expressly assume all of our obligations under the Indentures and the Debt Securities, by a supplemental indenture satisfactory in form to the debenture trustee.</w:t>
      </w:r>
    </w:p>
    <w:p>
      <w:pPr>
        <w:spacing w:after="0" w:line="145" w:lineRule="exact"/>
        <w:rPr>
          <w:sz w:val="20"/>
          <w:szCs w:val="20"/>
          <w:color w:val="auto"/>
        </w:rPr>
      </w:pPr>
    </w:p>
    <w:p>
      <w:pPr>
        <w:jc w:val="both"/>
        <w:ind w:left="1480" w:right="399" w:firstLine="334"/>
        <w:spacing w:after="0" w:line="254"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2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Events of Default Under the Indenture</w:t>
      </w:r>
    </w:p>
    <w:p>
      <w:pPr>
        <w:spacing w:after="0" w:line="8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The following are events of default under the Indentures with respect to any series of Debt Securities that we may issue:</w:t>
      </w:r>
    </w:p>
    <w:p>
      <w:pPr>
        <w:spacing w:after="0" w:line="95" w:lineRule="exact"/>
        <w:rPr>
          <w:sz w:val="20"/>
          <w:szCs w:val="20"/>
          <w:color w:val="auto"/>
        </w:rPr>
      </w:pPr>
    </w:p>
    <w:p>
      <w:pPr>
        <w:ind w:left="2200" w:hanging="321"/>
        <w:spacing w:after="0"/>
        <w:tabs>
          <w:tab w:leader="none" w:pos="2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pay interest when due and our failure continues for 90 days and the time for payment has not been extended or deferred;</w:t>
      </w:r>
    </w:p>
    <w:p>
      <w:pPr>
        <w:spacing w:after="0" w:line="94" w:lineRule="exact"/>
        <w:rPr>
          <w:rFonts w:ascii="Times New Roman" w:cs="Times New Roman" w:eastAsia="Times New Roman" w:hAnsi="Times New Roman"/>
          <w:sz w:val="14"/>
          <w:szCs w:val="14"/>
          <w:color w:val="auto"/>
        </w:rPr>
      </w:pPr>
    </w:p>
    <w:p>
      <w:pPr>
        <w:ind w:left="2200" w:right="579" w:hanging="321"/>
        <w:spacing w:after="0" w:line="265" w:lineRule="auto"/>
        <w:tabs>
          <w:tab w:leader="none" w:pos="2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pay the principal, or premium, if any, when due and the time for payment has not been validly extended in accordance with terms of any supplemental indenture;</w:t>
      </w:r>
    </w:p>
    <w:p>
      <w:pPr>
        <w:spacing w:after="0" w:line="63" w:lineRule="exact"/>
        <w:rPr>
          <w:rFonts w:ascii="Times New Roman" w:cs="Times New Roman" w:eastAsia="Times New Roman" w:hAnsi="Times New Roman"/>
          <w:sz w:val="14"/>
          <w:szCs w:val="14"/>
          <w:color w:val="auto"/>
        </w:rPr>
      </w:pPr>
    </w:p>
    <w:p>
      <w:pPr>
        <w:ind w:left="2200" w:right="439" w:hanging="321"/>
        <w:spacing w:after="0" w:line="251" w:lineRule="auto"/>
        <w:tabs>
          <w:tab w:leader="none" w:pos="2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73"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specified events of bankruptcy, insolvency or reorganization occur as to us.</w:t>
      </w:r>
    </w:p>
    <w:p>
      <w:pPr>
        <w:spacing w:after="0" w:line="166" w:lineRule="exact"/>
        <w:rPr>
          <w:sz w:val="20"/>
          <w:szCs w:val="20"/>
          <w:color w:val="auto"/>
        </w:rPr>
      </w:pPr>
    </w:p>
    <w:p>
      <w:pPr>
        <w:ind w:left="1480" w:right="359" w:firstLine="334"/>
        <w:spacing w:after="0" w:line="276" w:lineRule="auto"/>
        <w:rPr>
          <w:sz w:val="20"/>
          <w:szCs w:val="20"/>
          <w:color w:val="auto"/>
        </w:rPr>
      </w:pPr>
      <w:r>
        <w:rPr>
          <w:rFonts w:ascii="Times New Roman" w:cs="Times New Roman" w:eastAsia="Times New Roman" w:hAnsi="Times New Roman"/>
          <w:sz w:val="13"/>
          <w:szCs w:val="13"/>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acceleration under any applicable Indenture may constitute an event of default under certain of our other indebtedness outstanding from time to time.</w:t>
      </w:r>
    </w:p>
    <w:p>
      <w:pPr>
        <w:spacing w:after="0" w:line="131" w:lineRule="exact"/>
        <w:rPr>
          <w:sz w:val="20"/>
          <w:szCs w:val="20"/>
          <w:color w:val="auto"/>
        </w:rPr>
      </w:pPr>
    </w:p>
    <w:p>
      <w:pPr>
        <w:ind w:left="1480" w:right="359" w:firstLine="334"/>
        <w:spacing w:after="0" w:line="247"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may rescind and annul the acceleration if all events of default, other than the non-payment of accelerated principal,</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79"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359"/>
        <w:spacing w:after="0" w:line="251" w:lineRule="auto"/>
        <w:rPr>
          <w:sz w:val="20"/>
          <w:szCs w:val="20"/>
          <w:color w:val="auto"/>
        </w:rPr>
      </w:pPr>
      <w:r>
        <w:rPr>
          <w:rFonts w:ascii="Times New Roman" w:cs="Times New Roman" w:eastAsia="Times New Roman" w:hAnsi="Times New Roman"/>
          <w:sz w:val="14"/>
          <w:szCs w:val="14"/>
          <w:color w:val="auto"/>
        </w:rPr>
        <w:t>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45" w:lineRule="exact"/>
        <w:rPr>
          <w:sz w:val="20"/>
          <w:szCs w:val="20"/>
          <w:color w:val="auto"/>
        </w:rPr>
      </w:pPr>
    </w:p>
    <w:p>
      <w:pPr>
        <w:ind w:left="1480" w:right="379" w:firstLine="334"/>
        <w:spacing w:after="0" w:line="273" w:lineRule="auto"/>
        <w:rPr>
          <w:sz w:val="20"/>
          <w:szCs w:val="20"/>
          <w:color w:val="auto"/>
        </w:rPr>
      </w:pPr>
      <w:r>
        <w:rPr>
          <w:rFonts w:ascii="Times New Roman" w:cs="Times New Roman" w:eastAsia="Times New Roman" w:hAnsi="Times New Roman"/>
          <w:sz w:val="13"/>
          <w:szCs w:val="13"/>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60" w:lineRule="exact"/>
        <w:rPr>
          <w:sz w:val="20"/>
          <w:szCs w:val="20"/>
          <w:color w:val="auto"/>
        </w:rPr>
      </w:pPr>
    </w:p>
    <w:p>
      <w:pPr>
        <w:ind w:left="2200" w:right="439" w:hanging="321"/>
        <w:spacing w:after="0" w:line="265" w:lineRule="auto"/>
        <w:tabs>
          <w:tab w:leader="none" w:pos="22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direction so given by the holder is not in conflict with any law or the applicable Indenture and is not unduly prejudicial to the rights of holders of Debt Securities of any other series; and</w:t>
      </w:r>
    </w:p>
    <w:p>
      <w:pPr>
        <w:spacing w:after="0" w:line="63"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its duties under the Trust Indenture Act, the debenture trustee need not take any action that might involve it in personal liability.</w:t>
      </w:r>
    </w:p>
    <w:p>
      <w:pPr>
        <w:spacing w:after="0" w:line="178" w:lineRule="exact"/>
        <w:rPr>
          <w:sz w:val="20"/>
          <w:szCs w:val="20"/>
          <w:color w:val="auto"/>
        </w:rPr>
      </w:pPr>
    </w:p>
    <w:p>
      <w:pPr>
        <w:ind w:left="1480" w:right="679" w:firstLine="334"/>
        <w:spacing w:after="0" w:line="265" w:lineRule="auto"/>
        <w:rPr>
          <w:sz w:val="20"/>
          <w:szCs w:val="20"/>
          <w:color w:val="auto"/>
        </w:rPr>
      </w:pPr>
      <w:r>
        <w:rPr>
          <w:rFonts w:ascii="Times New Roman" w:cs="Times New Roman" w:eastAsia="Times New Roman" w:hAnsi="Times New Roman"/>
          <w:sz w:val="14"/>
          <w:szCs w:val="14"/>
          <w:color w:val="auto"/>
        </w:rPr>
        <w:t>A holder of the Debt Securities of any series will only have the right to institute a proceeding under the Indentures or to appoint a receiver or trustee, or to seek other remedies if:</w:t>
      </w:r>
    </w:p>
    <w:p>
      <w:pPr>
        <w:spacing w:after="0" w:line="64" w:lineRule="exact"/>
        <w:rPr>
          <w:sz w:val="20"/>
          <w:szCs w:val="20"/>
          <w:color w:val="auto"/>
        </w:rPr>
      </w:pPr>
    </w:p>
    <w:p>
      <w:pPr>
        <w:ind w:left="2200" w:hanging="321"/>
        <w:spacing w:after="0"/>
        <w:tabs>
          <w:tab w:leader="none" w:pos="22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previously has given written notice to the debenture trustee of a continuing event of default with respect to that series;</w:t>
      </w:r>
    </w:p>
    <w:p>
      <w:pPr>
        <w:spacing w:after="0" w:line="94" w:lineRule="exact"/>
        <w:rPr>
          <w:rFonts w:ascii="Times New Roman" w:cs="Times New Roman" w:eastAsia="Times New Roman" w:hAnsi="Times New Roman"/>
          <w:sz w:val="14"/>
          <w:szCs w:val="14"/>
          <w:color w:val="auto"/>
        </w:rPr>
      </w:pPr>
    </w:p>
    <w:p>
      <w:pPr>
        <w:ind w:left="2200" w:right="399" w:hanging="321"/>
        <w:spacing w:after="0" w:line="265" w:lineRule="auto"/>
        <w:tabs>
          <w:tab w:leader="none" w:pos="22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63" w:lineRule="exact"/>
        <w:rPr>
          <w:rFonts w:ascii="Times New Roman" w:cs="Times New Roman" w:eastAsia="Times New Roman" w:hAnsi="Times New Roman"/>
          <w:sz w:val="14"/>
          <w:szCs w:val="14"/>
          <w:color w:val="auto"/>
        </w:rPr>
      </w:pPr>
    </w:p>
    <w:p>
      <w:pPr>
        <w:ind w:left="2200" w:right="439" w:hanging="321"/>
        <w:spacing w:after="0" w:line="251" w:lineRule="auto"/>
        <w:tabs>
          <w:tab w:leader="none" w:pos="22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45" w:lineRule="exact"/>
        <w:rPr>
          <w:sz w:val="20"/>
          <w:szCs w:val="20"/>
          <w:color w:val="auto"/>
        </w:rPr>
      </w:pPr>
    </w:p>
    <w:p>
      <w:pPr>
        <w:ind w:left="1480" w:right="479" w:firstLine="334"/>
        <w:spacing w:after="0" w:line="254" w:lineRule="auto"/>
        <w:rPr>
          <w:sz w:val="20"/>
          <w:szCs w:val="20"/>
          <w:color w:val="auto"/>
        </w:rPr>
      </w:pPr>
      <w:r>
        <w:rPr>
          <w:rFonts w:ascii="Times New Roman" w:cs="Times New Roman" w:eastAsia="Times New Roman" w:hAnsi="Times New Roman"/>
          <w:sz w:val="14"/>
          <w:szCs w:val="14"/>
          <w:color w:val="auto"/>
        </w:rPr>
        <w:t>These limitations do not apply to a suit instituted by a holder of Debt Securities if we default in the payment of the principal, premium, if any, or interest on, the Debt Securities. We will periodically file statements with the applicable debenture trustee regarding our compliance with specified covenants in the applicable Indenture.</w:t>
      </w:r>
    </w:p>
    <w:p>
      <w:pPr>
        <w:spacing w:after="0" w:line="2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Modification of Indenture; Waiver</w:t>
      </w:r>
    </w:p>
    <w:p>
      <w:pPr>
        <w:spacing w:after="0" w:line="8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The debenture trustee and we may change the applicable Indenture without the consent of any holders with respect to specific matters, including:</w:t>
      </w:r>
    </w:p>
    <w:p>
      <w:pPr>
        <w:spacing w:after="0" w:line="106" w:lineRule="exact"/>
        <w:rPr>
          <w:sz w:val="20"/>
          <w:szCs w:val="20"/>
          <w:color w:val="auto"/>
        </w:rPr>
      </w:pPr>
    </w:p>
    <w:p>
      <w:pPr>
        <w:ind w:left="2200" w:hanging="321"/>
        <w:spacing w:after="0"/>
        <w:tabs>
          <w:tab w:leader="none" w:pos="2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fix any ambiguity, defect or inconsistency in the Indenture; and</w:t>
      </w:r>
    </w:p>
    <w:p>
      <w:pPr>
        <w:spacing w:after="0" w:line="94" w:lineRule="exact"/>
        <w:rPr>
          <w:rFonts w:ascii="Times New Roman" w:cs="Times New Roman" w:eastAsia="Times New Roman" w:hAnsi="Times New Roman"/>
          <w:sz w:val="14"/>
          <w:szCs w:val="14"/>
          <w:color w:val="auto"/>
        </w:rPr>
      </w:pPr>
    </w:p>
    <w:p>
      <w:pPr>
        <w:ind w:left="2200" w:right="479" w:hanging="321"/>
        <w:spacing w:after="0" w:line="265" w:lineRule="auto"/>
        <w:tabs>
          <w:tab w:leader="none" w:pos="2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change anything that does not materially adversely affect the interests of any holder of Debt Securities of any series issued pursuant to such Indenture.</w:t>
      </w:r>
    </w:p>
    <w:p>
      <w:pPr>
        <w:spacing w:after="0" w:line="136" w:lineRule="exact"/>
        <w:rPr>
          <w:sz w:val="20"/>
          <w:szCs w:val="20"/>
          <w:color w:val="auto"/>
        </w:rPr>
      </w:pPr>
    </w:p>
    <w:p>
      <w:pPr>
        <w:ind w:left="1480" w:right="519" w:firstLine="334"/>
        <w:spacing w:after="0" w:line="283" w:lineRule="auto"/>
        <w:rPr>
          <w:sz w:val="20"/>
          <w:szCs w:val="20"/>
          <w:color w:val="auto"/>
        </w:rPr>
      </w:pPr>
      <w:r>
        <w:rPr>
          <w:rFonts w:ascii="Times New Roman" w:cs="Times New Roman" w:eastAsia="Times New Roman" w:hAnsi="Times New Roman"/>
          <w:sz w:val="13"/>
          <w:szCs w:val="13"/>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w:t>
      </w:r>
    </w:p>
    <w:p>
      <w:pPr>
        <w:spacing w:after="0" w:line="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79"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539"/>
        <w:spacing w:after="0" w:line="265" w:lineRule="auto"/>
        <w:rPr>
          <w:sz w:val="20"/>
          <w:szCs w:val="20"/>
          <w:color w:val="auto"/>
        </w:rPr>
      </w:pPr>
      <w:r>
        <w:rPr>
          <w:rFonts w:ascii="Times New Roman" w:cs="Times New Roman" w:eastAsia="Times New Roman" w:hAnsi="Times New Roman"/>
          <w:sz w:val="14"/>
          <w:szCs w:val="14"/>
          <w:color w:val="auto"/>
        </w:rPr>
        <w:t>at such meeting) that is affected. However, the debenture trustee and we may make the following changes only with the consent of each holder of any outstanding Debt Securities affected:</w:t>
      </w:r>
    </w:p>
    <w:p>
      <w:pPr>
        <w:spacing w:after="0" w:line="64" w:lineRule="exact"/>
        <w:rPr>
          <w:sz w:val="20"/>
          <w:szCs w:val="20"/>
          <w:color w:val="auto"/>
        </w:rPr>
      </w:pPr>
    </w:p>
    <w:p>
      <w:pPr>
        <w:ind w:left="2200" w:hanging="321"/>
        <w:spacing w:after="0"/>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extending the fixed maturity of the series of debt securities;</w:t>
      </w:r>
    </w:p>
    <w:p>
      <w:pPr>
        <w:spacing w:after="0" w:line="94" w:lineRule="exact"/>
        <w:rPr>
          <w:rFonts w:ascii="Times New Roman" w:cs="Times New Roman" w:eastAsia="Times New Roman" w:hAnsi="Times New Roman"/>
          <w:sz w:val="14"/>
          <w:szCs w:val="14"/>
          <w:color w:val="auto"/>
        </w:rPr>
      </w:pPr>
    </w:p>
    <w:p>
      <w:pPr>
        <w:ind w:left="2200" w:right="839" w:hanging="321"/>
        <w:spacing w:after="0" w:line="265" w:lineRule="auto"/>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principal amount, reducing the rate of or extending the time of payment of interest, or any premium payable upon the redemption of any debt securities;</w:t>
      </w:r>
    </w:p>
    <w:p>
      <w:pPr>
        <w:spacing w:after="0" w:line="63"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principal amount of discount securities payable upon acceleration of maturity;</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the principal of or premium or interest on any debt security payable in currency other than that stated in the debt security; or</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percentage of debt securities, the holders of which are required to consent to any amendment or waiver.</w:t>
      </w:r>
    </w:p>
    <w:p>
      <w:pPr>
        <w:spacing w:after="0" w:line="166" w:lineRule="exact"/>
        <w:rPr>
          <w:sz w:val="20"/>
          <w:szCs w:val="20"/>
          <w:color w:val="auto"/>
        </w:rPr>
      </w:pPr>
    </w:p>
    <w:p>
      <w:pPr>
        <w:ind w:left="1480" w:right="379" w:firstLine="334"/>
        <w:spacing w:after="0" w:line="268" w:lineRule="auto"/>
        <w:rPr>
          <w:sz w:val="20"/>
          <w:szCs w:val="20"/>
          <w:color w:val="auto"/>
        </w:rPr>
      </w:pPr>
      <w:r>
        <w:rPr>
          <w:rFonts w:ascii="Times New Roman" w:cs="Times New Roman" w:eastAsia="Times New Roman" w:hAnsi="Times New Roman"/>
          <w:sz w:val="13"/>
          <w:szCs w:val="13"/>
          <w:color w:val="auto"/>
        </w:rPr>
        <w:t>The holders of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the Debt Securities of such series waive any past default under the Indenture with respect to that series and its consequences, except a default in the payment of the principal of, premium or any interest on any debt security of that series when due otherwise than by acceleration (unless such default has been cured and a sum sufficient to pay all matured installments of interest and principal and premium has been deposited with the debenture trustee)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Discharge</w:t>
      </w:r>
    </w:p>
    <w:p>
      <w:pPr>
        <w:spacing w:after="0" w:line="89" w:lineRule="exact"/>
        <w:rPr>
          <w:sz w:val="20"/>
          <w:szCs w:val="20"/>
          <w:color w:val="auto"/>
        </w:rPr>
      </w:pPr>
    </w:p>
    <w:p>
      <w:pPr>
        <w:ind w:left="1480" w:right="539" w:firstLine="334"/>
        <w:spacing w:after="0" w:line="265" w:lineRule="auto"/>
        <w:rPr>
          <w:sz w:val="20"/>
          <w:szCs w:val="20"/>
          <w:color w:val="auto"/>
        </w:rPr>
      </w:pPr>
      <w:r>
        <w:rPr>
          <w:rFonts w:ascii="Times New Roman" w:cs="Times New Roman" w:eastAsia="Times New Roman" w:hAnsi="Times New Roman"/>
          <w:sz w:val="14"/>
          <w:szCs w:val="14"/>
          <w:color w:val="auto"/>
        </w:rPr>
        <w:t>Each Indenture provides that we can elect to be discharged from our obligations with respect to one or more series of debt securities, except for obligations to:</w:t>
      </w:r>
    </w:p>
    <w:p>
      <w:pPr>
        <w:spacing w:after="0" w:line="64" w:lineRule="exact"/>
        <w:rPr>
          <w:sz w:val="20"/>
          <w:szCs w:val="20"/>
          <w:color w:val="auto"/>
        </w:rPr>
      </w:pPr>
    </w:p>
    <w:p>
      <w:pPr>
        <w:ind w:left="2200" w:hanging="321"/>
        <w:spacing w:after="0"/>
        <w:tabs>
          <w:tab w:leader="none" w:pos="2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or exchange of Debt Securities of the series;</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replace stolen, lost or mutilated Debt Securities of the series;</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duly and punctually pay or cause to be paid amounts owing with respect to the Debt Securities;</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paying agencies;</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 monies for payment in trust;</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compensate and indemnify the trustee; and</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 any successor trustee.</w:t>
      </w:r>
    </w:p>
    <w:p>
      <w:pPr>
        <w:spacing w:after="0" w:line="166" w:lineRule="exact"/>
        <w:rPr>
          <w:sz w:val="20"/>
          <w:szCs w:val="20"/>
          <w:color w:val="auto"/>
        </w:rPr>
      </w:pPr>
    </w:p>
    <w:p>
      <w:pPr>
        <w:ind w:left="1480" w:right="839" w:firstLine="334"/>
        <w:spacing w:after="0" w:line="304" w:lineRule="auto"/>
        <w:rPr>
          <w:sz w:val="20"/>
          <w:szCs w:val="20"/>
          <w:color w:val="auto"/>
        </w:rPr>
      </w:pPr>
      <w:r>
        <w:rPr>
          <w:rFonts w:ascii="Times New Roman" w:cs="Times New Roman" w:eastAsia="Times New Roman" w:hAnsi="Times New Roman"/>
          <w:sz w:val="13"/>
          <w:szCs w:val="13"/>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9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Form, Exchange, and Transfer</w:t>
      </w:r>
    </w:p>
    <w:p>
      <w:pPr>
        <w:spacing w:after="0" w:line="89" w:lineRule="exact"/>
        <w:rPr>
          <w:sz w:val="20"/>
          <w:szCs w:val="20"/>
          <w:color w:val="auto"/>
        </w:rPr>
      </w:pPr>
    </w:p>
    <w:p>
      <w:pPr>
        <w:ind w:left="1480" w:right="339" w:firstLine="334"/>
        <w:spacing w:after="0" w:line="251" w:lineRule="auto"/>
        <w:rPr>
          <w:sz w:val="20"/>
          <w:szCs w:val="20"/>
          <w:color w:val="auto"/>
        </w:rPr>
      </w:pPr>
      <w:r>
        <w:rPr>
          <w:rFonts w:ascii="Times New Roman" w:cs="Times New Roman" w:eastAsia="Times New Roman" w:hAnsi="Times New Roman"/>
          <w:sz w:val="14"/>
          <w:szCs w:val="14"/>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78"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479" w:firstLine="334"/>
        <w:spacing w:after="0" w:line="254" w:lineRule="auto"/>
        <w:rPr>
          <w:sz w:val="20"/>
          <w:szCs w:val="20"/>
          <w:color w:val="auto"/>
        </w:rPr>
      </w:pPr>
      <w:r>
        <w:rPr>
          <w:rFonts w:ascii="Times New Roman" w:cs="Times New Roman" w:eastAsia="Times New Roman" w:hAnsi="Times New Roman"/>
          <w:sz w:val="14"/>
          <w:szCs w:val="14"/>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44" w:lineRule="exact"/>
        <w:rPr>
          <w:sz w:val="20"/>
          <w:szCs w:val="20"/>
          <w:color w:val="auto"/>
        </w:rPr>
      </w:pPr>
    </w:p>
    <w:p>
      <w:pPr>
        <w:ind w:left="1480" w:right="439" w:firstLine="334"/>
        <w:spacing w:after="0" w:line="273" w:lineRule="auto"/>
        <w:rPr>
          <w:sz w:val="20"/>
          <w:szCs w:val="20"/>
          <w:color w:val="auto"/>
        </w:rPr>
      </w:pPr>
      <w:r>
        <w:rPr>
          <w:rFonts w:ascii="Times New Roman" w:cs="Times New Roman" w:eastAsia="Times New Roman" w:hAnsi="Times New Roman"/>
          <w:sz w:val="13"/>
          <w:szCs w:val="13"/>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32" w:lineRule="exact"/>
        <w:rPr>
          <w:sz w:val="20"/>
          <w:szCs w:val="20"/>
          <w:color w:val="auto"/>
        </w:rPr>
      </w:pPr>
    </w:p>
    <w:p>
      <w:pPr>
        <w:ind w:left="1480" w:right="579" w:firstLine="334"/>
        <w:spacing w:after="0" w:line="251" w:lineRule="auto"/>
        <w:rPr>
          <w:sz w:val="20"/>
          <w:szCs w:val="20"/>
          <w:color w:val="auto"/>
        </w:rPr>
      </w:pPr>
      <w:r>
        <w:rPr>
          <w:rFonts w:ascii="Times New Roman" w:cs="Times New Roman" w:eastAsia="Times New Roman" w:hAnsi="Times New Roman"/>
          <w:sz w:val="14"/>
          <w:szCs w:val="14"/>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4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If we elect to redeem the Debt Securities of any series, we will not be required to:</w:t>
      </w:r>
    </w:p>
    <w:p>
      <w:pPr>
        <w:spacing w:after="0" w:line="95" w:lineRule="exact"/>
        <w:rPr>
          <w:sz w:val="20"/>
          <w:szCs w:val="20"/>
          <w:color w:val="auto"/>
        </w:rPr>
      </w:pPr>
    </w:p>
    <w:p>
      <w:pPr>
        <w:jc w:val="both"/>
        <w:ind w:left="2200" w:right="459" w:hanging="321"/>
        <w:spacing w:after="0" w:line="254" w:lineRule="auto"/>
        <w:tabs>
          <w:tab w:leader="none" w:pos="22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register the transfer of, or exchange any Debt Securities of that series during a period beginning at the opening of business 15 days before the day of mailing of a notice of redemption of less than all outstanding Debt Securities of the same series that may be selected for redemption and ending at the close of business on the day of the mailing; or</w:t>
      </w:r>
    </w:p>
    <w:p>
      <w:pPr>
        <w:spacing w:after="0" w:line="72" w:lineRule="exact"/>
        <w:rPr>
          <w:rFonts w:ascii="Times New Roman" w:cs="Times New Roman" w:eastAsia="Times New Roman" w:hAnsi="Times New Roman"/>
          <w:sz w:val="14"/>
          <w:szCs w:val="14"/>
          <w:color w:val="auto"/>
        </w:rPr>
      </w:pPr>
    </w:p>
    <w:p>
      <w:pPr>
        <w:ind w:left="2200" w:right="499" w:hanging="321"/>
        <w:spacing w:after="0" w:line="265" w:lineRule="auto"/>
        <w:tabs>
          <w:tab w:leader="none" w:pos="22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of or exchange any Debt Securities so selected for redemption, in whole or in part, except the unredeemed portion of any Debt Securities we are redeeming in part.</w:t>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Information Concerning the Debenture Trustee</w:t>
      </w:r>
    </w:p>
    <w:p>
      <w:pPr>
        <w:spacing w:after="0" w:line="89" w:lineRule="exact"/>
        <w:rPr>
          <w:sz w:val="20"/>
          <w:szCs w:val="20"/>
          <w:color w:val="auto"/>
        </w:rPr>
      </w:pPr>
    </w:p>
    <w:p>
      <w:pPr>
        <w:ind w:left="1480" w:right="399" w:firstLine="334"/>
        <w:spacing w:after="0" w:line="249" w:lineRule="auto"/>
        <w:rPr>
          <w:sz w:val="20"/>
          <w:szCs w:val="20"/>
          <w:color w:val="auto"/>
        </w:rPr>
      </w:pPr>
      <w:r>
        <w:rPr>
          <w:rFonts w:ascii="Times New Roman" w:cs="Times New Roman" w:eastAsia="Times New Roman" w:hAnsi="Times New Roman"/>
          <w:sz w:val="14"/>
          <w:szCs w:val="14"/>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or indemnity against the costs, expenses and liabilities that it might incur.</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89" w:lineRule="exact"/>
        <w:rPr>
          <w:sz w:val="20"/>
          <w:szCs w:val="20"/>
          <w:color w:val="auto"/>
        </w:rPr>
      </w:pPr>
    </w:p>
    <w:p>
      <w:pPr>
        <w:jc w:val="both"/>
        <w:ind w:left="1480" w:right="339" w:firstLine="334"/>
        <w:spacing w:after="0" w:line="254" w:lineRule="auto"/>
        <w:rPr>
          <w:sz w:val="20"/>
          <w:szCs w:val="20"/>
          <w:color w:val="auto"/>
        </w:rPr>
      </w:pPr>
      <w:r>
        <w:rPr>
          <w:rFonts w:ascii="Times New Roman" w:cs="Times New Roman" w:eastAsia="Times New Roman" w:hAnsi="Times New Roman"/>
          <w:sz w:val="14"/>
          <w:szCs w:val="14"/>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44" w:lineRule="exact"/>
        <w:rPr>
          <w:sz w:val="20"/>
          <w:szCs w:val="20"/>
          <w:color w:val="auto"/>
        </w:rPr>
      </w:pPr>
    </w:p>
    <w:p>
      <w:pPr>
        <w:ind w:left="1480" w:right="359" w:firstLine="334"/>
        <w:spacing w:after="0" w:line="248" w:lineRule="auto"/>
        <w:rPr>
          <w:sz w:val="20"/>
          <w:szCs w:val="20"/>
          <w:color w:val="auto"/>
        </w:rPr>
      </w:pPr>
      <w:r>
        <w:rPr>
          <w:rFonts w:ascii="Times New Roman" w:cs="Times New Roman" w:eastAsia="Times New Roman" w:hAnsi="Times New Roman"/>
          <w:sz w:val="14"/>
          <w:szCs w:val="14"/>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79"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399" w:firstLine="334"/>
        <w:spacing w:after="0" w:line="254" w:lineRule="auto"/>
        <w:rPr>
          <w:sz w:val="20"/>
          <w:szCs w:val="20"/>
          <w:color w:val="auto"/>
        </w:rPr>
      </w:pPr>
      <w:r>
        <w:rPr>
          <w:rFonts w:ascii="Times New Roman" w:cs="Times New Roman" w:eastAsia="Times New Roman" w:hAnsi="Times New Roman"/>
          <w:sz w:val="14"/>
          <w:szCs w:val="14"/>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2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89" w:lineRule="exact"/>
        <w:rPr>
          <w:sz w:val="20"/>
          <w:szCs w:val="20"/>
          <w:color w:val="auto"/>
        </w:rPr>
      </w:pPr>
    </w:p>
    <w:p>
      <w:pPr>
        <w:ind w:left="1480" w:right="599" w:firstLine="334"/>
        <w:spacing w:after="0" w:line="265" w:lineRule="auto"/>
        <w:rPr>
          <w:sz w:val="20"/>
          <w:szCs w:val="20"/>
          <w:color w:val="auto"/>
        </w:rPr>
      </w:pPr>
      <w:r>
        <w:rPr>
          <w:rFonts w:ascii="Times New Roman" w:cs="Times New Roman" w:eastAsia="Times New Roman" w:hAnsi="Times New Roman"/>
          <w:sz w:val="14"/>
          <w:szCs w:val="14"/>
          <w:color w:val="auto"/>
        </w:rPr>
        <w:t>The Indentures and the Debt Securities will be governed by and construed in accordance with the laws of the State of New York, except to the extent that the Trust Indenture Act is applicable.</w:t>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Subordination of Subordinated Debt Securities</w:t>
      </w:r>
    </w:p>
    <w:p>
      <w:pPr>
        <w:spacing w:after="0" w:line="89" w:lineRule="exact"/>
        <w:rPr>
          <w:sz w:val="20"/>
          <w:szCs w:val="20"/>
          <w:color w:val="auto"/>
        </w:rPr>
      </w:pPr>
    </w:p>
    <w:p>
      <w:pPr>
        <w:ind w:left="1480" w:right="419" w:firstLine="334"/>
        <w:spacing w:after="0" w:line="268" w:lineRule="auto"/>
        <w:rPr>
          <w:sz w:val="20"/>
          <w:szCs w:val="20"/>
          <w:color w:val="auto"/>
        </w:rPr>
      </w:pPr>
      <w:r>
        <w:rPr>
          <w:rFonts w:ascii="Times New Roman" w:cs="Times New Roman" w:eastAsia="Times New Roman" w:hAnsi="Times New Roman"/>
          <w:sz w:val="13"/>
          <w:szCs w:val="13"/>
          <w:color w:val="auto"/>
        </w:rPr>
        <w:t>Our obligations pursuant to any Subordinated Debt Securities will be subordinate and junior in priority of payment to certain of our other indebtedness to the extent set forth in the supplemental indenture relating to such series and described in the applicable prospectus supplement. Holders of such senior indebtedness are entitled to the benefit of, and may enforce, the subordination provisions. Any money collected by the debenture trustee following an event of default will be applied first to amounts owing to the debenture trustee, second to the payment of senior indebtedness to the extent required by the subordination provisions, and only then to amounts due on the Subordinated Debt Securities. The debenture trustee’s claims for compensation, expenses and indemnity are secured by a lien prior to the Subordinated Debt Securities on all money or property held or collected by the debenture trustee, other than funds held in trust for the payment of particular Subordinated Debt Securities. The Indentures do not limit the amount of indebtedness we may incur. The Indentures also do not limit us from issuing any other secured or unsecured debt.</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79"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8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9" w:lineRule="exact"/>
        <w:rPr>
          <w:sz w:val="20"/>
          <w:szCs w:val="20"/>
          <w:color w:val="auto"/>
        </w:rPr>
      </w:pPr>
    </w:p>
    <w:p>
      <w:pPr>
        <w:ind w:left="1480" w:right="359" w:firstLine="334"/>
        <w:spacing w:after="0" w:line="251" w:lineRule="auto"/>
        <w:rPr>
          <w:sz w:val="20"/>
          <w:szCs w:val="20"/>
          <w:color w:val="auto"/>
        </w:rPr>
      </w:pPr>
      <w:r>
        <w:rPr>
          <w:rFonts w:ascii="Times New Roman" w:cs="Times New Roman" w:eastAsia="Times New Roman" w:hAnsi="Times New Roman"/>
          <w:sz w:val="14"/>
          <w:szCs w:val="14"/>
          <w:color w:val="auto"/>
        </w:rPr>
        <w:t>We may issue warrants to purchase shares of our Class A common stock, shares of our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4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The applicable prospectus supplement will contain, where applicable, the following terms of and other information relating to the warrants:</w:t>
      </w:r>
    </w:p>
    <w:p>
      <w:pPr>
        <w:spacing w:after="0" w:line="95" w:lineRule="exact"/>
        <w:rPr>
          <w:sz w:val="20"/>
          <w:szCs w:val="20"/>
          <w:color w:val="auto"/>
        </w:rPr>
      </w:pPr>
    </w:p>
    <w:p>
      <w:pPr>
        <w:ind w:left="2200" w:hanging="321"/>
        <w:spacing w:after="0"/>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specific designation and aggregate number of, and the price at which we will issue, the warrants;</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currency units in which the offering price, if any, and the exercise price are payable;</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amount and terms of the securities purchasable upon exercise of the warrants;</w:t>
      </w:r>
    </w:p>
    <w:p>
      <w:pPr>
        <w:spacing w:after="0" w:line="94" w:lineRule="exact"/>
        <w:rPr>
          <w:rFonts w:ascii="Times New Roman" w:cs="Times New Roman" w:eastAsia="Times New Roman" w:hAnsi="Times New Roman"/>
          <w:sz w:val="14"/>
          <w:szCs w:val="14"/>
          <w:color w:val="auto"/>
        </w:rPr>
      </w:pPr>
    </w:p>
    <w:p>
      <w:pPr>
        <w:ind w:left="2200" w:right="399" w:hanging="321"/>
        <w:spacing w:after="0" w:line="265" w:lineRule="auto"/>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exercise price for shares of our Class A common stock and the number of shares of Class A common stock to be received upon exercise of the warrants;</w:t>
      </w:r>
    </w:p>
    <w:p>
      <w:pPr>
        <w:spacing w:after="0" w:line="63" w:lineRule="exact"/>
        <w:rPr>
          <w:rFonts w:ascii="Times New Roman" w:cs="Times New Roman" w:eastAsia="Times New Roman" w:hAnsi="Times New Roman"/>
          <w:sz w:val="14"/>
          <w:szCs w:val="14"/>
          <w:color w:val="auto"/>
        </w:rPr>
      </w:pPr>
    </w:p>
    <w:p>
      <w:pPr>
        <w:ind w:left="2200" w:right="619" w:hanging="321"/>
        <w:spacing w:after="0" w:line="265" w:lineRule="auto"/>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exercise price for our preferred stock, the number of shares of our preferred stock to be received upon exercise, and a description of that series of our preferred stock;</w:t>
      </w:r>
    </w:p>
    <w:p>
      <w:pPr>
        <w:spacing w:after="0" w:line="63" w:lineRule="exact"/>
        <w:rPr>
          <w:rFonts w:ascii="Times New Roman" w:cs="Times New Roman" w:eastAsia="Times New Roman" w:hAnsi="Times New Roman"/>
          <w:sz w:val="14"/>
          <w:szCs w:val="14"/>
          <w:color w:val="auto"/>
        </w:rPr>
      </w:pPr>
    </w:p>
    <w:p>
      <w:pPr>
        <w:ind w:left="2200" w:right="539" w:hanging="321"/>
        <w:spacing w:after="0" w:line="265" w:lineRule="auto"/>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exercise price for our Debt Securities, the amount of Debt Securities to be received upon exercise, and a description of that series of Debt Securities;</w:t>
      </w:r>
    </w:p>
    <w:p>
      <w:pPr>
        <w:spacing w:after="0" w:line="63" w:lineRule="exact"/>
        <w:rPr>
          <w:rFonts w:ascii="Times New Roman" w:cs="Times New Roman" w:eastAsia="Times New Roman" w:hAnsi="Times New Roman"/>
          <w:sz w:val="14"/>
          <w:szCs w:val="14"/>
          <w:color w:val="auto"/>
        </w:rPr>
      </w:pPr>
    </w:p>
    <w:p>
      <w:pPr>
        <w:ind w:left="2200" w:right="459" w:hanging="321"/>
        <w:spacing w:after="0" w:line="265" w:lineRule="auto"/>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3" w:lineRule="exact"/>
        <w:rPr>
          <w:rFonts w:ascii="Times New Roman" w:cs="Times New Roman" w:eastAsia="Times New Roman" w:hAnsi="Times New Roman"/>
          <w:sz w:val="14"/>
          <w:szCs w:val="14"/>
          <w:color w:val="auto"/>
        </w:rPr>
      </w:pPr>
    </w:p>
    <w:p>
      <w:pPr>
        <w:ind w:left="2200" w:right="359" w:hanging="321"/>
        <w:spacing w:after="0" w:line="254" w:lineRule="auto"/>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72"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material U.S. federal income tax consequences;</w:t>
      </w:r>
    </w:p>
    <w:p>
      <w:pPr>
        <w:spacing w:after="0" w:line="94" w:lineRule="exact"/>
        <w:rPr>
          <w:rFonts w:ascii="Times New Roman" w:cs="Times New Roman" w:eastAsia="Times New Roman" w:hAnsi="Times New Roman"/>
          <w:sz w:val="14"/>
          <w:szCs w:val="14"/>
          <w:color w:val="auto"/>
        </w:rPr>
      </w:pPr>
    </w:p>
    <w:p>
      <w:pPr>
        <w:ind w:left="2200" w:right="579" w:hanging="321"/>
        <w:spacing w:after="0" w:line="265" w:lineRule="auto"/>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identity of the warrant agent for the warrants and of any other depositaries, execution or paying agents, transfer agents, registrars or other agents;</w:t>
      </w:r>
    </w:p>
    <w:p>
      <w:pPr>
        <w:spacing w:after="0" w:line="63"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proposed listing, if any, of the warrants or any securities purchasable upon exercise of the warrants on any securities exchange;</w:t>
      </w:r>
    </w:p>
    <w:p>
      <w:pPr>
        <w:spacing w:after="0" w:line="94" w:lineRule="exact"/>
        <w:rPr>
          <w:rFonts w:ascii="Times New Roman" w:cs="Times New Roman" w:eastAsia="Times New Roman" w:hAnsi="Times New Roman"/>
          <w:sz w:val="14"/>
          <w:szCs w:val="14"/>
          <w:color w:val="auto"/>
        </w:rPr>
      </w:pPr>
    </w:p>
    <w:p>
      <w:pPr>
        <w:ind w:left="2200" w:right="559" w:hanging="321"/>
        <w:spacing w:after="0" w:line="265" w:lineRule="auto"/>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from and after which the warrants and the shares of Class A common stock, shares of preferred stock and/or Debt Securities will be separately transferable;</w:t>
      </w:r>
    </w:p>
    <w:p>
      <w:pPr>
        <w:spacing w:after="0" w:line="63"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the warrants that may be exercised at any one time;</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anti-dilution provisions of the warrants, if any;</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redemption or call provisions;</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warrants may be sold separately or with other securities as parts of units; and</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the warrants, including terms, procedures and limitations relating to the exchange and exercise of the warrants.</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8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The transfer agent and registrar for any warrants will be set forth in the applicable prospectus supplement.</w:t>
      </w:r>
    </w:p>
    <w:p>
      <w:pPr>
        <w:spacing w:after="0" w:line="1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78"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DESCRIPTION OF RIGHTS</w:t>
      </w:r>
    </w:p>
    <w:p>
      <w:pPr>
        <w:spacing w:after="0" w:line="8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9" w:lineRule="exact"/>
        <w:rPr>
          <w:sz w:val="20"/>
          <w:szCs w:val="20"/>
          <w:color w:val="auto"/>
        </w:rPr>
      </w:pPr>
    </w:p>
    <w:p>
      <w:pPr>
        <w:ind w:left="1480" w:right="359" w:firstLine="334"/>
        <w:spacing w:after="0" w:line="245" w:lineRule="auto"/>
        <w:rPr>
          <w:sz w:val="20"/>
          <w:szCs w:val="20"/>
          <w:color w:val="auto"/>
        </w:rPr>
      </w:pPr>
      <w:r>
        <w:rPr>
          <w:rFonts w:ascii="Times New Roman" w:cs="Times New Roman" w:eastAsia="Times New Roman" w:hAnsi="Times New Roman"/>
          <w:sz w:val="14"/>
          <w:szCs w:val="14"/>
          <w:color w:val="auto"/>
        </w:rPr>
        <w:t>We may issue rights to our stockholders to purchase shares of our Class A common stock, shares of our preferred stock or any of the other securities described in this prospectus. We may offer rights separately or together with one or more additional rights, Debt Securities, shares of preferred stock, shares of Class A common stock or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15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We will provide in a prospectus supplement the following terms of the rights being issued:</w:t>
      </w:r>
    </w:p>
    <w:p>
      <w:pPr>
        <w:spacing w:after="0" w:line="95" w:lineRule="exact"/>
        <w:rPr>
          <w:sz w:val="20"/>
          <w:szCs w:val="20"/>
          <w:color w:val="auto"/>
        </w:rPr>
      </w:pPr>
    </w:p>
    <w:p>
      <w:pPr>
        <w:ind w:left="2200" w:hanging="321"/>
        <w:spacing w:after="0"/>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of determining the stockholders entitled to the rights distribution;</w:t>
      </w:r>
    </w:p>
    <w:p>
      <w:pPr>
        <w:spacing w:after="0" w:line="94" w:lineRule="exact"/>
        <w:rPr>
          <w:rFonts w:ascii="Times New Roman" w:cs="Times New Roman" w:eastAsia="Times New Roman" w:hAnsi="Times New Roman"/>
          <w:sz w:val="14"/>
          <w:szCs w:val="14"/>
          <w:color w:val="auto"/>
        </w:rPr>
      </w:pPr>
    </w:p>
    <w:p>
      <w:pPr>
        <w:ind w:left="2200" w:right="579" w:hanging="321"/>
        <w:spacing w:after="0" w:line="265" w:lineRule="auto"/>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shares of Class A common stock, shares of preferred stock or other securities purchasable upon exercise of the rights;</w:t>
      </w:r>
    </w:p>
    <w:p>
      <w:pPr>
        <w:spacing w:after="0" w:line="63"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rights issued;</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rights are transferrable and the date, if any, on and after which the rights may be separately transferred;</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rights will commence, and the date on which the right to exercise the rights will expire;</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method by which holders of rights will be entitled to exercise;</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conditions to the completion of the offering, if any;</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withdrawal, termination and cancellation rights, if any;</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there are any backstop or standby purchaser or purchasers and the terms of their commitment, if any;</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stockholders are entitled to oversubscription rights, if any;</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material U.S. federal income tax considerations; and</w:t>
      </w:r>
    </w:p>
    <w:p>
      <w:pPr>
        <w:spacing w:after="0" w:line="94" w:lineRule="exact"/>
        <w:rPr>
          <w:rFonts w:ascii="Times New Roman" w:cs="Times New Roman" w:eastAsia="Times New Roman" w:hAnsi="Times New Roman"/>
          <w:sz w:val="14"/>
          <w:szCs w:val="14"/>
          <w:color w:val="auto"/>
        </w:rPr>
      </w:pPr>
    </w:p>
    <w:p>
      <w:pPr>
        <w:ind w:left="2200" w:right="359" w:hanging="321"/>
        <w:spacing w:after="0" w:line="265" w:lineRule="auto"/>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rights, including terms, procedures and limitations relating to the distribution, exchange and exercise of the rights, as applicable.</w:t>
      </w:r>
    </w:p>
    <w:p>
      <w:pPr>
        <w:spacing w:after="0" w:line="136" w:lineRule="exact"/>
        <w:rPr>
          <w:sz w:val="20"/>
          <w:szCs w:val="20"/>
          <w:color w:val="auto"/>
        </w:rPr>
      </w:pPr>
    </w:p>
    <w:p>
      <w:pPr>
        <w:ind w:left="1480" w:right="339" w:firstLine="334"/>
        <w:spacing w:after="0" w:line="254" w:lineRule="auto"/>
        <w:rPr>
          <w:sz w:val="20"/>
          <w:szCs w:val="20"/>
          <w:color w:val="auto"/>
        </w:rPr>
      </w:pPr>
      <w:r>
        <w:rPr>
          <w:rFonts w:ascii="Times New Roman" w:cs="Times New Roman" w:eastAsia="Times New Roman" w:hAnsi="Times New Roman"/>
          <w:sz w:val="14"/>
          <w:szCs w:val="14"/>
          <w:color w:val="auto"/>
        </w:rPr>
        <w:t>Each right will entitle the holder of rights to purchase for cash the principal amount of shares of Class A common stock, shares of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78"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379" w:firstLine="334"/>
        <w:spacing w:after="0" w:line="248" w:lineRule="auto"/>
        <w:rPr>
          <w:sz w:val="20"/>
          <w:szCs w:val="20"/>
          <w:color w:val="auto"/>
        </w:rPr>
      </w:pPr>
      <w:r>
        <w:rPr>
          <w:rFonts w:ascii="Times New Roman" w:cs="Times New Roman" w:eastAsia="Times New Roman" w:hAnsi="Times New Roman"/>
          <w:sz w:val="14"/>
          <w:szCs w:val="14"/>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Class A common stock, shares of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Rights Agent</w:t>
      </w:r>
    </w:p>
    <w:p>
      <w:pPr>
        <w:spacing w:after="0" w:line="8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The rights agent for any rights we offer will be set forth in the applicable prospectus supplement.</w:t>
      </w:r>
    </w:p>
    <w:p>
      <w:pPr>
        <w:spacing w:after="0" w:line="1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79"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70" w:lineRule="exact"/>
        <w:rPr>
          <w:sz w:val="20"/>
          <w:szCs w:val="20"/>
          <w:color w:val="auto"/>
        </w:rPr>
      </w:pPr>
    </w:p>
    <w:p>
      <w:pPr>
        <w:ind w:left="1480" w:right="439" w:firstLine="334"/>
        <w:spacing w:after="0" w:line="251"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45" w:lineRule="exact"/>
        <w:rPr>
          <w:sz w:val="20"/>
          <w:szCs w:val="20"/>
          <w:color w:val="auto"/>
        </w:rPr>
      </w:pPr>
    </w:p>
    <w:p>
      <w:pPr>
        <w:ind w:left="1480" w:right="459" w:firstLine="334"/>
        <w:spacing w:after="0" w:line="248" w:lineRule="auto"/>
        <w:rPr>
          <w:sz w:val="20"/>
          <w:szCs w:val="20"/>
          <w:color w:val="auto"/>
        </w:rPr>
      </w:pPr>
      <w:r>
        <w:rPr>
          <w:rFonts w:ascii="Times New Roman" w:cs="Times New Roman" w:eastAsia="Times New Roman" w:hAnsi="Times New Roman"/>
          <w:sz w:val="14"/>
          <w:szCs w:val="14"/>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9" w:lineRule="exact"/>
        <w:rPr>
          <w:sz w:val="20"/>
          <w:szCs w:val="20"/>
          <w:color w:val="auto"/>
        </w:rPr>
      </w:pPr>
    </w:p>
    <w:p>
      <w:pPr>
        <w:ind w:left="1480" w:right="419" w:firstLine="334"/>
        <w:spacing w:after="0" w:line="249" w:lineRule="auto"/>
        <w:rPr>
          <w:sz w:val="20"/>
          <w:szCs w:val="20"/>
          <w:color w:val="auto"/>
        </w:rPr>
      </w:pPr>
      <w:r>
        <w:rPr>
          <w:rFonts w:ascii="Times New Roman" w:cs="Times New Roman" w:eastAsia="Times New Roman" w:hAnsi="Times New Roman"/>
          <w:sz w:val="14"/>
          <w:szCs w:val="14"/>
          <w:color w:val="auto"/>
        </w:rPr>
        <w:t>We may issue units consisting of shares of Class A common stock, shares of our preferred stock, one or more Debt Securities, warrants or rights for the purchase of shares of Class A common stock, shares of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4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units being offered, including:</w:t>
      </w:r>
    </w:p>
    <w:p>
      <w:pPr>
        <w:spacing w:after="0" w:line="95" w:lineRule="exact"/>
        <w:rPr>
          <w:sz w:val="20"/>
          <w:szCs w:val="20"/>
          <w:color w:val="auto"/>
        </w:rPr>
      </w:pPr>
    </w:p>
    <w:p>
      <w:pPr>
        <w:ind w:left="2200" w:right="579" w:hanging="321"/>
        <w:spacing w:after="0" w:line="265" w:lineRule="auto"/>
        <w:tabs>
          <w:tab w:leader="none" w:pos="2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units and of the securities comprising the units, including whether and under what circumstances those securities may be held or transferred separately;</w:t>
      </w:r>
    </w:p>
    <w:p>
      <w:pPr>
        <w:spacing w:after="0" w:line="63"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of the governing unit agreement that differ from those described below; and</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the issuance, payment, settlement, transfer or exchange of the units or of the securities comprising the units.</w:t>
      </w:r>
    </w:p>
    <w:p>
      <w:pPr>
        <w:spacing w:after="0" w:line="166" w:lineRule="exact"/>
        <w:rPr>
          <w:sz w:val="20"/>
          <w:szCs w:val="20"/>
          <w:color w:val="auto"/>
        </w:rPr>
      </w:pPr>
    </w:p>
    <w:p>
      <w:pPr>
        <w:ind w:left="1480" w:right="379" w:firstLine="334"/>
        <w:spacing w:after="0" w:line="254" w:lineRule="auto"/>
        <w:rPr>
          <w:sz w:val="20"/>
          <w:szCs w:val="20"/>
          <w:color w:val="auto"/>
        </w:rPr>
      </w:pPr>
      <w:r>
        <w:rPr>
          <w:rFonts w:ascii="Times New Roman" w:cs="Times New Roman" w:eastAsia="Times New Roman" w:hAnsi="Times New Roman"/>
          <w:sz w:val="14"/>
          <w:szCs w:val="14"/>
          <w:color w:val="auto"/>
        </w:rPr>
        <w:t>The provisions described in this section, as well as those set forth in any prospectus supplement or as described under “Description of Capital Stock,” “Description of Debt Securities,” “Description of Warrants” and “Description of Rights” will apply to each unit, as applicable, and to any shares of Class A common stock, shares of preferred stock, debt security, warrant, or right included in each unit, as applicable.</w:t>
      </w:r>
    </w:p>
    <w:p>
      <w:pPr>
        <w:spacing w:after="0" w:line="2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Unit Agent</w:t>
      </w:r>
    </w:p>
    <w:p>
      <w:pPr>
        <w:spacing w:after="0" w:line="8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The name and address of the unit agent for any units we offer will be set forth in the applicable prospectus supplement.</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Issuance in Series</w:t>
      </w:r>
    </w:p>
    <w:p>
      <w:pPr>
        <w:spacing w:after="0" w:line="8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We may issue units in such amounts and in such numerous distinct series as we determine.</w:t>
      </w:r>
    </w:p>
    <w:p>
      <w:pPr>
        <w:spacing w:after="0" w:line="1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79"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Enforceability of Rights by Holders of Units</w:t>
      </w:r>
    </w:p>
    <w:p>
      <w:pPr>
        <w:spacing w:after="0" w:line="89" w:lineRule="exact"/>
        <w:rPr>
          <w:sz w:val="20"/>
          <w:szCs w:val="20"/>
          <w:color w:val="auto"/>
        </w:rPr>
      </w:pPr>
    </w:p>
    <w:p>
      <w:pPr>
        <w:ind w:left="1480" w:right="399" w:firstLine="334"/>
        <w:spacing w:after="0" w:line="249" w:lineRule="auto"/>
        <w:rPr>
          <w:sz w:val="20"/>
          <w:szCs w:val="20"/>
          <w:color w:val="auto"/>
        </w:rPr>
      </w:pPr>
      <w:r>
        <w:rPr>
          <w:rFonts w:ascii="Times New Roman" w:cs="Times New Roman" w:eastAsia="Times New Roman" w:hAnsi="Times New Roman"/>
          <w:sz w:val="14"/>
          <w:szCs w:val="14"/>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79"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0" w:lineRule="exact"/>
        <w:rPr>
          <w:sz w:val="20"/>
          <w:szCs w:val="20"/>
          <w:color w:val="auto"/>
        </w:rPr>
      </w:pPr>
    </w:p>
    <w:p>
      <w:pPr>
        <w:jc w:val="both"/>
        <w:ind w:left="1480" w:right="579" w:firstLine="334"/>
        <w:spacing w:after="0" w:line="254" w:lineRule="auto"/>
        <w:rPr>
          <w:sz w:val="20"/>
          <w:szCs w:val="20"/>
          <w:color w:val="auto"/>
        </w:rPr>
      </w:pPr>
      <w:r>
        <w:rPr>
          <w:rFonts w:ascii="Times New Roman" w:cs="Times New Roman" w:eastAsia="Times New Roman" w:hAnsi="Times New Roman"/>
          <w:sz w:val="14"/>
          <w:szCs w:val="14"/>
          <w:color w:val="auto"/>
        </w:rPr>
        <w:t>Unless the applicable prospectus supplement indicates otherwise, the validity of securities offered hereby will be passed upon for us by Mintz, Levin, Cohn, Ferris, Glovsky and Popeo, P.C., Boston, Massachusetts. Additional legal matters may be passed upon for any underwriters, dealers or agents by counsel that we will name in the applicable prospectus supplement.</w:t>
      </w:r>
    </w:p>
    <w:p>
      <w:pPr>
        <w:spacing w:after="0" w:line="3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0" w:lineRule="exact"/>
        <w:rPr>
          <w:sz w:val="20"/>
          <w:szCs w:val="20"/>
          <w:color w:val="auto"/>
        </w:rPr>
      </w:pPr>
    </w:p>
    <w:p>
      <w:pPr>
        <w:ind w:left="1480" w:right="379" w:firstLine="334"/>
        <w:spacing w:after="0" w:line="251" w:lineRule="auto"/>
        <w:rPr>
          <w:sz w:val="20"/>
          <w:szCs w:val="20"/>
          <w:color w:val="auto"/>
        </w:rPr>
      </w:pPr>
      <w:r>
        <w:rPr>
          <w:rFonts w:ascii="Times New Roman" w:cs="Times New Roman" w:eastAsia="Times New Roman" w:hAnsi="Times New Roman"/>
          <w:sz w:val="14"/>
          <w:szCs w:val="14"/>
          <w:color w:val="auto"/>
        </w:rPr>
        <w:t>Ernst &amp; Young LLP, independent registered public accounting firm, has audited our consolidated financial statements included in our Annual Report on Form 10-K for the year ended December 31, 2025,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3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0" w:lineRule="exact"/>
        <w:rPr>
          <w:sz w:val="20"/>
          <w:szCs w:val="20"/>
          <w:color w:val="auto"/>
        </w:rPr>
      </w:pPr>
    </w:p>
    <w:p>
      <w:pPr>
        <w:ind w:left="1480" w:right="779" w:firstLine="334"/>
        <w:spacing w:after="0" w:line="265" w:lineRule="auto"/>
        <w:rPr>
          <w:sz w:val="20"/>
          <w:szCs w:val="20"/>
          <w:color w:val="auto"/>
        </w:rPr>
      </w:pPr>
      <w:r>
        <w:rPr>
          <w:rFonts w:ascii="Times New Roman" w:cs="Times New Roman" w:eastAsia="Times New Roman" w:hAnsi="Times New Roman"/>
          <w:sz w:val="14"/>
          <w:szCs w:val="14"/>
          <w:color w:val="auto"/>
        </w:rPr>
        <w:t xml:space="preserve">We are subject to the reporting requirements of the Exchange Act and file annual, quarterly and current reports, proxy statements and other information with the SEC. SEC filings are available at the SEC’s web site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1480" w:right="459" w:firstLine="334"/>
        <w:spacing w:after="0" w:line="251" w:lineRule="auto"/>
        <w:rPr>
          <w:sz w:val="20"/>
          <w:szCs w:val="20"/>
          <w:color w:val="auto"/>
        </w:rPr>
      </w:pPr>
      <w:r>
        <w:rPr>
          <w:rFonts w:ascii="Times New Roman" w:cs="Times New Roman" w:eastAsia="Times New Roman" w:hAnsi="Times New Roman"/>
          <w:sz w:val="14"/>
          <w:szCs w:val="14"/>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spacing w:after="0" w:line="141" w:lineRule="exact"/>
        <w:rPr>
          <w:sz w:val="20"/>
          <w:szCs w:val="20"/>
          <w:color w:val="auto"/>
        </w:rPr>
      </w:pPr>
    </w:p>
    <w:p>
      <w:pPr>
        <w:ind w:left="1480" w:right="419" w:firstLine="334"/>
        <w:spacing w:after="0" w:line="271" w:lineRule="auto"/>
        <w:rPr>
          <w:sz w:val="20"/>
          <w:szCs w:val="20"/>
          <w:color w:val="auto"/>
        </w:rPr>
      </w:pPr>
      <w:r>
        <w:rPr>
          <w:rFonts w:ascii="Times New Roman" w:cs="Times New Roman" w:eastAsia="Times New Roman" w:hAnsi="Times New Roman"/>
          <w:sz w:val="14"/>
          <w:szCs w:val="14"/>
          <w:color w:val="auto"/>
        </w:rPr>
        <w:t xml:space="preserve">We also maintain a website at </w:t>
      </w:r>
      <w:r>
        <w:rPr>
          <w:rFonts w:ascii="Times New Roman" w:cs="Times New Roman" w:eastAsia="Times New Roman" w:hAnsi="Times New Roman"/>
          <w:sz w:val="14"/>
          <w:szCs w:val="14"/>
          <w:i w:val="1"/>
          <w:iCs w:val="1"/>
          <w:color w:val="auto"/>
        </w:rPr>
        <w:t>www.prokidney.com,</w:t>
      </w:r>
      <w:r>
        <w:rPr>
          <w:rFonts w:ascii="Times New Roman" w:cs="Times New Roman" w:eastAsia="Times New Roman" w:hAnsi="Times New Roman"/>
          <w:sz w:val="14"/>
          <w:szCs w:val="14"/>
          <w:color w:val="auto"/>
        </w:rPr>
        <w:t xml:space="preserve"> through which you can access our SEC filings. The information set forth on our website is not part of this prospectus.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79"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INCORPORATION OF DOCUMENTS BY REFERENCE</w:t>
      </w:r>
    </w:p>
    <w:p>
      <w:pPr>
        <w:spacing w:after="0" w:line="170" w:lineRule="exact"/>
        <w:rPr>
          <w:sz w:val="20"/>
          <w:szCs w:val="20"/>
          <w:color w:val="auto"/>
        </w:rPr>
      </w:pPr>
    </w:p>
    <w:p>
      <w:pPr>
        <w:ind w:left="1480" w:right="359" w:firstLine="334"/>
        <w:spacing w:after="0" w:line="268" w:lineRule="auto"/>
        <w:rPr>
          <w:sz w:val="20"/>
          <w:szCs w:val="20"/>
          <w:color w:val="auto"/>
        </w:rPr>
      </w:pPr>
      <w:r>
        <w:rPr>
          <w:rFonts w:ascii="Times New Roman" w:cs="Times New Roman" w:eastAsia="Times New Roman" w:hAnsi="Times New Roman"/>
          <w:sz w:val="13"/>
          <w:szCs w:val="13"/>
          <w:color w:val="auto"/>
        </w:rPr>
        <w:t>The SEC allows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from the SEC’s website at http://www.sec.gov. The documents we are incorporating by reference are:</w:t>
      </w:r>
    </w:p>
    <w:p>
      <w:pPr>
        <w:spacing w:after="0" w:line="63" w:lineRule="exact"/>
        <w:rPr>
          <w:sz w:val="20"/>
          <w:szCs w:val="20"/>
          <w:color w:val="auto"/>
        </w:rPr>
      </w:pPr>
    </w:p>
    <w:p>
      <w:pPr>
        <w:ind w:left="2200" w:hanging="321"/>
        <w:spacing w:after="0"/>
        <w:tabs>
          <w:tab w:leader="none" w:pos="22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57">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with the SEC on March 18, 2026;</w:t>
      </w:r>
    </w:p>
    <w:p>
      <w:pPr>
        <w:spacing w:after="0" w:line="94" w:lineRule="exact"/>
        <w:rPr>
          <w:rFonts w:ascii="Times New Roman" w:cs="Times New Roman" w:eastAsia="Times New Roman" w:hAnsi="Times New Roman"/>
          <w:sz w:val="14"/>
          <w:szCs w:val="14"/>
          <w:color w:val="auto"/>
        </w:rPr>
      </w:pPr>
    </w:p>
    <w:p>
      <w:pPr>
        <w:ind w:left="2200" w:right="559" w:hanging="321"/>
        <w:spacing w:after="0" w:line="265" w:lineRule="auto"/>
        <w:tabs>
          <w:tab w:leader="none" w:pos="22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Form 10-Q for the quarters ended </w:t>
      </w:r>
      <w:hyperlink r:id="rId58">
        <w:r>
          <w:rPr>
            <w:rFonts w:ascii="Times New Roman" w:cs="Times New Roman" w:eastAsia="Times New Roman" w:hAnsi="Times New Roman"/>
            <w:sz w:val="14"/>
            <w:szCs w:val="14"/>
            <w:u w:val="single" w:color="auto"/>
            <w:color w:val="0000EE"/>
          </w:rPr>
          <w:t>March 31,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59">
        <w:r>
          <w:rPr>
            <w:rFonts w:ascii="Times New Roman" w:cs="Times New Roman" w:eastAsia="Times New Roman" w:hAnsi="Times New Roman"/>
            <w:sz w:val="14"/>
            <w:szCs w:val="14"/>
            <w:u w:val="single" w:color="auto"/>
            <w:color w:val="0000EE"/>
          </w:rPr>
          <w:t>June 30,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May 15, 2026 and August 10, 2026, respectively;</w:t>
      </w:r>
    </w:p>
    <w:p>
      <w:pPr>
        <w:spacing w:after="0" w:line="63" w:lineRule="exact"/>
        <w:rPr>
          <w:rFonts w:ascii="Times New Roman" w:cs="Times New Roman" w:eastAsia="Times New Roman" w:hAnsi="Times New Roman"/>
          <w:sz w:val="14"/>
          <w:szCs w:val="14"/>
          <w:color w:val="auto"/>
        </w:rPr>
      </w:pPr>
    </w:p>
    <w:p>
      <w:pPr>
        <w:ind w:left="2200" w:right="619" w:hanging="321"/>
        <w:spacing w:after="0" w:line="265" w:lineRule="auto"/>
        <w:tabs>
          <w:tab w:leader="none" w:pos="22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portions of our Definitive Proxy Statement on </w:t>
      </w:r>
      <w:hyperlink r:id="rId60">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April 17, 2026 that are deemed “filed” with the SEC under the Exchange Act;</w:t>
      </w:r>
    </w:p>
    <w:p>
      <w:pPr>
        <w:spacing w:after="0" w:line="63"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61">
        <w:r>
          <w:rPr>
            <w:rFonts w:ascii="Times New Roman" w:cs="Times New Roman" w:eastAsia="Times New Roman" w:hAnsi="Times New Roman"/>
            <w:sz w:val="14"/>
            <w:szCs w:val="14"/>
            <w:u w:val="single" w:color="auto"/>
            <w:color w:val="0000EE"/>
          </w:rPr>
          <w:t xml:space="preserve">February 2, 2026, </w:t>
        </w:r>
      </w:hyperlink>
      <w:hyperlink r:id="rId62">
        <w:r>
          <w:rPr>
            <w:rFonts w:ascii="Times New Roman" w:cs="Times New Roman" w:eastAsia="Times New Roman" w:hAnsi="Times New Roman"/>
            <w:sz w:val="14"/>
            <w:szCs w:val="14"/>
            <w:u w:val="single" w:color="auto"/>
            <w:color w:val="auto"/>
          </w:rPr>
          <w:t xml:space="preserve">May </w:t>
        </w:r>
        <w:r>
          <w:rPr>
            <w:rFonts w:ascii="Times New Roman" w:cs="Times New Roman" w:eastAsia="Times New Roman" w:hAnsi="Times New Roman"/>
            <w:sz w:val="14"/>
            <w:szCs w:val="14"/>
            <w:u w:val="single" w:color="auto"/>
            <w:color w:val="0000EE"/>
          </w:rPr>
          <w:t>15, 2026,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63">
        <w:r>
          <w:rPr>
            <w:rFonts w:ascii="Times New Roman" w:cs="Times New Roman" w:eastAsia="Times New Roman" w:hAnsi="Times New Roman"/>
            <w:sz w:val="14"/>
            <w:szCs w:val="14"/>
            <w:u w:val="single" w:color="auto"/>
            <w:color w:val="0000EE"/>
          </w:rPr>
          <w:t>May 29, 2026;</w:t>
        </w:r>
      </w:hyperlink>
    </w:p>
    <w:p>
      <w:pPr>
        <w:spacing w:after="0" w:line="94" w:lineRule="exact"/>
        <w:rPr>
          <w:rFonts w:ascii="Times New Roman" w:cs="Times New Roman" w:eastAsia="Times New Roman" w:hAnsi="Times New Roman"/>
          <w:sz w:val="14"/>
          <w:szCs w:val="14"/>
          <w:color w:val="auto"/>
        </w:rPr>
      </w:pPr>
    </w:p>
    <w:p>
      <w:pPr>
        <w:ind w:left="2200" w:right="439" w:hanging="321"/>
        <w:spacing w:after="0" w:line="265" w:lineRule="auto"/>
        <w:tabs>
          <w:tab w:leader="none" w:pos="22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w:t>
      </w:r>
      <w:hyperlink r:id="rId64">
        <w:r>
          <w:rPr>
            <w:rFonts w:ascii="Times New Roman" w:cs="Times New Roman" w:eastAsia="Times New Roman" w:hAnsi="Times New Roman"/>
            <w:sz w:val="14"/>
            <w:szCs w:val="14"/>
            <w:u w:val="single" w:color="auto"/>
            <w:color w:val="0000EE"/>
          </w:rPr>
          <w:t>Exhibit 4.1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fiscal year ended December 31, 2025, including any amendment or report filed for the purpose of updating such description; and</w:t>
      </w:r>
    </w:p>
    <w:p>
      <w:pPr>
        <w:spacing w:after="0" w:line="63" w:lineRule="exact"/>
        <w:rPr>
          <w:rFonts w:ascii="Times New Roman" w:cs="Times New Roman" w:eastAsia="Times New Roman" w:hAnsi="Times New Roman"/>
          <w:sz w:val="14"/>
          <w:szCs w:val="14"/>
          <w:color w:val="auto"/>
        </w:rPr>
      </w:pPr>
    </w:p>
    <w:p>
      <w:pPr>
        <w:ind w:left="2200" w:right="399" w:hanging="321"/>
        <w:spacing w:after="0" w:line="254" w:lineRule="auto"/>
        <w:tabs>
          <w:tab w:leader="none" w:pos="22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44" w:lineRule="exact"/>
        <w:rPr>
          <w:rFonts w:ascii="Times New Roman" w:cs="Times New Roman" w:eastAsia="Times New Roman" w:hAnsi="Times New Roman"/>
          <w:sz w:val="14"/>
          <w:szCs w:val="14"/>
          <w:color w:val="auto"/>
        </w:rPr>
      </w:pPr>
    </w:p>
    <w:p>
      <w:pPr>
        <w:jc w:val="both"/>
        <w:ind w:left="1480" w:right="659" w:firstLine="334"/>
        <w:spacing w:after="0" w:line="304" w:lineRule="auto"/>
        <w:rPr>
          <w:sz w:val="20"/>
          <w:szCs w:val="20"/>
          <w:color w:val="auto"/>
        </w:rPr>
      </w:pPr>
      <w:r>
        <w:rPr>
          <w:rFonts w:ascii="Times New Roman" w:cs="Times New Roman" w:eastAsia="Times New Roman" w:hAnsi="Times New Roman"/>
          <w:sz w:val="13"/>
          <w:szCs w:val="13"/>
          <w:color w:val="auto"/>
        </w:rPr>
        <w:t>In addition, all reports and other documents filed by us pursuant to the Exchange Act after the date of the registration statement of which this prospectus is a part and prior to the effectiveness of the registration statement shall be deemed to be incorporated by reference into this prospectus.</w:t>
      </w:r>
    </w:p>
    <w:p>
      <w:pPr>
        <w:spacing w:after="0" w:line="112" w:lineRule="exact"/>
        <w:rPr>
          <w:rFonts w:ascii="Times New Roman" w:cs="Times New Roman" w:eastAsia="Times New Roman" w:hAnsi="Times New Roman"/>
          <w:sz w:val="14"/>
          <w:szCs w:val="14"/>
          <w:color w:val="auto"/>
        </w:rPr>
      </w:pPr>
    </w:p>
    <w:p>
      <w:pPr>
        <w:ind w:left="1480" w:right="359" w:firstLine="334"/>
        <w:spacing w:after="0" w:line="249" w:lineRule="auto"/>
        <w:rPr>
          <w:sz w:val="20"/>
          <w:szCs w:val="20"/>
          <w:color w:val="auto"/>
        </w:rPr>
      </w:pPr>
      <w:r>
        <w:rPr>
          <w:rFonts w:ascii="Times New Roman" w:cs="Times New Roman" w:eastAsia="Times New Roman" w:hAnsi="Times New Roman"/>
          <w:sz w:val="14"/>
          <w:szCs w:val="14"/>
          <w:color w:val="auto"/>
        </w:rPr>
        <w:t>We are not, however, incorporating by reference any documents or portions thereof, whether specifically listed above or filed in the future, that are not deemed “filed” with the SEC, including our compensation committee report, performance graph and the certifications of our chief executive officer and chief financial officer required by Rule 13a-14(b) or Rule 15d-14(b) under the Exchange Act and Section 1350 of Chapter 63 of Title 18 of the United States Code (included in or accompanying our latest Annual Report on Form 10-K incorporated by reference herein) or any information furnished pursuant to Items 2.02 or 7.01 of Form 8-K or certain exhibits furnished pursuant to Item 9.01 of Form 8-K.</w:t>
      </w:r>
    </w:p>
    <w:p>
      <w:pPr>
        <w:spacing w:after="0" w:line="147" w:lineRule="exact"/>
        <w:rPr>
          <w:rFonts w:ascii="Times New Roman" w:cs="Times New Roman" w:eastAsia="Times New Roman" w:hAnsi="Times New Roman"/>
          <w:sz w:val="14"/>
          <w:szCs w:val="14"/>
          <w:color w:val="auto"/>
        </w:rPr>
      </w:pPr>
    </w:p>
    <w:p>
      <w:pPr>
        <w:ind w:left="1480" w:right="359" w:firstLine="334"/>
        <w:spacing w:after="0" w:line="251" w:lineRule="auto"/>
        <w:rPr>
          <w:sz w:val="20"/>
          <w:szCs w:val="20"/>
          <w:color w:val="auto"/>
        </w:rPr>
      </w:pPr>
      <w:r>
        <w:rPr>
          <w:rFonts w:ascii="Times New Roman" w:cs="Times New Roman" w:eastAsia="Times New Roman" w:hAnsi="Times New Roman"/>
          <w:sz w:val="14"/>
          <w:szCs w:val="14"/>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94"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79"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339" w:firstLine="334"/>
        <w:spacing w:after="0" w:line="265" w:lineRule="auto"/>
        <w:rPr>
          <w:sz w:val="20"/>
          <w:szCs w:val="20"/>
          <w:color w:val="auto"/>
        </w:rPr>
      </w:pPr>
      <w:r>
        <w:rPr>
          <w:rFonts w:ascii="Times New Roman" w:cs="Times New Roman" w:eastAsia="Times New Roman" w:hAnsi="Times New Roman"/>
          <w:sz w:val="14"/>
          <w:szCs w:val="14"/>
          <w:color w:val="auto"/>
        </w:rPr>
        <w:t>You may request, orally or in writing, a copy of any or all of the documents incorporated herein by reference. These documents will be provided to you at no cost, by contacting:</w:t>
      </w:r>
    </w:p>
    <w:p>
      <w:pPr>
        <w:spacing w:after="0" w:line="13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ProKidney Corp.</w:t>
      </w:r>
    </w:p>
    <w:p>
      <w:pPr>
        <w:spacing w:after="0" w:line="1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c/o 2000 Frontis Plaza Blvd, Suite 250</w:t>
      </w:r>
    </w:p>
    <w:p>
      <w:pPr>
        <w:spacing w:after="0" w:line="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Winston-Salem, NC 27103</w:t>
      </w:r>
    </w:p>
    <w:p>
      <w:pPr>
        <w:spacing w:after="0" w:line="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Attn: Secretary</w:t>
      </w:r>
    </w:p>
    <w:p>
      <w:pPr>
        <w:spacing w:after="0" w:line="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Telephone: (336) 999-7028</w:t>
      </w:r>
    </w:p>
    <w:p>
      <w:pPr>
        <w:spacing w:after="0" w:line="151" w:lineRule="exact"/>
        <w:rPr>
          <w:sz w:val="20"/>
          <w:szCs w:val="20"/>
          <w:color w:val="auto"/>
        </w:rPr>
      </w:pPr>
    </w:p>
    <w:p>
      <w:pPr>
        <w:ind w:left="1480" w:right="459" w:firstLine="334"/>
        <w:spacing w:after="0" w:line="311" w:lineRule="auto"/>
        <w:rPr>
          <w:sz w:val="20"/>
          <w:szCs w:val="20"/>
          <w:color w:val="auto"/>
        </w:rPr>
      </w:pPr>
      <w:r>
        <w:rPr>
          <w:rFonts w:ascii="Times New Roman" w:cs="Times New Roman" w:eastAsia="Times New Roman" w:hAnsi="Times New Roman"/>
          <w:sz w:val="13"/>
          <w:szCs w:val="13"/>
          <w:color w:val="auto"/>
        </w:rPr>
        <w:t xml:space="preserve">You may also access these documents on our website, </w:t>
      </w:r>
      <w:r>
        <w:rPr>
          <w:rFonts w:ascii="Times New Roman" w:cs="Times New Roman" w:eastAsia="Times New Roman" w:hAnsi="Times New Roman"/>
          <w:sz w:val="13"/>
          <w:szCs w:val="13"/>
          <w:i w:val="1"/>
          <w:iCs w:val="1"/>
          <w:color w:val="auto"/>
        </w:rPr>
        <w:t>http://www.prokidney.com</w:t>
      </w:r>
      <w:r>
        <w:rPr>
          <w:rFonts w:ascii="Times New Roman" w:cs="Times New Roman" w:eastAsia="Times New Roman" w:hAnsi="Times New Roman"/>
          <w:sz w:val="13"/>
          <w:szCs w:val="13"/>
          <w:color w:val="auto"/>
        </w:rPr>
        <w:t>. The information contained on, or that can be accessed through, our website is not a part of this prospectus. We have included our website address in this prospectus solely as an inactive textual reference.</w:t>
      </w:r>
    </w:p>
    <w:p>
      <w:pPr>
        <w:spacing w:after="0" w:line="108" w:lineRule="exact"/>
        <w:rPr>
          <w:sz w:val="20"/>
          <w:szCs w:val="20"/>
          <w:color w:val="auto"/>
        </w:rPr>
      </w:pPr>
    </w:p>
    <w:p>
      <w:pPr>
        <w:ind w:left="1480" w:right="359" w:firstLine="334"/>
        <w:spacing w:after="0" w:line="251" w:lineRule="auto"/>
        <w:rPr>
          <w:sz w:val="20"/>
          <w:szCs w:val="20"/>
          <w:color w:val="auto"/>
        </w:rPr>
      </w:pPr>
      <w:r>
        <w:rPr>
          <w:rFonts w:ascii="Times New Roman" w:cs="Times New Roman" w:eastAsia="Times New Roman" w:hAnsi="Times New Roman"/>
          <w:sz w:val="14"/>
          <w:szCs w:val="14"/>
          <w:color w:val="auto"/>
        </w:rPr>
        <w:t>You should rely only on information contained in, or incorporated by reference into, this prospectus.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3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79"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936625</wp:posOffset>
            </wp:positionH>
            <wp:positionV relativeFrom="paragraph">
              <wp:posOffset>188595</wp:posOffset>
            </wp:positionV>
            <wp:extent cx="5300980" cy="12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5300980" cy="12700"/>
                    </a:xfrm>
                    <a:prstGeom prst="rect">
                      <a:avLst/>
                    </a:prstGeom>
                    <a:noFill/>
                  </pic:spPr>
                </pic:pic>
              </a:graphicData>
            </a:graphic>
          </wp:anchor>
        </w:drawing>
        <w:drawing>
          <wp:anchor simplePos="0" relativeHeight="251657728" behindDoc="1" locked="0" layoutInCell="0" allowOverlap="1">
            <wp:simplePos x="0" y="0"/>
            <wp:positionH relativeFrom="column">
              <wp:posOffset>936625</wp:posOffset>
            </wp:positionH>
            <wp:positionV relativeFrom="paragraph">
              <wp:posOffset>227330</wp:posOffset>
            </wp:positionV>
            <wp:extent cx="530098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5300980" cy="6350"/>
                    </a:xfrm>
                    <a:prstGeom prst="rect">
                      <a:avLst/>
                    </a:prstGeom>
                    <a:noFill/>
                  </pic:spPr>
                </pic:pic>
              </a:graphicData>
            </a:graphic>
          </wp:anchor>
        </w:drawing>
      </w:r>
    </w:p>
    <w:p>
      <w:pPr>
        <w:sectPr>
          <w:pgSz w:w="11900" w:h="16838" w:orient="portrait"/>
          <w:cols w:equalWidth="0" w:num="1">
            <w:col w:w="10159"/>
          </w:cols>
          <w:pgMar w:left="300" w:top="3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33"/>
          <w:szCs w:val="33"/>
          <w:b w:val="1"/>
          <w:bCs w:val="1"/>
          <w:color w:val="auto"/>
        </w:rPr>
        <w:t>ProKidney Corp.</w:t>
      </w:r>
    </w:p>
    <w:p>
      <w:pPr>
        <w:spacing w:after="0" w:line="27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4"/>
          <w:szCs w:val="24"/>
          <w:b w:val="1"/>
          <w:bCs w:val="1"/>
          <w:color w:val="auto"/>
        </w:rPr>
        <w:t>Class A Common Stock</w:t>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5"/>
          <w:szCs w:val="25"/>
          <w:b w:val="1"/>
          <w:bCs w:val="1"/>
          <w:color w:val="auto"/>
        </w:rPr>
        <w:t>Preferred Stock</w:t>
      </w:r>
    </w:p>
    <w:p>
      <w:pPr>
        <w:jc w:val="center"/>
        <w:ind w:right="-1140"/>
        <w:spacing w:after="0" w:line="230" w:lineRule="auto"/>
        <w:rPr>
          <w:sz w:val="20"/>
          <w:szCs w:val="20"/>
          <w:color w:val="auto"/>
        </w:rPr>
      </w:pPr>
      <w:r>
        <w:rPr>
          <w:rFonts w:ascii="Times New Roman" w:cs="Times New Roman" w:eastAsia="Times New Roman" w:hAnsi="Times New Roman"/>
          <w:sz w:val="25"/>
          <w:szCs w:val="25"/>
          <w:b w:val="1"/>
          <w:bCs w:val="1"/>
          <w:color w:val="auto"/>
        </w:rPr>
        <w:t>Debt Securities</w:t>
      </w:r>
    </w:p>
    <w:p>
      <w:pPr>
        <w:jc w:val="center"/>
        <w:ind w:right="-1140"/>
        <w:spacing w:after="0" w:line="231" w:lineRule="auto"/>
        <w:rPr>
          <w:sz w:val="20"/>
          <w:szCs w:val="20"/>
          <w:color w:val="auto"/>
        </w:rPr>
      </w:pPr>
      <w:r>
        <w:rPr>
          <w:rFonts w:ascii="Times New Roman" w:cs="Times New Roman" w:eastAsia="Times New Roman" w:hAnsi="Times New Roman"/>
          <w:sz w:val="25"/>
          <w:szCs w:val="25"/>
          <w:b w:val="1"/>
          <w:bCs w:val="1"/>
          <w:color w:val="auto"/>
        </w:rPr>
        <w:t>Warrants</w:t>
      </w:r>
    </w:p>
    <w:p>
      <w:pPr>
        <w:jc w:val="center"/>
        <w:ind w:right="-1140"/>
        <w:spacing w:after="0" w:line="230" w:lineRule="auto"/>
        <w:rPr>
          <w:sz w:val="20"/>
          <w:szCs w:val="20"/>
          <w:color w:val="auto"/>
        </w:rPr>
      </w:pPr>
      <w:r>
        <w:rPr>
          <w:rFonts w:ascii="Times New Roman" w:cs="Times New Roman" w:eastAsia="Times New Roman" w:hAnsi="Times New Roman"/>
          <w:sz w:val="25"/>
          <w:szCs w:val="25"/>
          <w:b w:val="1"/>
          <w:bCs w:val="1"/>
          <w:color w:val="auto"/>
        </w:rPr>
        <w:t>Rights</w:t>
      </w:r>
    </w:p>
    <w:p>
      <w:pPr>
        <w:spacing w:after="0" w:line="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5"/>
          <w:szCs w:val="25"/>
          <w:b w:val="1"/>
          <w:bCs w:val="1"/>
          <w:color w:val="auto"/>
        </w:rPr>
        <w:t>$650,000,000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3028315</wp:posOffset>
            </wp:positionH>
            <wp:positionV relativeFrom="paragraph">
              <wp:posOffset>307975</wp:posOffset>
            </wp:positionV>
            <wp:extent cx="111061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111061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3028315</wp:posOffset>
            </wp:positionH>
            <wp:positionV relativeFrom="paragraph">
              <wp:posOffset>191135</wp:posOffset>
            </wp:positionV>
            <wp:extent cx="111061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111061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936625</wp:posOffset>
            </wp:positionH>
            <wp:positionV relativeFrom="paragraph">
              <wp:posOffset>610235</wp:posOffset>
            </wp:positionV>
            <wp:extent cx="530098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300980" cy="6350"/>
                    </a:xfrm>
                    <a:prstGeom prst="rect">
                      <a:avLst/>
                    </a:prstGeom>
                    <a:noFill/>
                  </pic:spPr>
                </pic:pic>
              </a:graphicData>
            </a:graphic>
          </wp:anchor>
        </w:drawing>
        <w:drawing>
          <wp:anchor simplePos="0" relativeHeight="251657728" behindDoc="1" locked="0" layoutInCell="0" allowOverlap="1">
            <wp:simplePos x="0" y="0"/>
            <wp:positionH relativeFrom="column">
              <wp:posOffset>936625</wp:posOffset>
            </wp:positionH>
            <wp:positionV relativeFrom="paragraph">
              <wp:posOffset>662305</wp:posOffset>
            </wp:positionV>
            <wp:extent cx="5300980" cy="1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5300980" cy="12700"/>
                    </a:xfrm>
                    <a:prstGeom prst="rect">
                      <a:avLst/>
                    </a:prstGeom>
                    <a:noFill/>
                  </pic:spPr>
                </pic:pic>
              </a:graphicData>
            </a:graphic>
          </wp:anchor>
        </w:drawing>
      </w:r>
    </w:p>
    <w:p>
      <w:pPr>
        <w:sectPr>
          <w:pgSz w:w="11900" w:h="16838" w:orient="portrait"/>
          <w:cols w:equalWidth="0" w:num="1">
            <w:col w:w="10159"/>
          </w:cols>
          <w:pgMar w:left="300" w:top="379" w:right="1440"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ectPr>
          <w:pgSz w:w="11900" w:h="16838" w:orient="portrait"/>
          <w:cols w:equalWidth="0" w:num="1">
            <w:col w:w="10159"/>
          </w:cols>
          <w:pgMar w:left="300" w:top="3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1466" w:type="dxa"/>
        <w:tblCellMar>
          <w:top w:w="0" w:type="dxa"/>
          <w:left w:w="0" w:type="dxa"/>
          <w:bottom w:w="0" w:type="dxa"/>
          <w:right w:w="0" w:type="dxa"/>
        </w:tblCellMar>
      </w:tblPr>
      <w:tr>
        <w:trPr>
          <w:trHeight w:val="8440"/>
        </w:trPr>
        <w:tc>
          <w:tcPr>
            <w:tcW w:w="149" w:type="dxa"/>
            <w:vAlign w:val="bottom"/>
            <w:textDirection w:val="btLr"/>
          </w:tcPr>
          <w:p>
            <w:pPr>
              <w:spacing w:after="0"/>
              <w:rPr>
                <w:sz w:val="20"/>
                <w:szCs w:val="20"/>
                <w:color w:val="auto"/>
              </w:rPr>
            </w:pPr>
            <w:r>
              <w:rPr>
                <w:rFonts w:ascii="Times New Roman" w:cs="Times New Roman" w:eastAsia="Times New Roman" w:hAnsi="Times New Roman"/>
                <w:sz w:val="13"/>
                <w:szCs w:val="13"/>
                <w:b w:val="1"/>
                <w:bCs w:val="1"/>
                <w:color w:val="FF4338"/>
              </w:rPr>
              <w:t>THE INFORMATION IN THIS PROSPECTUS IS NOT COMPLETE AND MAY BE CHANGED. WE MAY NOT SELL THESE SECURITIES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0"/>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6"/>
              </w:rPr>
              <w:t>EFFECTIVE. THIS</w:t>
            </w:r>
          </w:p>
        </w:tc>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7"/>
              </w:rPr>
              <w:t>THESE SECURITIES IN</w:t>
            </w:r>
          </w:p>
        </w:tc>
      </w:tr>
      <w:tr>
        <w:trPr>
          <w:trHeight w:val="4326"/>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7"/>
              </w:rPr>
              <w:t>FILED WITH THE SECURITIES AND EXCHANGE COMMISSION IS</w:t>
            </w:r>
          </w:p>
        </w:tc>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6"/>
              </w:rPr>
              <w:t>THESE SECURITIES AND IS NOT SOLICITING AN OFFER TO BUY</w:t>
            </w:r>
          </w:p>
        </w:tc>
      </w:tr>
      <w:tr>
        <w:trPr>
          <w:trHeight w:val="2740"/>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6"/>
              </w:rPr>
              <w:t>UNTIL THE REGISTRATION STATEMENT</w:t>
            </w:r>
          </w:p>
        </w:tc>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7"/>
              </w:rPr>
              <w:t>PROSPECTUS IS NOT AN OFFER TO SELL</w:t>
            </w:r>
          </w:p>
        </w:tc>
      </w:tr>
    </w:tbl>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b w:val="1"/>
          <w:bCs w:val="1"/>
          <w:color w:val="FF4338"/>
        </w:rPr>
        <w:t>SUBJECT TO COMPLETION, DATED OCTOBER 29, 2026</w:t>
      </w:r>
    </w:p>
    <w:p>
      <w:pPr>
        <w:spacing w:after="0" w:line="16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1829435</wp:posOffset>
            </wp:positionH>
            <wp:positionV relativeFrom="paragraph">
              <wp:posOffset>129540</wp:posOffset>
            </wp:positionV>
            <wp:extent cx="1019810" cy="2012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1019810" cy="201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b w:val="1"/>
          <w:bCs w:val="1"/>
          <w:color w:val="auto"/>
        </w:rPr>
        <w:t>Up to $200,000,000</w:t>
      </w:r>
    </w:p>
    <w:p>
      <w:pPr>
        <w:spacing w:after="0" w:line="9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9"/>
          <w:szCs w:val="19"/>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1868170</wp:posOffset>
            </wp:positionH>
            <wp:positionV relativeFrom="paragraph">
              <wp:posOffset>186055</wp:posOffset>
            </wp:positionV>
            <wp:extent cx="94170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941705" cy="635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60" w:right="1039" w:firstLine="282"/>
        <w:spacing w:after="0" w:line="224" w:lineRule="auto"/>
        <w:rPr>
          <w:sz w:val="20"/>
          <w:szCs w:val="20"/>
          <w:color w:val="auto"/>
        </w:rPr>
      </w:pPr>
      <w:r>
        <w:rPr>
          <w:rFonts w:ascii="Times New Roman" w:cs="Times New Roman" w:eastAsia="Times New Roman" w:hAnsi="Times New Roman"/>
          <w:sz w:val="14"/>
          <w:szCs w:val="14"/>
          <w:color w:val="auto"/>
        </w:rPr>
        <w:t>We have entered into an Open Market Sale Agreement</w:t>
      </w:r>
      <w:r>
        <w:rPr>
          <w:rFonts w:ascii="Times New Roman" w:cs="Times New Roman" w:eastAsia="Times New Roman" w:hAnsi="Times New Roman"/>
          <w:sz w:val="20"/>
          <w:szCs w:val="20"/>
          <w:color w:val="auto"/>
          <w:vertAlign w:val="superscript"/>
        </w:rPr>
        <w:t>SM</w:t>
      </w:r>
      <w:r>
        <w:rPr>
          <w:rFonts w:ascii="Times New Roman" w:cs="Times New Roman" w:eastAsia="Times New Roman" w:hAnsi="Times New Roman"/>
          <w:sz w:val="14"/>
          <w:szCs w:val="14"/>
          <w:color w:val="auto"/>
        </w:rPr>
        <w:t xml:space="preserve"> (the “Sales Agreement”) with Jefferies LLC (“Jefferies”) relating to shares of our Class A common stock, par value $0.0001 per share, offered by this prospectus. In accordance with the terms of the Sales Agreement, we may offer and sell shares of our Class A common stock having an aggregate offering price of up to $200,000,000 from time to time through Jefferies, acting as sales agent.</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Shares of our Class A common stock are listed on the Nasdaq Capital Market under the symbol “PROK.” On October 28,</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0" w:type="dxa"/>
            <w:vAlign w:val="bottom"/>
          </w:tcPr>
          <w:p>
            <w:pPr>
              <w:spacing w:after="0"/>
              <w:rPr>
                <w:sz w:val="15"/>
                <w:szCs w:val="15"/>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 the last reported sale price of our Class A common stock on the Nasdaq Capital Market was $1.52 per share.</w:t>
            </w:r>
          </w:p>
        </w:tc>
        <w:tc>
          <w:tcPr>
            <w:tcW w:w="0" w:type="dxa"/>
            <w:vAlign w:val="bottom"/>
          </w:tcPr>
          <w:p>
            <w:pPr>
              <w:spacing w:after="0"/>
              <w:rPr>
                <w:sz w:val="1"/>
                <w:szCs w:val="1"/>
                <w:color w:val="auto"/>
              </w:rPr>
            </w:pPr>
          </w:p>
        </w:tc>
      </w:tr>
      <w:tr>
        <w:trPr>
          <w:trHeight w:val="304"/>
        </w:trPr>
        <w:tc>
          <w:tcPr>
            <w:tcW w:w="140" w:type="dxa"/>
            <w:vAlign w:val="bottom"/>
          </w:tcPr>
          <w:p>
            <w:pPr>
              <w:spacing w:after="0"/>
              <w:rPr>
                <w:sz w:val="24"/>
                <w:szCs w:val="24"/>
                <w:color w:val="auto"/>
              </w:rPr>
            </w:pPr>
          </w:p>
        </w:tc>
        <w:tc>
          <w:tcPr>
            <w:tcW w:w="7040" w:type="dxa"/>
            <w:vAlign w:val="bottom"/>
          </w:tcPr>
          <w:p>
            <w:pPr>
              <w:ind w:left="300"/>
              <w:spacing w:after="0"/>
              <w:rPr>
                <w:sz w:val="20"/>
                <w:szCs w:val="20"/>
                <w:color w:val="auto"/>
              </w:rPr>
            </w:pPr>
            <w:r>
              <w:rPr>
                <w:rFonts w:ascii="Times New Roman" w:cs="Times New Roman" w:eastAsia="Times New Roman" w:hAnsi="Times New Roman"/>
                <w:sz w:val="14"/>
                <w:szCs w:val="14"/>
                <w:color w:val="auto"/>
                <w:w w:val="99"/>
              </w:rPr>
              <w:t>Sales of shares of our Class A common stock, if any, under this prospectus may be made in sales deemed to be an “at the</w:t>
            </w: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7"/>
              </w:rPr>
              <w:t>market offering” as defined in Rule 415(a)(4) promulgated under the Securities Act of 1933, as amended (the “Securities Act”).</w:t>
            </w: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Jefferies is not required to sell any specific number or dollar amount of securities, but will act as sales agent on a best efforts</w:t>
            </w: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basis and use commercially reasonable efforts consistent with its normal trading and sales practices, on mutually agreed terms</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between us and Jefferies. There is no arrangement for funds to be received in any escrow, trust or similar arrangement.</w:t>
            </w:r>
          </w:p>
        </w:tc>
        <w:tc>
          <w:tcPr>
            <w:tcW w:w="0" w:type="dxa"/>
            <w:vAlign w:val="bottom"/>
          </w:tcPr>
          <w:p>
            <w:pPr>
              <w:spacing w:after="0"/>
              <w:rPr>
                <w:sz w:val="1"/>
                <w:szCs w:val="1"/>
                <w:color w:val="auto"/>
              </w:rPr>
            </w:pPr>
          </w:p>
        </w:tc>
      </w:tr>
      <w:tr>
        <w:trPr>
          <w:trHeight w:val="316"/>
        </w:trPr>
        <w:tc>
          <w:tcPr>
            <w:tcW w:w="140" w:type="dxa"/>
            <w:vAlign w:val="bottom"/>
            <w:vMerge w:val="restart"/>
            <w:textDirection w:val="btLr"/>
          </w:tcPr>
          <w:p>
            <w:pPr>
              <w:spacing w:after="0"/>
              <w:rPr>
                <w:sz w:val="20"/>
                <w:szCs w:val="20"/>
                <w:color w:val="auto"/>
              </w:rPr>
            </w:pPr>
            <w:r>
              <w:rPr>
                <w:rFonts w:ascii="Times New Roman" w:cs="Times New Roman" w:eastAsia="Times New Roman" w:hAnsi="Times New Roman"/>
                <w:sz w:val="13"/>
                <w:szCs w:val="13"/>
                <w:b w:val="1"/>
                <w:bCs w:val="1"/>
                <w:color w:val="FF4338"/>
                <w:w w:val="73"/>
              </w:rPr>
              <w:t>PERMITTED.</w:t>
            </w:r>
          </w:p>
        </w:tc>
        <w:tc>
          <w:tcPr>
            <w:tcW w:w="70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Jefferies will be entitled to compensation at a commission rate up to 3.0% of the gross sales price per share of Class A</w:t>
            </w:r>
          </w:p>
        </w:tc>
        <w:tc>
          <w:tcPr>
            <w:tcW w:w="0" w:type="dxa"/>
            <w:vAlign w:val="bottom"/>
          </w:tcPr>
          <w:p>
            <w:pPr>
              <w:spacing w:after="0"/>
              <w:rPr>
                <w:sz w:val="1"/>
                <w:szCs w:val="1"/>
                <w:color w:val="auto"/>
              </w:rPr>
            </w:pPr>
          </w:p>
        </w:tc>
      </w:tr>
      <w:tr>
        <w:trPr>
          <w:trHeight w:val="164"/>
        </w:trPr>
        <w:tc>
          <w:tcPr>
            <w:tcW w:w="140" w:type="dxa"/>
            <w:vAlign w:val="bottom"/>
            <w:vMerge w:val="continue"/>
          </w:tcPr>
          <w:p>
            <w:pPr>
              <w:spacing w:after="0"/>
              <w:rPr>
                <w:sz w:val="14"/>
                <w:szCs w:val="14"/>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common stock sold under the Sales Agreement. In connection with the sale of shares of Class A common stock on our behalf,</w:t>
            </w:r>
          </w:p>
        </w:tc>
        <w:tc>
          <w:tcPr>
            <w:tcW w:w="0" w:type="dxa"/>
            <w:vAlign w:val="bottom"/>
          </w:tcPr>
          <w:p>
            <w:pPr>
              <w:spacing w:after="0"/>
              <w:rPr>
                <w:sz w:val="1"/>
                <w:szCs w:val="1"/>
                <w:color w:val="auto"/>
              </w:rPr>
            </w:pPr>
          </w:p>
        </w:tc>
      </w:tr>
      <w:tr>
        <w:trPr>
          <w:trHeight w:val="136"/>
        </w:trPr>
        <w:tc>
          <w:tcPr>
            <w:tcW w:w="140" w:type="dxa"/>
            <w:vAlign w:val="bottom"/>
            <w:vMerge w:val="continue"/>
          </w:tcPr>
          <w:p>
            <w:pPr>
              <w:spacing w:after="0"/>
              <w:rPr>
                <w:sz w:val="11"/>
                <w:szCs w:val="11"/>
                <w:color w:val="auto"/>
              </w:rPr>
            </w:pPr>
          </w:p>
        </w:tc>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7"/>
              </w:rPr>
              <w:t>Jefferies may be deemed to be an “underwriter” within the meaning of the Securities Act and the compensation of Jefferies may</w:t>
            </w:r>
          </w:p>
        </w:tc>
        <w:tc>
          <w:tcPr>
            <w:tcW w:w="0" w:type="dxa"/>
            <w:vAlign w:val="bottom"/>
          </w:tcPr>
          <w:p>
            <w:pPr>
              <w:spacing w:after="0"/>
              <w:rPr>
                <w:sz w:val="1"/>
                <w:szCs w:val="1"/>
                <w:color w:val="auto"/>
              </w:rPr>
            </w:pPr>
          </w:p>
        </w:tc>
      </w:tr>
      <w:tr>
        <w:trPr>
          <w:trHeight w:val="28"/>
        </w:trPr>
        <w:tc>
          <w:tcPr>
            <w:tcW w:w="140" w:type="dxa"/>
            <w:vAlign w:val="bottom"/>
          </w:tcPr>
          <w:p>
            <w:pPr>
              <w:spacing w:after="0"/>
              <w:rPr>
                <w:sz w:val="2"/>
                <w:szCs w:val="2"/>
                <w:color w:val="auto"/>
              </w:rPr>
            </w:pPr>
          </w:p>
        </w:tc>
        <w:tc>
          <w:tcPr>
            <w:tcW w:w="7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140" w:type="dxa"/>
            <w:vAlign w:val="bottom"/>
          </w:tcPr>
          <w:p>
            <w:pPr>
              <w:spacing w:after="0"/>
              <w:rPr>
                <w:sz w:val="14"/>
                <w:szCs w:val="14"/>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 deemed to be underwriting commissions or discounts. See “Plan of Distribution” beginning on page S-16 for additional</w:t>
            </w: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7"/>
              </w:rPr>
              <w:t>information regarding the compensation to be paid to Jefferies. We have also agreed to provide indemnification and contribution</w:t>
            </w: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 Jefferies with respect to certain liabilities, including liabilities under the Securities Act or the Securities Exchange Act of</w:t>
            </w:r>
          </w:p>
        </w:tc>
        <w:tc>
          <w:tcPr>
            <w:tcW w:w="0" w:type="dxa"/>
            <w:vAlign w:val="bottom"/>
          </w:tcPr>
          <w:p>
            <w:pPr>
              <w:spacing w:after="0"/>
              <w:rPr>
                <w:sz w:val="1"/>
                <w:szCs w:val="1"/>
                <w:color w:val="auto"/>
              </w:rPr>
            </w:pPr>
          </w:p>
        </w:tc>
      </w:tr>
      <w:tr>
        <w:trPr>
          <w:trHeight w:val="176"/>
        </w:trPr>
        <w:tc>
          <w:tcPr>
            <w:tcW w:w="140" w:type="dxa"/>
            <w:vAlign w:val="bottom"/>
            <w:vMerge w:val="restart"/>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8"/>
              </w:rPr>
              <w:t>NOT</w:t>
            </w:r>
          </w:p>
        </w:tc>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1934, as amended (the “Exchange Act”).</w:t>
            </w:r>
          </w:p>
        </w:tc>
        <w:tc>
          <w:tcPr>
            <w:tcW w:w="0" w:type="dxa"/>
            <w:vAlign w:val="bottom"/>
          </w:tcPr>
          <w:p>
            <w:pPr>
              <w:spacing w:after="0"/>
              <w:rPr>
                <w:sz w:val="1"/>
                <w:szCs w:val="1"/>
                <w:color w:val="auto"/>
              </w:rPr>
            </w:pPr>
          </w:p>
        </w:tc>
      </w:tr>
      <w:tr>
        <w:trPr>
          <w:trHeight w:val="215"/>
        </w:trPr>
        <w:tc>
          <w:tcPr>
            <w:tcW w:w="140" w:type="dxa"/>
            <w:vAlign w:val="bottom"/>
            <w:vMerge w:val="continue"/>
          </w:tcPr>
          <w:p>
            <w:pPr>
              <w:spacing w:after="0"/>
              <w:rPr>
                <w:sz w:val="18"/>
                <w:szCs w:val="18"/>
                <w:color w:val="auto"/>
              </w:rPr>
            </w:pPr>
          </w:p>
        </w:tc>
        <w:tc>
          <w:tcPr>
            <w:tcW w:w="70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96"/>
              </w:rPr>
              <w:t>We are an “emerging growth company” and “smaller reporting company” under the federal securities laws and, as such, are</w:t>
            </w:r>
          </w:p>
        </w:tc>
        <w:tc>
          <w:tcPr>
            <w:tcW w:w="0" w:type="dxa"/>
            <w:vAlign w:val="bottom"/>
          </w:tcPr>
          <w:p>
            <w:pPr>
              <w:spacing w:after="0"/>
              <w:rPr>
                <w:sz w:val="1"/>
                <w:szCs w:val="1"/>
                <w:color w:val="auto"/>
              </w:rPr>
            </w:pPr>
          </w:p>
        </w:tc>
      </w:tr>
      <w:tr>
        <w:trPr>
          <w:trHeight w:val="101"/>
        </w:trPr>
        <w:tc>
          <w:tcPr>
            <w:tcW w:w="140" w:type="dxa"/>
            <w:vAlign w:val="bottom"/>
            <w:vMerge w:val="restart"/>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0"/>
              </w:rPr>
              <w:t>IS</w:t>
            </w:r>
          </w:p>
        </w:tc>
        <w:tc>
          <w:tcPr>
            <w:tcW w:w="7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140" w:type="dxa"/>
            <w:vAlign w:val="bottom"/>
            <w:vMerge w:val="continue"/>
          </w:tcPr>
          <w:p>
            <w:pPr>
              <w:spacing w:after="0"/>
              <w:rPr>
                <w:sz w:val="5"/>
                <w:szCs w:val="5"/>
                <w:color w:val="auto"/>
              </w:rPr>
            </w:pPr>
          </w:p>
        </w:tc>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subject to reduced public company reporting requirements. See “Prospectus Summary—Implications of Being an Emerging</w:t>
            </w:r>
          </w:p>
        </w:tc>
        <w:tc>
          <w:tcPr>
            <w:tcW w:w="0" w:type="dxa"/>
            <w:vAlign w:val="bottom"/>
          </w:tcPr>
          <w:p>
            <w:pPr>
              <w:spacing w:after="0"/>
              <w:rPr>
                <w:sz w:val="1"/>
                <w:szCs w:val="1"/>
                <w:color w:val="auto"/>
              </w:rPr>
            </w:pPr>
          </w:p>
        </w:tc>
      </w:tr>
      <w:tr>
        <w:trPr>
          <w:trHeight w:val="101"/>
        </w:trPr>
        <w:tc>
          <w:tcPr>
            <w:tcW w:w="140" w:type="dxa"/>
            <w:vAlign w:val="bottom"/>
            <w:vMerge w:val="restart"/>
            <w:textDirection w:val="btLr"/>
          </w:tcPr>
          <w:p>
            <w:pPr>
              <w:ind w:left="48"/>
              <w:spacing w:after="0"/>
              <w:rPr>
                <w:sz w:val="20"/>
                <w:szCs w:val="20"/>
                <w:color w:val="auto"/>
              </w:rPr>
            </w:pPr>
            <w:r>
              <w:rPr>
                <w:rFonts w:ascii="Times New Roman" w:cs="Times New Roman" w:eastAsia="Times New Roman" w:hAnsi="Times New Roman"/>
                <w:sz w:val="8"/>
                <w:szCs w:val="8"/>
                <w:b w:val="1"/>
                <w:bCs w:val="1"/>
                <w:color w:val="FF4338"/>
                <w:w w:val="72"/>
              </w:rPr>
              <w:t>ORSALE</w:t>
            </w:r>
          </w:p>
        </w:tc>
        <w:tc>
          <w:tcPr>
            <w:tcW w:w="7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40" w:type="dxa"/>
            <w:vAlign w:val="bottom"/>
            <w:vMerge w:val="continue"/>
          </w:tcPr>
          <w:p>
            <w:pPr>
              <w:spacing w:after="0"/>
              <w:rPr>
                <w:sz w:val="11"/>
                <w:szCs w:val="11"/>
                <w:color w:val="auto"/>
              </w:rPr>
            </w:pPr>
          </w:p>
        </w:tc>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Growth Company and a Smaller Reporting Company.”</w:t>
            </w:r>
          </w:p>
        </w:tc>
        <w:tc>
          <w:tcPr>
            <w:tcW w:w="0" w:type="dxa"/>
            <w:vAlign w:val="bottom"/>
          </w:tcPr>
          <w:p>
            <w:pPr>
              <w:spacing w:after="0"/>
              <w:rPr>
                <w:sz w:val="1"/>
                <w:szCs w:val="1"/>
                <w:color w:val="auto"/>
              </w:rPr>
            </w:pPr>
          </w:p>
        </w:tc>
      </w:tr>
      <w:tr>
        <w:trPr>
          <w:trHeight w:val="40"/>
        </w:trPr>
        <w:tc>
          <w:tcPr>
            <w:tcW w:w="140" w:type="dxa"/>
            <w:vAlign w:val="bottom"/>
          </w:tcPr>
          <w:p>
            <w:pPr>
              <w:spacing w:after="0"/>
              <w:rPr>
                <w:sz w:val="3"/>
                <w:szCs w:val="3"/>
                <w:color w:val="auto"/>
              </w:rPr>
            </w:pPr>
          </w:p>
        </w:tc>
        <w:tc>
          <w:tcPr>
            <w:tcW w:w="70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1868170</wp:posOffset>
            </wp:positionH>
            <wp:positionV relativeFrom="paragraph">
              <wp:posOffset>175895</wp:posOffset>
            </wp:positionV>
            <wp:extent cx="94170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941705" cy="6350"/>
                    </a:xfrm>
                    <a:prstGeom prst="rect">
                      <a:avLst/>
                    </a:prstGeom>
                    <a:noFill/>
                  </pic:spPr>
                </pic:pic>
              </a:graphicData>
            </a:graphic>
          </wp:anchor>
        </w:drawing>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0" w:type="dxa"/>
            <w:vAlign w:val="bottom"/>
            <w:vMerge w:val="restart"/>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88"/>
              </w:rPr>
              <w:t>OFFER</w:t>
            </w:r>
          </w:p>
        </w:tc>
        <w:tc>
          <w:tcPr>
            <w:tcW w:w="7000" w:type="dxa"/>
            <w:vAlign w:val="bottom"/>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Investing in shares of our Class A common stock involves a high degree of risk. See the</w:t>
            </w:r>
          </w:p>
        </w:tc>
        <w:tc>
          <w:tcPr>
            <w:tcW w:w="0" w:type="dxa"/>
            <w:vAlign w:val="bottom"/>
          </w:tcPr>
          <w:p>
            <w:pPr>
              <w:spacing w:after="0"/>
              <w:rPr>
                <w:sz w:val="1"/>
                <w:szCs w:val="1"/>
                <w:color w:val="auto"/>
              </w:rPr>
            </w:pPr>
          </w:p>
        </w:tc>
      </w:tr>
      <w:tr>
        <w:trPr>
          <w:trHeight w:val="186"/>
        </w:trPr>
        <w:tc>
          <w:tcPr>
            <w:tcW w:w="140" w:type="dxa"/>
            <w:vAlign w:val="bottom"/>
            <w:vMerge w:val="continue"/>
          </w:tcPr>
          <w:p>
            <w:pPr>
              <w:spacing w:after="0"/>
              <w:rPr>
                <w:sz w:val="16"/>
                <w:szCs w:val="16"/>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information contained under “</w:t>
            </w:r>
          </w:p>
        </w:tc>
        <w:tc>
          <w:tcPr>
            <w:tcW w:w="900" w:type="dxa"/>
            <w:vAlign w:val="bottom"/>
            <w:tcBorders>
              <w:bottom w:val="single" w:sz="8" w:color="0000EE"/>
            </w:tcBorders>
          </w:tcPr>
          <w:p>
            <w:pPr>
              <w:spacing w:after="0" w:line="158" w:lineRule="exact"/>
              <w:rPr>
                <w:sz w:val="20"/>
                <w:szCs w:val="20"/>
                <w:color w:val="auto"/>
              </w:rPr>
            </w:pPr>
            <w:r>
              <w:rPr>
                <w:rFonts w:ascii="Times New Roman" w:cs="Times New Roman" w:eastAsia="Times New Roman" w:hAnsi="Times New Roman"/>
                <w:sz w:val="16"/>
                <w:szCs w:val="16"/>
                <w:b w:val="1"/>
                <w:bCs w:val="1"/>
                <w:color w:val="0000EE"/>
              </w:rPr>
              <w:t>Risk Factors</w:t>
            </w:r>
          </w:p>
        </w:tc>
        <w:tc>
          <w:tcPr>
            <w:tcW w:w="3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beginning on page S-7 of this prospectus and the</w:t>
            </w:r>
          </w:p>
        </w:tc>
        <w:tc>
          <w:tcPr>
            <w:tcW w:w="0" w:type="dxa"/>
            <w:vAlign w:val="bottom"/>
          </w:tcPr>
          <w:p>
            <w:pPr>
              <w:spacing w:after="0"/>
              <w:rPr>
                <w:sz w:val="1"/>
                <w:szCs w:val="1"/>
                <w:color w:val="auto"/>
              </w:rPr>
            </w:pPr>
          </w:p>
        </w:tc>
      </w:tr>
      <w:tr>
        <w:trPr>
          <w:trHeight w:val="218"/>
        </w:trPr>
        <w:tc>
          <w:tcPr>
            <w:tcW w:w="140" w:type="dxa"/>
            <w:vAlign w:val="bottom"/>
            <w:vMerge w:val="restart"/>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4"/>
              </w:rPr>
              <w:t>THE</w:t>
            </w:r>
          </w:p>
        </w:tc>
        <w:tc>
          <w:tcPr>
            <w:tcW w:w="70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 herein.</w:t>
            </w:r>
          </w:p>
        </w:tc>
        <w:tc>
          <w:tcPr>
            <w:tcW w:w="0" w:type="dxa"/>
            <w:vAlign w:val="bottom"/>
          </w:tcPr>
          <w:p>
            <w:pPr>
              <w:spacing w:after="0"/>
              <w:rPr>
                <w:sz w:val="1"/>
                <w:szCs w:val="1"/>
                <w:color w:val="auto"/>
              </w:rPr>
            </w:pPr>
          </w:p>
        </w:tc>
      </w:tr>
      <w:tr>
        <w:trPr>
          <w:trHeight w:val="136"/>
        </w:trPr>
        <w:tc>
          <w:tcPr>
            <w:tcW w:w="140" w:type="dxa"/>
            <w:vAlign w:val="bottom"/>
            <w:vMerge w:val="continue"/>
          </w:tcPr>
          <w:p>
            <w:pPr>
              <w:spacing w:after="0"/>
              <w:rPr>
                <w:sz w:val="11"/>
                <w:szCs w:val="11"/>
                <w:color w:val="auto"/>
              </w:rPr>
            </w:pPr>
          </w:p>
        </w:tc>
        <w:tc>
          <w:tcPr>
            <w:tcW w:w="70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w w:val="97"/>
              </w:rPr>
              <w:t>Neither the Securities and Exchange Commission nor any state securities commission has approved or disapproved</w:t>
            </w:r>
          </w:p>
        </w:tc>
        <w:tc>
          <w:tcPr>
            <w:tcW w:w="0" w:type="dxa"/>
            <w:vAlign w:val="bottom"/>
          </w:tcPr>
          <w:p>
            <w:pPr>
              <w:spacing w:after="0"/>
              <w:rPr>
                <w:sz w:val="1"/>
                <w:szCs w:val="1"/>
                <w:color w:val="auto"/>
              </w:rPr>
            </w:pPr>
          </w:p>
        </w:tc>
      </w:tr>
      <w:tr>
        <w:trPr>
          <w:trHeight w:val="144"/>
        </w:trPr>
        <w:tc>
          <w:tcPr>
            <w:tcW w:w="140" w:type="dxa"/>
            <w:vAlign w:val="bottom"/>
            <w:vMerge w:val="restart"/>
            <w:textDirection w:val="btLr"/>
          </w:tcPr>
          <w:p>
            <w:pPr>
              <w:ind w:left="71"/>
              <w:spacing w:after="0"/>
              <w:rPr>
                <w:sz w:val="20"/>
                <w:szCs w:val="20"/>
                <w:color w:val="auto"/>
              </w:rPr>
            </w:pPr>
            <w:r>
              <w:rPr>
                <w:rFonts w:ascii="Times New Roman" w:cs="Times New Roman" w:eastAsia="Times New Roman" w:hAnsi="Times New Roman"/>
                <w:sz w:val="6"/>
                <w:szCs w:val="6"/>
                <w:b w:val="1"/>
                <w:bCs w:val="1"/>
                <w:color w:val="FF4338"/>
                <w:w w:val="70"/>
              </w:rPr>
              <w:t>STATEWHERE</w:t>
            </w:r>
          </w:p>
        </w:tc>
        <w:tc>
          <w:tcPr>
            <w:tcW w:w="7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40" w:type="dxa"/>
            <w:vAlign w:val="bottom"/>
            <w:vMerge w:val="continue"/>
          </w:tcPr>
          <w:p>
            <w:pPr>
              <w:spacing w:after="0"/>
              <w:rPr>
                <w:sz w:val="12"/>
                <w:szCs w:val="12"/>
                <w:color w:val="auto"/>
              </w:rPr>
            </w:pPr>
          </w:p>
        </w:tc>
        <w:tc>
          <w:tcPr>
            <w:tcW w:w="7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of these securities or passed upon the adequacy or accuracy of this prospectus. Any representation to the contrary is a</w:t>
            </w:r>
          </w:p>
        </w:tc>
        <w:tc>
          <w:tcPr>
            <w:tcW w:w="0" w:type="dxa"/>
            <w:vAlign w:val="bottom"/>
          </w:tcPr>
          <w:p>
            <w:pPr>
              <w:spacing w:after="0"/>
              <w:rPr>
                <w:sz w:val="1"/>
                <w:szCs w:val="1"/>
                <w:color w:val="auto"/>
              </w:rPr>
            </w:pPr>
          </w:p>
        </w:tc>
      </w:tr>
      <w:tr>
        <w:trPr>
          <w:trHeight w:val="24"/>
        </w:trPr>
        <w:tc>
          <w:tcPr>
            <w:tcW w:w="140" w:type="dxa"/>
            <w:vAlign w:val="bottom"/>
          </w:tcPr>
          <w:p>
            <w:pPr>
              <w:spacing w:after="0"/>
              <w:rPr>
                <w:sz w:val="2"/>
                <w:szCs w:val="2"/>
                <w:color w:val="auto"/>
              </w:rPr>
            </w:pPr>
          </w:p>
        </w:tc>
        <w:tc>
          <w:tcPr>
            <w:tcW w:w="70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40" w:type="dxa"/>
            <w:vAlign w:val="bottom"/>
          </w:tcPr>
          <w:p>
            <w:pPr>
              <w:spacing w:after="0"/>
              <w:rPr>
                <w:sz w:val="15"/>
                <w:szCs w:val="15"/>
                <w:color w:val="auto"/>
              </w:rPr>
            </w:pPr>
          </w:p>
        </w:tc>
        <w:tc>
          <w:tcPr>
            <w:tcW w:w="7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criminal offense.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1868170</wp:posOffset>
            </wp:positionH>
            <wp:positionV relativeFrom="paragraph">
              <wp:posOffset>169545</wp:posOffset>
            </wp:positionV>
            <wp:extent cx="94170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941705" cy="635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220" w:type="dxa"/>
            <w:vAlign w:val="bottom"/>
            <w:vMerge w:val="restart"/>
            <w:textDirection w:val="btLr"/>
          </w:tcPr>
          <w:p>
            <w:pPr>
              <w:ind w:left="8"/>
              <w:spacing w:after="0"/>
              <w:rPr>
                <w:sz w:val="20"/>
                <w:szCs w:val="20"/>
                <w:color w:val="auto"/>
              </w:rPr>
            </w:pPr>
            <w:r>
              <w:rPr>
                <w:rFonts w:ascii="Times New Roman" w:cs="Times New Roman" w:eastAsia="Times New Roman" w:hAnsi="Times New Roman"/>
                <w:sz w:val="14"/>
                <w:szCs w:val="14"/>
                <w:b w:val="1"/>
                <w:bCs w:val="1"/>
                <w:color w:val="FF4338"/>
                <w:w w:val="98"/>
              </w:rPr>
              <w:t>ANY</w:t>
            </w:r>
          </w:p>
        </w:tc>
        <w:tc>
          <w:tcPr>
            <w:tcW w:w="3840" w:type="dxa"/>
            <w:vAlign w:val="bottom"/>
          </w:tcPr>
          <w:p>
            <w:pPr>
              <w:jc w:val="center"/>
              <w:ind w:left="998"/>
              <w:spacing w:after="0"/>
              <w:rPr>
                <w:sz w:val="20"/>
                <w:szCs w:val="20"/>
                <w:color w:val="auto"/>
              </w:rPr>
            </w:pPr>
            <w:r>
              <w:rPr>
                <w:rFonts w:ascii="Times New Roman" w:cs="Times New Roman" w:eastAsia="Times New Roman" w:hAnsi="Times New Roman"/>
                <w:sz w:val="19"/>
                <w:szCs w:val="19"/>
                <w:b w:val="1"/>
                <w:bCs w:val="1"/>
                <w:color w:val="auto"/>
                <w:w w:val="99"/>
              </w:rPr>
              <w:t>Jefferies</w:t>
            </w:r>
          </w:p>
        </w:tc>
        <w:tc>
          <w:tcPr>
            <w:tcW w:w="0" w:type="dxa"/>
            <w:vAlign w:val="bottom"/>
          </w:tcPr>
          <w:p>
            <w:pPr>
              <w:spacing w:after="0"/>
              <w:rPr>
                <w:sz w:val="1"/>
                <w:szCs w:val="1"/>
                <w:color w:val="auto"/>
              </w:rPr>
            </w:pPr>
          </w:p>
        </w:tc>
      </w:tr>
      <w:tr>
        <w:trPr>
          <w:trHeight w:val="188"/>
        </w:trPr>
        <w:tc>
          <w:tcPr>
            <w:tcW w:w="1220" w:type="dxa"/>
            <w:vAlign w:val="bottom"/>
            <w:vMerge w:val="continue"/>
          </w:tcPr>
          <w:p>
            <w:pPr>
              <w:spacing w:after="0"/>
              <w:rPr>
                <w:sz w:val="16"/>
                <w:szCs w:val="16"/>
                <w:color w:val="auto"/>
              </w:rPr>
            </w:pPr>
          </w:p>
        </w:tc>
        <w:tc>
          <w:tcPr>
            <w:tcW w:w="3840" w:type="dxa"/>
            <w:vAlign w:val="bottom"/>
            <w:vMerge w:val="restart"/>
          </w:tcPr>
          <w:p>
            <w:pPr>
              <w:jc w:val="center"/>
              <w:ind w:left="1018"/>
              <w:spacing w:after="0"/>
              <w:rPr>
                <w:sz w:val="20"/>
                <w:szCs w:val="20"/>
                <w:color w:val="auto"/>
              </w:rPr>
            </w:pPr>
            <w:r>
              <w:rPr>
                <w:rFonts w:ascii="Times New Roman" w:cs="Times New Roman" w:eastAsia="Times New Roman" w:hAnsi="Times New Roman"/>
                <w:sz w:val="14"/>
                <w:szCs w:val="14"/>
                <w:b w:val="1"/>
                <w:bCs w:val="1"/>
                <w:color w:val="auto"/>
                <w:w w:val="99"/>
              </w:rPr>
              <w:t>The date of this prospectus is               , 2026.</w:t>
            </w:r>
          </w:p>
        </w:tc>
        <w:tc>
          <w:tcPr>
            <w:tcW w:w="0" w:type="dxa"/>
            <w:vAlign w:val="bottom"/>
          </w:tcPr>
          <w:p>
            <w:pPr>
              <w:spacing w:after="0"/>
              <w:rPr>
                <w:sz w:val="1"/>
                <w:szCs w:val="1"/>
                <w:color w:val="auto"/>
              </w:rPr>
            </w:pPr>
          </w:p>
        </w:tc>
      </w:tr>
      <w:tr>
        <w:trPr>
          <w:trHeight w:val="132"/>
        </w:trPr>
        <w:tc>
          <w:tcPr>
            <w:tcW w:w="1220" w:type="dxa"/>
            <w:vAlign w:val="bottom"/>
          </w:tcPr>
          <w:p>
            <w:pPr>
              <w:spacing w:after="0"/>
              <w:rPr>
                <w:sz w:val="11"/>
                <w:szCs w:val="11"/>
                <w:color w:val="auto"/>
              </w:rPr>
            </w:pPr>
          </w:p>
        </w:tc>
        <w:tc>
          <w:tcPr>
            <w:tcW w:w="3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3">
            <w:col w:w="1616" w:space="24"/>
            <w:col w:w="280" w:space="40"/>
            <w:col w:w="8199"/>
          </w:cols>
          <w:pgMar w:left="300" w:top="379" w:right="1440"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tbl>
      <w:tblPr>
        <w:tblLayout w:type="fixed"/>
        <w:tblInd w:w="1460" w:type="dxa"/>
        <w:tblCellMar>
          <w:top w:w="0" w:type="dxa"/>
          <w:left w:w="0" w:type="dxa"/>
          <w:bottom w:w="0" w:type="dxa"/>
          <w:right w:w="0" w:type="dxa"/>
        </w:tblCellMar>
      </w:tblPr>
      <w:tr>
        <w:trPr>
          <w:trHeight w:val="180"/>
        </w:trPr>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58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67"/>
        </w:trPr>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33"/>
        </w:trPr>
        <w:tc>
          <w:tcPr>
            <w:tcW w:w="6480" w:type="dxa"/>
            <w:vAlign w:val="bottom"/>
            <w:gridSpan w:val="13"/>
          </w:tcPr>
          <w:p>
            <w:pPr>
              <w:ind w:left="20"/>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15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r>
      <w:tr>
        <w:trPr>
          <w:trHeight w:val="146"/>
        </w:trPr>
        <w:tc>
          <w:tcPr>
            <w:tcW w:w="1700" w:type="dxa"/>
            <w:vAlign w:val="bottom"/>
            <w:tcBorders>
              <w:bottom w:val="single" w:sz="8" w:color="0000EE"/>
            </w:tcBorders>
            <w:gridSpan w:val="9"/>
          </w:tcPr>
          <w:p>
            <w:pPr>
              <w:ind w:left="20"/>
              <w:spacing w:after="0" w:line="146" w:lineRule="exact"/>
              <w:rPr>
                <w:sz w:val="20"/>
                <w:szCs w:val="20"/>
                <w:color w:val="auto"/>
              </w:rPr>
            </w:pPr>
            <w:r>
              <w:rPr>
                <w:rFonts w:ascii="Times New Roman" w:cs="Times New Roman" w:eastAsia="Times New Roman" w:hAnsi="Times New Roman"/>
                <w:sz w:val="14"/>
                <w:szCs w:val="14"/>
                <w:color w:val="0000EE"/>
                <w:w w:val="95"/>
              </w:rPr>
              <w:t>ABOUT THIS PROSPECTUS</w:t>
            </w:r>
          </w:p>
        </w:tc>
        <w:tc>
          <w:tcPr>
            <w:tcW w:w="4780" w:type="dxa"/>
            <w:vAlign w:val="bottom"/>
            <w:gridSpan w:val="4"/>
          </w:tcPr>
          <w:p>
            <w:pPr>
              <w:spacing w:after="0"/>
              <w:rPr>
                <w:sz w:val="12"/>
                <w:szCs w:val="12"/>
                <w:color w:val="auto"/>
              </w:rPr>
            </w:pPr>
          </w:p>
        </w:tc>
        <w:tc>
          <w:tcPr>
            <w:tcW w:w="1580" w:type="dxa"/>
            <w:vAlign w:val="bottom"/>
          </w:tcPr>
          <w:p>
            <w:pPr>
              <w:spacing w:after="0"/>
              <w:rPr>
                <w:sz w:val="12"/>
                <w:szCs w:val="12"/>
                <w:color w:val="auto"/>
              </w:rPr>
            </w:pPr>
          </w:p>
        </w:tc>
        <w:tc>
          <w:tcPr>
            <w:tcW w:w="3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S-1</w:t>
            </w:r>
          </w:p>
        </w:tc>
      </w:tr>
      <w:tr>
        <w:trPr>
          <w:trHeight w:val="144"/>
        </w:trPr>
        <w:tc>
          <w:tcPr>
            <w:tcW w:w="6480" w:type="dxa"/>
            <w:vAlign w:val="bottom"/>
            <w:gridSpan w:val="13"/>
          </w:tcPr>
          <w:p>
            <w:pPr>
              <w:ind w:left="20"/>
              <w:spacing w:after="0" w:line="144" w:lineRule="exact"/>
              <w:rPr>
                <w:sz w:val="20"/>
                <w:szCs w:val="20"/>
                <w:color w:val="auto"/>
              </w:rPr>
            </w:pPr>
            <w:r>
              <w:rPr>
                <w:rFonts w:ascii="Times New Roman" w:cs="Times New Roman" w:eastAsia="Times New Roman" w:hAnsi="Times New Roman"/>
                <w:sz w:val="14"/>
                <w:szCs w:val="14"/>
                <w:color w:val="0000EE"/>
              </w:rPr>
              <w:t>PROSPECTUS SUMMARY</w:t>
            </w:r>
          </w:p>
        </w:tc>
        <w:tc>
          <w:tcPr>
            <w:tcW w:w="1580" w:type="dxa"/>
            <w:vAlign w:val="bottom"/>
          </w:tcPr>
          <w:p>
            <w:pPr>
              <w:spacing w:after="0"/>
              <w:rPr>
                <w:sz w:val="12"/>
                <w:szCs w:val="12"/>
                <w:color w:val="auto"/>
              </w:rPr>
            </w:pP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S-3</w:t>
            </w:r>
          </w:p>
        </w:tc>
      </w:tr>
      <w:tr>
        <w:trPr>
          <w:trHeight w:val="144"/>
        </w:trPr>
        <w:tc>
          <w:tcPr>
            <w:tcW w:w="980" w:type="dxa"/>
            <w:vAlign w:val="bottom"/>
            <w:tcBorders>
              <w:top w:val="single" w:sz="8" w:color="0000EE"/>
              <w:bottom w:val="single" w:sz="8" w:color="0000EE"/>
            </w:tcBorders>
            <w:gridSpan w:val="3"/>
          </w:tcPr>
          <w:p>
            <w:pPr>
              <w:ind w:left="20"/>
              <w:spacing w:after="0" w:line="144" w:lineRule="exact"/>
              <w:rPr>
                <w:sz w:val="20"/>
                <w:szCs w:val="20"/>
                <w:color w:val="auto"/>
              </w:rPr>
            </w:pPr>
            <w:r>
              <w:rPr>
                <w:rFonts w:ascii="Times New Roman" w:cs="Times New Roman" w:eastAsia="Times New Roman" w:hAnsi="Times New Roman"/>
                <w:sz w:val="14"/>
                <w:szCs w:val="14"/>
                <w:color w:val="0000EE"/>
                <w:w w:val="94"/>
              </w:rPr>
              <w:t>THE OFFERING</w:t>
            </w:r>
          </w:p>
        </w:tc>
        <w:tc>
          <w:tcPr>
            <w:tcW w:w="600" w:type="dxa"/>
            <w:vAlign w:val="bottom"/>
            <w:tcBorders>
              <w:top w:val="single" w:sz="8" w:color="0000EE"/>
            </w:tcBorders>
            <w:gridSpan w:val="5"/>
          </w:tcPr>
          <w:p>
            <w:pPr>
              <w:spacing w:after="0"/>
              <w:rPr>
                <w:sz w:val="12"/>
                <w:szCs w:val="12"/>
                <w:color w:val="auto"/>
              </w:rPr>
            </w:pPr>
          </w:p>
        </w:tc>
        <w:tc>
          <w:tcPr>
            <w:tcW w:w="4900" w:type="dxa"/>
            <w:vAlign w:val="bottom"/>
            <w:gridSpan w:val="5"/>
          </w:tcPr>
          <w:p>
            <w:pPr>
              <w:spacing w:after="0"/>
              <w:rPr>
                <w:sz w:val="12"/>
                <w:szCs w:val="12"/>
                <w:color w:val="auto"/>
              </w:rPr>
            </w:pPr>
          </w:p>
        </w:tc>
        <w:tc>
          <w:tcPr>
            <w:tcW w:w="1580" w:type="dxa"/>
            <w:vAlign w:val="bottom"/>
          </w:tcPr>
          <w:p>
            <w:pPr>
              <w:spacing w:after="0"/>
              <w:rPr>
                <w:sz w:val="12"/>
                <w:szCs w:val="12"/>
                <w:color w:val="auto"/>
              </w:rPr>
            </w:pP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S-6</w:t>
            </w:r>
          </w:p>
        </w:tc>
      </w:tr>
      <w:tr>
        <w:trPr>
          <w:trHeight w:val="144"/>
        </w:trPr>
        <w:tc>
          <w:tcPr>
            <w:tcW w:w="960" w:type="dxa"/>
            <w:vAlign w:val="bottom"/>
            <w:tcBorders>
              <w:bottom w:val="single" w:sz="8" w:color="0000EE"/>
            </w:tcBorders>
            <w:gridSpan w:val="2"/>
          </w:tcPr>
          <w:p>
            <w:pPr>
              <w:ind w:left="20"/>
              <w:spacing w:after="0" w:line="144" w:lineRule="exact"/>
              <w:rPr>
                <w:sz w:val="20"/>
                <w:szCs w:val="20"/>
                <w:color w:val="auto"/>
              </w:rPr>
            </w:pPr>
            <w:r>
              <w:rPr>
                <w:rFonts w:ascii="Times New Roman" w:cs="Times New Roman" w:eastAsia="Times New Roman" w:hAnsi="Times New Roman"/>
                <w:sz w:val="14"/>
                <w:szCs w:val="14"/>
                <w:color w:val="0000EE"/>
                <w:w w:val="93"/>
              </w:rPr>
              <w:t>RISK FACTORS</w:t>
            </w:r>
          </w:p>
        </w:tc>
        <w:tc>
          <w:tcPr>
            <w:tcW w:w="5520" w:type="dxa"/>
            <w:vAlign w:val="bottom"/>
            <w:gridSpan w:val="11"/>
          </w:tcPr>
          <w:p>
            <w:pPr>
              <w:spacing w:after="0"/>
              <w:rPr>
                <w:sz w:val="12"/>
                <w:szCs w:val="12"/>
                <w:color w:val="auto"/>
              </w:rPr>
            </w:pPr>
          </w:p>
        </w:tc>
        <w:tc>
          <w:tcPr>
            <w:tcW w:w="1580" w:type="dxa"/>
            <w:vAlign w:val="bottom"/>
          </w:tcPr>
          <w:p>
            <w:pPr>
              <w:spacing w:after="0"/>
              <w:rPr>
                <w:sz w:val="12"/>
                <w:szCs w:val="12"/>
                <w:color w:val="auto"/>
              </w:rPr>
            </w:pP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S-7</w:t>
            </w:r>
          </w:p>
        </w:tc>
      </w:tr>
      <w:tr>
        <w:trPr>
          <w:trHeight w:val="144"/>
        </w:trPr>
        <w:tc>
          <w:tcPr>
            <w:tcW w:w="4060" w:type="dxa"/>
            <w:vAlign w:val="bottom"/>
            <w:tcBorders>
              <w:bottom w:val="single" w:sz="8" w:color="0000EE"/>
            </w:tcBorders>
            <w:gridSpan w:val="12"/>
          </w:tcPr>
          <w:p>
            <w:pPr>
              <w:ind w:left="20"/>
              <w:spacing w:after="0" w:line="144" w:lineRule="exact"/>
              <w:rPr>
                <w:sz w:val="20"/>
                <w:szCs w:val="20"/>
                <w:color w:val="auto"/>
              </w:rPr>
            </w:pPr>
            <w:r>
              <w:rPr>
                <w:rFonts w:ascii="Times New Roman" w:cs="Times New Roman" w:eastAsia="Times New Roman" w:hAnsi="Times New Roman"/>
                <w:sz w:val="14"/>
                <w:szCs w:val="14"/>
                <w:color w:val="0000EE"/>
                <w:w w:val="95"/>
              </w:rPr>
              <w:t>SPECIAL NOTE REGARDING FORWARD-LOOKING STATEMENTS</w:t>
            </w:r>
          </w:p>
        </w:tc>
        <w:tc>
          <w:tcPr>
            <w:tcW w:w="2420" w:type="dxa"/>
            <w:vAlign w:val="bottom"/>
          </w:tcPr>
          <w:p>
            <w:pPr>
              <w:spacing w:after="0"/>
              <w:rPr>
                <w:sz w:val="12"/>
                <w:szCs w:val="12"/>
                <w:color w:val="auto"/>
              </w:rPr>
            </w:pPr>
          </w:p>
        </w:tc>
        <w:tc>
          <w:tcPr>
            <w:tcW w:w="18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S-10</w:t>
            </w:r>
          </w:p>
        </w:tc>
      </w:tr>
      <w:tr>
        <w:trPr>
          <w:trHeight w:val="144"/>
        </w:trPr>
        <w:tc>
          <w:tcPr>
            <w:tcW w:w="1220" w:type="dxa"/>
            <w:vAlign w:val="bottom"/>
            <w:tcBorders>
              <w:bottom w:val="single" w:sz="8" w:color="0000EE"/>
            </w:tcBorders>
            <w:gridSpan w:val="6"/>
          </w:tcPr>
          <w:p>
            <w:pPr>
              <w:ind w:left="20"/>
              <w:spacing w:after="0" w:line="144" w:lineRule="exact"/>
              <w:rPr>
                <w:sz w:val="20"/>
                <w:szCs w:val="20"/>
                <w:color w:val="auto"/>
              </w:rPr>
            </w:pPr>
            <w:r>
              <w:rPr>
                <w:rFonts w:ascii="Times New Roman" w:cs="Times New Roman" w:eastAsia="Times New Roman" w:hAnsi="Times New Roman"/>
                <w:sz w:val="14"/>
                <w:szCs w:val="14"/>
                <w:color w:val="0000EE"/>
                <w:w w:val="95"/>
              </w:rPr>
              <w:t>USE OF PROCEEDS</w:t>
            </w:r>
          </w:p>
        </w:tc>
        <w:tc>
          <w:tcPr>
            <w:tcW w:w="5260" w:type="dxa"/>
            <w:vAlign w:val="bottom"/>
            <w:gridSpan w:val="7"/>
          </w:tcPr>
          <w:p>
            <w:pPr>
              <w:spacing w:after="0"/>
              <w:rPr>
                <w:sz w:val="12"/>
                <w:szCs w:val="12"/>
                <w:color w:val="auto"/>
              </w:rPr>
            </w:pPr>
          </w:p>
        </w:tc>
        <w:tc>
          <w:tcPr>
            <w:tcW w:w="18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S-12</w:t>
            </w:r>
          </w:p>
        </w:tc>
      </w:tr>
      <w:tr>
        <w:trPr>
          <w:trHeight w:val="144"/>
        </w:trPr>
        <w:tc>
          <w:tcPr>
            <w:tcW w:w="6480" w:type="dxa"/>
            <w:vAlign w:val="bottom"/>
            <w:gridSpan w:val="13"/>
          </w:tcPr>
          <w:p>
            <w:pPr>
              <w:ind w:left="20"/>
              <w:spacing w:after="0" w:line="144" w:lineRule="exact"/>
              <w:rPr>
                <w:sz w:val="20"/>
                <w:szCs w:val="20"/>
                <w:color w:val="auto"/>
              </w:rPr>
            </w:pPr>
            <w:r>
              <w:rPr>
                <w:rFonts w:ascii="Times New Roman" w:cs="Times New Roman" w:eastAsia="Times New Roman" w:hAnsi="Times New Roman"/>
                <w:sz w:val="14"/>
                <w:szCs w:val="14"/>
                <w:color w:val="0000EE"/>
              </w:rPr>
              <w:t>DIVIDEND POLICY</w:t>
            </w:r>
          </w:p>
        </w:tc>
        <w:tc>
          <w:tcPr>
            <w:tcW w:w="18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S-13</w:t>
            </w:r>
          </w:p>
        </w:tc>
      </w:tr>
      <w:tr>
        <w:trPr>
          <w:trHeight w:val="144"/>
        </w:trPr>
        <w:tc>
          <w:tcPr>
            <w:tcW w:w="1200" w:type="dxa"/>
            <w:vAlign w:val="bottom"/>
            <w:tcBorders>
              <w:top w:val="single" w:sz="8" w:color="0000EE"/>
            </w:tcBorders>
            <w:gridSpan w:val="5"/>
          </w:tcPr>
          <w:p>
            <w:pPr>
              <w:ind w:left="20"/>
              <w:spacing w:after="0" w:line="144" w:lineRule="exact"/>
              <w:rPr>
                <w:sz w:val="20"/>
                <w:szCs w:val="20"/>
                <w:color w:val="auto"/>
              </w:rPr>
            </w:pPr>
            <w:r>
              <w:rPr>
                <w:rFonts w:ascii="Times New Roman" w:cs="Times New Roman" w:eastAsia="Times New Roman" w:hAnsi="Times New Roman"/>
                <w:sz w:val="14"/>
                <w:szCs w:val="14"/>
                <w:color w:val="0000EE"/>
              </w:rPr>
              <w:t>DILUTION</w:t>
            </w:r>
          </w:p>
        </w:tc>
        <w:tc>
          <w:tcPr>
            <w:tcW w:w="5280" w:type="dxa"/>
            <w:vAlign w:val="bottom"/>
            <w:gridSpan w:val="8"/>
          </w:tcPr>
          <w:p>
            <w:pPr>
              <w:spacing w:after="0"/>
              <w:rPr>
                <w:sz w:val="12"/>
                <w:szCs w:val="12"/>
                <w:color w:val="auto"/>
              </w:rPr>
            </w:pPr>
          </w:p>
        </w:tc>
        <w:tc>
          <w:tcPr>
            <w:tcW w:w="18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S-14</w:t>
            </w:r>
          </w:p>
        </w:tc>
      </w:tr>
      <w:tr>
        <w:trPr>
          <w:trHeight w:val="20"/>
        </w:trPr>
        <w:tc>
          <w:tcPr>
            <w:tcW w:w="6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r>
      <w:tr>
        <w:trPr>
          <w:trHeight w:val="144"/>
        </w:trPr>
        <w:tc>
          <w:tcPr>
            <w:tcW w:w="6480" w:type="dxa"/>
            <w:vAlign w:val="bottom"/>
            <w:gridSpan w:val="13"/>
          </w:tcPr>
          <w:p>
            <w:pPr>
              <w:ind w:left="20"/>
              <w:spacing w:after="0" w:line="144" w:lineRule="exact"/>
              <w:rPr>
                <w:sz w:val="20"/>
                <w:szCs w:val="20"/>
                <w:color w:val="auto"/>
              </w:rPr>
            </w:pPr>
            <w:r>
              <w:rPr>
                <w:rFonts w:ascii="Times New Roman" w:cs="Times New Roman" w:eastAsia="Times New Roman" w:hAnsi="Times New Roman"/>
                <w:sz w:val="14"/>
                <w:szCs w:val="14"/>
                <w:color w:val="0000EE"/>
              </w:rPr>
              <w:t>PLAN OF DISTRIBUTION</w:t>
            </w:r>
          </w:p>
        </w:tc>
        <w:tc>
          <w:tcPr>
            <w:tcW w:w="18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S-16</w:t>
            </w:r>
          </w:p>
        </w:tc>
      </w:tr>
      <w:tr>
        <w:trPr>
          <w:trHeight w:val="144"/>
        </w:trPr>
        <w:tc>
          <w:tcPr>
            <w:tcW w:w="1120" w:type="dxa"/>
            <w:vAlign w:val="bottom"/>
            <w:tcBorders>
              <w:top w:val="single" w:sz="8" w:color="0000EE"/>
              <w:bottom w:val="single" w:sz="8" w:color="0000EE"/>
            </w:tcBorders>
            <w:gridSpan w:val="4"/>
          </w:tcPr>
          <w:p>
            <w:pPr>
              <w:ind w:left="20"/>
              <w:spacing w:after="0" w:line="144" w:lineRule="exact"/>
              <w:rPr>
                <w:sz w:val="20"/>
                <w:szCs w:val="20"/>
                <w:color w:val="auto"/>
              </w:rPr>
            </w:pPr>
            <w:r>
              <w:rPr>
                <w:rFonts w:ascii="Times New Roman" w:cs="Times New Roman" w:eastAsia="Times New Roman" w:hAnsi="Times New Roman"/>
                <w:sz w:val="14"/>
                <w:szCs w:val="14"/>
                <w:color w:val="0000EE"/>
                <w:w w:val="94"/>
              </w:rPr>
              <w:t>LEGAL MATTERS</w:t>
            </w:r>
          </w:p>
        </w:tc>
        <w:tc>
          <w:tcPr>
            <w:tcW w:w="440" w:type="dxa"/>
            <w:vAlign w:val="bottom"/>
            <w:tcBorders>
              <w:top w:val="single" w:sz="8" w:color="0000EE"/>
            </w:tcBorders>
            <w:gridSpan w:val="3"/>
          </w:tcPr>
          <w:p>
            <w:pPr>
              <w:spacing w:after="0"/>
              <w:rPr>
                <w:sz w:val="12"/>
                <w:szCs w:val="12"/>
                <w:color w:val="auto"/>
              </w:rPr>
            </w:pPr>
          </w:p>
        </w:tc>
        <w:tc>
          <w:tcPr>
            <w:tcW w:w="4920" w:type="dxa"/>
            <w:vAlign w:val="bottom"/>
            <w:gridSpan w:val="6"/>
          </w:tcPr>
          <w:p>
            <w:pPr>
              <w:spacing w:after="0"/>
              <w:rPr>
                <w:sz w:val="12"/>
                <w:szCs w:val="12"/>
                <w:color w:val="auto"/>
              </w:rPr>
            </w:pPr>
          </w:p>
        </w:tc>
        <w:tc>
          <w:tcPr>
            <w:tcW w:w="18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S-18</w:t>
            </w:r>
          </w:p>
        </w:tc>
      </w:tr>
      <w:tr>
        <w:trPr>
          <w:trHeight w:val="144"/>
        </w:trPr>
        <w:tc>
          <w:tcPr>
            <w:tcW w:w="660" w:type="dxa"/>
            <w:vAlign w:val="bottom"/>
            <w:tcBorders>
              <w:bottom w:val="single" w:sz="8" w:color="0000EE"/>
            </w:tcBorders>
          </w:tcPr>
          <w:p>
            <w:pPr>
              <w:ind w:left="20"/>
              <w:spacing w:after="0" w:line="144" w:lineRule="exact"/>
              <w:rPr>
                <w:sz w:val="20"/>
                <w:szCs w:val="20"/>
                <w:color w:val="auto"/>
              </w:rPr>
            </w:pPr>
            <w:r>
              <w:rPr>
                <w:rFonts w:ascii="Times New Roman" w:cs="Times New Roman" w:eastAsia="Times New Roman" w:hAnsi="Times New Roman"/>
                <w:sz w:val="14"/>
                <w:szCs w:val="14"/>
                <w:color w:val="0000EE"/>
                <w:w w:val="98"/>
              </w:rPr>
              <w:t>EXPERTS</w:t>
            </w:r>
          </w:p>
        </w:tc>
        <w:tc>
          <w:tcPr>
            <w:tcW w:w="5820" w:type="dxa"/>
            <w:vAlign w:val="bottom"/>
            <w:gridSpan w:val="12"/>
          </w:tcPr>
          <w:p>
            <w:pPr>
              <w:spacing w:after="0"/>
              <w:rPr>
                <w:sz w:val="12"/>
                <w:szCs w:val="12"/>
                <w:color w:val="auto"/>
              </w:rPr>
            </w:pPr>
          </w:p>
        </w:tc>
        <w:tc>
          <w:tcPr>
            <w:tcW w:w="18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S-18</w:t>
            </w:r>
          </w:p>
        </w:tc>
      </w:tr>
      <w:tr>
        <w:trPr>
          <w:trHeight w:val="144"/>
        </w:trPr>
        <w:tc>
          <w:tcPr>
            <w:tcW w:w="2900" w:type="dxa"/>
            <w:vAlign w:val="bottom"/>
            <w:tcBorders>
              <w:bottom w:val="single" w:sz="8" w:color="0000EE"/>
            </w:tcBorders>
            <w:gridSpan w:val="10"/>
          </w:tcPr>
          <w:p>
            <w:pPr>
              <w:ind w:left="20"/>
              <w:spacing w:after="0" w:line="144" w:lineRule="exact"/>
              <w:rPr>
                <w:sz w:val="20"/>
                <w:szCs w:val="20"/>
                <w:color w:val="auto"/>
              </w:rPr>
            </w:pPr>
            <w:r>
              <w:rPr>
                <w:rFonts w:ascii="Times New Roman" w:cs="Times New Roman" w:eastAsia="Times New Roman" w:hAnsi="Times New Roman"/>
                <w:sz w:val="14"/>
                <w:szCs w:val="14"/>
                <w:color w:val="0000EE"/>
                <w:w w:val="95"/>
              </w:rPr>
              <w:t>WHERE YOU CAN FIND MORE INFORMATION</w:t>
            </w:r>
          </w:p>
        </w:tc>
        <w:tc>
          <w:tcPr>
            <w:tcW w:w="3580" w:type="dxa"/>
            <w:vAlign w:val="bottom"/>
            <w:gridSpan w:val="3"/>
          </w:tcPr>
          <w:p>
            <w:pPr>
              <w:spacing w:after="0"/>
              <w:rPr>
                <w:sz w:val="12"/>
                <w:szCs w:val="12"/>
                <w:color w:val="auto"/>
              </w:rPr>
            </w:pPr>
          </w:p>
        </w:tc>
        <w:tc>
          <w:tcPr>
            <w:tcW w:w="18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S-18</w:t>
            </w:r>
          </w:p>
        </w:tc>
      </w:tr>
      <w:tr>
        <w:trPr>
          <w:trHeight w:val="144"/>
        </w:trPr>
        <w:tc>
          <w:tcPr>
            <w:tcW w:w="6480" w:type="dxa"/>
            <w:vAlign w:val="bottom"/>
            <w:gridSpan w:val="13"/>
          </w:tcPr>
          <w:p>
            <w:pPr>
              <w:ind w:left="20"/>
              <w:spacing w:after="0" w:line="144" w:lineRule="exact"/>
              <w:rPr>
                <w:sz w:val="20"/>
                <w:szCs w:val="20"/>
                <w:color w:val="auto"/>
              </w:rPr>
            </w:pPr>
            <w:r>
              <w:rPr>
                <w:rFonts w:ascii="Times New Roman" w:cs="Times New Roman" w:eastAsia="Times New Roman" w:hAnsi="Times New Roman"/>
                <w:sz w:val="14"/>
                <w:szCs w:val="14"/>
                <w:color w:val="0000EE"/>
              </w:rPr>
              <w:t>INCORPORATION OF CERTAIN DOCUMENTS BY REFERENCE</w:t>
            </w:r>
          </w:p>
        </w:tc>
        <w:tc>
          <w:tcPr>
            <w:tcW w:w="18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S-19</w:t>
            </w:r>
          </w:p>
        </w:tc>
      </w:tr>
      <w:tr>
        <w:trPr>
          <w:trHeight w:val="20"/>
        </w:trPr>
        <w:tc>
          <w:tcPr>
            <w:tcW w:w="6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2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10159"/>
          </w:cols>
          <w:pgMar w:left="300" w:top="379"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0" w:lineRule="exact"/>
        <w:rPr>
          <w:sz w:val="20"/>
          <w:szCs w:val="20"/>
          <w:color w:val="auto"/>
        </w:rPr>
      </w:pPr>
    </w:p>
    <w:p>
      <w:pPr>
        <w:ind w:left="1480" w:right="499" w:firstLine="334"/>
        <w:spacing w:after="0" w:line="251" w:lineRule="auto"/>
        <w:rPr>
          <w:sz w:val="20"/>
          <w:szCs w:val="20"/>
          <w:color w:val="auto"/>
        </w:rPr>
      </w:pPr>
      <w:r>
        <w:rPr>
          <w:rFonts w:ascii="Times New Roman" w:cs="Times New Roman" w:eastAsia="Times New Roman" w:hAnsi="Times New Roman"/>
          <w:sz w:val="14"/>
          <w:szCs w:val="14"/>
          <w:color w:val="auto"/>
        </w:rPr>
        <w:t>This prospectus is part of a shelf registration statement on Form S-3 that we filed with the Securities and Exchange Commission (the “SEC”) under the Securities Act of 1933, as amended (the “Securities Act”). Under the shelf registration process, we may offer shares of our Class A common stock having an aggregate offering price of up to $200,000,000 from time to time under this prospectus at prices and on terms to be determined by market conditions at the time of the offering.</w:t>
      </w:r>
    </w:p>
    <w:p>
      <w:pPr>
        <w:spacing w:after="0" w:line="145" w:lineRule="exact"/>
        <w:rPr>
          <w:sz w:val="20"/>
          <w:szCs w:val="20"/>
          <w:color w:val="auto"/>
        </w:rPr>
      </w:pPr>
    </w:p>
    <w:p>
      <w:pPr>
        <w:ind w:left="1480" w:right="359" w:firstLine="334"/>
        <w:spacing w:after="0" w:line="251" w:lineRule="auto"/>
        <w:rPr>
          <w:sz w:val="20"/>
          <w:szCs w:val="20"/>
          <w:color w:val="auto"/>
        </w:rPr>
      </w:pPr>
      <w:r>
        <w:rPr>
          <w:rFonts w:ascii="Times New Roman" w:cs="Times New Roman" w:eastAsia="Times New Roman" w:hAnsi="Times New Roman"/>
          <w:sz w:val="14"/>
          <w:szCs w:val="14"/>
          <w:color w:val="auto"/>
        </w:rPr>
        <w:t>You should rely only on the information contained or incorporated by reference in this prospectus. We have not, and Jefferies has not, authorized anyone to provide you with information that is in addition to or different from that contained or incorporated by reference in this prospectus or contained in any permitted free writing prospectuses we have authorized for use in connection with this offering. We and Jefferies take no responsibility for, and can provide no assurance as to the reliability of, any other information that others may provide.</w:t>
      </w:r>
    </w:p>
    <w:p>
      <w:pPr>
        <w:spacing w:after="0" w:line="145" w:lineRule="exact"/>
        <w:rPr>
          <w:sz w:val="20"/>
          <w:szCs w:val="20"/>
          <w:color w:val="auto"/>
        </w:rPr>
      </w:pPr>
    </w:p>
    <w:p>
      <w:pPr>
        <w:ind w:left="1480" w:right="399" w:firstLine="334"/>
        <w:spacing w:after="0" w:line="247" w:lineRule="auto"/>
        <w:rPr>
          <w:sz w:val="20"/>
          <w:szCs w:val="20"/>
          <w:color w:val="auto"/>
        </w:rPr>
      </w:pPr>
      <w:r>
        <w:rPr>
          <w:rFonts w:ascii="Times New Roman" w:cs="Times New Roman" w:eastAsia="Times New Roman" w:hAnsi="Times New Roman"/>
          <w:sz w:val="14"/>
          <w:szCs w:val="14"/>
          <w:color w:val="auto"/>
        </w:rPr>
        <w:t>The information contained in this prospectus and the documents incorporated by reference herein is accurate only as of their respective dates, regardless of the time of delivery of any such document or the time of any sale of shares of our Class A common stock. Our business, financial condition, results of operations and prospects may have changed since those dates. It is important for you to read and consider all information contained or incorporated by reference in this prospectus in making your investment decision. You should read this prospectus, as well as the documents incorporated by reference herein, the additional information described under the section titled “Where You Can Find More Information” and “Incorporation of Certain Documents by Reference” in this prospectus and any free writing prospectus that we have authorized for use in connection with this offering, before investing in shares of our Class A common stock.</w:t>
      </w:r>
    </w:p>
    <w:p>
      <w:pPr>
        <w:spacing w:after="0" w:line="150" w:lineRule="exact"/>
        <w:rPr>
          <w:sz w:val="20"/>
          <w:szCs w:val="20"/>
          <w:color w:val="auto"/>
        </w:rPr>
      </w:pPr>
    </w:p>
    <w:p>
      <w:pPr>
        <w:ind w:left="1480" w:right="439" w:firstLine="334"/>
        <w:spacing w:after="0" w:line="249" w:lineRule="auto"/>
        <w:rPr>
          <w:sz w:val="20"/>
          <w:szCs w:val="20"/>
          <w:color w:val="auto"/>
        </w:rPr>
      </w:pPr>
      <w:r>
        <w:rPr>
          <w:rFonts w:ascii="Times New Roman" w:cs="Times New Roman" w:eastAsia="Times New Roman" w:hAnsi="Times New Roman"/>
          <w:sz w:val="14"/>
          <w:szCs w:val="14"/>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47" w:lineRule="exact"/>
        <w:rPr>
          <w:sz w:val="20"/>
          <w:szCs w:val="20"/>
          <w:color w:val="auto"/>
        </w:rPr>
      </w:pPr>
    </w:p>
    <w:p>
      <w:pPr>
        <w:ind w:left="1480" w:right="339" w:firstLine="334"/>
        <w:spacing w:after="0" w:line="268" w:lineRule="auto"/>
        <w:rPr>
          <w:sz w:val="20"/>
          <w:szCs w:val="20"/>
          <w:color w:val="auto"/>
        </w:rPr>
      </w:pPr>
      <w:r>
        <w:rPr>
          <w:rFonts w:ascii="Times New Roman" w:cs="Times New Roman" w:eastAsia="Times New Roman" w:hAnsi="Times New Roman"/>
          <w:sz w:val="13"/>
          <w:szCs w:val="13"/>
          <w:color w:val="auto"/>
        </w:rPr>
        <w:t>Neither we nor Jefferies have authorized anyone to provide you with information that is different from that contained in this prospectus or in any free writing prospectus we may authorize to be delivered or made available to you. We take no responsibility for, and can provide no assurance as to the reliability of, any other information that others may give you. We are not, and Jefferies is not, offering to sell, and seeking offers to buy, shares of our Class A common stock in any jurisdictions where such offers and sales are not permitted. The distribution of this prospectus and the offering of shares of our Class A common stock in certain jurisdictions may be restricted by law. Persons outside the United States who come into possession of this prospectus must inform themselves about, and observe any restrictions relating to, the offering of shares of our Class A common stock and the distribution of this prospectus outside the United States. This prospectus does not constitute an offer to sell or the solicitation of an offer to buy any securities other than the shares of Class A common stock to which it relates, nor does this prospectus constitute an offer to sell or the solicitation of an offer to buy securities in any jurisdiction to any person to whom it is unlawful to make such offer or solicitation in such jurisdiction.</w:t>
      </w:r>
    </w:p>
    <w:p>
      <w:pPr>
        <w:spacing w:after="0" w:line="135" w:lineRule="exact"/>
        <w:rPr>
          <w:sz w:val="20"/>
          <w:szCs w:val="20"/>
          <w:color w:val="auto"/>
        </w:rPr>
      </w:pPr>
    </w:p>
    <w:p>
      <w:pPr>
        <w:ind w:left="1480" w:right="379" w:firstLine="334"/>
        <w:spacing w:after="0" w:line="249" w:lineRule="auto"/>
        <w:rPr>
          <w:sz w:val="20"/>
          <w:szCs w:val="20"/>
          <w:color w:val="auto"/>
        </w:rPr>
      </w:pPr>
      <w:r>
        <w:rPr>
          <w:rFonts w:ascii="Times New Roman" w:cs="Times New Roman" w:eastAsia="Times New Roman" w:hAnsi="Times New Roman"/>
          <w:sz w:val="14"/>
          <w:szCs w:val="14"/>
          <w:color w:val="auto"/>
        </w:rPr>
        <w:t>Unless otherwise indicated, information contained in or incorporated by reference into this prospectus concerning our industry and the markets in which we operate, including market opportunity, market position and competitive landscape, is based on information from our management’s estimates, as well as from industry publications, surveys and studies conducted by third parties. Management estimates are derived from publicly available information, our knowledge of our industry, and assumptions based on such information and knowledge, which we believe to be reasonable. In addition, while management is responsible for the accuracy of</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0159"/>
          </w:cols>
          <w:pgMar w:left="300" w:top="379"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jc w:val="both"/>
        <w:ind w:left="1480" w:right="439"/>
        <w:spacing w:after="0" w:line="254" w:lineRule="auto"/>
        <w:rPr>
          <w:sz w:val="20"/>
          <w:szCs w:val="20"/>
          <w:color w:val="auto"/>
        </w:rPr>
      </w:pPr>
      <w:r>
        <w:rPr>
          <w:rFonts w:ascii="Times New Roman" w:cs="Times New Roman" w:eastAsia="Times New Roman" w:hAnsi="Times New Roman"/>
          <w:sz w:val="14"/>
          <w:szCs w:val="14"/>
          <w:color w:val="auto"/>
        </w:rPr>
        <w:t>such information and believes that information contained in the industry publications, surveys and studies has been obtained from reliable sources, the accuracy and completeness of such information is not guaranteed, and we have not independently verified any of the data contained in these third-party sources.</w:t>
      </w:r>
    </w:p>
    <w:p>
      <w:pPr>
        <w:spacing w:after="0" w:line="144" w:lineRule="exact"/>
        <w:rPr>
          <w:sz w:val="20"/>
          <w:szCs w:val="20"/>
          <w:color w:val="auto"/>
        </w:rPr>
      </w:pPr>
    </w:p>
    <w:p>
      <w:pPr>
        <w:ind w:left="1480" w:right="399" w:firstLine="334"/>
        <w:spacing w:after="0" w:line="268" w:lineRule="auto"/>
        <w:rPr>
          <w:sz w:val="20"/>
          <w:szCs w:val="20"/>
          <w:color w:val="auto"/>
        </w:rPr>
      </w:pPr>
      <w:r>
        <w:rPr>
          <w:rFonts w:ascii="Times New Roman" w:cs="Times New Roman" w:eastAsia="Times New Roman" w:hAnsi="Times New Roman"/>
          <w:sz w:val="13"/>
          <w:szCs w:val="13"/>
          <w:color w:val="auto"/>
        </w:rPr>
        <w:t>This prospectus, including the documents incorporated by reference herein, includes statements that are based on various assumptions and estimates that are subject to numerous known and unknown risks and uncertainties. Some of these risks and uncertainties are described in the section entitled “Risk Factors” beginning on page S-7 of this prospectus and described in described in Part I, Item 1A (Risk Factors) of our most recent Annual Report on Form 10-K for the fiscal year ended December 31, 2025 and our Quarterly Report on Form 10-Q for the quarter ended June 30, 2026, as well as the subsequent documents we file with the SEC. These and other important factors could cause our future results to be materially different from the results expected as a result of, or implied by, these assumptions and estimates. You should read the information contained in, or incorporated by reference into, this prospectus completely and with the understanding that future results may be materially different from and worse than what we expect. See the information included under the heading “Special Note Regarding Forward-Looking Information.”</w:t>
      </w:r>
    </w:p>
    <w:p>
      <w:pPr>
        <w:spacing w:after="0" w:line="138" w:lineRule="exact"/>
        <w:rPr>
          <w:sz w:val="20"/>
          <w:szCs w:val="20"/>
          <w:color w:val="auto"/>
        </w:rPr>
      </w:pPr>
    </w:p>
    <w:p>
      <w:pPr>
        <w:ind w:left="1480" w:right="619" w:firstLine="334"/>
        <w:spacing w:after="0" w:line="265" w:lineRule="auto"/>
        <w:rPr>
          <w:sz w:val="20"/>
          <w:szCs w:val="20"/>
          <w:color w:val="auto"/>
        </w:rPr>
      </w:pPr>
      <w:r>
        <w:rPr>
          <w:rFonts w:ascii="Times New Roman" w:cs="Times New Roman" w:eastAsia="Times New Roman" w:hAnsi="Times New Roman"/>
          <w:sz w:val="14"/>
          <w:szCs w:val="14"/>
          <w:color w:val="auto"/>
        </w:rPr>
        <w:t>As used in this prospectus, unless the context indicates or otherwise requires, “our Company”, “the Company”, “ProKidney”, “we”, “us”, and “our” refer to ProKidney Corp., a Delaware corporation, and its consolidated subsidiaries.</w:t>
      </w:r>
    </w:p>
    <w:p>
      <w:pPr>
        <w:spacing w:after="0" w:line="136" w:lineRule="exact"/>
        <w:rPr>
          <w:sz w:val="20"/>
          <w:szCs w:val="20"/>
          <w:color w:val="auto"/>
        </w:rPr>
      </w:pPr>
    </w:p>
    <w:p>
      <w:pPr>
        <w:ind w:left="1480" w:right="419" w:firstLine="334"/>
        <w:spacing w:after="0" w:line="254" w:lineRule="auto"/>
        <w:rPr>
          <w:sz w:val="20"/>
          <w:szCs w:val="20"/>
          <w:color w:val="auto"/>
        </w:rPr>
      </w:pPr>
      <w:r>
        <w:rPr>
          <w:rFonts w:ascii="Times New Roman" w:cs="Times New Roman" w:eastAsia="Times New Roman" w:hAnsi="Times New Roman"/>
          <w:sz w:val="14"/>
          <w:szCs w:val="14"/>
          <w:color w:val="auto"/>
        </w:rPr>
        <w:t>All trademarks, trade names and service marks included in this prospectus are the property of their respective owners. Use or display by us of other parties’ trademarks, trade dress or products is not intended to and does not imply a relationship with, or endorsements or sponsorship of, us by the trademark or trade dress owner.</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0159"/>
          </w:cols>
          <w:pgMar w:left="300" w:top="379"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933450</wp:posOffset>
            </wp:positionH>
            <wp:positionV relativeFrom="paragraph">
              <wp:posOffset>158750</wp:posOffset>
            </wp:positionV>
            <wp:extent cx="5307330" cy="4547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5307330" cy="4547235"/>
                    </a:xfrm>
                    <a:prstGeom prst="rect">
                      <a:avLst/>
                    </a:prstGeom>
                    <a:noFill/>
                  </pic:spPr>
                </pic:pic>
              </a:graphicData>
            </a:graphic>
          </wp:anchor>
        </w:drawing>
      </w:r>
    </w:p>
    <w:p>
      <w:pPr>
        <w:spacing w:after="0" w:line="35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66" w:lineRule="exact"/>
        <w:rPr>
          <w:sz w:val="20"/>
          <w:szCs w:val="20"/>
          <w:color w:val="auto"/>
        </w:rPr>
      </w:pPr>
    </w:p>
    <w:p>
      <w:pPr>
        <w:ind w:left="1600" w:right="519" w:firstLine="323"/>
        <w:spacing w:after="0" w:line="248" w:lineRule="auto"/>
        <w:rPr>
          <w:sz w:val="20"/>
          <w:szCs w:val="20"/>
          <w:color w:val="auto"/>
        </w:rPr>
      </w:pPr>
      <w:r>
        <w:rPr>
          <w:rFonts w:ascii="Times New Roman" w:cs="Times New Roman" w:eastAsia="Times New Roman" w:hAnsi="Times New Roman"/>
          <w:sz w:val="14"/>
          <w:szCs w:val="14"/>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Investing in our securities involves risks. Therefore, carefully consider the risk factors set forth in this prospectus and in our most recent annual and quarterly filings with the SEC, as well as other information in this prospectus and the documents incorporated by reference herein, before purchasing our securities. Each of the risk factors could adversely affect our business, operating results and financial condition, as well as adversely affect the value of an investment in our securities.</w:t>
      </w:r>
    </w:p>
    <w:p>
      <w:pPr>
        <w:spacing w:after="0" w:line="22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About ProKidney Corp.</w:t>
      </w:r>
    </w:p>
    <w:p>
      <w:pPr>
        <w:spacing w:after="0" w:line="89" w:lineRule="exact"/>
        <w:rPr>
          <w:sz w:val="20"/>
          <w:szCs w:val="20"/>
          <w:color w:val="auto"/>
        </w:rPr>
      </w:pPr>
    </w:p>
    <w:p>
      <w:pPr>
        <w:ind w:left="1600" w:right="539" w:firstLine="323"/>
        <w:spacing w:after="0" w:line="276" w:lineRule="auto"/>
        <w:rPr>
          <w:sz w:val="20"/>
          <w:szCs w:val="20"/>
          <w:color w:val="auto"/>
        </w:rPr>
      </w:pPr>
      <w:r>
        <w:rPr>
          <w:rFonts w:ascii="Times New Roman" w:cs="Times New Roman" w:eastAsia="Times New Roman" w:hAnsi="Times New Roman"/>
          <w:sz w:val="13"/>
          <w:szCs w:val="13"/>
          <w:color w:val="auto"/>
        </w:rPr>
        <w:t>We are a late clinical-stage biotechnology company pioneering the development of rilparencel, a first-in-class autologous cell therapy designed to preserve kidney function in patients with advanced chronic kidney disease (“CKD”) and diabetes. Our approach seeks to redefine the treatment of CKD by shifting the emphasis from managing kidney failure to preserving kidney function. Our lead product candidate, rilparencel, is being evaluated in the ongoing Phase 3 REGEN-006 (PROACT 1) clinical study in patients with advanced CKD and type 2 diabetes.</w:t>
      </w:r>
    </w:p>
    <w:p>
      <w:pPr>
        <w:spacing w:after="0" w:line="131" w:lineRule="exact"/>
        <w:rPr>
          <w:sz w:val="20"/>
          <w:szCs w:val="20"/>
          <w:color w:val="auto"/>
        </w:rPr>
      </w:pPr>
    </w:p>
    <w:p>
      <w:pPr>
        <w:ind w:left="1600" w:right="799" w:firstLine="323"/>
        <w:spacing w:after="0" w:line="254" w:lineRule="auto"/>
        <w:rPr>
          <w:sz w:val="20"/>
          <w:szCs w:val="20"/>
          <w:color w:val="auto"/>
        </w:rPr>
      </w:pPr>
      <w:r>
        <w:rPr>
          <w:rFonts w:ascii="Times New Roman" w:cs="Times New Roman" w:eastAsia="Times New Roman" w:hAnsi="Times New Roman"/>
          <w:sz w:val="14"/>
          <w:szCs w:val="14"/>
          <w:color w:val="auto"/>
        </w:rPr>
        <w:t>Rilparencel comprises autologous Selected Renal Cells (“SRC”) prepared from a patient’s own kidney cells. The SRC are formulated as rilparencel and reinjected into the patient’s kidneys through a minimally invasive outpatient procedure. Rilparencel does not require preconditioning or immunosuppression.</w:t>
      </w:r>
    </w:p>
    <w:p>
      <w:pPr>
        <w:spacing w:after="0" w:line="144" w:lineRule="exact"/>
        <w:rPr>
          <w:sz w:val="20"/>
          <w:szCs w:val="20"/>
          <w:color w:val="auto"/>
        </w:rPr>
      </w:pPr>
    </w:p>
    <w:p>
      <w:pPr>
        <w:ind w:left="1600" w:right="559" w:firstLine="323"/>
        <w:spacing w:after="0" w:line="283" w:lineRule="auto"/>
        <w:rPr>
          <w:sz w:val="20"/>
          <w:szCs w:val="20"/>
          <w:color w:val="auto"/>
        </w:rPr>
      </w:pPr>
      <w:r>
        <w:rPr>
          <w:rFonts w:ascii="Times New Roman" w:cs="Times New Roman" w:eastAsia="Times New Roman" w:hAnsi="Times New Roman"/>
          <w:sz w:val="13"/>
          <w:szCs w:val="13"/>
          <w:color w:val="auto"/>
        </w:rPr>
        <w:t>We have completed several Phase 2 clinical studies of rilparencel in patients with advanced CKD. Rilparencel has received Regenerative Medicine Advanced Therapy designation from the U.S. Food and Drug Administration, which is intended to expedite the development and review of promising regenerative medicine therapies. To date, rilparencel was generally well tolerated across Phase 2 clinical studies.</w:t>
      </w:r>
    </w:p>
    <w:p>
      <w:pPr>
        <w:spacing w:after="0" w:line="126" w:lineRule="exact"/>
        <w:rPr>
          <w:sz w:val="20"/>
          <w:szCs w:val="20"/>
          <w:color w:val="auto"/>
        </w:rPr>
      </w:pPr>
    </w:p>
    <w:p>
      <w:pPr>
        <w:ind w:left="1600" w:right="499" w:firstLine="323"/>
        <w:spacing w:after="0" w:line="249" w:lineRule="auto"/>
        <w:rPr>
          <w:sz w:val="20"/>
          <w:szCs w:val="20"/>
          <w:color w:val="auto"/>
        </w:rPr>
      </w:pPr>
      <w:r>
        <w:rPr>
          <w:rFonts w:ascii="Times New Roman" w:cs="Times New Roman" w:eastAsia="Times New Roman" w:hAnsi="Times New Roman"/>
          <w:sz w:val="14"/>
          <w:szCs w:val="14"/>
          <w:color w:val="auto"/>
        </w:rPr>
        <w:t>Since our inception, we have devoted substantially all of our resources to organizing and staffing our company, business and scientific planning, conducting discovery and research activities, establishing and protecting our intellectual property portfolio, developing and progressing rilparencel, raising capital, sponsoring clinical trials, establishing arrangements with third parties for the manufacture of component materials, and providing general and administrative support for these operations. We do not have any product candidates approved for sale and have not generated any revenue from product sales.</w:t>
      </w:r>
    </w:p>
    <w:p>
      <w:pPr>
        <w:spacing w:after="0" w:line="22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Corporate History and Information</w:t>
      </w:r>
    </w:p>
    <w:p>
      <w:pPr>
        <w:spacing w:after="0" w:line="89" w:lineRule="exact"/>
        <w:rPr>
          <w:sz w:val="20"/>
          <w:szCs w:val="20"/>
          <w:color w:val="auto"/>
        </w:rPr>
      </w:pPr>
    </w:p>
    <w:p>
      <w:pPr>
        <w:ind w:left="1600" w:right="639" w:firstLine="323"/>
        <w:spacing w:after="0" w:line="268" w:lineRule="auto"/>
        <w:rPr>
          <w:sz w:val="20"/>
          <w:szCs w:val="20"/>
          <w:color w:val="auto"/>
        </w:rPr>
      </w:pPr>
      <w:r>
        <w:rPr>
          <w:rFonts w:ascii="Times New Roman" w:cs="Times New Roman" w:eastAsia="Times New Roman" w:hAnsi="Times New Roman"/>
          <w:sz w:val="13"/>
          <w:szCs w:val="13"/>
          <w:color w:val="auto"/>
        </w:rPr>
        <w:t>Prior to July 11, 2022, we were a blank check company registered under the laws of the Cayman Islands and formed for the purpose of effecting a merger, capital stock exchange, asset acquisition, stock purchase, reorganization or similar business combination with one or more businesses. We entered into a business combination agreement, dated as of January 18, 2022 with ProKidney LP (“PKLP”) (the “Business Combination”). As a result of the closing (the “Closing”) of the Business Combination, our name was changed from Social Capital Suvretta Holdings Corp. III to ProKidney Corp. We are organized in an umbrella partnership-C corporation structure. Prior to the Domestication and the consummation of the Restructuring, the Company’s direct assets consisted of common units in PKLP and all of the issued and outstanding equity interests of ProKidney Corp. GP Limited, which became the general partner of PKLP upon the Closing. As a result of the Restructuring, the Company’s direct assets consist of common units in ProKidney Holdings, LLC, a Delaware limited liability company (“ProKidney Holdings”). Substantially all of the operating assets and business of the Company are held or conducted indirectly through ProKidney Holdings.</w:t>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10159"/>
          </w:cols>
          <w:pgMar w:left="300" w:top="379"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933450</wp:posOffset>
            </wp:positionH>
            <wp:positionV relativeFrom="paragraph">
              <wp:posOffset>158750</wp:posOffset>
            </wp:positionV>
            <wp:extent cx="5307330" cy="4735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5307330" cy="4735830"/>
                    </a:xfrm>
                    <a:prstGeom prst="rect">
                      <a:avLst/>
                    </a:prstGeom>
                    <a:noFill/>
                  </pic:spPr>
                </pic:pic>
              </a:graphicData>
            </a:graphic>
          </wp:anchor>
        </w:drawing>
      </w:r>
    </w:p>
    <w:p>
      <w:pPr>
        <w:spacing w:after="0" w:line="355" w:lineRule="exact"/>
        <w:rPr>
          <w:sz w:val="20"/>
          <w:szCs w:val="20"/>
          <w:color w:val="auto"/>
        </w:rPr>
      </w:pPr>
    </w:p>
    <w:p>
      <w:pPr>
        <w:ind w:left="1600" w:right="559" w:firstLine="323"/>
        <w:spacing w:after="0" w:line="251" w:lineRule="auto"/>
        <w:rPr>
          <w:sz w:val="20"/>
          <w:szCs w:val="20"/>
          <w:color w:val="auto"/>
        </w:rPr>
      </w:pPr>
      <w:r>
        <w:rPr>
          <w:rFonts w:ascii="Times New Roman" w:cs="Times New Roman" w:eastAsia="Times New Roman" w:hAnsi="Times New Roman"/>
          <w:sz w:val="14"/>
          <w:szCs w:val="14"/>
          <w:color w:val="auto"/>
        </w:rPr>
        <w:t>Effective July 1, 2025, we completed a domestication process through which we changed our jurisdiction of incorporation from the Cayman Islands to the State of Delaware (the “Domestication”). In connection with and subsequent to the Domestication, we also entered into a series of other transactions to both change the jurisdiction of incorporation of our foreign subsidiaries to the State of Delaware and streamline our operating subsidiaries from a tax perspective (collectively, the “Restructuring”).</w:t>
      </w:r>
    </w:p>
    <w:p>
      <w:pPr>
        <w:spacing w:after="0" w:line="145" w:lineRule="exact"/>
        <w:rPr>
          <w:sz w:val="20"/>
          <w:szCs w:val="20"/>
          <w:color w:val="auto"/>
        </w:rPr>
      </w:pPr>
    </w:p>
    <w:p>
      <w:pPr>
        <w:ind w:left="1600" w:right="499" w:firstLine="323"/>
        <w:spacing w:after="0" w:line="248" w:lineRule="auto"/>
        <w:rPr>
          <w:sz w:val="20"/>
          <w:szCs w:val="20"/>
          <w:color w:val="auto"/>
        </w:rPr>
      </w:pPr>
      <w:r>
        <w:rPr>
          <w:rFonts w:ascii="Times New Roman" w:cs="Times New Roman" w:eastAsia="Times New Roman" w:hAnsi="Times New Roman"/>
          <w:sz w:val="14"/>
          <w:szCs w:val="14"/>
          <w:color w:val="auto"/>
        </w:rPr>
        <w:t>Prior to the closing of the Domestication, PKLP contributed substantially all of its assets to a newly formed subsidiary, ProKidney Holdings, and PKLP made a liquidating distribution of its limited liability company interests in ProKidney Holdings to its partners, including us. Following the Domestication, ProKidney, a wholly owned subsidiary of ProKidney Holdings and a Cayman Islands exempted company (“ProKidney-KY”), underwent a series of transactions to move its assets to Delaware through a reregistration of ProKidney-KY to a Cayman Islands limited liability company and then the domestication of such Cayman Islands limited liability company to Delaware as a Delaware limited liability company named ProKidney IPCo, LLC.</w:t>
      </w:r>
    </w:p>
    <w:p>
      <w:pPr>
        <w:spacing w:after="0" w:line="148" w:lineRule="exact"/>
        <w:rPr>
          <w:sz w:val="20"/>
          <w:szCs w:val="20"/>
          <w:color w:val="auto"/>
        </w:rPr>
      </w:pPr>
    </w:p>
    <w:p>
      <w:pPr>
        <w:ind w:left="1600" w:right="539" w:firstLine="323"/>
        <w:spacing w:after="0" w:line="251" w:lineRule="auto"/>
        <w:rPr>
          <w:sz w:val="20"/>
          <w:szCs w:val="20"/>
          <w:color w:val="auto"/>
        </w:rPr>
      </w:pPr>
      <w:r>
        <w:rPr>
          <w:rFonts w:ascii="Times New Roman" w:cs="Times New Roman" w:eastAsia="Times New Roman" w:hAnsi="Times New Roman"/>
          <w:sz w:val="14"/>
          <w:szCs w:val="14"/>
          <w:color w:val="auto"/>
        </w:rPr>
        <w:t>Our corporate headquarters are located at 2000 Frontis Plaza Boulevard, Suite 250, Winston-Salem, North Carolina 27103 and our telephone number is (336) 999-7019. We maintain a website at www.prokidney.com, to which we regularly post copies of our press releases as well as additional information about us. The information contained on, or that can be accessed through, our website is not a part of this prospectus. We have included our website address in this prospectus solely as an inactive textual reference.</w:t>
      </w:r>
    </w:p>
    <w:p>
      <w:pPr>
        <w:spacing w:after="0" w:line="145" w:lineRule="exact"/>
        <w:rPr>
          <w:sz w:val="20"/>
          <w:szCs w:val="20"/>
          <w:color w:val="auto"/>
        </w:rPr>
      </w:pPr>
    </w:p>
    <w:p>
      <w:pPr>
        <w:jc w:val="both"/>
        <w:ind w:left="1600" w:right="759" w:firstLine="323"/>
        <w:spacing w:after="0" w:line="254" w:lineRule="auto"/>
        <w:rPr>
          <w:sz w:val="20"/>
          <w:szCs w:val="20"/>
          <w:color w:val="auto"/>
        </w:rPr>
      </w:pPr>
      <w:r>
        <w:rPr>
          <w:rFonts w:ascii="Times New Roman" w:cs="Times New Roman" w:eastAsia="Times New Roman" w:hAnsi="Times New Roman"/>
          <w:sz w:val="14"/>
          <w:szCs w:val="14"/>
          <w:color w:val="auto"/>
        </w:rPr>
        <w:t>Our Annual Reports on Form 10-K, Quarterly Reports on Form 10-Q, Current Reports on Form 8-K and all amendments to those reports filed or furnished pursuant to Section 13(a) or 15(d) of the Exchange Act are available free of charge through the investor relations page of our website as soon as reasonably practicable after we electronically file such material with, or furnish it to, the SEC.</w:t>
      </w:r>
    </w:p>
    <w:p>
      <w:pPr>
        <w:spacing w:after="0" w:line="144" w:lineRule="exact"/>
        <w:rPr>
          <w:sz w:val="20"/>
          <w:szCs w:val="20"/>
          <w:color w:val="auto"/>
        </w:rPr>
      </w:pPr>
    </w:p>
    <w:p>
      <w:pPr>
        <w:ind w:left="1600" w:right="539" w:firstLine="323"/>
        <w:spacing w:after="0" w:line="254" w:lineRule="auto"/>
        <w:rPr>
          <w:sz w:val="20"/>
          <w:szCs w:val="20"/>
          <w:color w:val="auto"/>
        </w:rPr>
      </w:pPr>
      <w:r>
        <w:rPr>
          <w:rFonts w:ascii="Times New Roman" w:cs="Times New Roman" w:eastAsia="Times New Roman" w:hAnsi="Times New Roman"/>
          <w:sz w:val="14"/>
          <w:szCs w:val="14"/>
          <w:color w:val="auto"/>
        </w:rPr>
        <w:t>All brand names or trademarks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w:t>
      </w:r>
    </w:p>
    <w:p>
      <w:pPr>
        <w:spacing w:after="0" w:line="22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 and a Smaller Reporting Company</w:t>
      </w:r>
    </w:p>
    <w:p>
      <w:pPr>
        <w:spacing w:after="0" w:line="89" w:lineRule="exact"/>
        <w:rPr>
          <w:sz w:val="20"/>
          <w:szCs w:val="20"/>
          <w:color w:val="auto"/>
        </w:rPr>
      </w:pPr>
    </w:p>
    <w:p>
      <w:pPr>
        <w:ind w:left="1600" w:right="599" w:firstLine="323"/>
        <w:spacing w:after="0" w:line="254" w:lineRule="auto"/>
        <w:rPr>
          <w:sz w:val="20"/>
          <w:szCs w:val="20"/>
          <w:color w:val="auto"/>
        </w:rPr>
      </w:pPr>
      <w:r>
        <w:rPr>
          <w:rFonts w:ascii="Times New Roman" w:cs="Times New Roman" w:eastAsia="Times New Roman" w:hAnsi="Times New Roman"/>
          <w:sz w:val="14"/>
          <w:szCs w:val="14"/>
          <w:color w:val="auto"/>
        </w:rPr>
        <w:t>We qualify as an “emerging growth company” as defined in the Jumpstart Our Business Startups Act of 2012 (the “JOBS Act”). For so long as we remain an emerging growth company, we may take advantage of relief from certain reporting requirements and other burdens that are otherwise applicable generally to public companies. These provisions include:</w:t>
      </w:r>
    </w:p>
    <w:p>
      <w:pPr>
        <w:spacing w:after="0" w:line="72" w:lineRule="exact"/>
        <w:rPr>
          <w:sz w:val="20"/>
          <w:szCs w:val="20"/>
          <w:color w:val="auto"/>
        </w:rPr>
      </w:pPr>
    </w:p>
    <w:p>
      <w:pPr>
        <w:ind w:left="2320" w:right="619" w:hanging="313"/>
        <w:spacing w:after="0" w:line="254" w:lineRule="auto"/>
        <w:tabs>
          <w:tab w:leader="none" w:pos="2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obligations with respect to financial data, including only being required to present two years of audited financial statements, in addition to any required unaudited interim financial statements with correspondingly reduced “Management’s Discussion and Analysis of Financial Condition and Results of Operations” disclosure;</w:t>
      </w:r>
    </w:p>
    <w:p>
      <w:pPr>
        <w:spacing w:after="0" w:line="72" w:lineRule="exact"/>
        <w:rPr>
          <w:rFonts w:ascii="Times New Roman" w:cs="Times New Roman" w:eastAsia="Times New Roman" w:hAnsi="Times New Roman"/>
          <w:sz w:val="14"/>
          <w:szCs w:val="14"/>
          <w:color w:val="auto"/>
        </w:rPr>
      </w:pPr>
    </w:p>
    <w:p>
      <w:pPr>
        <w:ind w:left="2320" w:right="1019" w:hanging="313"/>
        <w:spacing w:after="0" w:line="265" w:lineRule="auto"/>
        <w:tabs>
          <w:tab w:leader="none" w:pos="2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exception from compliance with the auditor attestation requirements of Section 404 of the Sarbanes-Oxley Act of 2002, as amended;</w:t>
      </w:r>
    </w:p>
    <w:p>
      <w:pPr>
        <w:spacing w:after="0" w:line="63" w:lineRule="exact"/>
        <w:rPr>
          <w:rFonts w:ascii="Times New Roman" w:cs="Times New Roman" w:eastAsia="Times New Roman" w:hAnsi="Times New Roman"/>
          <w:sz w:val="14"/>
          <w:szCs w:val="14"/>
          <w:color w:val="auto"/>
        </w:rPr>
      </w:pPr>
    </w:p>
    <w:p>
      <w:pPr>
        <w:ind w:left="2320" w:right="1019" w:hanging="313"/>
        <w:spacing w:after="0" w:line="265" w:lineRule="auto"/>
        <w:tabs>
          <w:tab w:leader="none" w:pos="2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about our executive compensation arrangements in our periodic reports, proxy statements and registration statements;</w:t>
      </w:r>
    </w:p>
    <w:p>
      <w:pPr>
        <w:spacing w:after="0" w:line="63" w:lineRule="exact"/>
        <w:rPr>
          <w:rFonts w:ascii="Times New Roman" w:cs="Times New Roman" w:eastAsia="Times New Roman" w:hAnsi="Times New Roman"/>
          <w:sz w:val="14"/>
          <w:szCs w:val="14"/>
          <w:color w:val="auto"/>
        </w:rPr>
      </w:pPr>
    </w:p>
    <w:p>
      <w:pPr>
        <w:ind w:left="2320" w:right="1219" w:hanging="313"/>
        <w:spacing w:after="0" w:line="265" w:lineRule="auto"/>
        <w:tabs>
          <w:tab w:leader="none" w:pos="2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the requirements of holding non-binding advisory votes on executive compensation or golden parachute arrangements; and</w:t>
      </w:r>
    </w:p>
    <w:p>
      <w:pPr>
        <w:spacing w:after="0" w:line="63" w:lineRule="exact"/>
        <w:rPr>
          <w:rFonts w:ascii="Times New Roman" w:cs="Times New Roman" w:eastAsia="Times New Roman" w:hAnsi="Times New Roman"/>
          <w:sz w:val="14"/>
          <w:szCs w:val="14"/>
          <w:color w:val="auto"/>
        </w:rPr>
      </w:pPr>
    </w:p>
    <w:p>
      <w:pPr>
        <w:ind w:left="2320" w:right="1259" w:hanging="313"/>
        <w:spacing w:after="0" w:line="265" w:lineRule="auto"/>
        <w:tabs>
          <w:tab w:leader="none" w:pos="2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exemption from compliance with the requirements of the Public Company Accounting Oversight Board regarding the communication of critical audit matters in the auditor’s report on financial statements.</w:t>
      </w:r>
    </w:p>
    <w:p>
      <w:pPr>
        <w:spacing w:after="0" w:line="2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10159"/>
          </w:cols>
          <w:pgMar w:left="300" w:top="379"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933450</wp:posOffset>
            </wp:positionH>
            <wp:positionV relativeFrom="paragraph">
              <wp:posOffset>158750</wp:posOffset>
            </wp:positionV>
            <wp:extent cx="5307330" cy="30918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5307330" cy="3091815"/>
                    </a:xfrm>
                    <a:prstGeom prst="rect">
                      <a:avLst/>
                    </a:prstGeom>
                    <a:noFill/>
                  </pic:spPr>
                </pic:pic>
              </a:graphicData>
            </a:graphic>
          </wp:anchor>
        </w:drawing>
      </w:r>
    </w:p>
    <w:p>
      <w:pPr>
        <w:spacing w:after="0" w:line="355" w:lineRule="exact"/>
        <w:rPr>
          <w:sz w:val="20"/>
          <w:szCs w:val="20"/>
          <w:color w:val="auto"/>
        </w:rPr>
      </w:pPr>
    </w:p>
    <w:p>
      <w:pPr>
        <w:ind w:left="1600" w:right="539" w:firstLine="323"/>
        <w:spacing w:after="0" w:line="269" w:lineRule="auto"/>
        <w:rPr>
          <w:sz w:val="20"/>
          <w:szCs w:val="20"/>
          <w:color w:val="auto"/>
        </w:rPr>
      </w:pPr>
      <w:r>
        <w:rPr>
          <w:rFonts w:ascii="Times New Roman" w:cs="Times New Roman" w:eastAsia="Times New Roman" w:hAnsi="Times New Roman"/>
          <w:sz w:val="13"/>
          <w:szCs w:val="13"/>
          <w:color w:val="auto"/>
        </w:rPr>
        <w:t>We may take advantage of these provisions until we no longer qualify as an emerging growth company. We will cease to qualify as an emerging growth company on the date that is the earliest of: (i) December 31, 2026,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prospectus. Accordingly, the information contained herein may be different than you might obtain from other public companies in which you hold equity interests.</w:t>
      </w:r>
    </w:p>
    <w:p>
      <w:pPr>
        <w:spacing w:after="0" w:line="137" w:lineRule="exact"/>
        <w:rPr>
          <w:sz w:val="20"/>
          <w:szCs w:val="20"/>
          <w:color w:val="auto"/>
        </w:rPr>
      </w:pPr>
    </w:p>
    <w:p>
      <w:pPr>
        <w:ind w:left="1600" w:right="679" w:firstLine="323"/>
        <w:spacing w:after="0" w:line="246" w:lineRule="auto"/>
        <w:rPr>
          <w:sz w:val="20"/>
          <w:szCs w:val="20"/>
          <w:color w:val="auto"/>
        </w:rPr>
      </w:pPr>
      <w:r>
        <w:rPr>
          <w:rFonts w:ascii="Times New Roman" w:cs="Times New Roman" w:eastAsia="Times New Roman" w:hAnsi="Times New Roman"/>
          <w:sz w:val="14"/>
          <w:szCs w:val="14"/>
          <w:color w:val="auto"/>
        </w:rPr>
        <w:t>In addition, under the JOBS Act, emerging growth companies can delay adopting new or revised accounting standards until such time as those standards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As a result of these elections, the information that we provide in this prospectus may be different than the information you may receive from other public companies in which you hold equity interests. In addition, it is possible that some investors will find our common stock less attractive as a result of these elections, which may result in a less active trading market for our common stock and higher volatility in our share price.</w:t>
      </w:r>
    </w:p>
    <w:p>
      <w:pPr>
        <w:spacing w:after="0" w:line="15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color w:val="auto"/>
        </w:rPr>
        <w:t>We are also a “smaller reporting company,” meaning that the market value of our shares held by non-affiliates was less than $700 million as</w:t>
      </w:r>
    </w:p>
    <w:p>
      <w:pPr>
        <w:spacing w:after="0" w:line="2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color w:val="auto"/>
        </w:rPr>
        <w:t>of the last business day of our most recently completed second fiscal quarter and our annual revenue was less than $100 million during the most</w:t>
      </w:r>
    </w:p>
    <w:p>
      <w:pPr>
        <w:spacing w:after="0" w:line="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color w:val="auto"/>
        </w:rPr>
        <w:t>recently completed fiscal year. We may continue to be a smaller reporting company if either (i) the market value of our shares held by non-affiliates</w:t>
      </w:r>
    </w:p>
    <w:p>
      <w:pPr>
        <w:spacing w:after="0" w:line="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color w:val="auto"/>
        </w:rPr>
        <w:t>is less than $250 million as of the last business day of our most recently completed second fiscal quarter or (ii) our annual revenue was less than</w:t>
      </w:r>
    </w:p>
    <w:p>
      <w:pPr>
        <w:spacing w:after="0" w:line="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color w:val="auto"/>
        </w:rPr>
        <w:t>$100 million during the most recently completed fiscal year and the market value of our shares held by non-affiliates is less than $700 million as of</w:t>
      </w:r>
    </w:p>
    <w:p>
      <w:pPr>
        <w:spacing w:after="0" w:line="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last business day of our most recently completed second fiscal quarter. If we are a smaller reporting company at the time we cease to be an</w:t>
      </w:r>
    </w:p>
    <w:p>
      <w:pPr>
        <w:spacing w:after="0" w:line="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emerging growth company, we may continue to rely on exemptions from certain disclosure requirements that are available to smaller reporting</w:t>
      </w:r>
    </w:p>
    <w:p>
      <w:pPr>
        <w:spacing w:after="0" w:line="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companies. Specifically, as a smaller reporting company, we may choose to present only the two most recent fiscal years of audited financial</w:t>
      </w:r>
    </w:p>
    <w:p>
      <w:pPr>
        <w:spacing w:after="0" w:line="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color w:val="auto"/>
        </w:rPr>
        <w:t>statements in our Annual Report on Form 10-K and, similar to emerging growth companies, smaller reporting companies have reduced disclosure</w:t>
      </w:r>
    </w:p>
    <w:p>
      <w:pPr>
        <w:spacing w:after="0" w:line="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obligations regarding executive compensation.</w:t>
      </w:r>
    </w:p>
    <w:p>
      <w:pPr>
        <w:spacing w:after="0" w:line="2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10159"/>
          </w:cols>
          <w:pgMar w:left="300" w:top="379"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933450</wp:posOffset>
            </wp:positionH>
            <wp:positionV relativeFrom="paragraph">
              <wp:posOffset>158750</wp:posOffset>
            </wp:positionV>
            <wp:extent cx="5307330" cy="46640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5307330" cy="4664075"/>
                    </a:xfrm>
                    <a:prstGeom prst="rect">
                      <a:avLst/>
                    </a:prstGeom>
                    <a:noFill/>
                  </pic:spPr>
                </pic:pic>
              </a:graphicData>
            </a:graphic>
          </wp:anchor>
        </w:drawing>
      </w:r>
    </w:p>
    <w:p>
      <w:pPr>
        <w:spacing w:after="0" w:line="35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3"/>
          <w:szCs w:val="13"/>
          <w:b w:val="1"/>
          <w:bCs w:val="1"/>
          <w:color w:val="auto"/>
        </w:rPr>
        <w:t>THE OFFERING</w:t>
      </w:r>
    </w:p>
    <w:p>
      <w:pPr>
        <w:sectPr>
          <w:pgSz w:w="11900" w:h="16838" w:orient="portrait"/>
          <w:cols w:equalWidth="0" w:num="1">
            <w:col w:w="10159"/>
          </w:cols>
          <w:pgMar w:left="300" w:top="379" w:right="1440" w:bottom="1440" w:gutter="0" w:footer="0" w:header="0"/>
        </w:sectPr>
      </w:pPr>
    </w:p>
    <w:p>
      <w:pPr>
        <w:spacing w:after="0" w:line="20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color w:val="auto"/>
        </w:rPr>
        <w:t>Shares of Class A common stock offered by us: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3"/>
          <w:szCs w:val="13"/>
          <w:color w:val="auto"/>
        </w:rPr>
        <w:t>Shares of Class A common stock having an aggregate offering price of up to $200,000,000.</w:t>
      </w:r>
    </w:p>
    <w:p>
      <w:pPr>
        <w:spacing w:after="0" w:line="200" w:lineRule="exact"/>
        <w:rPr>
          <w:sz w:val="20"/>
          <w:szCs w:val="20"/>
          <w:color w:val="auto"/>
        </w:rPr>
      </w:pPr>
    </w:p>
    <w:p>
      <w:pPr>
        <w:sectPr>
          <w:pgSz w:w="11900" w:h="16838" w:orient="portrait"/>
          <w:cols w:equalWidth="0" w:num="2">
            <w:col w:w="4200" w:space="460"/>
            <w:col w:w="5499"/>
          </w:cols>
          <w:pgMar w:left="300" w:top="379" w:right="1440" w:bottom="1440" w:gutter="0" w:footer="0" w:header="0"/>
          <w:type w:val="continuous"/>
        </w:sectPr>
      </w:pPr>
    </w:p>
    <w:p>
      <w:pPr>
        <w:spacing w:after="0" w:line="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color w:val="auto"/>
        </w:rPr>
        <w:t>Plan of Distribution:</w:t>
      </w:r>
    </w:p>
    <w:p>
      <w:pPr>
        <w:spacing w:after="0" w:line="20" w:lineRule="exact"/>
        <w:rPr>
          <w:sz w:val="20"/>
          <w:szCs w:val="20"/>
          <w:color w:val="auto"/>
        </w:rPr>
      </w:pPr>
      <w:r>
        <w:rPr>
          <w:sz w:val="20"/>
          <w:szCs w:val="20"/>
          <w:color w:val="auto"/>
        </w:rPr>
        <w:br w:type="column"/>
      </w:r>
    </w:p>
    <w:p>
      <w:pPr>
        <w:ind w:right="659"/>
        <w:spacing w:after="0" w:line="283" w:lineRule="auto"/>
        <w:rPr>
          <w:sz w:val="20"/>
          <w:szCs w:val="20"/>
          <w:color w:val="auto"/>
        </w:rPr>
      </w:pPr>
      <w:r>
        <w:rPr>
          <w:rFonts w:ascii="Times New Roman" w:cs="Times New Roman" w:eastAsia="Times New Roman" w:hAnsi="Times New Roman"/>
          <w:sz w:val="13"/>
          <w:szCs w:val="13"/>
          <w:color w:val="auto"/>
        </w:rPr>
        <w:t>“At the market offering” that may be made from time to time on the Nasdaq Capital Market or other existing trading market for shares of our Class A common stock through our sales agent, Jefferies. See “Plan of Distribution” on page S-16 of this prospectus.</w:t>
      </w:r>
    </w:p>
    <w:p>
      <w:pPr>
        <w:spacing w:after="0" w:line="146" w:lineRule="exact"/>
        <w:rPr>
          <w:sz w:val="20"/>
          <w:szCs w:val="20"/>
          <w:color w:val="auto"/>
        </w:rPr>
      </w:pPr>
    </w:p>
    <w:p>
      <w:pPr>
        <w:sectPr>
          <w:pgSz w:w="11900" w:h="16838" w:orient="portrait"/>
          <w:cols w:equalWidth="0" w:num="2">
            <w:col w:w="3940" w:space="720"/>
            <w:col w:w="5499"/>
          </w:cols>
          <w:pgMar w:left="300" w:top="379" w:right="1440"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4"/>
          <w:szCs w:val="14"/>
          <w:color w:val="auto"/>
        </w:rPr>
        <w:t>Common stock to be outstanding immediately after this 337,295,136 shares of our Class A common stock (as more fully described in the notes</w:t>
      </w:r>
    </w:p>
    <w:p>
      <w:pPr>
        <w:spacing w:after="0" w:line="15" w:lineRule="exact"/>
        <w:rPr>
          <w:sz w:val="20"/>
          <w:szCs w:val="20"/>
          <w:color w:val="auto"/>
        </w:rPr>
      </w:pPr>
    </w:p>
    <w:p>
      <w:pPr>
        <w:ind w:left="4660" w:right="499" w:hanging="2999"/>
        <w:spacing w:after="0" w:line="245" w:lineRule="auto"/>
        <w:tabs>
          <w:tab w:leader="none" w:pos="4640" w:val="left"/>
        </w:tabs>
        <w:rPr>
          <w:sz w:val="20"/>
          <w:szCs w:val="20"/>
          <w:color w:val="auto"/>
        </w:rPr>
      </w:pPr>
      <w:r>
        <w:rPr>
          <w:rFonts w:ascii="Times New Roman" w:cs="Times New Roman" w:eastAsia="Times New Roman" w:hAnsi="Times New Roman"/>
          <w:sz w:val="14"/>
          <w:szCs w:val="14"/>
          <w:color w:val="auto"/>
        </w:rPr>
        <w:t>offering:</w:t>
      </w:r>
      <w:r>
        <w:rPr>
          <w:sz w:val="20"/>
          <w:szCs w:val="20"/>
          <w:color w:val="auto"/>
        </w:rPr>
        <w:tab/>
      </w:r>
      <w:r>
        <w:rPr>
          <w:rFonts w:ascii="Times New Roman" w:cs="Times New Roman" w:eastAsia="Times New Roman" w:hAnsi="Times New Roman"/>
          <w:sz w:val="14"/>
          <w:szCs w:val="14"/>
          <w:color w:val="auto"/>
        </w:rPr>
        <w:t>following this table), assuming sales of 131,578,947 shares at an offering price of $1.52 per share, which was the last reported sale price of our common stock on the Nasdaq Capital Market on October 28, 2026. The actual number of shares issued will vary depending on the sales price under this offering.</w:t>
      </w:r>
    </w:p>
    <w:p>
      <w:pPr>
        <w:sectPr>
          <w:pgSz w:w="11900" w:h="16838" w:orient="portrait"/>
          <w:cols w:equalWidth="0" w:num="1">
            <w:col w:w="10159"/>
          </w:cols>
          <w:pgMar w:left="300" w:top="379" w:right="1440" w:bottom="1440" w:gutter="0" w:footer="0" w:header="0"/>
          <w:type w:val="continuous"/>
        </w:sectPr>
      </w:pPr>
    </w:p>
    <w:p>
      <w:pPr>
        <w:spacing w:after="0" w:line="17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color w:val="auto"/>
        </w:rPr>
        <w:t>Use of Proceeds: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519"/>
        <w:spacing w:after="0" w:line="248" w:lineRule="auto"/>
        <w:rPr>
          <w:sz w:val="20"/>
          <w:szCs w:val="20"/>
          <w:color w:val="auto"/>
        </w:rPr>
      </w:pPr>
      <w:r>
        <w:rPr>
          <w:rFonts w:ascii="Times New Roman" w:cs="Times New Roman" w:eastAsia="Times New Roman" w:hAnsi="Times New Roman"/>
          <w:sz w:val="14"/>
          <w:szCs w:val="14"/>
          <w:color w:val="auto"/>
        </w:rPr>
        <w:t>We intend to use the net proceeds from this offering, if any, for clinical trial costs and other research and development expenses, continued investment in our drug development platform, for our pre-commercial and commercial activities, including our commercial manufacturing facility, and for other general corporate purposes, including for working capital, capital expenditures and general and administrative expenses. See “Use of Proceeds.”</w:t>
      </w:r>
    </w:p>
    <w:p>
      <w:pPr>
        <w:spacing w:after="0" w:line="168" w:lineRule="exact"/>
        <w:rPr>
          <w:sz w:val="20"/>
          <w:szCs w:val="20"/>
          <w:color w:val="auto"/>
        </w:rPr>
      </w:pPr>
    </w:p>
    <w:p>
      <w:pPr>
        <w:sectPr>
          <w:pgSz w:w="11900" w:h="16838" w:orient="portrait"/>
          <w:cols w:equalWidth="0" w:num="2">
            <w:col w:w="3940" w:space="720"/>
            <w:col w:w="5499"/>
          </w:cols>
          <w:pgMar w:left="300" w:top="379" w:right="1440"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3"/>
          <w:szCs w:val="13"/>
          <w:color w:val="auto"/>
        </w:rPr>
        <w:t>Risk Factors:</w:t>
      </w:r>
    </w:p>
    <w:p>
      <w:pPr>
        <w:spacing w:after="0" w:line="20" w:lineRule="exact"/>
        <w:rPr>
          <w:sz w:val="20"/>
          <w:szCs w:val="20"/>
          <w:color w:val="auto"/>
        </w:rPr>
      </w:pPr>
      <w:r>
        <w:rPr>
          <w:sz w:val="20"/>
          <w:szCs w:val="20"/>
          <w:color w:val="auto"/>
        </w:rPr>
        <w:br w:type="column"/>
      </w:r>
    </w:p>
    <w:p>
      <w:pPr>
        <w:ind w:right="639"/>
        <w:spacing w:after="0" w:line="251" w:lineRule="auto"/>
        <w:rPr>
          <w:sz w:val="20"/>
          <w:szCs w:val="20"/>
          <w:color w:val="auto"/>
        </w:rPr>
      </w:pPr>
      <w:r>
        <w:rPr>
          <w:rFonts w:ascii="Times New Roman" w:cs="Times New Roman" w:eastAsia="Times New Roman" w:hAnsi="Times New Roman"/>
          <w:sz w:val="14"/>
          <w:szCs w:val="14"/>
          <w:color w:val="auto"/>
        </w:rPr>
        <w:t>Investing in our Class A common stock involves risks. See “Risk Factors” beginning on page S-7 of this prospectus and under similar headings in the documents incorporated by reference herein for a discussion of the factors you should carefully consider before deciding to invest in our Class A common stock.</w:t>
      </w:r>
    </w:p>
    <w:p>
      <w:pPr>
        <w:spacing w:after="0" w:line="165" w:lineRule="exact"/>
        <w:rPr>
          <w:sz w:val="20"/>
          <w:szCs w:val="20"/>
          <w:color w:val="auto"/>
        </w:rPr>
      </w:pPr>
    </w:p>
    <w:p>
      <w:pPr>
        <w:sectPr>
          <w:pgSz w:w="11900" w:h="16838" w:orient="portrait"/>
          <w:cols w:equalWidth="0" w:num="2">
            <w:col w:w="3940" w:space="720"/>
            <w:col w:w="5499"/>
          </w:cols>
          <w:pgMar w:left="300" w:top="379" w:right="1440"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3"/>
          <w:szCs w:val="13"/>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“PROK”</w:t>
      </w:r>
    </w:p>
    <w:p>
      <w:pPr>
        <w:spacing w:after="0" w:line="177" w:lineRule="exact"/>
        <w:rPr>
          <w:sz w:val="20"/>
          <w:szCs w:val="20"/>
          <w:color w:val="auto"/>
        </w:rPr>
      </w:pPr>
    </w:p>
    <w:p>
      <w:pPr>
        <w:sectPr>
          <w:pgSz w:w="11900" w:h="16838" w:orient="portrait"/>
          <w:cols w:equalWidth="0" w:num="2">
            <w:col w:w="3940" w:space="720"/>
            <w:col w:w="5499"/>
          </w:cols>
          <w:pgMar w:left="300" w:top="379" w:right="1440" w:bottom="1440" w:gutter="0" w:footer="0" w:header="0"/>
          <w:type w:val="continuous"/>
        </w:sectPr>
      </w:pPr>
    </w:p>
    <w:p>
      <w:pPr>
        <w:ind w:left="1600" w:right="1019" w:firstLine="323"/>
        <w:spacing w:after="0" w:line="265" w:lineRule="auto"/>
        <w:rPr>
          <w:sz w:val="20"/>
          <w:szCs w:val="20"/>
          <w:color w:val="auto"/>
        </w:rPr>
      </w:pPr>
      <w:r>
        <w:rPr>
          <w:rFonts w:ascii="Times New Roman" w:cs="Times New Roman" w:eastAsia="Times New Roman" w:hAnsi="Times New Roman"/>
          <w:sz w:val="14"/>
          <w:szCs w:val="14"/>
          <w:color w:val="auto"/>
        </w:rPr>
        <w:t>The number of shares of our Class A common stock to be outstanding after this offering as shown above is based on an aggregate of 205,716,189 shares of our Class A common stock outstanding as of June 30, 2026 and excludes:</w:t>
      </w:r>
    </w:p>
    <w:p>
      <w:pPr>
        <w:spacing w:after="0" w:line="64" w:lineRule="exact"/>
        <w:rPr>
          <w:sz w:val="20"/>
          <w:szCs w:val="20"/>
          <w:color w:val="auto"/>
        </w:rPr>
      </w:pPr>
    </w:p>
    <w:p>
      <w:pPr>
        <w:ind w:left="2320" w:hanging="313"/>
        <w:spacing w:after="0"/>
        <w:tabs>
          <w:tab w:leader="none" w:pos="2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17,500,000 shares of Class B common stock issuable upon the vesting of earnout restricted stock rights as of June 30, 2026;</w:t>
      </w:r>
    </w:p>
    <w:p>
      <w:pPr>
        <w:spacing w:after="0" w:line="94" w:lineRule="exact"/>
        <w:rPr>
          <w:rFonts w:ascii="Times New Roman" w:cs="Times New Roman" w:eastAsia="Times New Roman" w:hAnsi="Times New Roman"/>
          <w:sz w:val="14"/>
          <w:szCs w:val="14"/>
          <w:color w:val="auto"/>
        </w:rPr>
      </w:pPr>
    </w:p>
    <w:p>
      <w:pPr>
        <w:ind w:left="2320" w:right="819" w:hanging="313"/>
        <w:spacing w:after="0" w:line="265" w:lineRule="auto"/>
        <w:tabs>
          <w:tab w:leader="none" w:pos="2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39,826,692 shares of Class A common stock issuable upon the exercise of options outstanding as of June 30, 2026, at a weighted average exercise price of $3.18 per share;</w:t>
      </w:r>
    </w:p>
    <w:p>
      <w:pPr>
        <w:spacing w:after="0" w:line="63" w:lineRule="exact"/>
        <w:rPr>
          <w:rFonts w:ascii="Times New Roman" w:cs="Times New Roman" w:eastAsia="Times New Roman" w:hAnsi="Times New Roman"/>
          <w:sz w:val="14"/>
          <w:szCs w:val="14"/>
          <w:color w:val="auto"/>
        </w:rPr>
      </w:pPr>
    </w:p>
    <w:p>
      <w:pPr>
        <w:ind w:left="2320" w:right="599" w:hanging="313"/>
        <w:spacing w:after="0" w:line="265" w:lineRule="auto"/>
        <w:tabs>
          <w:tab w:leader="none" w:pos="2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30,966,448 shares of Class A common stock reserved for future issuance under the ProKidney Corp. 2022 Incentive Equity Plan (the “2022 Plan”) as of June 30, 2026; and</w:t>
      </w:r>
    </w:p>
    <w:p>
      <w:pPr>
        <w:spacing w:after="0" w:line="63" w:lineRule="exact"/>
        <w:rPr>
          <w:rFonts w:ascii="Times New Roman" w:cs="Times New Roman" w:eastAsia="Times New Roman" w:hAnsi="Times New Roman"/>
          <w:sz w:val="14"/>
          <w:szCs w:val="14"/>
          <w:color w:val="auto"/>
        </w:rPr>
      </w:pPr>
    </w:p>
    <w:p>
      <w:pPr>
        <w:ind w:left="2320" w:right="679" w:hanging="313"/>
        <w:spacing w:after="0" w:line="265" w:lineRule="auto"/>
        <w:tabs>
          <w:tab w:leader="none" w:pos="2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96,596,315 shares of Class A common stock reserved and issuable upon conversion of 96,596,315 shares of Class B common stock outstanding as of June 30, 2026.</w:t>
      </w:r>
    </w:p>
    <w:p>
      <w:pPr>
        <w:spacing w:after="0" w:line="136" w:lineRule="exact"/>
        <w:rPr>
          <w:sz w:val="20"/>
          <w:szCs w:val="20"/>
          <w:color w:val="auto"/>
        </w:rPr>
      </w:pPr>
    </w:p>
    <w:p>
      <w:pPr>
        <w:ind w:left="1600" w:right="599" w:firstLine="323"/>
        <w:spacing w:after="0" w:line="265" w:lineRule="auto"/>
        <w:rPr>
          <w:sz w:val="20"/>
          <w:szCs w:val="20"/>
          <w:color w:val="auto"/>
        </w:rPr>
      </w:pPr>
      <w:r>
        <w:rPr>
          <w:rFonts w:ascii="Times New Roman" w:cs="Times New Roman" w:eastAsia="Times New Roman" w:hAnsi="Times New Roman"/>
          <w:sz w:val="14"/>
          <w:szCs w:val="14"/>
          <w:color w:val="auto"/>
        </w:rPr>
        <w:t>Except as otherwise indicated, all information in this prospectus assumes no exercise of outstanding stock options or settlement of unvested restricted stock units or rights described above and no conversion of the Class B common stock described above.</w:t>
      </w:r>
    </w:p>
    <w:p>
      <w:pPr>
        <w:spacing w:after="0" w:line="2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10159"/>
          </w:cols>
          <w:pgMar w:left="300" w:top="379" w:right="1440"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66" w:lineRule="exact"/>
        <w:rPr>
          <w:sz w:val="20"/>
          <w:szCs w:val="20"/>
          <w:color w:val="auto"/>
        </w:rPr>
      </w:pPr>
    </w:p>
    <w:p>
      <w:pPr>
        <w:ind w:left="1480" w:right="359" w:firstLine="334"/>
        <w:spacing w:after="0" w:line="247" w:lineRule="auto"/>
        <w:rPr>
          <w:sz w:val="20"/>
          <w:szCs w:val="20"/>
          <w:color w:val="auto"/>
        </w:rPr>
      </w:pPr>
      <w:r>
        <w:rPr>
          <w:rFonts w:ascii="Times New Roman" w:cs="Times New Roman" w:eastAsia="Times New Roman" w:hAnsi="Times New Roman"/>
          <w:sz w:val="14"/>
          <w:szCs w:val="14"/>
          <w:i w:val="1"/>
          <w:iCs w:val="1"/>
          <w:color w:val="auto"/>
        </w:rPr>
        <w:t>Investing in shares of our Class A common stock involves a high degree of risk. Before making an investment decision, you should carefully consider the risks described below and in our most recent Annual Report on Form 10-K and any subsequent Quarterly Reports on Form 10-Q or Current Reports on Form 8-K, as well as any amendments thereto reflected in subsequent filings with the SEC, each of which are incorporated by reference in this prospectus, and all of the other information in this prospectus, including our financial statements and related notes incorporated by reference herein. If any of these risks is realized, our business, financial condition, results of operations and prospects could be materially and adversely affected. In that event, the trading price of shares of our Class A common stock could decline and you could lose part or all of your investment. Additional risks and uncertainties that are not yet identified or that we currently believe to be immaterial may also materially harm our business, financial condition, results of operations and prospects and could result in a complete loss of your investment.</w:t>
      </w:r>
    </w:p>
    <w:p>
      <w:pPr>
        <w:spacing w:after="0" w:line="23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Risks Related to This Offering and Our Class A Common Stock</w:t>
      </w:r>
    </w:p>
    <w:p>
      <w:pPr>
        <w:spacing w:after="0" w:line="8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If you purchase shares of Class A common stock in this offering, you will incur immediate dilution of your investment.</w:t>
      </w:r>
    </w:p>
    <w:p>
      <w:pPr>
        <w:spacing w:after="0" w:line="89" w:lineRule="exact"/>
        <w:rPr>
          <w:sz w:val="20"/>
          <w:szCs w:val="20"/>
          <w:color w:val="auto"/>
        </w:rPr>
      </w:pPr>
    </w:p>
    <w:p>
      <w:pPr>
        <w:ind w:left="1480" w:right="399" w:firstLine="334"/>
        <w:spacing w:after="0" w:line="246" w:lineRule="auto"/>
        <w:rPr>
          <w:sz w:val="20"/>
          <w:szCs w:val="20"/>
          <w:color w:val="auto"/>
        </w:rPr>
      </w:pPr>
      <w:r>
        <w:rPr>
          <w:rFonts w:ascii="Times New Roman" w:cs="Times New Roman" w:eastAsia="Times New Roman" w:hAnsi="Times New Roman"/>
          <w:sz w:val="14"/>
          <w:szCs w:val="14"/>
          <w:color w:val="auto"/>
        </w:rPr>
        <w:t>The public offering price of shares of our Class A common stock is substantially higher than the net tangible book value per share of shares of our Class A common stock. Therefore, if you purchase shares of our Class A common stock in this offering, you will pay a price per share that substantially exceeds our net tangible book value per share after giving effect to this offering. If you purchase shares of our Class A common stock in this offering, you will incur an immediate and substantial dilution in net tangible book value of $0.56 per share, assuming that an aggregate of 131,578,947 shares of Class A common stock are sold at a price of $1.52 per share, the last reported sale price of shares of our Class A common stock on the Nasdaq Capital Market on October 28, 2026, for aggregate gross proceeds of $200,000,000, and after deducting estimated sales agent commissions and offering expenses payable by us. Because the sales of the shares offered hereby will be made directly into the market or in negotiated transactions, the prices at which we sell these shares will vary and these variations may be significant. For a further description of the dilution that you will experience immediately after this offering, see the section titled “Dilution.” In addition, in the past, we have issued options to acquire shares of Class A common stock at prices significantly below the offering price. To the extent these outstanding options, or options we grant after the date of the prospectus, are ultimately exercised, you will incur additional dilution.</w:t>
      </w:r>
    </w:p>
    <w:p>
      <w:pPr>
        <w:spacing w:after="0" w:line="227" w:lineRule="exact"/>
        <w:rPr>
          <w:sz w:val="20"/>
          <w:szCs w:val="20"/>
          <w:color w:val="auto"/>
        </w:rPr>
      </w:pPr>
    </w:p>
    <w:p>
      <w:pPr>
        <w:ind w:left="1480" w:right="33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management will have broad discretion over the use of the net proceeds from this offering, and you may not agree with how we use the proceeds and the proceeds may not be invested successfully.</w:t>
      </w:r>
    </w:p>
    <w:p>
      <w:pPr>
        <w:spacing w:after="0" w:line="50" w:lineRule="exact"/>
        <w:rPr>
          <w:sz w:val="20"/>
          <w:szCs w:val="20"/>
          <w:color w:val="auto"/>
        </w:rPr>
      </w:pPr>
    </w:p>
    <w:p>
      <w:pPr>
        <w:ind w:left="1480" w:right="419" w:firstLine="334"/>
        <w:spacing w:after="0" w:line="251" w:lineRule="auto"/>
        <w:rPr>
          <w:sz w:val="20"/>
          <w:szCs w:val="20"/>
          <w:color w:val="auto"/>
        </w:rPr>
      </w:pPr>
      <w:r>
        <w:rPr>
          <w:rFonts w:ascii="Times New Roman" w:cs="Times New Roman" w:eastAsia="Times New Roman" w:hAnsi="Times New Roman"/>
          <w:sz w:val="14"/>
          <w:szCs w:val="14"/>
          <w:color w:val="auto"/>
        </w:rPr>
        <w:t>Our management will have broad discretion as to the use of the net proceeds from this offering and could use them for purposes other than those contemplated at the time of this offering. Accordingly, you are relying on the judgment of our management with regard to the use of these net proceeds, and you will not have the opportunity, as part of your investment decision, to assess whether the proceeds will be used appropriately. It is possible that the proceeds will be invested in a way that does not yield a favorable, or any, return for the Company.</w:t>
      </w:r>
    </w:p>
    <w:p>
      <w:pPr>
        <w:spacing w:after="0" w:line="223" w:lineRule="exact"/>
        <w:rPr>
          <w:sz w:val="20"/>
          <w:szCs w:val="20"/>
          <w:color w:val="auto"/>
        </w:rPr>
      </w:pPr>
    </w:p>
    <w:p>
      <w:pPr>
        <w:ind w:left="1480" w:right="55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Because we do not anticipate paying any cash dividends on shares of our Class A common stock in the foreseeable future, capital appreciation, if any, will be your sole source of gain.</w:t>
      </w:r>
    </w:p>
    <w:p>
      <w:pPr>
        <w:spacing w:after="0" w:line="50" w:lineRule="exact"/>
        <w:rPr>
          <w:sz w:val="20"/>
          <w:szCs w:val="20"/>
          <w:color w:val="auto"/>
        </w:rPr>
      </w:pPr>
    </w:p>
    <w:p>
      <w:pPr>
        <w:ind w:left="1480" w:right="459" w:firstLine="334"/>
        <w:spacing w:after="0" w:line="254" w:lineRule="auto"/>
        <w:rPr>
          <w:sz w:val="20"/>
          <w:szCs w:val="20"/>
          <w:color w:val="auto"/>
        </w:rPr>
      </w:pPr>
      <w:r>
        <w:rPr>
          <w:rFonts w:ascii="Times New Roman" w:cs="Times New Roman" w:eastAsia="Times New Roman" w:hAnsi="Times New Roman"/>
          <w:sz w:val="14"/>
          <w:szCs w:val="14"/>
          <w:color w:val="auto"/>
        </w:rPr>
        <w:t>We have never declared or paid cash dividends on shares of our Class A common stock. We anticipate that we will retain our earnings, if any, for future growth and therefore do not anticipate paying cash dividends in the future. As a result, only appreciation of the price of shares of our Class A common stock will provide a return to stockholders.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10159"/>
          </w:cols>
          <w:pgMar w:left="300" w:top="379"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shares of our Class A common stock is likely to be highly volatile, and our stockholders may lose some or all of their investment.</w:t>
      </w:r>
    </w:p>
    <w:p>
      <w:pPr>
        <w:spacing w:after="0" w:line="89" w:lineRule="exact"/>
        <w:rPr>
          <w:sz w:val="20"/>
          <w:szCs w:val="20"/>
          <w:color w:val="auto"/>
        </w:rPr>
      </w:pPr>
    </w:p>
    <w:p>
      <w:pPr>
        <w:ind w:left="1480" w:right="379" w:firstLine="334"/>
        <w:spacing w:after="0" w:line="273" w:lineRule="auto"/>
        <w:rPr>
          <w:sz w:val="20"/>
          <w:szCs w:val="20"/>
          <w:color w:val="auto"/>
        </w:rPr>
      </w:pPr>
      <w:r>
        <w:rPr>
          <w:rFonts w:ascii="Times New Roman" w:cs="Times New Roman" w:eastAsia="Times New Roman" w:hAnsi="Times New Roman"/>
          <w:sz w:val="13"/>
          <w:szCs w:val="13"/>
          <w:color w:val="auto"/>
        </w:rPr>
        <w:t>The market price of shares of our Class A common stock is likely to be highly volatile, including in response to factors that are beyond our control. The stock market in general experiences extreme price and volume fluctuations. In particular, the market prices of securities of pharmaceutical and biotechnology companies are extremely volatile, and experience fluctuations that are often unrelated or disproportionate to the operating performance of these companies. These broad and sector-specific market fluctuations can result in extreme fluctuations in the price of shares of our Class A common stock, regardless of our operating performance, and can cause our stockholders to lose some or all of their investment in the Company.</w:t>
      </w:r>
    </w:p>
    <w:p>
      <w:pPr>
        <w:spacing w:after="0" w:line="21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We may incur significant costs from class action litigation due to share volatility.</w:t>
      </w:r>
    </w:p>
    <w:p>
      <w:pPr>
        <w:spacing w:after="0" w:line="89" w:lineRule="exact"/>
        <w:rPr>
          <w:sz w:val="20"/>
          <w:szCs w:val="20"/>
          <w:color w:val="auto"/>
        </w:rPr>
      </w:pPr>
    </w:p>
    <w:p>
      <w:pPr>
        <w:ind w:left="1480" w:right="439" w:firstLine="334"/>
        <w:spacing w:after="0" w:line="248" w:lineRule="auto"/>
        <w:rPr>
          <w:sz w:val="20"/>
          <w:szCs w:val="20"/>
          <w:color w:val="auto"/>
        </w:rPr>
      </w:pPr>
      <w:r>
        <w:rPr>
          <w:rFonts w:ascii="Times New Roman" w:cs="Times New Roman" w:eastAsia="Times New Roman" w:hAnsi="Times New Roman"/>
          <w:sz w:val="14"/>
          <w:szCs w:val="14"/>
          <w:color w:val="auto"/>
        </w:rPr>
        <w:t>Our share price may fluctuate for many reasons, including as a result of public announcements regarding the progress of our development efforts or the development efforts of our collaborators and/or competitors, the addition or departure of our key personnel, variations in our quarterly operating results and changes in market valuations of pharmaceutical and biotechnology companies. Holders of shares which have experienced significant price and trading volatility have occasionally brought securities class action litigation against the companies that issued the shares. If any of our stockholders were to bring a lawsuit of this type against us, even if the lawsuit is without merit, we could incur substantial costs defending the lawsuit. The lawsuit could also divert the time and attention of our management, which could harm our business.</w:t>
      </w: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Sales of additional shares of Class A common stock could cause the price of shares of our Class A common stock to decline.</w:t>
      </w:r>
    </w:p>
    <w:p>
      <w:pPr>
        <w:spacing w:after="0" w:line="89" w:lineRule="exact"/>
        <w:rPr>
          <w:sz w:val="20"/>
          <w:szCs w:val="20"/>
          <w:color w:val="auto"/>
        </w:rPr>
      </w:pPr>
    </w:p>
    <w:p>
      <w:pPr>
        <w:ind w:left="1480" w:right="559" w:firstLine="334"/>
        <w:spacing w:after="0" w:line="254" w:lineRule="auto"/>
        <w:rPr>
          <w:sz w:val="20"/>
          <w:szCs w:val="20"/>
          <w:color w:val="auto"/>
        </w:rPr>
      </w:pPr>
      <w:r>
        <w:rPr>
          <w:rFonts w:ascii="Times New Roman" w:cs="Times New Roman" w:eastAsia="Times New Roman" w:hAnsi="Times New Roman"/>
          <w:sz w:val="14"/>
          <w:szCs w:val="14"/>
          <w:color w:val="auto"/>
        </w:rPr>
        <w:t>Sales of substantial amounts of shares of our Class A common stock in the public market, or the availability of such shares for sale, by us or others, including the issuance of shares of Class A common stock upon exercise of outstanding options, or the perception that such sales could occur, could adversely affect the price of shares of our Class A common stock.</w:t>
      </w:r>
    </w:p>
    <w:p>
      <w:pPr>
        <w:spacing w:after="0" w:line="221" w:lineRule="exact"/>
        <w:rPr>
          <w:sz w:val="20"/>
          <w:szCs w:val="20"/>
          <w:color w:val="auto"/>
        </w:rPr>
      </w:pPr>
    </w:p>
    <w:p>
      <w:pPr>
        <w:ind w:left="1480" w:right="63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publish inaccurate or unfavorable research about our business, our share price and trading volume could decline.</w:t>
      </w:r>
    </w:p>
    <w:p>
      <w:pPr>
        <w:spacing w:after="0" w:line="50" w:lineRule="exact"/>
        <w:rPr>
          <w:sz w:val="20"/>
          <w:szCs w:val="20"/>
          <w:color w:val="auto"/>
        </w:rPr>
      </w:pPr>
    </w:p>
    <w:p>
      <w:pPr>
        <w:ind w:left="1480" w:right="419" w:firstLine="334"/>
        <w:spacing w:after="0" w:line="248" w:lineRule="auto"/>
        <w:rPr>
          <w:sz w:val="20"/>
          <w:szCs w:val="20"/>
          <w:color w:val="auto"/>
        </w:rPr>
      </w:pPr>
      <w:r>
        <w:rPr>
          <w:rFonts w:ascii="Times New Roman" w:cs="Times New Roman" w:eastAsia="Times New Roman" w:hAnsi="Times New Roman"/>
          <w:sz w:val="14"/>
          <w:szCs w:val="14"/>
          <w:color w:val="auto"/>
        </w:rPr>
        <w:t>The trading market for shares of our Class A common stock may depend in part on the research and reports that securities or industry analysts publish about us or our business. If too few securities or industry analysts cover our company, the trading price for shares of our Class A common stock would likely be negatively impacted. If one or more of the analysts who cover us downgrade shares of our Class A common stock or publish inaccurate or unfavorable research about our business, our share price would likely decline. If one or more of these analysts cease coverage of our company or fail to publish reports on us regularly, demand for shares of our Class A common stock could decrease, which might cause our share price and trading volume to decline.</w:t>
      </w: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The actual number of shares of Class A common stock we will issue under the sales agreement, at any one time or in total, is uncertain.</w:t>
      </w:r>
    </w:p>
    <w:p>
      <w:pPr>
        <w:spacing w:after="0" w:line="89" w:lineRule="exact"/>
        <w:rPr>
          <w:sz w:val="20"/>
          <w:szCs w:val="20"/>
          <w:color w:val="auto"/>
        </w:rPr>
      </w:pPr>
    </w:p>
    <w:p>
      <w:pPr>
        <w:ind w:left="1480" w:right="479" w:firstLine="334"/>
        <w:spacing w:after="0" w:line="273" w:lineRule="auto"/>
        <w:rPr>
          <w:sz w:val="20"/>
          <w:szCs w:val="20"/>
          <w:color w:val="auto"/>
        </w:rPr>
      </w:pPr>
      <w:r>
        <w:rPr>
          <w:rFonts w:ascii="Times New Roman" w:cs="Times New Roman" w:eastAsia="Times New Roman" w:hAnsi="Times New Roman"/>
          <w:sz w:val="13"/>
          <w:szCs w:val="13"/>
          <w:color w:val="auto"/>
        </w:rPr>
        <w:t>Subject to certain limitations in the sales agreement and compliance with applicable law, we have the discretion to deliver a placement notice to Jefferies at any time throughout the term of the sales agreement. The number of shares of Class A common stock that are sold by Jefferies after delivering a placement notice will fluctuate based on the market price of shares of our Class A common stock during the sales period and limits we set with Jefferies. Because the price per share of Class A common stock sold will fluctuate based on the market price of shares of our Class A common stock during the sales period, it is not possible at this stage to predict the number of shares of Class A common stock that will be ultimately issued.</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10159"/>
          </w:cols>
          <w:pgMar w:left="300" w:top="379"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ind w:left="1480" w:right="439" w:firstLine="334"/>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Class A common stock offered hereby will be sold in “at the market offerings,” and investors who buy shares at different times will likely pay different prices.</w:t>
      </w:r>
    </w:p>
    <w:p>
      <w:pPr>
        <w:spacing w:after="0" w:line="50" w:lineRule="exact"/>
        <w:rPr>
          <w:sz w:val="20"/>
          <w:szCs w:val="20"/>
          <w:color w:val="auto"/>
        </w:rPr>
      </w:pPr>
    </w:p>
    <w:p>
      <w:pPr>
        <w:ind w:left="1480" w:right="419" w:firstLine="334"/>
        <w:spacing w:after="0" w:line="276" w:lineRule="auto"/>
        <w:rPr>
          <w:sz w:val="20"/>
          <w:szCs w:val="20"/>
          <w:color w:val="auto"/>
        </w:rPr>
      </w:pPr>
      <w:r>
        <w:rPr>
          <w:rFonts w:ascii="Times New Roman" w:cs="Times New Roman" w:eastAsia="Times New Roman" w:hAnsi="Times New Roman"/>
          <w:sz w:val="13"/>
          <w:szCs w:val="13"/>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subject to the final determination by our board of directors or any restrictions we may place in any applicable placement notice, there is no minimum or maximum sales price. Investors may experience a decline in the value of their shares as a result of sales made at prices lower than the prices they paid.</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10159"/>
          </w:cols>
          <w:pgMar w:left="300" w:top="379"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0" w:lineRule="exact"/>
        <w:rPr>
          <w:sz w:val="20"/>
          <w:szCs w:val="20"/>
          <w:color w:val="auto"/>
        </w:rPr>
      </w:pPr>
    </w:p>
    <w:p>
      <w:pPr>
        <w:ind w:left="1480" w:right="459" w:firstLine="334"/>
        <w:spacing w:after="0" w:line="247" w:lineRule="auto"/>
        <w:rPr>
          <w:sz w:val="20"/>
          <w:szCs w:val="20"/>
          <w:color w:val="auto"/>
        </w:rPr>
      </w:pPr>
      <w:r>
        <w:rPr>
          <w:rFonts w:ascii="Times New Roman" w:cs="Times New Roman" w:eastAsia="Times New Roman" w:hAnsi="Times New Roman"/>
          <w:sz w:val="14"/>
          <w:szCs w:val="14"/>
          <w:color w:val="auto"/>
        </w:rPr>
        <w:t>This prospectus, the prospectus and the documents we have filed with the SEC that are incorporated by reference contain “forward-looking statements” within the meaning of Section 27A of the Securities Act and Section 21E of the Exchange Act that involve substantial risks and uncertainties. In some cases, forward-looking statements are identified by the words “anticipate,” “believe,” “continue,” “could,” “estimate,” “expect,” “future,” “goals,” “intend,” “likely,” “may,” “might,” “ongoing,” “objective,” “plan,” “potential,” “predict,” “project,” “seek,” “should,” “strategy,” “will” and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w:t>
      </w:r>
    </w:p>
    <w:p>
      <w:pPr>
        <w:spacing w:after="0" w:line="150" w:lineRule="exact"/>
        <w:rPr>
          <w:sz w:val="20"/>
          <w:szCs w:val="20"/>
          <w:color w:val="auto"/>
        </w:rPr>
      </w:pPr>
    </w:p>
    <w:p>
      <w:pPr>
        <w:jc w:val="both"/>
        <w:ind w:left="1480" w:right="479" w:firstLine="334"/>
        <w:spacing w:after="0" w:line="254" w:lineRule="auto"/>
        <w:rPr>
          <w:sz w:val="20"/>
          <w:szCs w:val="20"/>
          <w:color w:val="auto"/>
        </w:rPr>
      </w:pPr>
      <w:r>
        <w:rPr>
          <w:rFonts w:ascii="Times New Roman" w:cs="Times New Roman" w:eastAsia="Times New Roman" w:hAnsi="Times New Roman"/>
          <w:sz w:val="14"/>
          <w:szCs w:val="14"/>
          <w:color w:val="auto"/>
        </w:rPr>
        <w:t>Although we believe that we have a reasonable basis for each forward-looking statement contained in this prospectus and the documents that we have filed with the SEC that are incorporated by reference, such statements are based on a combination of facts and factors currently known by us and our expectations of the future, about which we cannot be certain. Forward-looking statements include statements about:</w:t>
      </w:r>
    </w:p>
    <w:p>
      <w:pPr>
        <w:spacing w:after="0" w:line="72" w:lineRule="exact"/>
        <w:rPr>
          <w:sz w:val="20"/>
          <w:szCs w:val="20"/>
          <w:color w:val="auto"/>
        </w:rPr>
      </w:pPr>
    </w:p>
    <w:p>
      <w:pPr>
        <w:ind w:left="2200" w:right="559" w:hanging="321"/>
        <w:spacing w:after="0" w:line="265" w:lineRule="auto"/>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the listing of our Class A common stock on Nasdaq and the continued inclusion of our Class A common stock in various market indices;</w:t>
      </w:r>
    </w:p>
    <w:p>
      <w:pPr>
        <w:spacing w:after="0" w:line="63"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our growth effectively;</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cost and timing of our product development activities, including our clinical trials;</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attributes and benefits of our product candidates, and if approved, our products;</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manufacture rilparencel, our lead product candidate;</w:t>
      </w:r>
    </w:p>
    <w:p>
      <w:pPr>
        <w:spacing w:after="0" w:line="94" w:lineRule="exact"/>
        <w:rPr>
          <w:rFonts w:ascii="Times New Roman" w:cs="Times New Roman" w:eastAsia="Times New Roman" w:hAnsi="Times New Roman"/>
          <w:sz w:val="14"/>
          <w:szCs w:val="14"/>
          <w:color w:val="auto"/>
        </w:rPr>
      </w:pPr>
    </w:p>
    <w:p>
      <w:pPr>
        <w:ind w:left="2200" w:right="639" w:hanging="321"/>
        <w:spacing w:after="0" w:line="265" w:lineRule="auto"/>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regulatory clearance or approval for our products, and any related restrictions and limitations of any cleared or approved product;</w:t>
      </w:r>
    </w:p>
    <w:p>
      <w:pPr>
        <w:spacing w:after="0" w:line="63"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in-license or acquire additional technology;</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our existing license, manufacturing and supply agreements;</w:t>
      </w:r>
    </w:p>
    <w:p>
      <w:pPr>
        <w:spacing w:after="0" w:line="94" w:lineRule="exact"/>
        <w:rPr>
          <w:rFonts w:ascii="Times New Roman" w:cs="Times New Roman" w:eastAsia="Times New Roman" w:hAnsi="Times New Roman"/>
          <w:sz w:val="14"/>
          <w:szCs w:val="14"/>
          <w:color w:val="auto"/>
        </w:rPr>
      </w:pPr>
    </w:p>
    <w:p>
      <w:pPr>
        <w:ind w:left="2200" w:right="339" w:hanging="321"/>
        <w:spacing w:after="0" w:line="265" w:lineRule="auto"/>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 parties to conduct, supervise and monitor a certain portion of our research and nonclinical testing and clinical trials for rilparencel;</w:t>
      </w:r>
    </w:p>
    <w:p>
      <w:pPr>
        <w:spacing w:after="0" w:line="63" w:lineRule="exact"/>
        <w:rPr>
          <w:rFonts w:ascii="Times New Roman" w:cs="Times New Roman" w:eastAsia="Times New Roman" w:hAnsi="Times New Roman"/>
          <w:sz w:val="14"/>
          <w:szCs w:val="14"/>
          <w:color w:val="auto"/>
        </w:rPr>
      </w:pPr>
    </w:p>
    <w:p>
      <w:pPr>
        <w:ind w:left="2200" w:right="419" w:hanging="321"/>
        <w:spacing w:after="0" w:line="265" w:lineRule="auto"/>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with other companies currently marketing or engaged in the biologics market and in the area of treatment of kidney disease, many of which have greater financial and marketing resources than us;</w:t>
      </w:r>
    </w:p>
    <w:p>
      <w:pPr>
        <w:spacing w:after="0" w:line="63" w:lineRule="exact"/>
        <w:rPr>
          <w:rFonts w:ascii="Times New Roman" w:cs="Times New Roman" w:eastAsia="Times New Roman" w:hAnsi="Times New Roman"/>
          <w:sz w:val="14"/>
          <w:szCs w:val="14"/>
          <w:color w:val="auto"/>
        </w:rPr>
      </w:pPr>
    </w:p>
    <w:p>
      <w:pPr>
        <w:ind w:left="2200" w:right="839" w:hanging="321"/>
        <w:spacing w:after="0" w:line="265" w:lineRule="auto"/>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potential of the markets for our products, if approved, and our ability to serve those markets, either alone or in partnership with others;</w:t>
      </w:r>
    </w:p>
    <w:p>
      <w:pPr>
        <w:spacing w:after="0" w:line="63"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applicable laws or regulations;</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expenses, revenue, capital requirements and needs for additional financing;</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financing in the future;</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as a going concern;</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intellectual property rights;</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breaches with respect to computer systems;</w:t>
      </w:r>
    </w:p>
    <w:p>
      <w:pPr>
        <w:spacing w:after="0" w:line="94"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downturns, geopolitical conflict and political and market conditions beyond our control;</w:t>
      </w:r>
    </w:p>
    <w:p>
      <w:pPr>
        <w:spacing w:after="0" w:line="11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10159"/>
          </w:cols>
          <w:pgMar w:left="300" w:top="379"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2200" w:hanging="321"/>
        <w:spacing w:after="0"/>
        <w:tabs>
          <w:tab w:leader="none" w:pos="22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anticipated use of proceeds from this offering, if any; and</w:t>
      </w:r>
    </w:p>
    <w:p>
      <w:pPr>
        <w:spacing w:after="0" w:line="90"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detailed under the section 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ind w:left="1480" w:right="359" w:firstLine="334"/>
        <w:spacing w:after="0" w:line="247" w:lineRule="auto"/>
        <w:rPr>
          <w:sz w:val="20"/>
          <w:szCs w:val="20"/>
          <w:color w:val="auto"/>
        </w:rPr>
      </w:pPr>
      <w:r>
        <w:rPr>
          <w:rFonts w:ascii="Times New Roman" w:cs="Times New Roman" w:eastAsia="Times New Roman" w:hAnsi="Times New Roman"/>
          <w:sz w:val="14"/>
          <w:szCs w:val="14"/>
          <w:color w:val="auto"/>
        </w:rPr>
        <w:t>You should refer to the section titled “Risk Factors” of this prospectus and in our other filings with the SEC for a discussion of important factors that may cause our actual results to differ materially from those expressed or implied by our forward-looking statements. As a result of these factors, we cannot assure that the forward-looking statements in this prospectus or the documents we have filed with the SEC that are incorporated by reference will prove to be accurate. Furthermore, if our forward-looking statements prove to be inaccurate, the inaccuracy may be material. In light of the significant uncertainties in these forward-looking statements, these statements should not be regarded as representations or warranties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150" w:lineRule="exact"/>
        <w:rPr>
          <w:sz w:val="20"/>
          <w:szCs w:val="20"/>
          <w:color w:val="auto"/>
        </w:rPr>
      </w:pPr>
    </w:p>
    <w:p>
      <w:pPr>
        <w:ind w:left="1480" w:right="619" w:firstLine="334"/>
        <w:spacing w:after="0" w:line="249"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as predictions of future events.</w:t>
      </w:r>
    </w:p>
    <w:p>
      <w:pPr>
        <w:spacing w:after="0" w:line="147" w:lineRule="exact"/>
        <w:rPr>
          <w:sz w:val="20"/>
          <w:szCs w:val="20"/>
          <w:color w:val="auto"/>
        </w:rPr>
      </w:pPr>
    </w:p>
    <w:p>
      <w:pPr>
        <w:jc w:val="both"/>
        <w:ind w:left="1480" w:right="399" w:firstLine="334"/>
        <w:spacing w:after="0" w:line="254" w:lineRule="auto"/>
        <w:rPr>
          <w:sz w:val="20"/>
          <w:szCs w:val="20"/>
          <w:color w:val="auto"/>
        </w:rPr>
      </w:pPr>
      <w:r>
        <w:rPr>
          <w:rFonts w:ascii="Times New Roman" w:cs="Times New Roman" w:eastAsia="Times New Roman" w:hAnsi="Times New Roman"/>
          <w:sz w:val="14"/>
          <w:szCs w:val="14"/>
          <w:color w:val="auto"/>
        </w:rPr>
        <w:t>You should read this prospectus, the documents that we have incorporated by reference herein and the documents we have filed as exhibits to the registration statement, completely and with the understanding that our actual future results may be materially different from what we expect. We qualify all of our forward-looking statements by these cautionary statements.</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10159"/>
          </w:cols>
          <w:pgMar w:left="300" w:top="378"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0" w:lineRule="exact"/>
        <w:rPr>
          <w:sz w:val="20"/>
          <w:szCs w:val="20"/>
          <w:color w:val="auto"/>
        </w:rPr>
      </w:pPr>
    </w:p>
    <w:p>
      <w:pPr>
        <w:ind w:left="1480" w:right="339" w:firstLine="334"/>
        <w:spacing w:after="0" w:line="251" w:lineRule="auto"/>
        <w:rPr>
          <w:sz w:val="20"/>
          <w:szCs w:val="20"/>
          <w:color w:val="auto"/>
        </w:rPr>
      </w:pPr>
      <w:r>
        <w:rPr>
          <w:rFonts w:ascii="Times New Roman" w:cs="Times New Roman" w:eastAsia="Times New Roman" w:hAnsi="Times New Roman"/>
          <w:sz w:val="14"/>
          <w:szCs w:val="14"/>
          <w:color w:val="auto"/>
        </w:rPr>
        <w:t>We may issue and sell shares of our Class A common stock under this prospectus having aggregate sales proceeds of up to $200,000,000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our sales agreement with Jefferies as a source of financing.</w:t>
      </w:r>
    </w:p>
    <w:p>
      <w:pPr>
        <w:spacing w:after="0" w:line="145" w:lineRule="exact"/>
        <w:rPr>
          <w:sz w:val="20"/>
          <w:szCs w:val="20"/>
          <w:color w:val="auto"/>
        </w:rPr>
      </w:pPr>
    </w:p>
    <w:p>
      <w:pPr>
        <w:ind w:left="1480" w:right="459" w:firstLine="334"/>
        <w:spacing w:after="0" w:line="254" w:lineRule="auto"/>
        <w:rPr>
          <w:sz w:val="20"/>
          <w:szCs w:val="20"/>
          <w:color w:val="auto"/>
        </w:rPr>
      </w:pPr>
      <w:r>
        <w:rPr>
          <w:rFonts w:ascii="Times New Roman" w:cs="Times New Roman" w:eastAsia="Times New Roman" w:hAnsi="Times New Roman"/>
          <w:sz w:val="14"/>
          <w:szCs w:val="14"/>
          <w:color w:val="auto"/>
        </w:rPr>
        <w:t>We intend to use the net proceeds from this offering, if any, for clinical trial costs and other research and development expenses, continued investment in our drug development platform, for our pre-commercial and commercial activities, including our commercial manufacturing facility, and for other general corporate purposes, including for working capital, capital expenditures and general and administrative expenses.</w:t>
      </w:r>
    </w:p>
    <w:p>
      <w:pPr>
        <w:spacing w:after="0" w:line="144" w:lineRule="exact"/>
        <w:rPr>
          <w:sz w:val="20"/>
          <w:szCs w:val="20"/>
          <w:color w:val="auto"/>
        </w:rPr>
      </w:pPr>
    </w:p>
    <w:p>
      <w:pPr>
        <w:ind w:left="1480" w:right="359" w:firstLine="334"/>
        <w:spacing w:after="0" w:line="271" w:lineRule="auto"/>
        <w:rPr>
          <w:sz w:val="20"/>
          <w:szCs w:val="20"/>
          <w:color w:val="auto"/>
        </w:rPr>
      </w:pPr>
      <w:r>
        <w:rPr>
          <w:rFonts w:ascii="Times New Roman" w:cs="Times New Roman" w:eastAsia="Times New Roman" w:hAnsi="Times New Roman"/>
          <w:sz w:val="13"/>
          <w:szCs w:val="13"/>
          <w:color w:val="auto"/>
        </w:rPr>
        <w:t>Our expected use of the net proceeds from this offering represents our current intentions based upon our present plans and business conditions. The amounts and timing of our actual use of net proceeds will vary depending on numerous factors, including the relative success and cost of our research, preclinical and clinical development programs, whether we are able to enter into future collaborations, and any unforeseen delays or cash needs. As a result, our management will have broad discretion in the application of the net proceeds, and investors will be relying on our judgment regarding the application of the net proceeds of this offering. In addition, we might decide to postpone or not pursue these planned trials and activities or other development activities if the net proceeds from this offering and the other sources of cash are less than, or do not last as long as, expected.</w:t>
      </w:r>
    </w:p>
    <w:p>
      <w:pPr>
        <w:spacing w:after="0" w:line="133" w:lineRule="exact"/>
        <w:rPr>
          <w:sz w:val="20"/>
          <w:szCs w:val="20"/>
          <w:color w:val="auto"/>
        </w:rPr>
      </w:pPr>
    </w:p>
    <w:p>
      <w:pPr>
        <w:ind w:left="1480" w:right="579" w:firstLine="334"/>
        <w:spacing w:after="0" w:line="265" w:lineRule="auto"/>
        <w:rPr>
          <w:sz w:val="20"/>
          <w:szCs w:val="20"/>
          <w:color w:val="auto"/>
        </w:rPr>
      </w:pPr>
      <w:r>
        <w:rPr>
          <w:rFonts w:ascii="Times New Roman" w:cs="Times New Roman" w:eastAsia="Times New Roman" w:hAnsi="Times New Roman"/>
          <w:sz w:val="14"/>
          <w:szCs w:val="14"/>
          <w:color w:val="auto"/>
        </w:rPr>
        <w:t>Pending their use, we plan to invest the net proceeds from this offering in short- and intermediate-term, interest-bearing securities, investment-grade instruments, certificates of deposit or direct or guaranteed obligations of the U.S. government.</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10159"/>
          </w:cols>
          <w:pgMar w:left="300" w:top="379"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70" w:lineRule="exact"/>
        <w:rPr>
          <w:sz w:val="20"/>
          <w:szCs w:val="20"/>
          <w:color w:val="auto"/>
        </w:rPr>
      </w:pPr>
    </w:p>
    <w:p>
      <w:pPr>
        <w:ind w:left="1480" w:right="679" w:firstLine="334"/>
        <w:spacing w:after="0" w:line="254" w:lineRule="auto"/>
        <w:rPr>
          <w:sz w:val="20"/>
          <w:szCs w:val="20"/>
          <w:color w:val="auto"/>
        </w:rPr>
      </w:pPr>
      <w:r>
        <w:rPr>
          <w:rFonts w:ascii="Times New Roman" w:cs="Times New Roman" w:eastAsia="Times New Roman" w:hAnsi="Times New Roman"/>
          <w:sz w:val="14"/>
          <w:szCs w:val="14"/>
          <w:color w:val="auto"/>
        </w:rPr>
        <w:t>We have not paid any cash dividends on shares of our Class A common stock to date. The payment of cash dividends in the future will be dependent upon our revenues and earnings, if any, capital requirements and general financial condition. The payment of any cash dividends will be within the discretion of the board of directors at such time.</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10159"/>
          </w:cols>
          <w:pgMar w:left="300" w:top="379"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70" w:lineRule="exact"/>
        <w:rPr>
          <w:sz w:val="20"/>
          <w:szCs w:val="20"/>
          <w:color w:val="auto"/>
        </w:rPr>
      </w:pPr>
    </w:p>
    <w:p>
      <w:pPr>
        <w:ind w:left="1480" w:right="359" w:firstLine="334"/>
        <w:spacing w:after="0" w:line="265" w:lineRule="auto"/>
        <w:rPr>
          <w:sz w:val="20"/>
          <w:szCs w:val="20"/>
          <w:color w:val="auto"/>
        </w:rPr>
      </w:pPr>
      <w:r>
        <w:rPr>
          <w:rFonts w:ascii="Times New Roman" w:cs="Times New Roman" w:eastAsia="Times New Roman" w:hAnsi="Times New Roman"/>
          <w:sz w:val="14"/>
          <w:szCs w:val="14"/>
          <w:color w:val="auto"/>
        </w:rPr>
        <w:t>If you invest in shares of our Class A common stock in this offering, your ownership interest will be diluted to the extent of the difference between the public offering price per share in this offering and the as adjusted net tangible book value per share immediately after this offering.</w:t>
      </w:r>
    </w:p>
    <w:p>
      <w:pPr>
        <w:spacing w:after="0" w:line="136" w:lineRule="exact"/>
        <w:rPr>
          <w:sz w:val="20"/>
          <w:szCs w:val="20"/>
          <w:color w:val="auto"/>
        </w:rPr>
      </w:pPr>
    </w:p>
    <w:p>
      <w:pPr>
        <w:ind w:left="1480" w:right="419" w:firstLine="334"/>
        <w:spacing w:after="0" w:line="254" w:lineRule="auto"/>
        <w:rPr>
          <w:sz w:val="20"/>
          <w:szCs w:val="20"/>
          <w:color w:val="auto"/>
        </w:rPr>
      </w:pPr>
      <w:r>
        <w:rPr>
          <w:rFonts w:ascii="Times New Roman" w:cs="Times New Roman" w:eastAsia="Times New Roman" w:hAnsi="Times New Roman"/>
          <w:sz w:val="14"/>
          <w:szCs w:val="14"/>
          <w:color w:val="auto"/>
        </w:rPr>
        <w:t>As of June 30, 2026, our historical net tangible book value was approximately $222.8 million, or $0.74 per share of common stock. Historical net tangible book value per share is equal to the amount of our total tangible assets less our total liabilities, divided by 302,312,504, the combined number of Class A common stock and Class B common stock outstanding as of June 30, 2026.</w:t>
      </w:r>
    </w:p>
    <w:p>
      <w:pPr>
        <w:spacing w:after="0" w:line="144" w:lineRule="exact"/>
        <w:rPr>
          <w:sz w:val="20"/>
          <w:szCs w:val="20"/>
          <w:color w:val="auto"/>
        </w:rPr>
      </w:pPr>
    </w:p>
    <w:p>
      <w:pPr>
        <w:ind w:left="1480" w:right="359" w:firstLine="334"/>
        <w:spacing w:after="0" w:line="248" w:lineRule="auto"/>
        <w:rPr>
          <w:sz w:val="20"/>
          <w:szCs w:val="20"/>
          <w:color w:val="auto"/>
        </w:rPr>
      </w:pPr>
      <w:r>
        <w:rPr>
          <w:rFonts w:ascii="Times New Roman" w:cs="Times New Roman" w:eastAsia="Times New Roman" w:hAnsi="Times New Roman"/>
          <w:sz w:val="14"/>
          <w:szCs w:val="14"/>
          <w:color w:val="auto"/>
        </w:rPr>
        <w:t>After giving effect to the assumed sale of shares of our Class A common stock in the aggregate amount of $200,000,000 at an assumed offering price of $1.52 per share, the last reported sale price of shares of our Class A common stock on the Nasdaq Capital Market on October 28, 2026, and after deducting commissions and estimated offering expenses payable by us, our as adjusted net tangible book value as of June 30, 2026 would have been approximately $417,763,953 million, or $0.96 per share of common stock. This amount represents an immediate increase in net tangible book value of $0.23 per share to our existing stockholders and an immediate dilution in net tangible book value of approximately $0.56 per share to new investors in this offering.</w:t>
      </w:r>
    </w:p>
    <w:p>
      <w:pPr>
        <w:spacing w:after="0" w:line="148" w:lineRule="exact"/>
        <w:rPr>
          <w:sz w:val="20"/>
          <w:szCs w:val="20"/>
          <w:color w:val="auto"/>
        </w:rPr>
      </w:pPr>
    </w:p>
    <w:p>
      <w:pPr>
        <w:ind w:left="1480" w:right="579" w:firstLine="334"/>
        <w:spacing w:after="0" w:line="283" w:lineRule="auto"/>
        <w:rPr>
          <w:sz w:val="20"/>
          <w:szCs w:val="20"/>
          <w:color w:val="auto"/>
        </w:rPr>
      </w:pPr>
      <w:r>
        <w:rPr>
          <w:rFonts w:ascii="Times New Roman" w:cs="Times New Roman" w:eastAsia="Times New Roman" w:hAnsi="Times New Roman"/>
          <w:sz w:val="13"/>
          <w:szCs w:val="13"/>
          <w:color w:val="auto"/>
        </w:rPr>
        <w:t>The following table illustrates this calculation on a per share basis. The as adjusted information is illustrative only and will adjust based on the actual price to the public, the actual number of shares sold and other terms of the offering determined at the time shares of shares of our Class A common stock are sold pursuant to this prospectus. The shares sold in this offering, if any, will be sold from time to time at various prices.</w:t>
      </w:r>
    </w:p>
    <w:p>
      <w:pPr>
        <w:spacing w:after="0" w:line="159" w:lineRule="exact"/>
        <w:rPr>
          <w:sz w:val="20"/>
          <w:szCs w:val="20"/>
          <w:color w:val="auto"/>
        </w:rPr>
      </w:pPr>
    </w:p>
    <w:tbl>
      <w:tblPr>
        <w:tblLayout w:type="fixed"/>
        <w:tblInd w:w="24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Assumed public offering price per share</w:t>
            </w: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4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Historical net tangible book value per share as of June 30, 2026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$0.74</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net tangible book value per share attributable to the offering</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5"/>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 adjusted net tangible book value per share after giving effect to this offering</w:t>
            </w:r>
          </w:p>
        </w:tc>
        <w:tc>
          <w:tcPr>
            <w:tcW w:w="4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0.96</w:t>
            </w:r>
          </w:p>
        </w:tc>
        <w:tc>
          <w:tcPr>
            <w:tcW w:w="4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Dilution in net tangible book value per share to investors participating in this offering</w:t>
            </w: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0.56</w:t>
            </w:r>
          </w:p>
        </w:tc>
        <w:tc>
          <w:tcPr>
            <w:tcW w:w="4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The table above assumes for illustrative purposes that an aggregate of 131,578,947 shares of Class A common stock are sold during the term of the</w:t>
      </w:r>
    </w:p>
    <w:p>
      <w:pPr>
        <w:spacing w:after="0" w:line="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sales agreement with Jefferies at a price of $1.52 per share, the last reported sale price of shares of our Class A common stock on the Nasdaq Capital</w:t>
      </w:r>
    </w:p>
    <w:p>
      <w:pPr>
        <w:spacing w:after="0" w:line="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Market on October 28, 2026, for aggregate gross proceeds of $200,000,000. The shares subject to the sales agreement with Jefferies are being sold from</w:t>
      </w:r>
    </w:p>
    <w:p>
      <w:pPr>
        <w:spacing w:after="0" w:line="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time to time at various prices. An increase of $1.00 per share in the price at which the shares are sold from the assumed offering price of $1.52 per share</w:t>
      </w:r>
    </w:p>
    <w:p>
      <w:pPr>
        <w:spacing w:after="0" w:line="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shown in the table above, assuming all of shares of our Class A common stock in the aggregate amount of $200,000,000 during the term of the sales</w:t>
      </w:r>
    </w:p>
    <w:p>
      <w:pPr>
        <w:spacing w:after="0" w:line="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agreement with Jefferies is sold at that price, would increase our adjusted net tangible book value per share after the offering to $1.09 per share and</w:t>
      </w:r>
    </w:p>
    <w:p>
      <w:pPr>
        <w:spacing w:after="0" w:line="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would increase the dilution in net tangible book value per share to new investors in this offering to $1.43 per share, after deducting commissions and</w:t>
      </w:r>
    </w:p>
    <w:p>
      <w:pPr>
        <w:spacing w:after="0" w:line="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estimated aggregate offering expenses payable by us. A decrease of $1.00 per share in the price at which the shares are sold from the assumed offering</w:t>
      </w:r>
    </w:p>
    <w:p>
      <w:pPr>
        <w:spacing w:after="0" w:line="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price of $1.52 per share shown in the table above, assuming all of shares of our Class A common stock in the aggregate amount of $200,000,000 during</w:t>
      </w:r>
    </w:p>
    <w:p>
      <w:pPr>
        <w:spacing w:after="0" w:line="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term of the sales agreement with Jefferies is sold at that price, would decrease our adjusted net tangible book value per share after the offering to</w:t>
      </w:r>
    </w:p>
    <w:p>
      <w:pPr>
        <w:spacing w:after="0" w:line="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color w:val="auto"/>
        </w:rPr>
        <w:t>$0.61 per share and would result in an accretion in net tangible book value per share to new investors in this offering of $0.09 per share, after deducting</w:t>
      </w:r>
    </w:p>
    <w:p>
      <w:pPr>
        <w:spacing w:after="0" w:line="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commissions and estimated aggregate offering expenses payable by us. This information is supplied for illustrative purposes only. The information</w:t>
      </w:r>
    </w:p>
    <w:p>
      <w:pPr>
        <w:spacing w:after="0" w:line="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discussed above is illustrative only and will adjust based on the actual public offering price and other terms of this offering determined at pricing.</w:t>
      </w:r>
    </w:p>
    <w:p>
      <w:pPr>
        <w:spacing w:after="0" w:line="10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10159"/>
          </w:cols>
          <w:pgMar w:left="300" w:top="379"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439" w:firstLine="334"/>
        <w:spacing w:after="0" w:line="265" w:lineRule="auto"/>
        <w:rPr>
          <w:sz w:val="20"/>
          <w:szCs w:val="20"/>
          <w:color w:val="auto"/>
        </w:rPr>
      </w:pPr>
      <w:r>
        <w:rPr>
          <w:rFonts w:ascii="Times New Roman" w:cs="Times New Roman" w:eastAsia="Times New Roman" w:hAnsi="Times New Roman"/>
          <w:sz w:val="14"/>
          <w:szCs w:val="14"/>
          <w:color w:val="auto"/>
        </w:rPr>
        <w:t>The number of shares of our Class A common stock to be outstanding after this offering as shown above is based on an aggregate of 205,716,189 shares of our Class A common stock outstanding as of June 30, 2026 and excludes:</w:t>
      </w:r>
    </w:p>
    <w:p>
      <w:pPr>
        <w:spacing w:after="0" w:line="64" w:lineRule="exact"/>
        <w:rPr>
          <w:sz w:val="20"/>
          <w:szCs w:val="20"/>
          <w:color w:val="auto"/>
        </w:rPr>
      </w:pPr>
    </w:p>
    <w:p>
      <w:pPr>
        <w:ind w:left="2200" w:hanging="321"/>
        <w:spacing w:after="0"/>
        <w:tabs>
          <w:tab w:leader="none" w:pos="22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17,500,000 shares of Class B common stock issuable upon the vesting of earnout restricted stock rights as of June 30, 2026;</w:t>
      </w:r>
    </w:p>
    <w:p>
      <w:pPr>
        <w:spacing w:after="0" w:line="94" w:lineRule="exact"/>
        <w:rPr>
          <w:rFonts w:ascii="Times New Roman" w:cs="Times New Roman" w:eastAsia="Times New Roman" w:hAnsi="Times New Roman"/>
          <w:sz w:val="14"/>
          <w:szCs w:val="14"/>
          <w:color w:val="auto"/>
        </w:rPr>
      </w:pPr>
    </w:p>
    <w:p>
      <w:pPr>
        <w:ind w:left="2200" w:right="479" w:hanging="321"/>
        <w:spacing w:after="0" w:line="265" w:lineRule="auto"/>
        <w:tabs>
          <w:tab w:leader="none" w:pos="22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39,826,692 shares of Class A common stock issuable upon the exercise of options outstanding as of June 30, 2026, at a weighted average exercise price of $3.18 per share;</w:t>
      </w:r>
    </w:p>
    <w:p>
      <w:pPr>
        <w:spacing w:after="0" w:line="63"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30,966,448 shares of Class A common stock reserved for future issuance under the 2022 Plan as of June 30, 2026; and</w:t>
      </w:r>
    </w:p>
    <w:p>
      <w:pPr>
        <w:spacing w:after="0" w:line="94" w:lineRule="exact"/>
        <w:rPr>
          <w:rFonts w:ascii="Times New Roman" w:cs="Times New Roman" w:eastAsia="Times New Roman" w:hAnsi="Times New Roman"/>
          <w:sz w:val="14"/>
          <w:szCs w:val="14"/>
          <w:color w:val="auto"/>
        </w:rPr>
      </w:pPr>
    </w:p>
    <w:p>
      <w:pPr>
        <w:ind w:left="2200" w:right="559" w:hanging="321"/>
        <w:spacing w:after="0" w:line="265" w:lineRule="auto"/>
        <w:tabs>
          <w:tab w:leader="none" w:pos="22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96,596,315 shares of Class A common stock reserved and issuable upon conversion of 96,596,315 shares of our Class B common stock outstanding as of June 30, 2026.</w:t>
      </w:r>
    </w:p>
    <w:p>
      <w:pPr>
        <w:spacing w:after="0" w:line="136" w:lineRule="exact"/>
        <w:rPr>
          <w:sz w:val="20"/>
          <w:szCs w:val="20"/>
          <w:color w:val="auto"/>
        </w:rPr>
      </w:pPr>
    </w:p>
    <w:p>
      <w:pPr>
        <w:ind w:left="1480" w:right="739" w:firstLine="334"/>
        <w:spacing w:after="0" w:line="265" w:lineRule="auto"/>
        <w:rPr>
          <w:sz w:val="20"/>
          <w:szCs w:val="20"/>
          <w:color w:val="auto"/>
        </w:rPr>
      </w:pPr>
      <w:r>
        <w:rPr>
          <w:rFonts w:ascii="Times New Roman" w:cs="Times New Roman" w:eastAsia="Times New Roman" w:hAnsi="Times New Roman"/>
          <w:sz w:val="14"/>
          <w:szCs w:val="14"/>
          <w:color w:val="auto"/>
        </w:rPr>
        <w:t>Except as otherwise indicated, all information in this prospectus assumes no exercise of outstanding stock options or settlement of unvested restricted stock units or rights described above and no conversion of the Class B common stock described above.</w:t>
      </w:r>
    </w:p>
    <w:p>
      <w:pPr>
        <w:spacing w:after="0" w:line="136" w:lineRule="exact"/>
        <w:rPr>
          <w:sz w:val="20"/>
          <w:szCs w:val="20"/>
          <w:color w:val="auto"/>
        </w:rPr>
      </w:pPr>
    </w:p>
    <w:p>
      <w:pPr>
        <w:ind w:left="1480" w:right="399" w:firstLine="334"/>
        <w:spacing w:after="0" w:line="249" w:lineRule="auto"/>
        <w:rPr>
          <w:sz w:val="20"/>
          <w:szCs w:val="20"/>
          <w:color w:val="auto"/>
        </w:rPr>
      </w:pPr>
      <w:r>
        <w:rPr>
          <w:rFonts w:ascii="Times New Roman" w:cs="Times New Roman" w:eastAsia="Times New Roman" w:hAnsi="Times New Roman"/>
          <w:sz w:val="14"/>
          <w:szCs w:val="14"/>
          <w:color w:val="auto"/>
        </w:rPr>
        <w:t>To the extent that any shares are issued upon the exercise of outstanding options, the vesting of outstanding restricted stock units or earnout restricted stock rights, or otherwise pursuant to any grants made in the future under our 2022 Plan,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may result in further dilution to our stockholders.</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10159"/>
          </w:cols>
          <w:pgMar w:left="300" w:top="379"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0" w:lineRule="exact"/>
        <w:rPr>
          <w:sz w:val="20"/>
          <w:szCs w:val="20"/>
          <w:color w:val="auto"/>
        </w:rPr>
      </w:pPr>
    </w:p>
    <w:p>
      <w:pPr>
        <w:ind w:left="1480" w:right="339" w:firstLine="334"/>
        <w:spacing w:after="0" w:line="254" w:lineRule="auto"/>
        <w:rPr>
          <w:sz w:val="20"/>
          <w:szCs w:val="20"/>
          <w:color w:val="auto"/>
        </w:rPr>
      </w:pPr>
      <w:r>
        <w:rPr>
          <w:rFonts w:ascii="Times New Roman" w:cs="Times New Roman" w:eastAsia="Times New Roman" w:hAnsi="Times New Roman"/>
          <w:sz w:val="14"/>
          <w:szCs w:val="14"/>
          <w:color w:val="auto"/>
        </w:rPr>
        <w:t>We have entered into a sales agreement with Jefferies, under which we may offer and sell up to $200,000,000 of shares of our Class A common stock from time to time through Jefferies acting as agent. Sales of shares of our Class A common stock, if any, under this prospectus will be made by any method that is deemed to be an “at the market offering” as defined in Rule 415(a)(4) under the Securities Act.</w:t>
      </w:r>
    </w:p>
    <w:p>
      <w:pPr>
        <w:spacing w:after="0" w:line="144" w:lineRule="exact"/>
        <w:rPr>
          <w:sz w:val="20"/>
          <w:szCs w:val="20"/>
          <w:color w:val="auto"/>
        </w:rPr>
      </w:pPr>
    </w:p>
    <w:p>
      <w:pPr>
        <w:ind w:left="1480" w:right="419" w:firstLine="334"/>
        <w:spacing w:after="0" w:line="248" w:lineRule="auto"/>
        <w:rPr>
          <w:sz w:val="20"/>
          <w:szCs w:val="20"/>
          <w:color w:val="auto"/>
        </w:rPr>
      </w:pPr>
      <w:r>
        <w:rPr>
          <w:rFonts w:ascii="Times New Roman" w:cs="Times New Roman" w:eastAsia="Times New Roman" w:hAnsi="Times New Roman"/>
          <w:sz w:val="14"/>
          <w:szCs w:val="14"/>
          <w:color w:val="auto"/>
        </w:rPr>
        <w:t>Each time we wish to issue and sell shares of our Class A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shares of our Class A common stock are subject to a number of conditions that we must meet.</w:t>
      </w:r>
    </w:p>
    <w:p>
      <w:pPr>
        <w:spacing w:after="0" w:line="148" w:lineRule="exact"/>
        <w:rPr>
          <w:sz w:val="20"/>
          <w:szCs w:val="20"/>
          <w:color w:val="auto"/>
        </w:rPr>
      </w:pPr>
    </w:p>
    <w:p>
      <w:pPr>
        <w:ind w:left="1480" w:right="399" w:firstLine="334"/>
        <w:spacing w:after="0" w:line="251" w:lineRule="auto"/>
        <w:rPr>
          <w:sz w:val="20"/>
          <w:szCs w:val="20"/>
          <w:color w:val="auto"/>
        </w:rPr>
      </w:pPr>
      <w:r>
        <w:rPr>
          <w:rFonts w:ascii="Times New Roman" w:cs="Times New Roman" w:eastAsia="Times New Roman" w:hAnsi="Times New Roman"/>
          <w:sz w:val="14"/>
          <w:szCs w:val="14"/>
          <w:color w:val="auto"/>
        </w:rPr>
        <w:t>The settlement of sales of shares between us and Jefferies is generally anticipated to occur on the first trading day following the date on which the sale was made. Sales of shares of our Class A common stock as contemplated in this prospectus will be settled through the facilities of The Depository Trust Company or by such other means as we and Jefferies may agree upon. There is no arrangement for funds to be received in an escrow, trust or similar arrangement.</w:t>
      </w:r>
    </w:p>
    <w:p>
      <w:pPr>
        <w:spacing w:after="0" w:line="145" w:lineRule="exact"/>
        <w:rPr>
          <w:sz w:val="20"/>
          <w:szCs w:val="20"/>
          <w:color w:val="auto"/>
        </w:rPr>
      </w:pPr>
    </w:p>
    <w:p>
      <w:pPr>
        <w:ind w:left="1480" w:right="399" w:firstLine="334"/>
        <w:spacing w:after="0" w:line="247" w:lineRule="auto"/>
        <w:rPr>
          <w:sz w:val="20"/>
          <w:szCs w:val="20"/>
          <w:color w:val="auto"/>
        </w:rPr>
      </w:pPr>
      <w:r>
        <w:rPr>
          <w:rFonts w:ascii="Times New Roman" w:cs="Times New Roman" w:eastAsia="Times New Roman" w:hAnsi="Times New Roman"/>
          <w:sz w:val="14"/>
          <w:szCs w:val="14"/>
          <w:color w:val="auto"/>
        </w:rPr>
        <w:t>We will pay Jefferies a commission of up to 3.0% of the aggregate gross proceeds we receive from each sale of shares of our Class A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$75,000, in addition to certain ongoing disbursements of its legal counsel. We estimate that the total expenses for the offering, excluding any commissions or expense reimbursement payable to Jefferies under the terms of the sales agreement, will be approximately $0.4 million. The remaining sale proceeds, after deducting any other transaction fees, will equal our net proceeds from the sale of such shares.</w:t>
      </w:r>
    </w:p>
    <w:p>
      <w:pPr>
        <w:spacing w:after="0" w:line="150" w:lineRule="exact"/>
        <w:rPr>
          <w:sz w:val="20"/>
          <w:szCs w:val="20"/>
          <w:color w:val="auto"/>
        </w:rPr>
      </w:pPr>
    </w:p>
    <w:p>
      <w:pPr>
        <w:ind w:left="1480" w:right="359" w:firstLine="334"/>
        <w:spacing w:after="0" w:line="254" w:lineRule="auto"/>
        <w:rPr>
          <w:sz w:val="20"/>
          <w:szCs w:val="20"/>
          <w:color w:val="auto"/>
        </w:rPr>
      </w:pPr>
      <w:r>
        <w:rPr>
          <w:rFonts w:ascii="Times New Roman" w:cs="Times New Roman" w:eastAsia="Times New Roman" w:hAnsi="Times New Roman"/>
          <w:sz w:val="14"/>
          <w:szCs w:val="14"/>
          <w:color w:val="auto"/>
        </w:rPr>
        <w:t>Jefferies will provide written confirmation to us before the open on the Nasdaq Capital Market on the day following each day on which shares of our Class A common stock are sold under the sales agreement. Each confirmation will include the number of shares sold on that day, the aggregate gross proceeds of such sales and the proceeds to us.</w:t>
      </w:r>
    </w:p>
    <w:p>
      <w:pPr>
        <w:spacing w:after="0" w:line="144" w:lineRule="exact"/>
        <w:rPr>
          <w:sz w:val="20"/>
          <w:szCs w:val="20"/>
          <w:color w:val="auto"/>
        </w:rPr>
      </w:pPr>
    </w:p>
    <w:p>
      <w:pPr>
        <w:ind w:left="1480" w:right="419" w:firstLine="334"/>
        <w:spacing w:after="0" w:line="251" w:lineRule="auto"/>
        <w:rPr>
          <w:sz w:val="20"/>
          <w:szCs w:val="20"/>
          <w:color w:val="auto"/>
        </w:rPr>
      </w:pPr>
      <w:r>
        <w:rPr>
          <w:rFonts w:ascii="Times New Roman" w:cs="Times New Roman" w:eastAsia="Times New Roman" w:hAnsi="Times New Roman"/>
          <w:sz w:val="14"/>
          <w:szCs w:val="14"/>
          <w:color w:val="auto"/>
        </w:rPr>
        <w:t>In connection with the sale of shares of our Class A common stock on our behalf, Jefferies may be deemed to be an “underwriter” within the meaning of the Securities Act, and the compensation of Jefferies may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45" w:lineRule="exact"/>
        <w:rPr>
          <w:sz w:val="20"/>
          <w:szCs w:val="20"/>
          <w:color w:val="auto"/>
        </w:rPr>
      </w:pPr>
    </w:p>
    <w:p>
      <w:pPr>
        <w:ind w:left="1480" w:right="479" w:firstLine="334"/>
        <w:spacing w:after="0" w:line="254" w:lineRule="auto"/>
        <w:rPr>
          <w:sz w:val="20"/>
          <w:szCs w:val="20"/>
          <w:color w:val="auto"/>
        </w:rPr>
      </w:pPr>
      <w:r>
        <w:rPr>
          <w:rFonts w:ascii="Times New Roman" w:cs="Times New Roman" w:eastAsia="Times New Roman" w:hAnsi="Times New Roman"/>
          <w:sz w:val="14"/>
          <w:szCs w:val="14"/>
          <w:color w:val="auto"/>
        </w:rPr>
        <w:t>The offering of shares of our Class A common stock pursuant to the sales agreement will terminate upon the earlier of (i) the sale of all shares of Class A common stock subject to the sales agreement and (ii) the termination of the sales agreement as permitted therein. We and Jefferies may each terminate the sales agreement at any time upon ten days’ prior notice.</w:t>
      </w:r>
    </w:p>
    <w:p>
      <w:pPr>
        <w:spacing w:after="0" w:line="144" w:lineRule="exact"/>
        <w:rPr>
          <w:sz w:val="20"/>
          <w:szCs w:val="20"/>
          <w:color w:val="auto"/>
        </w:rPr>
      </w:pPr>
    </w:p>
    <w:p>
      <w:pPr>
        <w:ind w:left="1480" w:right="379" w:firstLine="334"/>
        <w:spacing w:after="0" w:line="265" w:lineRule="auto"/>
        <w:rPr>
          <w:sz w:val="20"/>
          <w:szCs w:val="20"/>
          <w:color w:val="auto"/>
        </w:rPr>
      </w:pPr>
      <w:r>
        <w:rPr>
          <w:rFonts w:ascii="Times New Roman" w:cs="Times New Roman" w:eastAsia="Times New Roman" w:hAnsi="Times New Roman"/>
          <w:sz w:val="14"/>
          <w:szCs w:val="14"/>
          <w:color w:val="auto"/>
        </w:rPr>
        <w:t>This summary of the material provisions of the sales agreement does not purport to be a complete statement of its terms and conditions. A copy of the sales agreement is filed as an exhibit to the registration statement of which this prospectus forms a part.</w:t>
      </w:r>
    </w:p>
    <w:p>
      <w:pPr>
        <w:spacing w:after="0" w:line="136" w:lineRule="exact"/>
        <w:rPr>
          <w:sz w:val="20"/>
          <w:szCs w:val="20"/>
          <w:color w:val="auto"/>
        </w:rPr>
      </w:pPr>
    </w:p>
    <w:p>
      <w:pPr>
        <w:ind w:left="1480" w:right="759" w:firstLine="334"/>
        <w:spacing w:after="0" w:line="265" w:lineRule="auto"/>
        <w:rPr>
          <w:sz w:val="20"/>
          <w:szCs w:val="20"/>
          <w:color w:val="auto"/>
        </w:rPr>
      </w:pPr>
      <w:r>
        <w:rPr>
          <w:rFonts w:ascii="Times New Roman" w:cs="Times New Roman" w:eastAsia="Times New Roman" w:hAnsi="Times New Roman"/>
          <w:sz w:val="14"/>
          <w:szCs w:val="14"/>
          <w:color w:val="auto"/>
        </w:rPr>
        <w:t>Our Class A common stock is listed on the Nasdaq Capital Market and trades under the symbol “PROK.” The transfer agent of our Class A common stock is Continental Stock Transfer &amp; Trust Company.</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10159"/>
          </w:cols>
          <w:pgMar w:left="300" w:top="379"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419" w:firstLine="334"/>
        <w:spacing w:after="0" w:line="251" w:lineRule="auto"/>
        <w:rPr>
          <w:sz w:val="20"/>
          <w:szCs w:val="20"/>
          <w:color w:val="auto"/>
        </w:rPr>
      </w:pPr>
      <w:r>
        <w:rPr>
          <w:rFonts w:ascii="Times New Roman" w:cs="Times New Roman" w:eastAsia="Times New Roman" w:hAnsi="Times New Roman"/>
          <w:sz w:val="14"/>
          <w:szCs w:val="14"/>
          <w:color w:val="auto"/>
        </w:rPr>
        <w:t>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145" w:lineRule="exact"/>
        <w:rPr>
          <w:sz w:val="20"/>
          <w:szCs w:val="20"/>
          <w:color w:val="auto"/>
        </w:rPr>
      </w:pPr>
    </w:p>
    <w:p>
      <w:pPr>
        <w:ind w:left="1480" w:right="839" w:firstLine="334"/>
        <w:spacing w:after="0" w:line="265" w:lineRule="auto"/>
        <w:rPr>
          <w:sz w:val="20"/>
          <w:szCs w:val="20"/>
          <w:color w:val="auto"/>
        </w:rPr>
      </w:pPr>
      <w:r>
        <w:rPr>
          <w:rFonts w:ascii="Times New Roman" w:cs="Times New Roman" w:eastAsia="Times New Roman" w:hAnsi="Times New Roman"/>
          <w:sz w:val="14"/>
          <w:szCs w:val="14"/>
          <w:color w:val="auto"/>
        </w:rPr>
        <w:t>A prospectus in electronic format may be made available on a website maintained by Jefferies, and Jefferies may distribute the prospectus electronically.</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10159"/>
          </w:cols>
          <w:pgMar w:left="300" w:top="378"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0" w:lineRule="exact"/>
        <w:rPr>
          <w:sz w:val="20"/>
          <w:szCs w:val="20"/>
          <w:color w:val="auto"/>
        </w:rPr>
      </w:pPr>
    </w:p>
    <w:p>
      <w:pPr>
        <w:ind w:left="1480" w:right="959" w:firstLine="334"/>
        <w:spacing w:after="0" w:line="265" w:lineRule="auto"/>
        <w:rPr>
          <w:sz w:val="20"/>
          <w:szCs w:val="20"/>
          <w:color w:val="auto"/>
        </w:rPr>
      </w:pPr>
      <w:r>
        <w:rPr>
          <w:rFonts w:ascii="Times New Roman" w:cs="Times New Roman" w:eastAsia="Times New Roman" w:hAnsi="Times New Roman"/>
          <w:sz w:val="14"/>
          <w:szCs w:val="14"/>
          <w:color w:val="auto"/>
        </w:rPr>
        <w:t>Mintz, Levin, Cohn, Ferris, Glovsky and Popeo, P.C., Boston, Massachusetts, will pass upon the validity of the securities offered in this prospectus. Jefferies LLC is being represented in this offering by Paul Hastings LLP, New York, New York.</w:t>
      </w:r>
    </w:p>
    <w:p>
      <w:pPr>
        <w:spacing w:after="0" w:line="29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0" w:lineRule="exact"/>
        <w:rPr>
          <w:sz w:val="20"/>
          <w:szCs w:val="20"/>
          <w:color w:val="auto"/>
        </w:rPr>
      </w:pPr>
    </w:p>
    <w:p>
      <w:pPr>
        <w:ind w:left="1480" w:right="379" w:firstLine="334"/>
        <w:spacing w:after="0" w:line="251" w:lineRule="auto"/>
        <w:rPr>
          <w:sz w:val="20"/>
          <w:szCs w:val="20"/>
          <w:color w:val="auto"/>
        </w:rPr>
      </w:pPr>
      <w:r>
        <w:rPr>
          <w:rFonts w:ascii="Times New Roman" w:cs="Times New Roman" w:eastAsia="Times New Roman" w:hAnsi="Times New Roman"/>
          <w:sz w:val="14"/>
          <w:szCs w:val="14"/>
          <w:color w:val="auto"/>
        </w:rPr>
        <w:t>Ernst &amp; Young LLP, independent registered public accounting firm, has audited our consolidated financial statements included in our Annual Report on Form 10-K for the year ended December 31, 2025,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3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0" w:lineRule="exact"/>
        <w:rPr>
          <w:sz w:val="20"/>
          <w:szCs w:val="20"/>
          <w:color w:val="auto"/>
        </w:rPr>
      </w:pPr>
    </w:p>
    <w:p>
      <w:pPr>
        <w:ind w:left="1480" w:right="779" w:firstLine="334"/>
        <w:spacing w:after="0" w:line="265" w:lineRule="auto"/>
        <w:rPr>
          <w:sz w:val="20"/>
          <w:szCs w:val="20"/>
          <w:color w:val="auto"/>
        </w:rPr>
      </w:pPr>
      <w:r>
        <w:rPr>
          <w:rFonts w:ascii="Times New Roman" w:cs="Times New Roman" w:eastAsia="Times New Roman" w:hAnsi="Times New Roman"/>
          <w:sz w:val="14"/>
          <w:szCs w:val="14"/>
          <w:color w:val="auto"/>
        </w:rPr>
        <w:t xml:space="preserve">We are subject to the reporting requirements of the Exchange Act and file annual, quarterly and current reports, proxy statements and other information with the SEC. SEC filings are available at the SEC’s web site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1480" w:right="459" w:firstLine="334"/>
        <w:spacing w:after="0" w:line="251" w:lineRule="auto"/>
        <w:rPr>
          <w:sz w:val="20"/>
          <w:szCs w:val="20"/>
          <w:color w:val="auto"/>
        </w:rPr>
      </w:pPr>
      <w:r>
        <w:rPr>
          <w:rFonts w:ascii="Times New Roman" w:cs="Times New Roman" w:eastAsia="Times New Roman" w:hAnsi="Times New Roman"/>
          <w:sz w:val="14"/>
          <w:szCs w:val="14"/>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spacing w:after="0" w:line="141" w:lineRule="exact"/>
        <w:rPr>
          <w:sz w:val="20"/>
          <w:szCs w:val="20"/>
          <w:color w:val="auto"/>
        </w:rPr>
      </w:pPr>
    </w:p>
    <w:p>
      <w:pPr>
        <w:ind w:left="1480" w:right="419" w:firstLine="334"/>
        <w:spacing w:after="0" w:line="271" w:lineRule="auto"/>
        <w:rPr>
          <w:sz w:val="20"/>
          <w:szCs w:val="20"/>
          <w:color w:val="auto"/>
        </w:rPr>
      </w:pPr>
      <w:r>
        <w:rPr>
          <w:rFonts w:ascii="Times New Roman" w:cs="Times New Roman" w:eastAsia="Times New Roman" w:hAnsi="Times New Roman"/>
          <w:sz w:val="14"/>
          <w:szCs w:val="14"/>
          <w:color w:val="auto"/>
        </w:rPr>
        <w:t xml:space="preserve">We also maintain a website at </w:t>
      </w:r>
      <w:r>
        <w:rPr>
          <w:rFonts w:ascii="Times New Roman" w:cs="Times New Roman" w:eastAsia="Times New Roman" w:hAnsi="Times New Roman"/>
          <w:sz w:val="14"/>
          <w:szCs w:val="14"/>
          <w:i w:val="1"/>
          <w:iCs w:val="1"/>
          <w:color w:val="auto"/>
        </w:rPr>
        <w:t>www.prokidney.com,</w:t>
      </w:r>
      <w:r>
        <w:rPr>
          <w:rFonts w:ascii="Times New Roman" w:cs="Times New Roman" w:eastAsia="Times New Roman" w:hAnsi="Times New Roman"/>
          <w:sz w:val="14"/>
          <w:szCs w:val="14"/>
          <w:color w:val="auto"/>
        </w:rPr>
        <w:t xml:space="preserve"> through which you can access our SEC filings. The information set forth on our website is not part of this prospectus.</w:t>
      </w:r>
    </w:p>
    <w:p>
      <w:pPr>
        <w:spacing w:after="0" w:line="8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10159"/>
          </w:cols>
          <w:pgMar w:left="300" w:top="379"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auto"/>
        </w:rPr>
        <w:t>INCORPORATION OF CERTAIN DOCUMENTS BY REFERENCE</w:t>
      </w:r>
    </w:p>
    <w:p>
      <w:pPr>
        <w:spacing w:after="0" w:line="170" w:lineRule="exact"/>
        <w:rPr>
          <w:sz w:val="20"/>
          <w:szCs w:val="20"/>
          <w:color w:val="auto"/>
        </w:rPr>
      </w:pPr>
    </w:p>
    <w:p>
      <w:pPr>
        <w:ind w:left="1480" w:right="359" w:firstLine="334"/>
        <w:spacing w:after="0" w:line="268" w:lineRule="auto"/>
        <w:rPr>
          <w:sz w:val="20"/>
          <w:szCs w:val="20"/>
          <w:color w:val="auto"/>
        </w:rPr>
      </w:pPr>
      <w:r>
        <w:rPr>
          <w:rFonts w:ascii="Times New Roman" w:cs="Times New Roman" w:eastAsia="Times New Roman" w:hAnsi="Times New Roman"/>
          <w:sz w:val="13"/>
          <w:szCs w:val="13"/>
          <w:color w:val="auto"/>
        </w:rPr>
        <w:t>The SEC allows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from the SEC’s website at http://www.sec.gov. The documents we are incorporating by reference are:</w:t>
      </w:r>
    </w:p>
    <w:p>
      <w:pPr>
        <w:spacing w:after="0" w:line="63" w:lineRule="exact"/>
        <w:rPr>
          <w:sz w:val="20"/>
          <w:szCs w:val="20"/>
          <w:color w:val="auto"/>
        </w:rPr>
      </w:pPr>
    </w:p>
    <w:p>
      <w:pPr>
        <w:ind w:left="2200" w:hanging="321"/>
        <w:spacing w:after="0"/>
        <w:tabs>
          <w:tab w:leader="none" w:pos="22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57">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with the SEC on March 18, 2026;</w:t>
      </w:r>
    </w:p>
    <w:p>
      <w:pPr>
        <w:spacing w:after="0" w:line="94" w:lineRule="exact"/>
        <w:rPr>
          <w:rFonts w:ascii="Times New Roman" w:cs="Times New Roman" w:eastAsia="Times New Roman" w:hAnsi="Times New Roman"/>
          <w:sz w:val="14"/>
          <w:szCs w:val="14"/>
          <w:color w:val="auto"/>
        </w:rPr>
      </w:pPr>
    </w:p>
    <w:p>
      <w:pPr>
        <w:ind w:left="2200" w:right="559" w:hanging="321"/>
        <w:spacing w:after="0" w:line="265" w:lineRule="auto"/>
        <w:tabs>
          <w:tab w:leader="none" w:pos="22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Form 10-Q for the quarters ended </w:t>
      </w:r>
      <w:hyperlink r:id="rId58">
        <w:r>
          <w:rPr>
            <w:rFonts w:ascii="Times New Roman" w:cs="Times New Roman" w:eastAsia="Times New Roman" w:hAnsi="Times New Roman"/>
            <w:sz w:val="14"/>
            <w:szCs w:val="14"/>
            <w:u w:val="single" w:color="auto"/>
            <w:color w:val="0000EE"/>
          </w:rPr>
          <w:t>March 31,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59">
        <w:r>
          <w:rPr>
            <w:rFonts w:ascii="Times New Roman" w:cs="Times New Roman" w:eastAsia="Times New Roman" w:hAnsi="Times New Roman"/>
            <w:sz w:val="14"/>
            <w:szCs w:val="14"/>
            <w:u w:val="single" w:color="auto"/>
            <w:color w:val="0000EE"/>
          </w:rPr>
          <w:t>June 30, 2026</w:t>
        </w:r>
      </w:hyperlink>
      <w:r>
        <w:rPr>
          <w:rFonts w:ascii="Times New Roman" w:cs="Times New Roman" w:eastAsia="Times New Roman" w:hAnsi="Times New Roman"/>
          <w:sz w:val="14"/>
          <w:szCs w:val="14"/>
          <w:color w:val="auto"/>
        </w:rPr>
        <w:t>, filed with the SEC on May 15, 2026 and August 10, 2026, respectively;</w:t>
      </w:r>
    </w:p>
    <w:p>
      <w:pPr>
        <w:spacing w:after="0" w:line="63" w:lineRule="exact"/>
        <w:rPr>
          <w:rFonts w:ascii="Times New Roman" w:cs="Times New Roman" w:eastAsia="Times New Roman" w:hAnsi="Times New Roman"/>
          <w:sz w:val="14"/>
          <w:szCs w:val="14"/>
          <w:color w:val="auto"/>
        </w:rPr>
      </w:pPr>
    </w:p>
    <w:p>
      <w:pPr>
        <w:ind w:left="2200" w:right="619" w:hanging="321"/>
        <w:spacing w:after="0" w:line="265" w:lineRule="auto"/>
        <w:tabs>
          <w:tab w:leader="none" w:pos="22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portions of our Definitive Proxy Statement on </w:t>
      </w:r>
      <w:hyperlink r:id="rId60">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April 17, 2026 that are deemed “filed” with the SEC under the Exchange Act;</w:t>
      </w:r>
    </w:p>
    <w:p>
      <w:pPr>
        <w:spacing w:after="0" w:line="63" w:lineRule="exact"/>
        <w:rPr>
          <w:rFonts w:ascii="Times New Roman" w:cs="Times New Roman" w:eastAsia="Times New Roman" w:hAnsi="Times New Roman"/>
          <w:sz w:val="14"/>
          <w:szCs w:val="14"/>
          <w:color w:val="auto"/>
        </w:rPr>
      </w:pPr>
    </w:p>
    <w:p>
      <w:pPr>
        <w:ind w:left="2200" w:hanging="321"/>
        <w:spacing w:after="0"/>
        <w:tabs>
          <w:tab w:leader="none" w:pos="22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61">
        <w:r>
          <w:rPr>
            <w:rFonts w:ascii="Times New Roman" w:cs="Times New Roman" w:eastAsia="Times New Roman" w:hAnsi="Times New Roman"/>
            <w:sz w:val="14"/>
            <w:szCs w:val="14"/>
            <w:u w:val="single" w:color="auto"/>
            <w:color w:val="0000EE"/>
          </w:rPr>
          <w:t>February 2, 2026</w:t>
        </w:r>
      </w:hyperlink>
      <w:r>
        <w:rPr>
          <w:rFonts w:ascii="Times New Roman" w:cs="Times New Roman" w:eastAsia="Times New Roman" w:hAnsi="Times New Roman"/>
          <w:sz w:val="14"/>
          <w:szCs w:val="14"/>
          <w:color w:val="auto"/>
        </w:rPr>
        <w:t xml:space="preserve">, </w:t>
      </w:r>
      <w:hyperlink r:id="rId62">
        <w:r>
          <w:rPr>
            <w:rFonts w:ascii="Times New Roman" w:cs="Times New Roman" w:eastAsia="Times New Roman" w:hAnsi="Times New Roman"/>
            <w:sz w:val="14"/>
            <w:szCs w:val="14"/>
            <w:u w:val="single" w:color="auto"/>
            <w:color w:val="0000EE"/>
          </w:rPr>
          <w:t>May 15, 2026</w:t>
        </w:r>
      </w:hyperlink>
      <w:r>
        <w:rPr>
          <w:rFonts w:ascii="Times New Roman" w:cs="Times New Roman" w:eastAsia="Times New Roman" w:hAnsi="Times New Roman"/>
          <w:sz w:val="14"/>
          <w:szCs w:val="14"/>
          <w:color w:val="auto"/>
        </w:rPr>
        <w:t xml:space="preserve">, and </w:t>
      </w:r>
      <w:hyperlink r:id="rId63">
        <w:r>
          <w:rPr>
            <w:rFonts w:ascii="Times New Roman" w:cs="Times New Roman" w:eastAsia="Times New Roman" w:hAnsi="Times New Roman"/>
            <w:sz w:val="14"/>
            <w:szCs w:val="14"/>
            <w:u w:val="single" w:color="auto"/>
            <w:color w:val="0000EE"/>
          </w:rPr>
          <w:t>May 29, 2026</w:t>
        </w:r>
      </w:hyperlink>
      <w:r>
        <w:rPr>
          <w:rFonts w:ascii="Times New Roman" w:cs="Times New Roman" w:eastAsia="Times New Roman" w:hAnsi="Times New Roman"/>
          <w:sz w:val="14"/>
          <w:szCs w:val="14"/>
          <w:color w:val="auto"/>
        </w:rPr>
        <w:t>;</w:t>
      </w:r>
    </w:p>
    <w:p>
      <w:pPr>
        <w:spacing w:after="0" w:line="94" w:lineRule="exact"/>
        <w:rPr>
          <w:rFonts w:ascii="Times New Roman" w:cs="Times New Roman" w:eastAsia="Times New Roman" w:hAnsi="Times New Roman"/>
          <w:sz w:val="14"/>
          <w:szCs w:val="14"/>
          <w:color w:val="auto"/>
        </w:rPr>
      </w:pPr>
    </w:p>
    <w:p>
      <w:pPr>
        <w:ind w:left="2200" w:right="759" w:hanging="321"/>
        <w:spacing w:after="0" w:line="265" w:lineRule="auto"/>
        <w:tabs>
          <w:tab w:leader="none" w:pos="22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Class A common stock contained in </w:t>
      </w:r>
      <w:hyperlink r:id="rId64">
        <w:r>
          <w:rPr>
            <w:rFonts w:ascii="Times New Roman" w:cs="Times New Roman" w:eastAsia="Times New Roman" w:hAnsi="Times New Roman"/>
            <w:sz w:val="14"/>
            <w:szCs w:val="14"/>
            <w:u w:val="single" w:color="auto"/>
            <w:color w:val="0000EE"/>
          </w:rPr>
          <w:t>Exhibit 4.1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fiscal year ended December 31, 2025, including any amendment or report filed for the purpose of updating such description; and</w:t>
      </w:r>
    </w:p>
    <w:p>
      <w:pPr>
        <w:spacing w:after="0" w:line="63" w:lineRule="exact"/>
        <w:rPr>
          <w:rFonts w:ascii="Times New Roman" w:cs="Times New Roman" w:eastAsia="Times New Roman" w:hAnsi="Times New Roman"/>
          <w:sz w:val="14"/>
          <w:szCs w:val="14"/>
          <w:color w:val="auto"/>
        </w:rPr>
      </w:pPr>
    </w:p>
    <w:p>
      <w:pPr>
        <w:ind w:left="2200" w:right="399" w:hanging="321"/>
        <w:spacing w:after="0" w:line="254" w:lineRule="auto"/>
        <w:tabs>
          <w:tab w:leader="none" w:pos="22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44" w:lineRule="exact"/>
        <w:rPr>
          <w:rFonts w:ascii="Times New Roman" w:cs="Times New Roman" w:eastAsia="Times New Roman" w:hAnsi="Times New Roman"/>
          <w:sz w:val="14"/>
          <w:szCs w:val="14"/>
          <w:color w:val="auto"/>
        </w:rPr>
      </w:pPr>
    </w:p>
    <w:p>
      <w:pPr>
        <w:jc w:val="both"/>
        <w:ind w:left="1480" w:right="659" w:firstLine="334"/>
        <w:spacing w:after="0" w:line="304" w:lineRule="auto"/>
        <w:rPr>
          <w:sz w:val="20"/>
          <w:szCs w:val="20"/>
          <w:color w:val="auto"/>
        </w:rPr>
      </w:pPr>
      <w:r>
        <w:rPr>
          <w:rFonts w:ascii="Times New Roman" w:cs="Times New Roman" w:eastAsia="Times New Roman" w:hAnsi="Times New Roman"/>
          <w:sz w:val="13"/>
          <w:szCs w:val="13"/>
          <w:color w:val="auto"/>
        </w:rPr>
        <w:t>In addition, all reports and other documents filed by us pursuant to the Exchange Act after the date of the registration statement of which this prospectus is a part and prior to the effectiveness of the registration statement shall be deemed to be incorporated by reference into this prospectus.</w:t>
      </w:r>
    </w:p>
    <w:p>
      <w:pPr>
        <w:spacing w:after="0" w:line="112" w:lineRule="exact"/>
        <w:rPr>
          <w:rFonts w:ascii="Times New Roman" w:cs="Times New Roman" w:eastAsia="Times New Roman" w:hAnsi="Times New Roman"/>
          <w:sz w:val="14"/>
          <w:szCs w:val="14"/>
          <w:color w:val="auto"/>
        </w:rPr>
      </w:pPr>
    </w:p>
    <w:p>
      <w:pPr>
        <w:ind w:left="1480" w:right="359" w:firstLine="334"/>
        <w:spacing w:after="0" w:line="249" w:lineRule="auto"/>
        <w:rPr>
          <w:sz w:val="20"/>
          <w:szCs w:val="20"/>
          <w:color w:val="auto"/>
        </w:rPr>
      </w:pPr>
      <w:r>
        <w:rPr>
          <w:rFonts w:ascii="Times New Roman" w:cs="Times New Roman" w:eastAsia="Times New Roman" w:hAnsi="Times New Roman"/>
          <w:sz w:val="14"/>
          <w:szCs w:val="14"/>
          <w:color w:val="auto"/>
        </w:rPr>
        <w:t>We are not, however, incorporating by reference any documents or portions thereof, whether specifically listed above or filed in the future, that are not deemed “filed” with the SEC, including our compensation committee report, performance graph and the certifications of our chief executive officer and chief financial officer required by Rule 13a-14(b) or Rule 15d-14(b) under the Exchange Act and Section 1350 of Chapter 63 of Title 18 of the United States Code (included in or accompanying our latest Annual Report on Form 10-K incorporated by reference herein) or any information furnished pursuant to Items 2.02 or 7.01 of Form 8-K or certain exhibits furnished pursuant to Item 9.01 of Form 8-K.</w:t>
      </w:r>
    </w:p>
    <w:p>
      <w:pPr>
        <w:spacing w:after="0" w:line="147" w:lineRule="exact"/>
        <w:rPr>
          <w:rFonts w:ascii="Times New Roman" w:cs="Times New Roman" w:eastAsia="Times New Roman" w:hAnsi="Times New Roman"/>
          <w:sz w:val="14"/>
          <w:szCs w:val="14"/>
          <w:color w:val="auto"/>
        </w:rPr>
      </w:pPr>
    </w:p>
    <w:p>
      <w:pPr>
        <w:ind w:left="1480" w:right="359" w:firstLine="334"/>
        <w:spacing w:after="0" w:line="251" w:lineRule="auto"/>
        <w:rPr>
          <w:sz w:val="20"/>
          <w:szCs w:val="20"/>
          <w:color w:val="auto"/>
        </w:rPr>
      </w:pPr>
      <w:r>
        <w:rPr>
          <w:rFonts w:ascii="Times New Roman" w:cs="Times New Roman" w:eastAsia="Times New Roman" w:hAnsi="Times New Roman"/>
          <w:sz w:val="14"/>
          <w:szCs w:val="14"/>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94" w:lineRule="exact"/>
        <w:rPr>
          <w:rFonts w:ascii="Times New Roman" w:cs="Times New Roman" w:eastAsia="Times New Roman" w:hAnsi="Times New Roman"/>
          <w:sz w:val="14"/>
          <w:szCs w:val="14"/>
          <w:color w:val="auto"/>
        </w:rPr>
      </w:pPr>
    </w:p>
    <w:p>
      <w:pPr>
        <w:ind w:left="5520"/>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10159"/>
          </w:cols>
          <w:pgMar w:left="300" w:top="379"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339" w:firstLine="334"/>
        <w:spacing w:after="0" w:line="265" w:lineRule="auto"/>
        <w:rPr>
          <w:sz w:val="20"/>
          <w:szCs w:val="20"/>
          <w:color w:val="auto"/>
        </w:rPr>
      </w:pPr>
      <w:r>
        <w:rPr>
          <w:rFonts w:ascii="Times New Roman" w:cs="Times New Roman" w:eastAsia="Times New Roman" w:hAnsi="Times New Roman"/>
          <w:sz w:val="14"/>
          <w:szCs w:val="14"/>
          <w:color w:val="auto"/>
        </w:rPr>
        <w:t>You may request, orally or in writing, a copy of any or all of the documents incorporated herein by reference. These documents will be provided to you at no cost, by contacting:</w:t>
      </w:r>
    </w:p>
    <w:p>
      <w:pPr>
        <w:spacing w:after="0" w:line="5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ProKidney Corp.</w:t>
      </w:r>
    </w:p>
    <w:p>
      <w:pPr>
        <w:spacing w:after="0" w:line="1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c/o 2000 Frontis Plaza Blvd, Suite 250</w:t>
      </w:r>
    </w:p>
    <w:p>
      <w:pPr>
        <w:spacing w:after="0" w:line="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Winston-Salem, NC 27103</w:t>
      </w:r>
    </w:p>
    <w:p>
      <w:pPr>
        <w:spacing w:after="0" w:line="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Attn: Secretary</w:t>
      </w:r>
    </w:p>
    <w:p>
      <w:pPr>
        <w:spacing w:after="0" w:line="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Telephone: (336) 999-7028</w:t>
      </w:r>
    </w:p>
    <w:p>
      <w:pPr>
        <w:spacing w:after="0" w:line="151" w:lineRule="exact"/>
        <w:rPr>
          <w:sz w:val="20"/>
          <w:szCs w:val="20"/>
          <w:color w:val="auto"/>
        </w:rPr>
      </w:pPr>
    </w:p>
    <w:p>
      <w:pPr>
        <w:ind w:left="1480" w:right="459" w:firstLine="334"/>
        <w:spacing w:after="0" w:line="311" w:lineRule="auto"/>
        <w:rPr>
          <w:sz w:val="20"/>
          <w:szCs w:val="20"/>
          <w:color w:val="auto"/>
        </w:rPr>
      </w:pPr>
      <w:r>
        <w:rPr>
          <w:rFonts w:ascii="Times New Roman" w:cs="Times New Roman" w:eastAsia="Times New Roman" w:hAnsi="Times New Roman"/>
          <w:sz w:val="13"/>
          <w:szCs w:val="13"/>
          <w:color w:val="auto"/>
        </w:rPr>
        <w:t xml:space="preserve">You may also access these documents on our website, </w:t>
      </w:r>
      <w:r>
        <w:rPr>
          <w:rFonts w:ascii="Times New Roman" w:cs="Times New Roman" w:eastAsia="Times New Roman" w:hAnsi="Times New Roman"/>
          <w:sz w:val="13"/>
          <w:szCs w:val="13"/>
          <w:i w:val="1"/>
          <w:iCs w:val="1"/>
          <w:color w:val="auto"/>
        </w:rPr>
        <w:t>http://www.prokidney.com</w:t>
      </w:r>
      <w:r>
        <w:rPr>
          <w:rFonts w:ascii="Times New Roman" w:cs="Times New Roman" w:eastAsia="Times New Roman" w:hAnsi="Times New Roman"/>
          <w:sz w:val="13"/>
          <w:szCs w:val="13"/>
          <w:color w:val="auto"/>
        </w:rPr>
        <w:t>. The information contained on, or that can be accessed through, our website is not a part of this prospectus. We have included our website address in this prospectus solely as an inactive textual reference.</w:t>
      </w:r>
    </w:p>
    <w:p>
      <w:pPr>
        <w:spacing w:after="0" w:line="108" w:lineRule="exact"/>
        <w:rPr>
          <w:sz w:val="20"/>
          <w:szCs w:val="20"/>
          <w:color w:val="auto"/>
        </w:rPr>
      </w:pPr>
    </w:p>
    <w:p>
      <w:pPr>
        <w:ind w:left="1480" w:right="359" w:firstLine="334"/>
        <w:spacing w:after="0" w:line="251" w:lineRule="auto"/>
        <w:rPr>
          <w:sz w:val="20"/>
          <w:szCs w:val="20"/>
          <w:color w:val="auto"/>
        </w:rPr>
      </w:pPr>
      <w:r>
        <w:rPr>
          <w:rFonts w:ascii="Times New Roman" w:cs="Times New Roman" w:eastAsia="Times New Roman" w:hAnsi="Times New Roman"/>
          <w:sz w:val="14"/>
          <w:szCs w:val="14"/>
          <w:color w:val="auto"/>
        </w:rPr>
        <w:t>You should rely only on information contained in, or incorporated by reference into, this prospectus.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10159"/>
          </w:cols>
          <w:pgMar w:left="300" w:top="379"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936625</wp:posOffset>
            </wp:positionH>
            <wp:positionV relativeFrom="paragraph">
              <wp:posOffset>188595</wp:posOffset>
            </wp:positionV>
            <wp:extent cx="5300980" cy="12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5300980" cy="12700"/>
                    </a:xfrm>
                    <a:prstGeom prst="rect">
                      <a:avLst/>
                    </a:prstGeom>
                    <a:noFill/>
                  </pic:spPr>
                </pic:pic>
              </a:graphicData>
            </a:graphic>
          </wp:anchor>
        </w:drawing>
        <w:drawing>
          <wp:anchor simplePos="0" relativeHeight="251657728" behindDoc="1" locked="0" layoutInCell="0" allowOverlap="1">
            <wp:simplePos x="0" y="0"/>
            <wp:positionH relativeFrom="column">
              <wp:posOffset>936625</wp:posOffset>
            </wp:positionH>
            <wp:positionV relativeFrom="paragraph">
              <wp:posOffset>227330</wp:posOffset>
            </wp:positionV>
            <wp:extent cx="530098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5300980" cy="635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844550</wp:posOffset>
            </wp:positionV>
            <wp:extent cx="1019810" cy="2012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1019810" cy="201295"/>
                    </a:xfrm>
                    <a:prstGeom prst="rect">
                      <a:avLst/>
                    </a:prstGeom>
                    <a:noFill/>
                  </pic:spPr>
                </pic:pic>
              </a:graphicData>
            </a:graphic>
          </wp:anchor>
        </w:drawing>
      </w:r>
    </w:p>
    <w:p>
      <w:pPr>
        <w:sectPr>
          <w:pgSz w:w="11900" w:h="16838" w:orient="portrait"/>
          <w:cols w:equalWidth="0" w:num="1">
            <w:col w:w="10159"/>
          </w:cols>
          <w:pgMar w:left="300" w:top="3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b w:val="1"/>
          <w:bCs w:val="1"/>
          <w:color w:val="auto"/>
        </w:rPr>
        <w:t>Up to $200,000,000</w:t>
      </w:r>
    </w:p>
    <w:p>
      <w:pPr>
        <w:spacing w:after="0" w:line="33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3028315</wp:posOffset>
            </wp:positionH>
            <wp:positionV relativeFrom="paragraph">
              <wp:posOffset>1075690</wp:posOffset>
            </wp:positionV>
            <wp:extent cx="111061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111061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3028315</wp:posOffset>
            </wp:positionH>
            <wp:positionV relativeFrom="paragraph">
              <wp:posOffset>243205</wp:posOffset>
            </wp:positionV>
            <wp:extent cx="111061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111061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b w:val="1"/>
          <w:bCs w:val="1"/>
          <w:color w:val="auto"/>
        </w:rPr>
        <w:t>Jefferies</w:t>
      </w:r>
    </w:p>
    <w:p>
      <w:pPr>
        <w:spacing w:after="0" w:line="34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936625</wp:posOffset>
            </wp:positionH>
            <wp:positionV relativeFrom="paragraph">
              <wp:posOffset>616585</wp:posOffset>
            </wp:positionV>
            <wp:extent cx="530098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5300980" cy="6350"/>
                    </a:xfrm>
                    <a:prstGeom prst="rect">
                      <a:avLst/>
                    </a:prstGeom>
                    <a:noFill/>
                  </pic:spPr>
                </pic:pic>
              </a:graphicData>
            </a:graphic>
          </wp:anchor>
        </w:drawing>
        <w:drawing>
          <wp:anchor simplePos="0" relativeHeight="251657728" behindDoc="1" locked="0" layoutInCell="0" allowOverlap="1">
            <wp:simplePos x="0" y="0"/>
            <wp:positionH relativeFrom="column">
              <wp:posOffset>936625</wp:posOffset>
            </wp:positionH>
            <wp:positionV relativeFrom="paragraph">
              <wp:posOffset>662305</wp:posOffset>
            </wp:positionV>
            <wp:extent cx="5300980"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5300980" cy="12700"/>
                    </a:xfrm>
                    <a:prstGeom prst="rect">
                      <a:avLst/>
                    </a:prstGeom>
                    <a:noFill/>
                  </pic:spPr>
                </pic:pic>
              </a:graphicData>
            </a:graphic>
          </wp:anchor>
        </w:drawing>
      </w:r>
    </w:p>
    <w:p>
      <w:pPr>
        <w:sectPr>
          <w:pgSz w:w="11900" w:h="16838" w:orient="portrait"/>
          <w:cols w:equalWidth="0" w:num="1">
            <w:col w:w="10159"/>
          </w:cols>
          <w:pgMar w:left="300" w:top="379" w:right="1440"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5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89" w:lineRule="exact"/>
        <w:rPr>
          <w:sz w:val="20"/>
          <w:szCs w:val="20"/>
          <w:color w:val="auto"/>
        </w:rPr>
      </w:pPr>
    </w:p>
    <w:p>
      <w:pPr>
        <w:ind w:left="1480" w:right="459" w:firstLine="334"/>
        <w:spacing w:after="0" w:line="265" w:lineRule="auto"/>
        <w:rPr>
          <w:sz w:val="20"/>
          <w:szCs w:val="20"/>
          <w:color w:val="auto"/>
        </w:rPr>
      </w:pPr>
      <w:r>
        <w:rPr>
          <w:rFonts w:ascii="Times New Roman" w:cs="Times New Roman" w:eastAsia="Times New Roman" w:hAnsi="Times New Roman"/>
          <w:sz w:val="14"/>
          <w:szCs w:val="14"/>
          <w:color w:val="auto"/>
        </w:rPr>
        <w:t>The following expenses incurred in connection with the sale of the securities being registered will be borne by the registrant. Other than the SEC registration fee and the FINRA filing fee, the amounts stated are estimates.</w:t>
      </w:r>
    </w:p>
    <w:p>
      <w:pPr>
        <w:spacing w:after="0" w:line="169" w:lineRule="exact"/>
        <w:rPr>
          <w:sz w:val="20"/>
          <w:szCs w:val="20"/>
          <w:color w:val="auto"/>
        </w:rPr>
      </w:pPr>
    </w:p>
    <w:tbl>
      <w:tblPr>
        <w:tblLayout w:type="fixed"/>
        <w:tblInd w:w="2820" w:type="dxa"/>
        <w:tblCellMar>
          <w:top w:w="0" w:type="dxa"/>
          <w:left w:w="0" w:type="dxa"/>
          <w:bottom w:w="0" w:type="dxa"/>
          <w:right w:w="0" w:type="dxa"/>
        </w:tblCellMar>
      </w:tblPr>
      <w:tr>
        <w:trPr>
          <w:trHeight w:val="164"/>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56,550</w:t>
            </w:r>
          </w:p>
        </w:tc>
      </w:tr>
      <w:tr>
        <w:trPr>
          <w:trHeight w:val="164"/>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FINRA filing fee</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4"/>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4"/>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4"/>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936625</wp:posOffset>
            </wp:positionH>
            <wp:positionV relativeFrom="paragraph">
              <wp:posOffset>57150</wp:posOffset>
            </wp:positionV>
            <wp:extent cx="57848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578485" cy="6350"/>
                    </a:xfrm>
                    <a:prstGeom prst="rect">
                      <a:avLst/>
                    </a:prstGeom>
                    <a:noFill/>
                  </pic:spPr>
                </pic:pic>
              </a:graphicData>
            </a:graphic>
          </wp:anchor>
        </w:drawing>
      </w:r>
    </w:p>
    <w:p>
      <w:pPr>
        <w:spacing w:after="0" w:line="9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  These fees are calculated based on the securities offered and the number of issuances and accordingly cannot be defined at this time.</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89" w:lineRule="exact"/>
        <w:rPr>
          <w:sz w:val="20"/>
          <w:szCs w:val="20"/>
          <w:color w:val="auto"/>
        </w:rPr>
      </w:pPr>
    </w:p>
    <w:p>
      <w:pPr>
        <w:ind w:left="1480" w:right="359" w:firstLine="334"/>
        <w:spacing w:after="0" w:line="248" w:lineRule="auto"/>
        <w:rPr>
          <w:sz w:val="20"/>
          <w:szCs w:val="20"/>
          <w:color w:val="auto"/>
        </w:rPr>
      </w:pPr>
      <w:r>
        <w:rPr>
          <w:rFonts w:ascii="Times New Roman" w:cs="Times New Roman" w:eastAsia="Times New Roman" w:hAnsi="Times New Roman"/>
          <w:sz w:val="14"/>
          <w:szCs w:val="14"/>
          <w:color w:val="auto"/>
        </w:rPr>
        <w:t>Section 102(b)(7) of the DGCL allows a corporation to provide in its certificate of incorporation that a director or officer of the corporation will not be personally liable to the corporation or its stockholders for monetary damages for breach of fiduciary duty as a director or officer, except (1) for any breach of the director’s or officer’s duty of loyalty to the corporation or its stockholders, (2) for acts or omissions by a director or officer not in good faith or which involve intentional misconduct or a knowing violation of law, (3) for payments of unlawful dividends or unlawful stock repurchases or redemptions made under a director’s administration , (4) for any transaction from which the director or officer derived an improper personal benefit or (5) an officer in any action by or in the right of the corporation.</w:t>
      </w:r>
    </w:p>
    <w:p>
      <w:pPr>
        <w:spacing w:after="0" w:line="148" w:lineRule="exact"/>
        <w:rPr>
          <w:sz w:val="20"/>
          <w:szCs w:val="20"/>
          <w:color w:val="auto"/>
        </w:rPr>
      </w:pPr>
    </w:p>
    <w:p>
      <w:pPr>
        <w:ind w:left="1480" w:right="359" w:firstLine="334"/>
        <w:spacing w:after="0" w:line="269" w:lineRule="auto"/>
        <w:rPr>
          <w:sz w:val="20"/>
          <w:szCs w:val="20"/>
          <w:color w:val="auto"/>
        </w:rPr>
      </w:pPr>
      <w:r>
        <w:rPr>
          <w:rFonts w:ascii="Times New Roman" w:cs="Times New Roman" w:eastAsia="Times New Roman" w:hAnsi="Times New Roman"/>
          <w:sz w:val="13"/>
          <w:szCs w:val="13"/>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37" w:lineRule="exact"/>
        <w:rPr>
          <w:sz w:val="20"/>
          <w:szCs w:val="20"/>
          <w:color w:val="auto"/>
        </w:rPr>
      </w:pPr>
    </w:p>
    <w:p>
      <w:pPr>
        <w:ind w:left="1480" w:right="359" w:firstLine="334"/>
        <w:spacing w:after="0" w:line="268" w:lineRule="auto"/>
        <w:rPr>
          <w:sz w:val="20"/>
          <w:szCs w:val="20"/>
          <w:color w:val="auto"/>
        </w:rPr>
      </w:pPr>
      <w:r>
        <w:rPr>
          <w:rFonts w:ascii="Times New Roman" w:cs="Times New Roman" w:eastAsia="Times New Roman" w:hAnsi="Times New Roman"/>
          <w:sz w:val="13"/>
          <w:szCs w:val="13"/>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will be made with respect to any claim, issue or matter as to which he or she will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will deem proper.</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79"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359" w:firstLine="334"/>
        <w:spacing w:after="0" w:line="249" w:lineRule="auto"/>
        <w:rPr>
          <w:sz w:val="20"/>
          <w:szCs w:val="20"/>
          <w:color w:val="auto"/>
        </w:rPr>
      </w:pPr>
      <w:r>
        <w:rPr>
          <w:rFonts w:ascii="Times New Roman" w:cs="Times New Roman" w:eastAsia="Times New Roman" w:hAnsi="Times New Roman"/>
          <w:sz w:val="14"/>
          <w:szCs w:val="14"/>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47" w:lineRule="exact"/>
        <w:rPr>
          <w:sz w:val="20"/>
          <w:szCs w:val="20"/>
          <w:color w:val="auto"/>
        </w:rPr>
      </w:pPr>
    </w:p>
    <w:p>
      <w:pPr>
        <w:ind w:left="1480" w:right="359" w:firstLine="334"/>
        <w:spacing w:after="0" w:line="268" w:lineRule="auto"/>
        <w:rPr>
          <w:sz w:val="20"/>
          <w:szCs w:val="20"/>
          <w:color w:val="auto"/>
        </w:rPr>
      </w:pPr>
      <w:r>
        <w:rPr>
          <w:rFonts w:ascii="Times New Roman" w:cs="Times New Roman" w:eastAsia="Times New Roman" w:hAnsi="Times New Roman"/>
          <w:sz w:val="13"/>
          <w:szCs w:val="13"/>
          <w:color w:val="auto"/>
        </w:rPr>
        <w:t>Our certificate of incorporation provides that no director or officer shall be personally liable to the Company or its stockholders for monetary damages for breach of fiduciary duty as a director or officer except to the extent that such exemption from liability or limitation thereof is not permitted under the DGCL as currently in effect or as the same may be amended. This provision in the certificate of incorporation does not eliminate the directors’ or officers’ fiduciary duties and, in appropriate circumstances, equitable remedies such as injunctive or other forms of non-monetary relief will remain available under Delaware law. In addition, such provision does not eliminate or limit the liability of (1) a director or officer for any breach of the director’s or officer’s duty of loyalty to the Company or its stockholders, (2) a director or officer for acts or omissions not in good faith or which involve intentional misconduct or a knowing violation of law, (3) a director under Section 174 of the DGCL, (4) a director or officer for any transaction from which the director or officer derived an improper personal benefit, or (5) an officer in any action by or in the right of the Company. The provision also does not affect a director’s or officer’s responsibilities under any other law, such as the federal securities laws or state or federal environmental laws.</w:t>
      </w:r>
    </w:p>
    <w:p>
      <w:pPr>
        <w:spacing w:after="0" w:line="135" w:lineRule="exact"/>
        <w:rPr>
          <w:sz w:val="20"/>
          <w:szCs w:val="20"/>
          <w:color w:val="auto"/>
        </w:rPr>
      </w:pPr>
    </w:p>
    <w:p>
      <w:pPr>
        <w:ind w:left="1480" w:right="379" w:firstLine="334"/>
        <w:spacing w:after="0" w:line="269" w:lineRule="auto"/>
        <w:rPr>
          <w:sz w:val="20"/>
          <w:szCs w:val="20"/>
          <w:color w:val="auto"/>
        </w:rPr>
      </w:pPr>
      <w:r>
        <w:rPr>
          <w:rFonts w:ascii="Times New Roman" w:cs="Times New Roman" w:eastAsia="Times New Roman" w:hAnsi="Times New Roman"/>
          <w:sz w:val="13"/>
          <w:szCs w:val="13"/>
          <w:color w:val="auto"/>
        </w:rPr>
        <w:t>The Company’s by-laws also provide that the Company shall indemnify its directors and officers to the fullest extent not prohibited by law, except that the Company shall not be required to indemnify any director or officer in connection with any proceeding (or part thereof) initiated by such person unless (1) such indemnification is expressly required by law, (2) the proceeding was authorized by the board of directors of the Company, (3) such indemnification is provided by the Company, in its sole discretion, pursuant to the powers vested in the Company under the DGCL or any other applicable law or (4) such indemnification is otherwise required to be made pursuant to the by-laws. For purposes of the indemnification described in this paragraph, references to the Company include ProKidney Cayman prior to the domestication and continuation of its existence under Delaware law as ProKidney Corp. The Company will remain obligated on any indemnification obligations of ProKidney Cayman arising prior to the Domestication.</w:t>
      </w:r>
    </w:p>
    <w:p>
      <w:pPr>
        <w:spacing w:after="0" w:line="13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We maintain directors’ and officers’ insurance policies that cover our directors and officers.</w:t>
      </w:r>
    </w:p>
    <w:p>
      <w:pPr>
        <w:spacing w:after="0" w:line="166" w:lineRule="exact"/>
        <w:rPr>
          <w:sz w:val="20"/>
          <w:szCs w:val="20"/>
          <w:color w:val="auto"/>
        </w:rPr>
      </w:pPr>
    </w:p>
    <w:p>
      <w:pPr>
        <w:ind w:left="1480" w:right="379" w:firstLine="334"/>
        <w:spacing w:after="0" w:line="251" w:lineRule="auto"/>
        <w:rPr>
          <w:sz w:val="20"/>
          <w:szCs w:val="20"/>
          <w:color w:val="auto"/>
        </w:rPr>
      </w:pPr>
      <w:r>
        <w:rPr>
          <w:rFonts w:ascii="Times New Roman" w:cs="Times New Roman" w:eastAsia="Times New Roman" w:hAnsi="Times New Roman"/>
          <w:sz w:val="14"/>
          <w:szCs w:val="14"/>
          <w:color w:val="auto"/>
        </w:rPr>
        <w:t>Subject to limitations imposed by Delaware law and the terms therein, the Company has entered into agreements that provide indemnification and advancement of expenses to the directors, officers, certain employees and certain agents of the Company and certain other persons who are or were serving at our request as a director, officer, employee or agent of any other enterprise for all actions, liabilities, losses, damages or expenses incurred or suffered by the indemnified person arising out of such person’s service in such capacity.</w:t>
      </w:r>
    </w:p>
    <w:p>
      <w:pPr>
        <w:spacing w:after="0" w:line="22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89" w:lineRule="exact"/>
        <w:rPr>
          <w:sz w:val="20"/>
          <w:szCs w:val="20"/>
          <w:color w:val="auto"/>
        </w:rPr>
      </w:pPr>
    </w:p>
    <w:p>
      <w:pPr>
        <w:ind w:left="1480" w:right="719" w:firstLine="334"/>
        <w:spacing w:after="0" w:line="265" w:lineRule="auto"/>
        <w:rPr>
          <w:sz w:val="20"/>
          <w:szCs w:val="20"/>
          <w:color w:val="auto"/>
        </w:rPr>
      </w:pPr>
      <w:r>
        <w:rPr>
          <w:rFonts w:ascii="Times New Roman" w:cs="Times New Roman" w:eastAsia="Times New Roman" w:hAnsi="Times New Roman"/>
          <w:sz w:val="14"/>
          <w:szCs w:val="14"/>
          <w:color w:val="auto"/>
        </w:rPr>
        <w:t>The exhibits to this registration statement are listed in the Exhibit Index immediately prior the signature page hereto, which Exhibit Index is hereby incorporated by reference into this Item 16 by reference.</w:t>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8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95" w:lineRule="exact"/>
        <w:rPr>
          <w:sz w:val="20"/>
          <w:szCs w:val="20"/>
          <w:color w:val="auto"/>
        </w:rPr>
      </w:pPr>
    </w:p>
    <w:p>
      <w:pPr>
        <w:ind w:left="1880"/>
        <w:spacing w:after="0"/>
        <w:tabs>
          <w:tab w:leader="none" w:pos="2360" w:val="left"/>
        </w:tabs>
        <w:rPr>
          <w:sz w:val="20"/>
          <w:szCs w:val="20"/>
          <w:color w:val="auto"/>
        </w:rPr>
      </w:pPr>
      <w:r>
        <w:rPr>
          <w:rFonts w:ascii="Times New Roman" w:cs="Times New Roman" w:eastAsia="Times New Roman" w:hAnsi="Times New Roman"/>
          <w:sz w:val="14"/>
          <w:szCs w:val="14"/>
          <w:color w:val="auto"/>
        </w:rPr>
        <w:t>(a)(1)</w:t>
        <w:tab/>
        <w:t>To file, during any period in which offers or sales are being made, a post-effective amendment to this registration statement:</w:t>
      </w:r>
    </w:p>
    <w:p>
      <w:pPr>
        <w:spacing w:after="0" w:line="95" w:lineRule="exact"/>
        <w:rPr>
          <w:sz w:val="20"/>
          <w:szCs w:val="20"/>
          <w:color w:val="auto"/>
        </w:rPr>
      </w:pPr>
    </w:p>
    <w:p>
      <w:pPr>
        <w:ind w:left="5540" w:right="999" w:hanging="3160"/>
        <w:spacing w:after="0" w:line="433" w:lineRule="auto"/>
        <w:tabs>
          <w:tab w:leader="none" w:pos="2788"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 as amended (“Securities Act”); II-2</w:t>
      </w:r>
    </w:p>
    <w:p>
      <w:pPr>
        <w:sectPr>
          <w:pgSz w:w="11900" w:h="16838" w:orient="portrait"/>
          <w:cols w:equalWidth="0" w:num="1">
            <w:col w:w="10159"/>
          </w:cols>
          <w:pgMar w:left="300" w:top="379"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2780" w:right="359" w:hanging="400"/>
        <w:spacing w:after="0" w:line="247" w:lineRule="auto"/>
        <w:tabs>
          <w:tab w:leader="none" w:pos="278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Filing Fee Tables” or “Calculation of Registration Fee” table, as applicable, in the effective registration statement; and</w:t>
      </w:r>
    </w:p>
    <w:p>
      <w:pPr>
        <w:spacing w:after="0" w:line="76" w:lineRule="exact"/>
        <w:rPr>
          <w:rFonts w:ascii="Times New Roman" w:cs="Times New Roman" w:eastAsia="Times New Roman" w:hAnsi="Times New Roman"/>
          <w:sz w:val="14"/>
          <w:szCs w:val="14"/>
          <w:color w:val="auto"/>
        </w:rPr>
      </w:pPr>
    </w:p>
    <w:p>
      <w:pPr>
        <w:ind w:left="2780" w:right="379" w:hanging="400"/>
        <w:spacing w:after="0" w:line="247" w:lineRule="auto"/>
        <w:tabs>
          <w:tab w:leader="none" w:pos="278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 provided, however, that paragraphs (a)(1)(i), (a)(1)(ii) and (a)(1)(iii) of this section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as amended (“Exchange Act”), that are incorporated by reference in the registration statement, or is contained in a form of prospectus filed pursuant to Rule 424(b) that is part of the registration statement;</w:t>
      </w:r>
    </w:p>
    <w:p>
      <w:pPr>
        <w:spacing w:after="0" w:line="78" w:lineRule="exact"/>
        <w:rPr>
          <w:rFonts w:ascii="Times New Roman" w:cs="Times New Roman" w:eastAsia="Times New Roman" w:hAnsi="Times New Roman"/>
          <w:sz w:val="14"/>
          <w:szCs w:val="14"/>
          <w:color w:val="auto"/>
        </w:rPr>
      </w:pPr>
    </w:p>
    <w:p>
      <w:pPr>
        <w:jc w:val="both"/>
        <w:ind w:left="2380" w:right="399" w:hanging="501"/>
        <w:spacing w:after="0" w:line="254" w:lineRule="auto"/>
        <w:tabs>
          <w:tab w:leader="none" w:pos="23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2" w:lineRule="exact"/>
        <w:rPr>
          <w:rFonts w:ascii="Times New Roman" w:cs="Times New Roman" w:eastAsia="Times New Roman" w:hAnsi="Times New Roman"/>
          <w:sz w:val="14"/>
          <w:szCs w:val="14"/>
          <w:color w:val="auto"/>
        </w:rPr>
      </w:pPr>
    </w:p>
    <w:p>
      <w:pPr>
        <w:ind w:left="2380" w:right="459" w:hanging="501"/>
        <w:spacing w:after="0" w:line="265" w:lineRule="auto"/>
        <w:tabs>
          <w:tab w:leader="none" w:pos="23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63" w:lineRule="exact"/>
        <w:rPr>
          <w:rFonts w:ascii="Times New Roman" w:cs="Times New Roman" w:eastAsia="Times New Roman" w:hAnsi="Times New Roman"/>
          <w:sz w:val="14"/>
          <w:szCs w:val="14"/>
          <w:color w:val="auto"/>
        </w:rPr>
      </w:pPr>
    </w:p>
    <w:p>
      <w:pPr>
        <w:ind w:left="2380" w:hanging="501"/>
        <w:spacing w:after="0"/>
        <w:tabs>
          <w:tab w:leader="none" w:pos="23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94" w:lineRule="exact"/>
        <w:rPr>
          <w:rFonts w:ascii="Times New Roman" w:cs="Times New Roman" w:eastAsia="Times New Roman" w:hAnsi="Times New Roman"/>
          <w:sz w:val="14"/>
          <w:szCs w:val="14"/>
          <w:color w:val="auto"/>
        </w:rPr>
      </w:pPr>
    </w:p>
    <w:p>
      <w:pPr>
        <w:ind w:left="2780" w:right="459" w:hanging="400"/>
        <w:spacing w:after="0" w:line="265" w:lineRule="auto"/>
        <w:tabs>
          <w:tab w:leader="none" w:pos="278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3" w:lineRule="exact"/>
        <w:rPr>
          <w:rFonts w:ascii="Times New Roman" w:cs="Times New Roman" w:eastAsia="Times New Roman" w:hAnsi="Times New Roman"/>
          <w:sz w:val="14"/>
          <w:szCs w:val="14"/>
          <w:color w:val="auto"/>
        </w:rPr>
      </w:pPr>
    </w:p>
    <w:p>
      <w:pPr>
        <w:ind w:left="2780" w:right="359" w:hanging="400"/>
        <w:spacing w:after="0" w:line="266" w:lineRule="auto"/>
        <w:tabs>
          <w:tab w:leader="none" w:pos="2780" w:val="left"/>
        </w:tabs>
        <w:numPr>
          <w:ilvl w:val="1"/>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79"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2380" w:right="359" w:hanging="501"/>
        <w:spacing w:after="0" w:line="249" w:lineRule="auto"/>
        <w:tabs>
          <w:tab w:leader="none" w:pos="23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rFonts w:ascii="Times New Roman" w:cs="Times New Roman" w:eastAsia="Times New Roman" w:hAnsi="Times New Roman"/>
          <w:sz w:val="14"/>
          <w:szCs w:val="14"/>
          <w:color w:val="auto"/>
        </w:rPr>
      </w:pPr>
    </w:p>
    <w:p>
      <w:pPr>
        <w:ind w:left="2780" w:right="499" w:hanging="400"/>
        <w:spacing w:after="0" w:line="265" w:lineRule="auto"/>
        <w:tabs>
          <w:tab w:leader="none" w:pos="278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63" w:lineRule="exact"/>
        <w:rPr>
          <w:rFonts w:ascii="Times New Roman" w:cs="Times New Roman" w:eastAsia="Times New Roman" w:hAnsi="Times New Roman"/>
          <w:sz w:val="14"/>
          <w:szCs w:val="14"/>
          <w:color w:val="auto"/>
        </w:rPr>
      </w:pPr>
    </w:p>
    <w:p>
      <w:pPr>
        <w:ind w:left="2780" w:right="419" w:hanging="400"/>
        <w:spacing w:after="0" w:line="265" w:lineRule="auto"/>
        <w:tabs>
          <w:tab w:leader="none" w:pos="278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63" w:lineRule="exact"/>
        <w:rPr>
          <w:rFonts w:ascii="Times New Roman" w:cs="Times New Roman" w:eastAsia="Times New Roman" w:hAnsi="Times New Roman"/>
          <w:sz w:val="14"/>
          <w:szCs w:val="14"/>
          <w:color w:val="auto"/>
        </w:rPr>
      </w:pPr>
    </w:p>
    <w:p>
      <w:pPr>
        <w:ind w:left="2780" w:right="479" w:hanging="400"/>
        <w:spacing w:after="0" w:line="265" w:lineRule="auto"/>
        <w:tabs>
          <w:tab w:leader="none" w:pos="278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63" w:lineRule="exact"/>
        <w:rPr>
          <w:rFonts w:ascii="Times New Roman" w:cs="Times New Roman" w:eastAsia="Times New Roman" w:hAnsi="Times New Roman"/>
          <w:sz w:val="14"/>
          <w:szCs w:val="14"/>
          <w:color w:val="auto"/>
        </w:rPr>
      </w:pPr>
    </w:p>
    <w:p>
      <w:pPr>
        <w:ind w:left="2780" w:hanging="400"/>
        <w:spacing w:after="0"/>
        <w:tabs>
          <w:tab w:leader="none" w:pos="278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94" w:lineRule="exact"/>
        <w:rPr>
          <w:rFonts w:ascii="Times New Roman" w:cs="Times New Roman" w:eastAsia="Times New Roman" w:hAnsi="Times New Roman"/>
          <w:sz w:val="14"/>
          <w:szCs w:val="14"/>
          <w:color w:val="auto"/>
        </w:rPr>
      </w:pPr>
    </w:p>
    <w:p>
      <w:pPr>
        <w:ind w:left="2380" w:right="399" w:hanging="501"/>
        <w:spacing w:after="0" w:line="249" w:lineRule="auto"/>
        <w:tabs>
          <w:tab w:leader="none" w:pos="23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Times New Roman" w:cs="Times New Roman" w:eastAsia="Times New Roman" w:hAnsi="Times New Roman"/>
          <w:sz w:val="14"/>
          <w:szCs w:val="14"/>
          <w:color w:val="auto"/>
        </w:rPr>
      </w:pPr>
    </w:p>
    <w:p>
      <w:pPr>
        <w:ind w:left="2380" w:right="339" w:hanging="501"/>
        <w:spacing w:after="0" w:line="246" w:lineRule="auto"/>
        <w:tabs>
          <w:tab w:leader="none" w:pos="23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0" w:lineRule="exact"/>
        <w:rPr>
          <w:rFonts w:ascii="Times New Roman" w:cs="Times New Roman" w:eastAsia="Times New Roman" w:hAnsi="Times New Roman"/>
          <w:sz w:val="14"/>
          <w:szCs w:val="14"/>
          <w:color w:val="auto"/>
        </w:rPr>
      </w:pPr>
    </w:p>
    <w:p>
      <w:pPr>
        <w:ind w:left="2380" w:right="439" w:hanging="501"/>
        <w:spacing w:after="0" w:line="251" w:lineRule="auto"/>
        <w:tabs>
          <w:tab w:leader="none" w:pos="23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73" w:lineRule="exact"/>
        <w:rPr>
          <w:rFonts w:ascii="Times New Roman" w:cs="Times New Roman" w:eastAsia="Times New Roman" w:hAnsi="Times New Roman"/>
          <w:sz w:val="14"/>
          <w:szCs w:val="14"/>
          <w:color w:val="auto"/>
        </w:rPr>
      </w:pPr>
    </w:p>
    <w:p>
      <w:pPr>
        <w:ind w:left="2380" w:right="419" w:hanging="501"/>
        <w:spacing w:after="0" w:line="254" w:lineRule="auto"/>
        <w:tabs>
          <w:tab w:leader="none" w:pos="23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 and</w:t>
      </w:r>
    </w:p>
    <w:p>
      <w:pPr>
        <w:spacing w:after="0" w:line="72" w:lineRule="exact"/>
        <w:rPr>
          <w:rFonts w:ascii="Times New Roman" w:cs="Times New Roman" w:eastAsia="Times New Roman" w:hAnsi="Times New Roman"/>
          <w:sz w:val="14"/>
          <w:szCs w:val="14"/>
          <w:color w:val="auto"/>
        </w:rPr>
      </w:pPr>
    </w:p>
    <w:p>
      <w:pPr>
        <w:ind w:left="2380" w:right="459" w:hanging="501"/>
        <w:spacing w:after="0" w:line="254" w:lineRule="auto"/>
        <w:tabs>
          <w:tab w:leader="none" w:pos="23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an application for the purpose of determining the eligibility of the trustee to act under subsection (a) of Section 310 of the Trust Indenture Act of 1939 in accordance with the rules and regulations prescribed by the Securities and Exchange Commission under Section 305(b)(2) of the Trust Indenture Act of 1939.</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79"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tbl>
      <w:tblPr>
        <w:tblLayout w:type="fixed"/>
        <w:tblInd w:w="1480" w:type="dxa"/>
        <w:tblCellMar>
          <w:top w:w="0" w:type="dxa"/>
          <w:left w:w="0" w:type="dxa"/>
          <w:bottom w:w="0" w:type="dxa"/>
          <w:right w:w="0" w:type="dxa"/>
        </w:tblCellMar>
      </w:tblPr>
      <w:tr>
        <w:trPr>
          <w:trHeight w:val="180"/>
        </w:trPr>
        <w:tc>
          <w:tcPr>
            <w:tcW w:w="9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0" w:type="dxa"/>
            <w:vAlign w:val="bottom"/>
            <w:gridSpan w:val="15"/>
          </w:tcPr>
          <w:p>
            <w:pPr>
              <w:ind w:left="80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279"/>
        </w:trPr>
        <w:tc>
          <w:tcPr>
            <w:tcW w:w="90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7340" w:type="dxa"/>
            <w:vAlign w:val="bottom"/>
            <w:gridSpan w:val="17"/>
            <w:vMerge w:val="restart"/>
          </w:tcPr>
          <w:p>
            <w:pPr>
              <w:spacing w:after="0"/>
              <w:rPr>
                <w:sz w:val="20"/>
                <w:szCs w:val="20"/>
                <w:color w:val="auto"/>
              </w:rPr>
            </w:pPr>
            <w:r>
              <w:rPr>
                <w:rFonts w:ascii="Times New Roman" w:cs="Times New Roman" w:eastAsia="Times New Roman" w:hAnsi="Times New Roman"/>
                <w:sz w:val="11"/>
                <w:szCs w:val="11"/>
                <w:b w:val="1"/>
                <w:bCs w:val="1"/>
                <w:color w:val="auto"/>
              </w:rPr>
              <w:t>Item</w:t>
            </w:r>
          </w:p>
        </w:tc>
        <w:tc>
          <w:tcPr>
            <w:tcW w:w="0" w:type="dxa"/>
            <w:vAlign w:val="bottom"/>
          </w:tcPr>
          <w:p>
            <w:pPr>
              <w:spacing w:after="0"/>
              <w:rPr>
                <w:sz w:val="1"/>
                <w:szCs w:val="1"/>
                <w:color w:val="auto"/>
              </w:rPr>
            </w:pPr>
          </w:p>
        </w:tc>
      </w:tr>
      <w:tr>
        <w:trPr>
          <w:trHeight w:val="143"/>
        </w:trPr>
        <w:tc>
          <w:tcPr>
            <w:tcW w:w="9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7340" w:type="dxa"/>
            <w:vAlign w:val="bottom"/>
            <w:gridSpan w:val="1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    1.1**</w:t>
            </w:r>
          </w:p>
        </w:tc>
        <w:tc>
          <w:tcPr>
            <w:tcW w:w="734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    1.2*</w:t>
            </w:r>
          </w:p>
        </w:tc>
        <w:tc>
          <w:tcPr>
            <w:tcW w:w="7340" w:type="dxa"/>
            <w:vAlign w:val="bottom"/>
            <w:gridSpan w:val="17"/>
          </w:tcPr>
          <w:p>
            <w:pPr>
              <w:spacing w:after="0"/>
              <w:rPr>
                <w:sz w:val="20"/>
                <w:szCs w:val="20"/>
                <w:color w:val="auto"/>
              </w:rPr>
            </w:pPr>
            <w:r>
              <w:rPr>
                <w:rFonts w:ascii="Times New Roman" w:cs="Times New Roman" w:eastAsia="Times New Roman" w:hAnsi="Times New Roman"/>
                <w:sz w:val="14"/>
                <w:szCs w:val="14"/>
                <w:color w:val="0000EE"/>
              </w:rPr>
              <w:t>Open Market Sale Agreement, dated as October 29, 2026, by and between ProKidney Corp. and Jefferies LLC.</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    2.1†</w:t>
            </w:r>
          </w:p>
        </w:tc>
        <w:tc>
          <w:tcPr>
            <w:tcW w:w="7340" w:type="dxa"/>
            <w:vAlign w:val="bottom"/>
            <w:tcBorders>
              <w:bottom w:val="single" w:sz="8" w:color="0000EE"/>
            </w:tcBorders>
            <w:gridSpan w:val="17"/>
          </w:tcPr>
          <w:p>
            <w:pPr>
              <w:spacing w:after="0"/>
              <w:rPr>
                <w:rFonts w:ascii="Times New Roman" w:cs="Times New Roman" w:eastAsia="Times New Roman" w:hAnsi="Times New Roman"/>
                <w:sz w:val="14"/>
                <w:szCs w:val="14"/>
                <w:color w:val="0000EE"/>
                <w:w w:val="97"/>
              </w:rPr>
            </w:pPr>
            <w:hyperlink r:id="rId117">
              <w:r>
                <w:rPr>
                  <w:rFonts w:ascii="Times New Roman" w:cs="Times New Roman" w:eastAsia="Times New Roman" w:hAnsi="Times New Roman"/>
                  <w:sz w:val="14"/>
                  <w:szCs w:val="14"/>
                  <w:color w:val="0000EE"/>
                  <w:w w:val="97"/>
                </w:rPr>
                <w:t>Business Combination Agreement, dated as of January 18, 2022, by and between ProKidney Corp. (formerly known as Social Capital</w:t>
              </w:r>
            </w:hyperlink>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7340" w:type="dxa"/>
            <w:vAlign w:val="bottom"/>
            <w:gridSpan w:val="17"/>
          </w:tcPr>
          <w:p>
            <w:pPr>
              <w:spacing w:after="0" w:line="144" w:lineRule="exact"/>
              <w:rPr>
                <w:rFonts w:ascii="Times New Roman" w:cs="Times New Roman" w:eastAsia="Times New Roman" w:hAnsi="Times New Roman"/>
                <w:sz w:val="14"/>
                <w:szCs w:val="14"/>
                <w:color w:val="0000EE"/>
                <w:w w:val="98"/>
              </w:rPr>
            </w:pPr>
            <w:hyperlink r:id="rId117">
              <w:r>
                <w:rPr>
                  <w:rFonts w:ascii="Times New Roman" w:cs="Times New Roman" w:eastAsia="Times New Roman" w:hAnsi="Times New Roman"/>
                  <w:sz w:val="14"/>
                  <w:szCs w:val="14"/>
                  <w:color w:val="0000EE"/>
                  <w:w w:val="98"/>
                </w:rPr>
                <w:t>Suvretta Holdings Corp. III) and ProKidney LP. (incorporated by reference to Exhibit 2.1 to the Company’s Current Report on Form</w:t>
              </w:r>
            </w:hyperlink>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2960" w:type="dxa"/>
            <w:vAlign w:val="bottom"/>
            <w:tcBorders>
              <w:top w:val="single" w:sz="8" w:color="0000EE"/>
              <w:bottom w:val="single" w:sz="8" w:color="0000EE"/>
            </w:tcBorders>
            <w:gridSpan w:val="4"/>
          </w:tcPr>
          <w:p>
            <w:pPr>
              <w:spacing w:after="0" w:line="144" w:lineRule="exact"/>
              <w:rPr>
                <w:rFonts w:ascii="Times New Roman" w:cs="Times New Roman" w:eastAsia="Times New Roman" w:hAnsi="Times New Roman"/>
                <w:sz w:val="14"/>
                <w:szCs w:val="14"/>
                <w:color w:val="0000EE"/>
                <w:w w:val="96"/>
              </w:rPr>
            </w:pPr>
            <w:hyperlink r:id="rId117">
              <w:r>
                <w:rPr>
                  <w:rFonts w:ascii="Times New Roman" w:cs="Times New Roman" w:eastAsia="Times New Roman" w:hAnsi="Times New Roman"/>
                  <w:sz w:val="14"/>
                  <w:szCs w:val="14"/>
                  <w:color w:val="0000EE"/>
                  <w:w w:val="96"/>
                </w:rPr>
                <w:t>8-K filed on January 21, 2022) (File No. 001-40560)).</w:t>
              </w:r>
            </w:hyperlink>
          </w:p>
        </w:tc>
        <w:tc>
          <w:tcPr>
            <w:tcW w:w="4260" w:type="dxa"/>
            <w:vAlign w:val="bottom"/>
            <w:tcBorders>
              <w:top w:val="single" w:sz="8" w:color="0000EE"/>
            </w:tcBorders>
            <w:gridSpan w:val="10"/>
          </w:tcPr>
          <w:p>
            <w:pPr>
              <w:spacing w:after="0"/>
              <w:rPr>
                <w:sz w:val="12"/>
                <w:szCs w:val="12"/>
                <w:color w:val="auto"/>
              </w:rPr>
            </w:pPr>
          </w:p>
        </w:tc>
        <w:tc>
          <w:tcPr>
            <w:tcW w:w="1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    3.1</w:t>
            </w:r>
          </w:p>
        </w:tc>
        <w:tc>
          <w:tcPr>
            <w:tcW w:w="724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w w:val="97"/>
              </w:rPr>
            </w:pPr>
            <w:hyperlink r:id="rId118">
              <w:r>
                <w:rPr>
                  <w:rFonts w:ascii="Times New Roman" w:cs="Times New Roman" w:eastAsia="Times New Roman" w:hAnsi="Times New Roman"/>
                  <w:sz w:val="14"/>
                  <w:szCs w:val="14"/>
                  <w:color w:val="0000EE"/>
                  <w:w w:val="97"/>
                </w:rPr>
                <w:t>Certificate of Incorporation of ProKidney Corp. (incorporated by reference to Exhibit 3.1 of the Company’s Current Report on Form</w:t>
              </w:r>
            </w:hyperlink>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7340" w:type="dxa"/>
            <w:vAlign w:val="bottom"/>
            <w:gridSpan w:val="17"/>
          </w:tcPr>
          <w:p>
            <w:pPr>
              <w:spacing w:after="0" w:line="144" w:lineRule="exact"/>
              <w:rPr>
                <w:rFonts w:ascii="Times New Roman" w:cs="Times New Roman" w:eastAsia="Times New Roman" w:hAnsi="Times New Roman"/>
                <w:sz w:val="14"/>
                <w:szCs w:val="14"/>
                <w:color w:val="0000EE"/>
              </w:rPr>
            </w:pPr>
            <w:hyperlink r:id="rId118">
              <w:r>
                <w:rPr>
                  <w:rFonts w:ascii="Times New Roman" w:cs="Times New Roman" w:eastAsia="Times New Roman" w:hAnsi="Times New Roman"/>
                  <w:sz w:val="14"/>
                  <w:szCs w:val="14"/>
                  <w:color w:val="0000EE"/>
                </w:rPr>
                <w:t>8-K12B, filed on July 3, 2025 (File No. 001-40560)).</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    3.2</w:t>
            </w:r>
          </w:p>
        </w:tc>
        <w:tc>
          <w:tcPr>
            <w:tcW w:w="7340" w:type="dxa"/>
            <w:vAlign w:val="bottom"/>
            <w:gridSpan w:val="17"/>
          </w:tcPr>
          <w:p>
            <w:pPr>
              <w:spacing w:after="0"/>
              <w:rPr>
                <w:rFonts w:ascii="Times New Roman" w:cs="Times New Roman" w:eastAsia="Times New Roman" w:hAnsi="Times New Roman"/>
                <w:sz w:val="14"/>
                <w:szCs w:val="14"/>
                <w:color w:val="0000EE"/>
              </w:rPr>
            </w:pPr>
            <w:hyperlink r:id="rId119">
              <w:r>
                <w:rPr>
                  <w:rFonts w:ascii="Times New Roman" w:cs="Times New Roman" w:eastAsia="Times New Roman" w:hAnsi="Times New Roman"/>
                  <w:sz w:val="14"/>
                  <w:szCs w:val="14"/>
                  <w:color w:val="0000EE"/>
                </w:rPr>
                <w:t>Bylaws of ProKidney Corp. (incorporated by reference to Exhibit 3.2 of the Company’s Current Report on Form 8-K12B, filed on</w:t>
              </w:r>
            </w:hyperlink>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7100" w:type="dxa"/>
            <w:vAlign w:val="bottom"/>
            <w:tcBorders>
              <w:top w:val="single" w:sz="8" w:color="0000EE"/>
            </w:tcBorders>
            <w:gridSpan w:val="13"/>
          </w:tcPr>
          <w:p>
            <w:pPr>
              <w:spacing w:after="0" w:line="144" w:lineRule="exact"/>
              <w:rPr>
                <w:rFonts w:ascii="Times New Roman" w:cs="Times New Roman" w:eastAsia="Times New Roman" w:hAnsi="Times New Roman"/>
                <w:sz w:val="14"/>
                <w:szCs w:val="14"/>
                <w:color w:val="0000EE"/>
              </w:rPr>
            </w:pPr>
            <w:hyperlink r:id="rId119">
              <w:r>
                <w:rPr>
                  <w:rFonts w:ascii="Times New Roman" w:cs="Times New Roman" w:eastAsia="Times New Roman" w:hAnsi="Times New Roman"/>
                  <w:sz w:val="14"/>
                  <w:szCs w:val="14"/>
                  <w:color w:val="0000EE"/>
                </w:rPr>
                <w:t>July 3, 2025 (File No. 001-40560)).</w:t>
              </w:r>
            </w:hyperlink>
          </w:p>
        </w:tc>
        <w:tc>
          <w:tcPr>
            <w:tcW w:w="24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    4.1</w:t>
            </w:r>
          </w:p>
        </w:tc>
        <w:tc>
          <w:tcPr>
            <w:tcW w:w="7260" w:type="dxa"/>
            <w:vAlign w:val="bottom"/>
            <w:tcBorders>
              <w:bottom w:val="single" w:sz="8" w:color="0000EE"/>
            </w:tcBorders>
            <w:gridSpan w:val="16"/>
          </w:tcPr>
          <w:p>
            <w:pPr>
              <w:spacing w:after="0"/>
              <w:rPr>
                <w:rFonts w:ascii="Times New Roman" w:cs="Times New Roman" w:eastAsia="Times New Roman" w:hAnsi="Times New Roman"/>
                <w:sz w:val="14"/>
                <w:szCs w:val="14"/>
                <w:color w:val="0000EE"/>
                <w:w w:val="97"/>
              </w:rPr>
            </w:pPr>
            <w:hyperlink r:id="rId120">
              <w:r>
                <w:rPr>
                  <w:rFonts w:ascii="Times New Roman" w:cs="Times New Roman" w:eastAsia="Times New Roman" w:hAnsi="Times New Roman"/>
                  <w:sz w:val="14"/>
                  <w:szCs w:val="14"/>
                  <w:color w:val="0000EE"/>
                  <w:w w:val="97"/>
                </w:rPr>
                <w:t>Form of Stock Certificate for Class A Common Stock (incorporated by reference to Exhibit 4.1 of the Company’s Current Report on</w:t>
              </w:r>
            </w:hyperlink>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3260" w:type="dxa"/>
            <w:vAlign w:val="bottom"/>
            <w:tcBorders>
              <w:bottom w:val="single" w:sz="8" w:color="0000EE"/>
            </w:tcBorders>
            <w:gridSpan w:val="6"/>
          </w:tcPr>
          <w:p>
            <w:pPr>
              <w:spacing w:after="0" w:line="144" w:lineRule="exact"/>
              <w:rPr>
                <w:rFonts w:ascii="Times New Roman" w:cs="Times New Roman" w:eastAsia="Times New Roman" w:hAnsi="Times New Roman"/>
                <w:sz w:val="14"/>
                <w:szCs w:val="14"/>
                <w:color w:val="0000EE"/>
                <w:w w:val="97"/>
              </w:rPr>
            </w:pPr>
            <w:hyperlink r:id="rId120">
              <w:r>
                <w:rPr>
                  <w:rFonts w:ascii="Times New Roman" w:cs="Times New Roman" w:eastAsia="Times New Roman" w:hAnsi="Times New Roman"/>
                  <w:sz w:val="14"/>
                  <w:szCs w:val="14"/>
                  <w:color w:val="0000EE"/>
                  <w:w w:val="97"/>
                </w:rPr>
                <w:t>Form 8-K12B, filed on July 3, 2025 (File No. 001-40560)).</w:t>
              </w:r>
            </w:hyperlink>
          </w:p>
        </w:tc>
        <w:tc>
          <w:tcPr>
            <w:tcW w:w="408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    4.2</w:t>
            </w:r>
          </w:p>
        </w:tc>
        <w:tc>
          <w:tcPr>
            <w:tcW w:w="7260" w:type="dxa"/>
            <w:vAlign w:val="bottom"/>
            <w:tcBorders>
              <w:bottom w:val="single" w:sz="8" w:color="0000EE"/>
            </w:tcBorders>
            <w:gridSpan w:val="16"/>
          </w:tcPr>
          <w:p>
            <w:pPr>
              <w:spacing w:after="0"/>
              <w:rPr>
                <w:rFonts w:ascii="Times New Roman" w:cs="Times New Roman" w:eastAsia="Times New Roman" w:hAnsi="Times New Roman"/>
                <w:sz w:val="14"/>
                <w:szCs w:val="14"/>
                <w:color w:val="0000EE"/>
                <w:w w:val="97"/>
              </w:rPr>
            </w:pPr>
            <w:hyperlink r:id="rId121">
              <w:r>
                <w:rPr>
                  <w:rFonts w:ascii="Times New Roman" w:cs="Times New Roman" w:eastAsia="Times New Roman" w:hAnsi="Times New Roman"/>
                  <w:sz w:val="14"/>
                  <w:szCs w:val="14"/>
                  <w:color w:val="0000EE"/>
                  <w:w w:val="97"/>
                </w:rPr>
                <w:t>Form of Stock Certificate for Class B Common Stock (incorporated by reference to Exhibit 4.2 of the Company’s Current Report on</w:t>
              </w:r>
            </w:hyperlink>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3240" w:type="dxa"/>
            <w:vAlign w:val="bottom"/>
            <w:tcBorders>
              <w:bottom w:val="single" w:sz="8" w:color="0000EE"/>
            </w:tcBorders>
            <w:gridSpan w:val="5"/>
          </w:tcPr>
          <w:p>
            <w:pPr>
              <w:spacing w:after="0" w:line="144" w:lineRule="exact"/>
              <w:rPr>
                <w:rFonts w:ascii="Times New Roman" w:cs="Times New Roman" w:eastAsia="Times New Roman" w:hAnsi="Times New Roman"/>
                <w:sz w:val="14"/>
                <w:szCs w:val="14"/>
                <w:color w:val="0000EE"/>
                <w:w w:val="96"/>
              </w:rPr>
            </w:pPr>
            <w:hyperlink r:id="rId121">
              <w:r>
                <w:rPr>
                  <w:rFonts w:ascii="Times New Roman" w:cs="Times New Roman" w:eastAsia="Times New Roman" w:hAnsi="Times New Roman"/>
                  <w:sz w:val="14"/>
                  <w:szCs w:val="14"/>
                  <w:color w:val="0000EE"/>
                  <w:w w:val="96"/>
                </w:rPr>
                <w:t>Form 8-K12B, filed on July 3, 2025 (File No. 001-40560)).</w:t>
              </w:r>
            </w:hyperlink>
          </w:p>
        </w:tc>
        <w:tc>
          <w:tcPr>
            <w:tcW w:w="410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    4.3*</w:t>
            </w:r>
          </w:p>
        </w:tc>
        <w:tc>
          <w:tcPr>
            <w:tcW w:w="7340" w:type="dxa"/>
            <w:vAlign w:val="bottom"/>
            <w:gridSpan w:val="17"/>
          </w:tcPr>
          <w:p>
            <w:pPr>
              <w:spacing w:after="0"/>
              <w:rPr>
                <w:sz w:val="20"/>
                <w:szCs w:val="20"/>
                <w:color w:val="auto"/>
              </w:rPr>
            </w:pPr>
            <w:r>
              <w:rPr>
                <w:rFonts w:ascii="Times New Roman" w:cs="Times New Roman" w:eastAsia="Times New Roman" w:hAnsi="Times New Roman"/>
                <w:sz w:val="14"/>
                <w:szCs w:val="14"/>
                <w:color w:val="0000EE"/>
              </w:rPr>
              <w:t>Form of indenture for senior debt securities and the related form of senior debt security.</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    4.4*</w:t>
            </w:r>
          </w:p>
        </w:tc>
        <w:tc>
          <w:tcPr>
            <w:tcW w:w="52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w w:val="96"/>
              </w:rPr>
              <w:t>Form of indenture of subordinated debt securities and related form of subordinated debt security.</w:t>
            </w:r>
          </w:p>
        </w:tc>
        <w:tc>
          <w:tcPr>
            <w:tcW w:w="206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    4.5**</w:t>
            </w:r>
          </w:p>
        </w:tc>
        <w:tc>
          <w:tcPr>
            <w:tcW w:w="734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Form of Warrant Agreement and Warrant Certificate.</w:t>
            </w:r>
          </w:p>
        </w:tc>
        <w:tc>
          <w:tcPr>
            <w:tcW w:w="0" w:type="dxa"/>
            <w:vAlign w:val="bottom"/>
          </w:tcPr>
          <w:p>
            <w:pPr>
              <w:spacing w:after="0"/>
              <w:rPr>
                <w:sz w:val="1"/>
                <w:szCs w:val="1"/>
                <w:color w:val="auto"/>
              </w:rPr>
            </w:pPr>
          </w:p>
        </w:tc>
      </w:tr>
      <w:tr>
        <w:trPr>
          <w:trHeight w:val="246"/>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    4.6**</w:t>
            </w:r>
          </w:p>
        </w:tc>
        <w:tc>
          <w:tcPr>
            <w:tcW w:w="734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Form of Rights Agreement and Rights Certificate.</w:t>
            </w:r>
          </w:p>
        </w:tc>
        <w:tc>
          <w:tcPr>
            <w:tcW w:w="0" w:type="dxa"/>
            <w:vAlign w:val="bottom"/>
          </w:tcPr>
          <w:p>
            <w:pPr>
              <w:spacing w:after="0"/>
              <w:rPr>
                <w:sz w:val="1"/>
                <w:szCs w:val="1"/>
                <w:color w:val="auto"/>
              </w:rPr>
            </w:pPr>
          </w:p>
        </w:tc>
      </w:tr>
      <w:tr>
        <w:trPr>
          <w:trHeight w:val="246"/>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    4.7**</w:t>
            </w:r>
          </w:p>
        </w:tc>
        <w:tc>
          <w:tcPr>
            <w:tcW w:w="734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Form of Unit Agreement and Unit Certificate.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    5.1*</w:t>
            </w:r>
          </w:p>
        </w:tc>
        <w:tc>
          <w:tcPr>
            <w:tcW w:w="35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w w:val="96"/>
              </w:rPr>
              <w:t>Opinion of Mintz, Levin, Cohn, Ferris, Glovsky and Popeo, P.C.</w:t>
            </w:r>
          </w:p>
        </w:tc>
        <w:tc>
          <w:tcPr>
            <w:tcW w:w="382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  23.1*</w:t>
            </w:r>
          </w:p>
        </w:tc>
        <w:tc>
          <w:tcPr>
            <w:tcW w:w="7340" w:type="dxa"/>
            <w:vAlign w:val="bottom"/>
            <w:gridSpan w:val="17"/>
          </w:tcPr>
          <w:p>
            <w:pPr>
              <w:spacing w:after="0"/>
              <w:rPr>
                <w:sz w:val="20"/>
                <w:szCs w:val="20"/>
                <w:color w:val="auto"/>
              </w:rPr>
            </w:pPr>
            <w:r>
              <w:rPr>
                <w:rFonts w:ascii="Times New Roman" w:cs="Times New Roman" w:eastAsia="Times New Roman" w:hAnsi="Times New Roman"/>
                <w:sz w:val="14"/>
                <w:szCs w:val="14"/>
                <w:color w:val="0000EE"/>
              </w:rPr>
              <w:t>Consent of Ernst &amp; Young LLP.</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520" w:type="dxa"/>
            <w:vAlign w:val="bottom"/>
            <w:gridSpan w:val="7"/>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  23.2*</w:t>
            </w:r>
          </w:p>
        </w:tc>
        <w:tc>
          <w:tcPr>
            <w:tcW w:w="53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EE"/>
                <w:w w:val="96"/>
              </w:rPr>
              <w:t>Consent of Mintz, Levin, Cohn, Ferris, Glovsky and Popeo, P.C. (included in Exhibit 5.1 hereto).</w:t>
            </w:r>
          </w:p>
        </w:tc>
        <w:tc>
          <w:tcPr>
            <w:tcW w:w="204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  24.1*</w:t>
            </w:r>
          </w:p>
        </w:tc>
        <w:tc>
          <w:tcPr>
            <w:tcW w:w="7340" w:type="dxa"/>
            <w:vAlign w:val="bottom"/>
            <w:gridSpan w:val="17"/>
          </w:tcPr>
          <w:p>
            <w:pPr>
              <w:spacing w:after="0"/>
              <w:rPr>
                <w:sz w:val="20"/>
                <w:szCs w:val="20"/>
                <w:color w:val="auto"/>
              </w:rPr>
            </w:pPr>
            <w:r>
              <w:rPr>
                <w:rFonts w:ascii="Times New Roman" w:cs="Times New Roman" w:eastAsia="Times New Roman" w:hAnsi="Times New Roman"/>
                <w:sz w:val="14"/>
                <w:szCs w:val="14"/>
                <w:color w:val="0000EE"/>
              </w:rPr>
              <w:t>Power of Attorney (included on signature page to the Registration Statement).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540" w:hanging="70"/>
        <w:spacing w:after="0"/>
        <w:tabs>
          <w:tab w:leader="none" w:pos="154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25.1***Form T-1 Statement of Eligibility of Trustee for Senior Indenture under the Trust Indenture Act of 1939.</w:t>
      </w:r>
    </w:p>
    <w:p>
      <w:pPr>
        <w:spacing w:after="0" w:line="96" w:lineRule="exact"/>
        <w:rPr>
          <w:rFonts w:ascii="Times New Roman" w:cs="Times New Roman" w:eastAsia="Times New Roman" w:hAnsi="Times New Roman"/>
          <w:sz w:val="13"/>
          <w:szCs w:val="13"/>
          <w:color w:val="auto"/>
        </w:rPr>
      </w:pPr>
    </w:p>
    <w:p>
      <w:pPr>
        <w:ind w:left="1540" w:hanging="70"/>
        <w:spacing w:after="0"/>
        <w:tabs>
          <w:tab w:leader="none" w:pos="154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25.2***Form T-1 Statement of Eligibility of Trustee for Subordinated Indenture under the Trust Indenture Act of 1939.</w:t>
      </w:r>
    </w:p>
    <w:p>
      <w:pPr>
        <w:spacing w:after="0" w:line="96" w:lineRule="exact"/>
        <w:rPr>
          <w:sz w:val="20"/>
          <w:szCs w:val="20"/>
          <w:color w:val="auto"/>
        </w:rPr>
      </w:pPr>
    </w:p>
    <w:p>
      <w:pPr>
        <w:ind w:left="1480"/>
        <w:spacing w:after="0"/>
        <w:tabs>
          <w:tab w:leader="none" w:pos="2360" w:val="left"/>
        </w:tabs>
        <w:rPr>
          <w:sz w:val="20"/>
          <w:szCs w:val="20"/>
          <w:color w:val="auto"/>
        </w:rPr>
      </w:pPr>
      <w:r>
        <w:rPr>
          <w:rFonts w:ascii="Times New Roman" w:cs="Times New Roman" w:eastAsia="Times New Roman" w:hAnsi="Times New Roman"/>
          <w:sz w:val="14"/>
          <w:szCs w:val="14"/>
          <w:color w:val="auto"/>
        </w:rPr>
        <w:t>107*</w:t>
      </w:r>
      <w:r>
        <w:rPr>
          <w:sz w:val="20"/>
          <w:szCs w:val="20"/>
          <w:color w:val="auto"/>
        </w:rPr>
        <w:tab/>
      </w:r>
      <w:r>
        <w:rPr>
          <w:rFonts w:ascii="Times New Roman" w:cs="Times New Roman" w:eastAsia="Times New Roman" w:hAnsi="Times New Roman"/>
          <w:sz w:val="14"/>
          <w:szCs w:val="14"/>
          <w:u w:val="single" w:color="auto"/>
          <w:color w:val="0000EE"/>
        </w:rPr>
        <w:t>Calculation of Filing Fee Table.</w:t>
      </w:r>
    </w:p>
    <w:p>
      <w:pPr>
        <w:spacing w:after="0" w:line="187" w:lineRule="exact"/>
        <w:rPr>
          <w:sz w:val="20"/>
          <w:szCs w:val="20"/>
          <w:color w:val="auto"/>
        </w:rPr>
      </w:pPr>
    </w:p>
    <w:p>
      <w:pPr>
        <w:ind w:left="1800" w:hanging="330"/>
        <w:spacing w:after="0"/>
        <w:tabs>
          <w:tab w:leader="none" w:pos="18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5" w:lineRule="exact"/>
        <w:rPr>
          <w:sz w:val="20"/>
          <w:szCs w:val="20"/>
          <w:color w:val="auto"/>
        </w:rPr>
      </w:pPr>
    </w:p>
    <w:p>
      <w:pPr>
        <w:ind w:left="1800" w:hanging="330"/>
        <w:spacing w:after="0"/>
        <w:tabs>
          <w:tab w:leader="none" w:pos="18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subsequently filed, if applicable, by an amendment to this registration statement or by a current report on Form 8-K.</w:t>
      </w:r>
    </w:p>
    <w:p>
      <w:pPr>
        <w:spacing w:after="0" w:line="2" w:lineRule="exact"/>
        <w:rPr>
          <w:rFonts w:ascii="Times New Roman" w:cs="Times New Roman" w:eastAsia="Times New Roman" w:hAnsi="Times New Roman"/>
          <w:sz w:val="14"/>
          <w:szCs w:val="14"/>
          <w:color w:val="auto"/>
        </w:rPr>
      </w:pPr>
    </w:p>
    <w:p>
      <w:pPr>
        <w:ind w:left="1800" w:right="639" w:hanging="330"/>
        <w:spacing w:after="0" w:line="244" w:lineRule="auto"/>
        <w:tabs>
          <w:tab w:leader="none" w:pos="18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in accordance with the requirements of Section 305(b)(2) of the Trust Indenture Act of 1939, as amended, and the applicable rules thereunder.</w:t>
      </w:r>
    </w:p>
    <w:p>
      <w:pPr>
        <w:ind w:left="5540" w:right="2599" w:hanging="4070"/>
        <w:spacing w:after="0" w:line="415" w:lineRule="auto"/>
        <w:tabs>
          <w:tab w:leader="none" w:pos="179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annexes, schedules, and certain exhibits to this Exhibit have been omitted pursuant to Item 601(a)(5). II-5</w:t>
      </w:r>
    </w:p>
    <w:p>
      <w:pPr>
        <w:sectPr>
          <w:pgSz w:w="11900" w:h="16838" w:orient="portrait"/>
          <w:cols w:equalWidth="0" w:num="1">
            <w:col w:w="10159"/>
          </w:cols>
          <w:pgMar w:left="300" w:top="379"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0" w:lineRule="exact"/>
        <w:rPr>
          <w:sz w:val="20"/>
          <w:szCs w:val="20"/>
          <w:color w:val="auto"/>
        </w:rPr>
      </w:pPr>
    </w:p>
    <w:p>
      <w:pPr>
        <w:ind w:left="1480" w:right="479" w:firstLine="334"/>
        <w:spacing w:after="0" w:line="254"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Winston-Salem, State of North Carolina, on October 29, 2026.</w:t>
      </w:r>
    </w:p>
    <w:p>
      <w:pPr>
        <w:spacing w:after="0" w:line="164"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color w:val="auto"/>
        </w:rPr>
        <w:t>PROKIDNEY CORP.</w:t>
      </w:r>
    </w:p>
    <w:p>
      <w:pPr>
        <w:spacing w:after="0" w:line="13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color w:val="auto"/>
        </w:rPr>
        <w:t>By: /s/ Bruce Culleton, M.D.</w:t>
      </w:r>
    </w:p>
    <w:p>
      <w:pPr>
        <w:spacing w:after="0" w:line="1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color w:val="auto"/>
        </w:rPr>
        <w:t>Bruce Culleton,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4269105</wp:posOffset>
            </wp:positionH>
            <wp:positionV relativeFrom="paragraph">
              <wp:posOffset>-100965</wp:posOffset>
            </wp:positionV>
            <wp:extent cx="196850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1968500" cy="6350"/>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0" w:lineRule="exact"/>
        <w:rPr>
          <w:sz w:val="20"/>
          <w:szCs w:val="20"/>
          <w:color w:val="auto"/>
        </w:rPr>
      </w:pPr>
    </w:p>
    <w:p>
      <w:pPr>
        <w:ind w:left="1480" w:right="399" w:firstLine="334"/>
        <w:spacing w:after="0" w:line="247" w:lineRule="auto"/>
        <w:rPr>
          <w:sz w:val="20"/>
          <w:szCs w:val="20"/>
          <w:color w:val="auto"/>
        </w:rPr>
      </w:pPr>
      <w:r>
        <w:rPr>
          <w:rFonts w:ascii="Times New Roman" w:cs="Times New Roman" w:eastAsia="Times New Roman" w:hAnsi="Times New Roman"/>
          <w:sz w:val="14"/>
          <w:szCs w:val="14"/>
          <w:color w:val="auto"/>
        </w:rPr>
        <w:t>Each person whose signature appears below constitutes and appoints each of Bruce Culleton, M.D. and James Coulston,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48" w:lineRule="exact"/>
        <w:rPr>
          <w:sz w:val="20"/>
          <w:szCs w:val="20"/>
          <w:color w:val="auto"/>
        </w:rPr>
      </w:pPr>
    </w:p>
    <w:p>
      <w:pPr>
        <w:ind w:left="1480" w:right="519" w:firstLine="334"/>
        <w:spacing w:after="0" w:line="265"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50" w:lineRule="exact"/>
        <w:rPr>
          <w:sz w:val="20"/>
          <w:szCs w:val="20"/>
          <w:color w:val="auto"/>
        </w:rPr>
      </w:pPr>
    </w:p>
    <w:tbl>
      <w:tblPr>
        <w:tblLayout w:type="fixed"/>
        <w:tblInd w:w="1480" w:type="dxa"/>
        <w:tblCellMar>
          <w:top w:w="0" w:type="dxa"/>
          <w:left w:w="0" w:type="dxa"/>
          <w:bottom w:w="0" w:type="dxa"/>
          <w:right w:w="0" w:type="dxa"/>
        </w:tblCellMar>
      </w:tblPr>
      <w:tr>
        <w:trPr>
          <w:trHeight w:val="132"/>
        </w:trPr>
        <w:tc>
          <w:tcPr>
            <w:tcW w:w="2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4"/>
              </w:rPr>
              <w:t>Name</w:t>
            </w:r>
          </w:p>
        </w:tc>
        <w:tc>
          <w:tcPr>
            <w:tcW w:w="2500" w:type="dxa"/>
            <w:vAlign w:val="bottom"/>
          </w:tcPr>
          <w:p>
            <w:pPr>
              <w:spacing w:after="0"/>
              <w:rPr>
                <w:sz w:val="11"/>
                <w:szCs w:val="11"/>
                <w:color w:val="auto"/>
              </w:rPr>
            </w:pPr>
          </w:p>
        </w:tc>
        <w:tc>
          <w:tcPr>
            <w:tcW w:w="328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2000" w:type="dxa"/>
            <w:vAlign w:val="bottom"/>
            <w:gridSpan w:val="3"/>
          </w:tcPr>
          <w:p>
            <w:pPr>
              <w:ind w:left="760"/>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20"/>
        </w:trPr>
        <w:tc>
          <w:tcPr>
            <w:tcW w:w="28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86"/>
        </w:trPr>
        <w:tc>
          <w:tcPr>
            <w:tcW w:w="2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Bruce Culleton, M.D.</w:t>
            </w:r>
          </w:p>
        </w:tc>
        <w:tc>
          <w:tcPr>
            <w:tcW w:w="32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6"/>
              </w:rPr>
              <w:t>October 29, 2026</w:t>
            </w:r>
          </w:p>
        </w:tc>
      </w:tr>
      <w:tr>
        <w:trPr>
          <w:trHeight w:val="167"/>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Bruce Culleton, M.D.</w:t>
            </w:r>
          </w:p>
        </w:tc>
        <w:tc>
          <w:tcPr>
            <w:tcW w:w="328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4"/>
                <w:szCs w:val="14"/>
                <w:color w:val="auto"/>
              </w:rPr>
              <w:t>(Principal Executive Officer)</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94"/>
        </w:trPr>
        <w:tc>
          <w:tcPr>
            <w:tcW w:w="2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James Coulston</w:t>
            </w:r>
          </w:p>
        </w:tc>
        <w:tc>
          <w:tcPr>
            <w:tcW w:w="32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Chief Financial Officer</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6"/>
              </w:rPr>
              <w:t>October 29, 2026</w:t>
            </w:r>
          </w:p>
        </w:tc>
      </w:tr>
      <w:tr>
        <w:trPr>
          <w:trHeight w:val="167"/>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James Coulston</w:t>
            </w:r>
          </w:p>
        </w:tc>
        <w:tc>
          <w:tcPr>
            <w:tcW w:w="328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4"/>
                <w:szCs w:val="14"/>
                <w:color w:val="auto"/>
              </w:rPr>
              <w:t>(Principal Financial and Accounting Officer)</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95"/>
        </w:trPr>
        <w:tc>
          <w:tcPr>
            <w:tcW w:w="2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Pablo Legorreta</w:t>
            </w:r>
          </w:p>
        </w:tc>
        <w:tc>
          <w:tcPr>
            <w:tcW w:w="32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Chairman</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6"/>
              </w:rPr>
              <w:t>October 29, 2026</w:t>
            </w:r>
          </w:p>
        </w:tc>
      </w:tr>
      <w:tr>
        <w:trPr>
          <w:trHeight w:val="166"/>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Pablo Legorreta</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95"/>
        </w:trPr>
        <w:tc>
          <w:tcPr>
            <w:tcW w:w="2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William F. Doyle</w:t>
            </w:r>
          </w:p>
        </w:tc>
        <w:tc>
          <w:tcPr>
            <w:tcW w:w="32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6"/>
              </w:rPr>
              <w:t>October 29, 2026</w:t>
            </w:r>
          </w:p>
        </w:tc>
      </w:tr>
      <w:tr>
        <w:trPr>
          <w:trHeight w:val="166"/>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William F. Doyle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95"/>
        </w:trPr>
        <w:tc>
          <w:tcPr>
            <w:tcW w:w="2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Jennifer Fox</w:t>
            </w:r>
          </w:p>
        </w:tc>
        <w:tc>
          <w:tcPr>
            <w:tcW w:w="32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6"/>
              </w:rPr>
              <w:t>October 29, 2026</w:t>
            </w:r>
          </w:p>
        </w:tc>
      </w:tr>
      <w:tr>
        <w:trPr>
          <w:trHeight w:val="166"/>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Jennifer Fox</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95"/>
        </w:trPr>
        <w:tc>
          <w:tcPr>
            <w:tcW w:w="2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José Ignacio Jimenez Santos</w:t>
            </w:r>
          </w:p>
        </w:tc>
        <w:tc>
          <w:tcPr>
            <w:tcW w:w="32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6"/>
              </w:rPr>
              <w:t>October 29, 2026</w:t>
            </w:r>
          </w:p>
        </w:tc>
      </w:tr>
      <w:tr>
        <w:trPr>
          <w:trHeight w:val="166"/>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José Ignacio Jimenez Santos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95"/>
        </w:trPr>
        <w:tc>
          <w:tcPr>
            <w:tcW w:w="2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Alan M. Lotvin, M.D.</w:t>
            </w:r>
          </w:p>
        </w:tc>
        <w:tc>
          <w:tcPr>
            <w:tcW w:w="32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6"/>
              </w:rPr>
              <w:t>October 29, 2026</w:t>
            </w:r>
          </w:p>
        </w:tc>
      </w:tr>
      <w:tr>
        <w:trPr>
          <w:trHeight w:val="166"/>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Alan M. Lotvin, M.D.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95"/>
        </w:trPr>
        <w:tc>
          <w:tcPr>
            <w:tcW w:w="2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Brian J.G. Pereira, M.D.</w:t>
            </w:r>
          </w:p>
        </w:tc>
        <w:tc>
          <w:tcPr>
            <w:tcW w:w="32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6"/>
              </w:rPr>
              <w:t>October 29, 2026</w:t>
            </w:r>
          </w:p>
        </w:tc>
      </w:tr>
      <w:tr>
        <w:trPr>
          <w:trHeight w:val="166"/>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Brian J.G. Pereira, M.D.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95"/>
        </w:trPr>
        <w:tc>
          <w:tcPr>
            <w:tcW w:w="2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Uma Sinha, Ph.D.</w:t>
            </w:r>
          </w:p>
        </w:tc>
        <w:tc>
          <w:tcPr>
            <w:tcW w:w="32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6"/>
              </w:rPr>
              <w:t>October 29, 2026</w:t>
            </w:r>
          </w:p>
        </w:tc>
      </w:tr>
      <w:tr>
        <w:trPr>
          <w:trHeight w:val="166"/>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Uma Sinha, Ph.D.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ectPr>
          <w:pgSz w:w="11900" w:h="16838" w:orient="portrait"/>
          <w:cols w:equalWidth="0" w:num="1">
            <w:col w:w="10159"/>
          </w:cols>
          <w:pgMar w:left="300" w:top="379" w:right="1440" w:bottom="1440" w:gutter="0" w:footer="0" w:header="0"/>
        </w:sectPr>
      </w:pPr>
    </w:p>
    <w:bookmarkStart w:id="66" w:name="page67"/>
    <w:bookmarkEnd w:id="66"/>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Exhibit 1.2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OPEN MARKET SALE AGREEMENT</w:t>
      </w:r>
      <w:r>
        <w:rPr>
          <w:rFonts w:ascii="Times New Roman" w:cs="Times New Roman" w:eastAsia="Times New Roman" w:hAnsi="Times New Roman"/>
          <w:sz w:val="20"/>
          <w:szCs w:val="20"/>
          <w:b w:val="1"/>
          <w:bCs w:val="1"/>
          <w:color w:val="auto"/>
          <w:vertAlign w:val="superscript"/>
        </w:rPr>
        <w:t>SM</w:t>
      </w:r>
    </w:p>
    <w:p>
      <w:pPr>
        <w:spacing w:after="0" w:line="101"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3"/>
          <w:szCs w:val="13"/>
          <w:color w:val="auto"/>
        </w:rPr>
        <w:t>October 29, 2026</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JEFFERIES LLC</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520 Madison Avenue</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New York, New York 10022</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62" w:lineRule="exact"/>
        <w:rPr>
          <w:sz w:val="20"/>
          <w:szCs w:val="20"/>
          <w:color w:val="auto"/>
        </w:rPr>
      </w:pPr>
    </w:p>
    <w:p>
      <w:pPr>
        <w:jc w:val="both"/>
        <w:ind w:left="340" w:right="539" w:firstLine="334"/>
        <w:spacing w:after="0" w:line="257" w:lineRule="auto"/>
        <w:rPr>
          <w:sz w:val="20"/>
          <w:szCs w:val="20"/>
          <w:color w:val="auto"/>
        </w:rPr>
      </w:pPr>
      <w:r>
        <w:rPr>
          <w:rFonts w:ascii="Times New Roman" w:cs="Times New Roman" w:eastAsia="Times New Roman" w:hAnsi="Times New Roman"/>
          <w:sz w:val="14"/>
          <w:szCs w:val="14"/>
          <w:color w:val="auto"/>
        </w:rPr>
        <w:t>ProKidney Corp.,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proposes, subject to the terms and conditions stated herein, to issue and sell from time to time through Jefferies LLC, as sales agent and/or principal (the “</w:t>
      </w:r>
      <w:r>
        <w:rPr>
          <w:rFonts w:ascii="Times New Roman" w:cs="Times New Roman" w:eastAsia="Times New Roman" w:hAnsi="Times New Roman"/>
          <w:sz w:val="14"/>
          <w:szCs w:val="14"/>
          <w:b w:val="1"/>
          <w:bCs w:val="1"/>
          <w:color w:val="auto"/>
        </w:rPr>
        <w:t>Agent</w:t>
      </w:r>
      <w:r>
        <w:rPr>
          <w:rFonts w:ascii="Times New Roman" w:cs="Times New Roman" w:eastAsia="Times New Roman" w:hAnsi="Times New Roman"/>
          <w:sz w:val="14"/>
          <w:szCs w:val="14"/>
          <w:color w:val="auto"/>
        </w:rPr>
        <w:t>”), shares of the Company’s Class A common stock, par value $0.0001 per share (the “</w:t>
      </w:r>
      <w:r>
        <w:rPr>
          <w:rFonts w:ascii="Times New Roman" w:cs="Times New Roman" w:eastAsia="Times New Roman" w:hAnsi="Times New Roman"/>
          <w:sz w:val="14"/>
          <w:szCs w:val="14"/>
          <w:b w:val="1"/>
          <w:bCs w:val="1"/>
          <w:color w:val="auto"/>
        </w:rPr>
        <w:t>Common Shares</w:t>
      </w:r>
      <w:r>
        <w:rPr>
          <w:rFonts w:ascii="Times New Roman" w:cs="Times New Roman" w:eastAsia="Times New Roman" w:hAnsi="Times New Roman"/>
          <w:sz w:val="14"/>
          <w:szCs w:val="14"/>
          <w:color w:val="auto"/>
        </w:rPr>
        <w:t>”), on the terms set forth in this agreement (this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Section 1.  DEFINITIONS</w:t>
      </w:r>
    </w:p>
    <w:p>
      <w:pPr>
        <w:spacing w:after="0" w:line="89" w:lineRule="exact"/>
        <w:rPr>
          <w:sz w:val="20"/>
          <w:szCs w:val="20"/>
          <w:color w:val="auto"/>
        </w:rPr>
      </w:pPr>
    </w:p>
    <w:p>
      <w:pPr>
        <w:ind w:left="340" w:right="779" w:firstLine="334"/>
        <w:spacing w:after="0" w:line="265" w:lineRule="auto"/>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Certain Definitions</w:t>
      </w:r>
      <w:r>
        <w:rPr>
          <w:rFonts w:ascii="Times New Roman" w:cs="Times New Roman" w:eastAsia="Times New Roman" w:hAnsi="Times New Roman"/>
          <w:sz w:val="14"/>
          <w:szCs w:val="14"/>
          <w:color w:val="auto"/>
        </w:rPr>
        <w:t>. For purposes of this Agreement, capitalized terms used herein and not otherwise defined shall have the following respective meanings:</w:t>
      </w:r>
    </w:p>
    <w:p>
      <w:pPr>
        <w:spacing w:after="0" w:line="132" w:lineRule="exact"/>
        <w:rPr>
          <w:sz w:val="20"/>
          <w:szCs w:val="20"/>
          <w:color w:val="auto"/>
        </w:rPr>
      </w:pPr>
    </w:p>
    <w:p>
      <w:pPr>
        <w:ind w:left="340" w:right="419" w:firstLine="334"/>
        <w:spacing w:after="0" w:line="25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Affiliate</w:t>
      </w:r>
      <w:r>
        <w:rPr>
          <w:rFonts w:ascii="Times New Roman" w:cs="Times New Roman" w:eastAsia="Times New Roman" w:hAnsi="Times New Roman"/>
          <w:sz w:val="14"/>
          <w:szCs w:val="14"/>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40" w:lineRule="exact"/>
        <w:rPr>
          <w:sz w:val="20"/>
          <w:szCs w:val="20"/>
          <w:color w:val="auto"/>
        </w:rPr>
      </w:pPr>
    </w:p>
    <w:p>
      <w:pPr>
        <w:jc w:val="both"/>
        <w:ind w:left="340" w:right="499" w:firstLine="334"/>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Agency Period</w:t>
      </w:r>
      <w:r>
        <w:rPr>
          <w:rFonts w:ascii="Times New Roman" w:cs="Times New Roman" w:eastAsia="Times New Roman" w:hAnsi="Times New Roman"/>
          <w:sz w:val="14"/>
          <w:szCs w:val="14"/>
          <w:color w:val="auto"/>
        </w:rPr>
        <w:t xml:space="preserve">” means the period commencing on the date of this Agreement and expiring on the earliest to occur of (x) the date on which the Agent shall have placed the Maximum Program Amount (as defined below) pursuant to this Agreement and (y) the date this Agreement is terminated pursuant to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Commission</w:t>
      </w:r>
      <w:r>
        <w:rPr>
          <w:rFonts w:ascii="Times New Roman" w:cs="Times New Roman" w:eastAsia="Times New Roman" w:hAnsi="Times New Roman"/>
          <w:sz w:val="14"/>
          <w:szCs w:val="14"/>
          <w:color w:val="auto"/>
        </w:rPr>
        <w:t>” means the U.S. Securities and Exchange Commission.</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means the Securities Exchange Act of 1934, as amended, and the rules and regulations of the Commission thereunder.</w:t>
      </w:r>
    </w:p>
    <w:p>
      <w:pPr>
        <w:spacing w:after="0" w:line="166" w:lineRule="exact"/>
        <w:rPr>
          <w:sz w:val="20"/>
          <w:szCs w:val="20"/>
          <w:color w:val="auto"/>
        </w:rPr>
      </w:pPr>
    </w:p>
    <w:p>
      <w:pPr>
        <w:ind w:left="340" w:right="379" w:firstLine="334"/>
        <w:spacing w:after="0" w:line="25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Floor Price Limitation</w:t>
      </w:r>
      <w:r>
        <w:rPr>
          <w:rFonts w:ascii="Times New Roman" w:cs="Times New Roman" w:eastAsia="Times New Roman" w:hAnsi="Times New Roman"/>
          <w:sz w:val="14"/>
          <w:szCs w:val="14"/>
          <w:color w:val="auto"/>
        </w:rPr>
        <w:t>” means the minimum price per share set by the Company in the applicable Issuance Notice below which the Agent shall not sell Shares during the applicable period set forth in the applicable Issuance Notice, which may be adjusted by the Company at any time during the period set forth in the applicable Issuance Notice by delivering written notice of such change to the Agent and which in no event shall be less than $1.00 per share without the prior written consent of the Agent, which may be withheld in the Agent’s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66675</wp:posOffset>
            </wp:positionV>
            <wp:extent cx="57848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578485" cy="6350"/>
                    </a:xfrm>
                    <a:prstGeom prst="rect">
                      <a:avLst/>
                    </a:prstGeom>
                    <a:noFill/>
                  </pic:spPr>
                </pic:pic>
              </a:graphicData>
            </a:graphic>
          </wp:anchor>
        </w:drawing>
      </w:r>
    </w:p>
    <w:p>
      <w:pPr>
        <w:spacing w:after="0" w:line="49"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20"/>
          <w:szCs w:val="20"/>
          <w:color w:val="auto"/>
          <w:vertAlign w:val="superscript"/>
        </w:rPr>
        <w:t>SM</w:t>
      </w:r>
      <w:r>
        <w:rPr>
          <w:sz w:val="20"/>
          <w:szCs w:val="20"/>
          <w:color w:val="auto"/>
        </w:rPr>
        <w:tab/>
      </w:r>
      <w:r>
        <w:rPr>
          <w:rFonts w:ascii="Times New Roman" w:cs="Times New Roman" w:eastAsia="Times New Roman" w:hAnsi="Times New Roman"/>
          <w:sz w:val="14"/>
          <w:szCs w:val="14"/>
          <w:color w:val="auto"/>
        </w:rPr>
        <w:t>“Open Market Sale Agreement” is a service mark of Jefferies LLC</w:t>
      </w:r>
    </w:p>
    <w:p>
      <w:pPr>
        <w:sectPr>
          <w:pgSz w:w="11900" w:h="16838" w:orient="portrait"/>
          <w:cols w:equalWidth="0" w:num="1">
            <w:col w:w="9019"/>
          </w:cols>
          <w:pgMar w:left="1440" w:top="123" w:right="1440"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Issuance Amount</w:t>
      </w:r>
      <w:r>
        <w:rPr>
          <w:rFonts w:ascii="Times New Roman" w:cs="Times New Roman" w:eastAsia="Times New Roman" w:hAnsi="Times New Roman"/>
          <w:sz w:val="14"/>
          <w:szCs w:val="14"/>
          <w:color w:val="auto"/>
        </w:rPr>
        <w:t>” means the aggregate Sales Price of the Shares to be sold by the Agent pursuant to any Issuance Notice.</w:t>
      </w:r>
    </w:p>
    <w:p>
      <w:pPr>
        <w:spacing w:after="0" w:line="166" w:lineRule="exact"/>
        <w:rPr>
          <w:sz w:val="20"/>
          <w:szCs w:val="20"/>
          <w:color w:val="auto"/>
        </w:rPr>
      </w:pPr>
    </w:p>
    <w:p>
      <w:pPr>
        <w:ind w:left="340" w:right="439" w:firstLine="334"/>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Issuance Notice</w:t>
      </w:r>
      <w:r>
        <w:rPr>
          <w:rFonts w:ascii="Times New Roman" w:cs="Times New Roman" w:eastAsia="Times New Roman" w:hAnsi="Times New Roman"/>
          <w:sz w:val="14"/>
          <w:szCs w:val="14"/>
          <w:color w:val="auto"/>
        </w:rPr>
        <w:t xml:space="preserve">” means a written notice delivered to the Agent by the Company in accordance with this Agreement in the form attached hereto as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that is executed by its Chief Executive Officer, President or Chief Financial Officer.</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Issuance Notice Date</w:t>
      </w:r>
      <w:r>
        <w:rPr>
          <w:rFonts w:ascii="Times New Roman" w:cs="Times New Roman" w:eastAsia="Times New Roman" w:hAnsi="Times New Roman"/>
          <w:sz w:val="14"/>
          <w:szCs w:val="14"/>
          <w:color w:val="auto"/>
        </w:rPr>
        <w:t xml:space="preserve">” means any Trading Day during the Agency Period that an Issuance Notice is delivered pursuant to </w:t>
      </w:r>
      <w:r>
        <w:rPr>
          <w:rFonts w:ascii="Times New Roman" w:cs="Times New Roman" w:eastAsia="Times New Roman" w:hAnsi="Times New Roman"/>
          <w:sz w:val="14"/>
          <w:szCs w:val="14"/>
          <w:u w:val="single" w:color="auto"/>
          <w:color w:val="auto"/>
        </w:rPr>
        <w:t>Section 3(b)(i)</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Issuance Price</w:t>
      </w:r>
      <w:r>
        <w:rPr>
          <w:rFonts w:ascii="Times New Roman" w:cs="Times New Roman" w:eastAsia="Times New Roman" w:hAnsi="Times New Roman"/>
          <w:sz w:val="14"/>
          <w:szCs w:val="14"/>
          <w:color w:val="auto"/>
        </w:rPr>
        <w:t>” means the Sales Price less the Selling Commission.</w:t>
      </w:r>
    </w:p>
    <w:p>
      <w:pPr>
        <w:spacing w:after="0" w:line="166" w:lineRule="exact"/>
        <w:rPr>
          <w:sz w:val="20"/>
          <w:szCs w:val="20"/>
          <w:color w:val="auto"/>
        </w:rPr>
      </w:pPr>
    </w:p>
    <w:p>
      <w:pPr>
        <w:ind w:left="340" w:right="399" w:firstLine="334"/>
        <w:spacing w:after="0" w:line="24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Maximum Program Amount</w:t>
      </w:r>
      <w:r>
        <w:rPr>
          <w:rFonts w:ascii="Times New Roman" w:cs="Times New Roman" w:eastAsia="Times New Roman" w:hAnsi="Times New Roman"/>
          <w:sz w:val="14"/>
          <w:szCs w:val="14"/>
          <w:color w:val="auto"/>
        </w:rPr>
        <w:t>”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(defined below).</w:t>
      </w:r>
    </w:p>
    <w:p>
      <w:pPr>
        <w:spacing w:after="0" w:line="144" w:lineRule="exact"/>
        <w:rPr>
          <w:sz w:val="20"/>
          <w:szCs w:val="20"/>
          <w:color w:val="auto"/>
        </w:rPr>
      </w:pPr>
    </w:p>
    <w:p>
      <w:pPr>
        <w:ind w:left="340" w:right="639" w:firstLine="334"/>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Person</w:t>
      </w:r>
      <w:r>
        <w:rPr>
          <w:rFonts w:ascii="Times New Roman" w:cs="Times New Roman" w:eastAsia="Times New Roman" w:hAnsi="Times New Roman"/>
          <w:sz w:val="14"/>
          <w:szCs w:val="14"/>
          <w:color w:val="auto"/>
        </w:rPr>
        <w:t>” means an individual or a corporation, partnership, limited liability company, trust, incorporated or unincorporated association, joint venture, joint stock company, governmental authority or other entity of any kind.</w:t>
      </w:r>
    </w:p>
    <w:p>
      <w:pPr>
        <w:spacing w:after="0" w:line="128" w:lineRule="exact"/>
        <w:rPr>
          <w:sz w:val="20"/>
          <w:szCs w:val="20"/>
          <w:color w:val="auto"/>
        </w:rPr>
      </w:pPr>
    </w:p>
    <w:p>
      <w:pPr>
        <w:ind w:left="340" w:right="539" w:firstLine="334"/>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Principal Market</w:t>
      </w:r>
      <w:r>
        <w:rPr>
          <w:rFonts w:ascii="Times New Roman" w:cs="Times New Roman" w:eastAsia="Times New Roman" w:hAnsi="Times New Roman"/>
          <w:sz w:val="14"/>
          <w:szCs w:val="14"/>
          <w:color w:val="auto"/>
        </w:rPr>
        <w:t>” means the Nasdaq Capital Market or such other national securities exchange on which the Common Shares, including any Shares, are then listed.</w:t>
      </w:r>
    </w:p>
    <w:p>
      <w:pPr>
        <w:spacing w:after="0" w:line="128" w:lineRule="exact"/>
        <w:rPr>
          <w:sz w:val="20"/>
          <w:szCs w:val="20"/>
          <w:color w:val="auto"/>
        </w:rPr>
      </w:pPr>
    </w:p>
    <w:p>
      <w:pPr>
        <w:ind w:left="340" w:right="459" w:firstLine="334"/>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Rule 462(b) Registration Statement</w:t>
      </w:r>
      <w:r>
        <w:rPr>
          <w:rFonts w:ascii="Times New Roman" w:cs="Times New Roman" w:eastAsia="Times New Roman" w:hAnsi="Times New Roman"/>
          <w:sz w:val="14"/>
          <w:szCs w:val="14"/>
          <w:color w:val="auto"/>
        </w:rPr>
        <w:t>” means any registration statement filed by the Company pursuant to Rule 462(b) under the Securities Act in connection with the offer and sale of Shares.</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Sales Price</w:t>
      </w:r>
      <w:r>
        <w:rPr>
          <w:rFonts w:ascii="Times New Roman" w:cs="Times New Roman" w:eastAsia="Times New Roman" w:hAnsi="Times New Roman"/>
          <w:sz w:val="14"/>
          <w:szCs w:val="14"/>
          <w:color w:val="auto"/>
        </w:rPr>
        <w:t>” means the actual sale execution price of each Share placed by the Agent pursuant to this Agreement.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means the Securities Act of 1933, as amended, and the rules and regulations of the Commission thereunder.</w:t>
      </w:r>
    </w:p>
    <w:p>
      <w:pPr>
        <w:spacing w:after="0" w:line="166" w:lineRule="exact"/>
        <w:rPr>
          <w:sz w:val="20"/>
          <w:szCs w:val="20"/>
          <w:color w:val="auto"/>
        </w:rPr>
      </w:pPr>
    </w:p>
    <w:p>
      <w:pPr>
        <w:ind w:left="340" w:right="539" w:firstLine="334"/>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Selling Commission</w:t>
      </w:r>
      <w:r>
        <w:rPr>
          <w:rFonts w:ascii="Times New Roman" w:cs="Times New Roman" w:eastAsia="Times New Roman" w:hAnsi="Times New Roman"/>
          <w:sz w:val="14"/>
          <w:szCs w:val="14"/>
          <w:color w:val="auto"/>
        </w:rPr>
        <w:t>” means up to three percent (3%) of the gross proceeds of Shares sold pursuant to this Agreement, or as otherwise agreed between the Company and the Agent with respect to any Shares sold pursuant to this Agreement.</w:t>
      </w:r>
    </w:p>
    <w:p>
      <w:pPr>
        <w:spacing w:after="0" w:line="128" w:lineRule="exact"/>
        <w:rPr>
          <w:sz w:val="20"/>
          <w:szCs w:val="20"/>
          <w:color w:val="auto"/>
        </w:rPr>
      </w:pPr>
    </w:p>
    <w:p>
      <w:pPr>
        <w:ind w:left="340" w:right="519" w:firstLine="334"/>
        <w:spacing w:after="0" w:line="25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Settlement Date</w:t>
      </w:r>
      <w:r>
        <w:rPr>
          <w:rFonts w:ascii="Times New Roman" w:cs="Times New Roman" w:eastAsia="Times New Roman" w:hAnsi="Times New Roman"/>
          <w:sz w:val="14"/>
          <w:szCs w:val="14"/>
          <w:color w:val="auto"/>
        </w:rPr>
        <w:t>” means the first business day, or such other time period as required by the Exchange Act or by the rules promulgated thereunder, following each Trading Day during the period set forth in the applicable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5" w:right="1440"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4"/>
          <w:szCs w:val="14"/>
          <w:color w:val="auto"/>
        </w:rPr>
        <w:t>” shall mean the Company’s Common Shares issued or issuable pursuant to this Agreement.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Trading Day</w:t>
      </w:r>
      <w:r>
        <w:rPr>
          <w:rFonts w:ascii="Times New Roman" w:cs="Times New Roman" w:eastAsia="Times New Roman" w:hAnsi="Times New Roman"/>
          <w:sz w:val="14"/>
          <w:szCs w:val="14"/>
          <w:color w:val="auto"/>
        </w:rPr>
        <w:t>” means any day on which the Principal Market is open for trading.</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Section 2.  REPRESENTATIONS AND WARRANTIES OF THE COMPANY</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Company represents and warrants to, and agrees with, the Agent that as of (1) the date of this Agreement, (2) each Issuance Notice Date,</w:t>
      </w:r>
    </w:p>
    <w:p>
      <w:pPr>
        <w:spacing w:after="0" w:line="15" w:lineRule="exact"/>
        <w:rPr>
          <w:sz w:val="20"/>
          <w:szCs w:val="20"/>
          <w:color w:val="auto"/>
        </w:rPr>
      </w:pPr>
    </w:p>
    <w:p>
      <w:pPr>
        <w:ind w:left="340" w:right="739" w:hanging="10"/>
        <w:spacing w:after="0" w:line="246" w:lineRule="auto"/>
        <w:tabs>
          <w:tab w:leader="none" w:pos="533"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Settlement Date, (4) each Triggering Event Date (as defined below) and (5) as of each Time of Sale (as defined below) (each of the times referenced above is referred to herein as a “</w:t>
      </w:r>
      <w:r>
        <w:rPr>
          <w:rFonts w:ascii="Times New Roman" w:cs="Times New Roman" w:eastAsia="Times New Roman" w:hAnsi="Times New Roman"/>
          <w:sz w:val="14"/>
          <w:szCs w:val="14"/>
          <w:b w:val="1"/>
          <w:bCs w:val="1"/>
          <w:color w:val="auto"/>
        </w:rPr>
        <w:t>Representation Date</w:t>
      </w:r>
      <w:r>
        <w:rPr>
          <w:rFonts w:ascii="Times New Roman" w:cs="Times New Roman" w:eastAsia="Times New Roman" w:hAnsi="Times New Roman"/>
          <w:sz w:val="14"/>
          <w:szCs w:val="14"/>
          <w:color w:val="auto"/>
        </w:rPr>
        <w:t>”), except as may be disclosed in the Prospectus (including any documents incorporated by reference therein and any supplements thereto) on or before a Representation Date:</w:t>
      </w:r>
    </w:p>
    <w:p>
      <w:pPr>
        <w:spacing w:after="0" w:line="148" w:lineRule="exact"/>
        <w:rPr>
          <w:sz w:val="20"/>
          <w:szCs w:val="20"/>
          <w:color w:val="auto"/>
        </w:rPr>
      </w:pPr>
    </w:p>
    <w:p>
      <w:pPr>
        <w:ind w:left="340" w:right="359" w:firstLine="334"/>
        <w:spacing w:after="0" w:line="245" w:lineRule="auto"/>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The Company has prepared and will file with the Commission a shelf registration statement on Form S-3 that contains a base prospectus (the “</w:t>
      </w:r>
      <w:r>
        <w:rPr>
          <w:rFonts w:ascii="Times New Roman" w:cs="Times New Roman" w:eastAsia="Times New Roman" w:hAnsi="Times New Roman"/>
          <w:sz w:val="14"/>
          <w:szCs w:val="14"/>
          <w:b w:val="1"/>
          <w:bCs w:val="1"/>
          <w:color w:val="auto"/>
        </w:rPr>
        <w:t>Base Prospectus</w:t>
      </w:r>
      <w:r>
        <w:rPr>
          <w:rFonts w:ascii="Times New Roman" w:cs="Times New Roman" w:eastAsia="Times New Roman" w:hAnsi="Times New Roman"/>
          <w:sz w:val="14"/>
          <w:szCs w:val="14"/>
          <w:color w:val="auto"/>
        </w:rPr>
        <w:t>”) and a sales agreement prospectus specifically relating to the Shares (the “</w:t>
      </w:r>
      <w:r>
        <w:rPr>
          <w:rFonts w:ascii="Times New Roman" w:cs="Times New Roman" w:eastAsia="Times New Roman" w:hAnsi="Times New Roman"/>
          <w:sz w:val="14"/>
          <w:szCs w:val="14"/>
          <w:b w:val="1"/>
          <w:bCs w:val="1"/>
          <w:color w:val="auto"/>
        </w:rPr>
        <w:t>Sales Agreement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Prospectus</w:t>
      </w:r>
      <w:r>
        <w:rPr>
          <w:rFonts w:ascii="Times New Roman" w:cs="Times New Roman" w:eastAsia="Times New Roman" w:hAnsi="Times New Roman"/>
          <w:sz w:val="14"/>
          <w:szCs w:val="14"/>
          <w:color w:val="auto"/>
        </w:rPr>
        <w:t>”). Such registration statement registers the issuance and sale by the Company of the Shares under the Securities Act. The Company may file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and the Base Prospectus and Sales Agreement Prospectus,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Times New Roman" w:cs="Times New Roman" w:eastAsia="Times New Roman" w:hAnsi="Times New Roman"/>
          <w:sz w:val="14"/>
          <w:szCs w:val="14"/>
          <w:b w:val="1"/>
          <w:bCs w:val="1"/>
          <w:color w:val="auto"/>
        </w:rPr>
        <w:t>Prospectus</w:t>
      </w:r>
      <w:r>
        <w:rPr>
          <w:rFonts w:ascii="Times New Roman" w:cs="Times New Roman" w:eastAsia="Times New Roman" w:hAnsi="Times New Roman"/>
          <w:sz w:val="14"/>
          <w:szCs w:val="14"/>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Times New Roman" w:cs="Times New Roman" w:eastAsia="Times New Roman" w:hAnsi="Times New Roman"/>
          <w:sz w:val="14"/>
          <w:szCs w:val="14"/>
          <w:b w:val="1"/>
          <w:bCs w:val="1"/>
          <w:color w:val="auto"/>
        </w:rPr>
        <w:t>Prospectus</w:t>
      </w:r>
      <w:r>
        <w:rPr>
          <w:rFonts w:ascii="Times New Roman" w:cs="Times New Roman" w:eastAsia="Times New Roman" w:hAnsi="Times New Roman"/>
          <w:sz w:val="14"/>
          <w:szCs w:val="14"/>
          <w:color w:val="auto"/>
        </w:rPr>
        <w:t>” shall refer to such revised prospectus from and after the time it is first provided to the Agent for such use. The Registration Statement at the time it originally became effective is herein called the “</w:t>
      </w:r>
      <w:r>
        <w:rPr>
          <w:rFonts w:ascii="Times New Roman" w:cs="Times New Roman" w:eastAsia="Times New Roman" w:hAnsi="Times New Roman"/>
          <w:sz w:val="14"/>
          <w:szCs w:val="14"/>
          <w:b w:val="1"/>
          <w:bCs w:val="1"/>
          <w:color w:val="auto"/>
        </w:rPr>
        <w:t>Original Registration Statement</w:t>
      </w:r>
      <w:r>
        <w:rPr>
          <w:rFonts w:ascii="Times New Roman" w:cs="Times New Roman" w:eastAsia="Times New Roman" w:hAnsi="Times New Roman"/>
          <w:sz w:val="14"/>
          <w:szCs w:val="14"/>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153" w:lineRule="exact"/>
        <w:rPr>
          <w:sz w:val="20"/>
          <w:szCs w:val="20"/>
          <w:color w:val="auto"/>
        </w:rPr>
      </w:pPr>
    </w:p>
    <w:p>
      <w:pPr>
        <w:ind w:left="340" w:right="379" w:firstLine="334"/>
        <w:spacing w:after="0" w:line="249" w:lineRule="auto"/>
        <w:rPr>
          <w:sz w:val="20"/>
          <w:szCs w:val="20"/>
          <w:color w:val="auto"/>
        </w:rPr>
      </w:pPr>
      <w:r>
        <w:rPr>
          <w:rFonts w:ascii="Times New Roman" w:cs="Times New Roman" w:eastAsia="Times New Roman" w:hAnsi="Times New Roman"/>
          <w:sz w:val="14"/>
          <w:szCs w:val="14"/>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5" w:right="1440" w:bottom="1440" w:gutter="0" w:footer="0" w:header="0"/>
        </w:sectPr>
      </w:pPr>
    </w:p>
    <w:bookmarkStart w:id="69" w:name="page70"/>
    <w:bookmarkEnd w:id="69"/>
    <w:p>
      <w:pPr>
        <w:ind w:left="340" w:right="55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w:t>
      </w:r>
    </w:p>
    <w:p>
      <w:pPr>
        <w:spacing w:after="0" w:line="144" w:lineRule="exact"/>
        <w:rPr>
          <w:sz w:val="20"/>
          <w:szCs w:val="20"/>
          <w:color w:val="auto"/>
        </w:rPr>
      </w:pPr>
    </w:p>
    <w:p>
      <w:pPr>
        <w:ind w:left="340" w:right="359" w:firstLine="334"/>
        <w:spacing w:after="0" w:line="251" w:lineRule="auto"/>
        <w:rPr>
          <w:sz w:val="20"/>
          <w:szCs w:val="20"/>
          <w:color w:val="auto"/>
        </w:rPr>
      </w:pPr>
      <w:r>
        <w:rPr>
          <w:rFonts w:ascii="Times New Roman" w:cs="Times New Roman" w:eastAsia="Times New Roman" w:hAnsi="Times New Roman"/>
          <w:sz w:val="14"/>
          <w:szCs w:val="14"/>
          <w:color w:val="auto"/>
        </w:rPr>
        <w:t>At the time the Registration Statement was or will be originally declared effective and at the time the Company’s most recent annual report on Form 10-K was filed with the Commission, if later, the Company met the then-applicable requirements for use of Form S-3 under the Securities Act. During the Agency Period, each time the Company files an annual report on Form 10-K the Company will meet the then-applicable requirements for use of Form S-3 under the Securities Act.</w:t>
      </w:r>
    </w:p>
    <w:p>
      <w:pPr>
        <w:spacing w:after="0" w:line="145" w:lineRule="exact"/>
        <w:rPr>
          <w:sz w:val="20"/>
          <w:szCs w:val="20"/>
          <w:color w:val="auto"/>
        </w:rPr>
      </w:pPr>
    </w:p>
    <w:p>
      <w:pPr>
        <w:ind w:left="340" w:right="359" w:firstLine="334"/>
        <w:spacing w:after="0" w:line="248" w:lineRule="auto"/>
        <w:rPr>
          <w:sz w:val="20"/>
          <w:szCs w:val="20"/>
          <w:color w:val="auto"/>
        </w:rPr>
      </w:pPr>
      <w:r>
        <w:rPr>
          <w:rFonts w:ascii="Times New Roman" w:cs="Times New Roman" w:eastAsia="Times New Roman" w:hAnsi="Times New Roman"/>
          <w:sz w:val="14"/>
          <w:szCs w:val="14"/>
          <w:color w:val="auto"/>
        </w:rPr>
        <w:t xml:space="preserve">(b)  </w:t>
      </w:r>
      <w:r>
        <w:rPr>
          <w:rFonts w:ascii="Times New Roman" w:cs="Times New Roman" w:eastAsia="Times New Roman" w:hAnsi="Times New Roman"/>
          <w:sz w:val="14"/>
          <w:szCs w:val="14"/>
          <w:u w:val="single" w:color="auto"/>
          <w:color w:val="auto"/>
        </w:rPr>
        <w:t>Compliance with Registration Requirements</w:t>
      </w:r>
      <w:r>
        <w:rPr>
          <w:rFonts w:ascii="Times New Roman" w:cs="Times New Roman" w:eastAsia="Times New Roman" w:hAnsi="Times New Roman"/>
          <w:sz w:val="14"/>
          <w:szCs w:val="14"/>
          <w:color w:val="auto"/>
        </w:rPr>
        <w:t>. The Original Registration Statement will be declared effective by the Commission under the Securities Act prior to the first Issuance Notice Date following the date hereof. Any Rule 462(b) Registration Statement will be declared effective by the Commission under the Securities Act prior to the first Issuance Notice. The Company will comply and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best knowledge of the Company, are contemplated or threatened by the Commission.</w:t>
      </w:r>
    </w:p>
    <w:p>
      <w:pPr>
        <w:spacing w:after="0" w:line="148" w:lineRule="exact"/>
        <w:rPr>
          <w:sz w:val="20"/>
          <w:szCs w:val="20"/>
          <w:color w:val="auto"/>
        </w:rPr>
      </w:pPr>
    </w:p>
    <w:p>
      <w:pPr>
        <w:ind w:left="340" w:right="339" w:firstLine="334"/>
        <w:spacing w:after="0" w:line="245" w:lineRule="auto"/>
        <w:rPr>
          <w:sz w:val="20"/>
          <w:szCs w:val="20"/>
          <w:color w:val="auto"/>
        </w:rPr>
      </w:pPr>
      <w:r>
        <w:rPr>
          <w:rFonts w:ascii="Times New Roman" w:cs="Times New Roman" w:eastAsia="Times New Roman" w:hAnsi="Times New Roman"/>
          <w:sz w:val="14"/>
          <w:szCs w:val="14"/>
          <w:color w:val="auto"/>
        </w:rPr>
        <w:t>The Prospectus when filed complied and will comply, as applicable, in all material respects with the Securities Act and, if filed with the Commission through its Electronic Data Gathering, Analysis and Retrieval system (“</w:t>
      </w:r>
      <w:r>
        <w:rPr>
          <w:rFonts w:ascii="Times New Roman" w:cs="Times New Roman" w:eastAsia="Times New Roman" w:hAnsi="Times New Roman"/>
          <w:sz w:val="14"/>
          <w:szCs w:val="14"/>
          <w:b w:val="1"/>
          <w:bCs w:val="1"/>
          <w:color w:val="auto"/>
        </w:rPr>
        <w:t>EDGAR</w:t>
      </w:r>
      <w:r>
        <w:rPr>
          <w:rFonts w:ascii="Times New Roman" w:cs="Times New Roman" w:eastAsia="Times New Roman" w:hAnsi="Times New Roman"/>
          <w:sz w:val="14"/>
          <w:szCs w:val="14"/>
          <w:color w:val="auto"/>
        </w:rPr>
        <w:t>”) (except as may be permitted by Regulation S-T under the Securities Act), was or will be identical to the copy thereof delivered to the Agent for use in connection with the issuance and sale of the Shares. Each of the Registration Statement, any Rule 462(b) Registration Statement and any post-effective amendment thereto, at the time it became or becomes effective and at all subsequent times,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Times New Roman" w:cs="Times New Roman" w:eastAsia="Times New Roman" w:hAnsi="Times New Roman"/>
          <w:sz w:val="14"/>
          <w:szCs w:val="14"/>
          <w:b w:val="1"/>
          <w:bCs w:val="1"/>
          <w:color w:val="auto"/>
        </w:rPr>
        <w:t>Time of Sale Information</w:t>
      </w:r>
      <w:r>
        <w:rPr>
          <w:rFonts w:ascii="Times New Roman" w:cs="Times New Roman" w:eastAsia="Times New Roman" w:hAnsi="Times New Roman"/>
          <w:sz w:val="14"/>
          <w:szCs w:val="14"/>
          <w:color w:val="auto"/>
        </w:rPr>
        <w:t>”) did not contain any untrue statement of a material fact or omit to state a material fact necessary to make the statements therein, in the light of the circumstances under which they were made, not misleading. The Prospectus, as amended or supplemented, as of its date and at all subsequent times,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Agent Information (defined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9" w:right="1440" w:bottom="1440" w:gutter="0" w:footer="0" w:header="0"/>
        </w:sectPr>
      </w:pPr>
    </w:p>
    <w:bookmarkStart w:id="70" w:name="page71"/>
    <w:bookmarkEnd w:id="70"/>
    <w:p>
      <w:pPr>
        <w:ind w:left="340" w:right="359" w:firstLine="334"/>
        <w:spacing w:after="0" w:line="24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 xml:space="preserve">(c)  </w:t>
      </w:r>
      <w:r>
        <w:rPr>
          <w:rFonts w:ascii="Times New Roman" w:cs="Times New Roman" w:eastAsia="Times New Roman" w:hAnsi="Times New Roman"/>
          <w:sz w:val="14"/>
          <w:szCs w:val="14"/>
          <w:u w:val="single" w:color="auto"/>
          <w:color w:val="auto"/>
        </w:rPr>
        <w:t>Ineligible Issuer Status</w:t>
      </w:r>
      <w:r>
        <w:rPr>
          <w:rFonts w:ascii="Times New Roman" w:cs="Times New Roman" w:eastAsia="Times New Roman" w:hAnsi="Times New Roman"/>
          <w:sz w:val="14"/>
          <w:szCs w:val="14"/>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you before first use, the Company has not prepared, used or referred to, and will not, without your prior written consent, which consent shall not be unreasonably withheld or conditioned, prepare, use or refer to, any Free Writing Prospectus.</w:t>
      </w:r>
    </w:p>
    <w:p>
      <w:pPr>
        <w:spacing w:after="0" w:line="149" w:lineRule="exact"/>
        <w:rPr>
          <w:sz w:val="20"/>
          <w:szCs w:val="20"/>
          <w:color w:val="auto"/>
        </w:rPr>
      </w:pPr>
    </w:p>
    <w:p>
      <w:pPr>
        <w:ind w:left="340" w:right="579" w:firstLine="334"/>
        <w:spacing w:after="0" w:line="265" w:lineRule="auto"/>
        <w:rPr>
          <w:sz w:val="20"/>
          <w:szCs w:val="20"/>
          <w:color w:val="auto"/>
        </w:rPr>
      </w:pPr>
      <w:r>
        <w:rPr>
          <w:rFonts w:ascii="Times New Roman" w:cs="Times New Roman" w:eastAsia="Times New Roman" w:hAnsi="Times New Roman"/>
          <w:sz w:val="14"/>
          <w:szCs w:val="14"/>
          <w:color w:val="auto"/>
        </w:rPr>
        <w:t xml:space="preserve">(d)  </w:t>
      </w:r>
      <w:r>
        <w:rPr>
          <w:rFonts w:ascii="Times New Roman" w:cs="Times New Roman" w:eastAsia="Times New Roman" w:hAnsi="Times New Roman"/>
          <w:sz w:val="14"/>
          <w:szCs w:val="14"/>
          <w:u w:val="single" w:color="auto"/>
          <w:color w:val="auto"/>
        </w:rPr>
        <w:t>Emerging Growth Company Status</w:t>
      </w:r>
      <w:r>
        <w:rPr>
          <w:rFonts w:ascii="Times New Roman" w:cs="Times New Roman" w:eastAsia="Times New Roman" w:hAnsi="Times New Roman"/>
          <w:sz w:val="14"/>
          <w:szCs w:val="14"/>
          <w:color w:val="auto"/>
        </w:rPr>
        <w:t>. The Company is an “emerging growth company,” as defined in Section 2(a) of the Securities Act (an “</w:t>
      </w:r>
      <w:r>
        <w:rPr>
          <w:rFonts w:ascii="Times New Roman" w:cs="Times New Roman" w:eastAsia="Times New Roman" w:hAnsi="Times New Roman"/>
          <w:sz w:val="14"/>
          <w:szCs w:val="14"/>
          <w:b w:val="1"/>
          <w:bCs w:val="1"/>
          <w:color w:val="auto"/>
        </w:rPr>
        <w:t>Emerging Growth Company</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340" w:right="359" w:firstLine="334"/>
        <w:spacing w:after="0" w:line="276" w:lineRule="auto"/>
        <w:rPr>
          <w:sz w:val="20"/>
          <w:szCs w:val="20"/>
          <w:color w:val="auto"/>
        </w:rPr>
      </w:pPr>
      <w:r>
        <w:rPr>
          <w:rFonts w:ascii="Times New Roman" w:cs="Times New Roman" w:eastAsia="Times New Roman" w:hAnsi="Times New Roman"/>
          <w:sz w:val="13"/>
          <w:szCs w:val="13"/>
          <w:color w:val="auto"/>
        </w:rPr>
        <w:t xml:space="preserve">(e)  </w:t>
      </w:r>
      <w:r>
        <w:rPr>
          <w:rFonts w:ascii="Times New Roman" w:cs="Times New Roman" w:eastAsia="Times New Roman" w:hAnsi="Times New Roman"/>
          <w:sz w:val="13"/>
          <w:szCs w:val="13"/>
          <w:u w:val="single" w:color="auto"/>
          <w:color w:val="auto"/>
        </w:rPr>
        <w:t>Incorporated Documents</w:t>
      </w:r>
      <w:r>
        <w:rPr>
          <w:rFonts w:ascii="Times New Roman" w:cs="Times New Roman" w:eastAsia="Times New Roman" w:hAnsi="Times New Roman"/>
          <w:sz w:val="13"/>
          <w:szCs w:val="13"/>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31" w:lineRule="exact"/>
        <w:rPr>
          <w:sz w:val="20"/>
          <w:szCs w:val="20"/>
          <w:color w:val="auto"/>
        </w:rPr>
      </w:pPr>
    </w:p>
    <w:p>
      <w:pPr>
        <w:ind w:left="340" w:right="439" w:firstLine="334"/>
        <w:spacing w:after="0" w:line="271" w:lineRule="auto"/>
        <w:rPr>
          <w:sz w:val="20"/>
          <w:szCs w:val="20"/>
          <w:color w:val="auto"/>
        </w:rPr>
      </w:pPr>
      <w:r>
        <w:rPr>
          <w:rFonts w:ascii="Times New Roman" w:cs="Times New Roman" w:eastAsia="Times New Roman" w:hAnsi="Times New Roman"/>
          <w:sz w:val="13"/>
          <w:szCs w:val="13"/>
          <w:color w:val="auto"/>
        </w:rPr>
        <w:t xml:space="preserve">(f)  </w:t>
      </w:r>
      <w:r>
        <w:rPr>
          <w:rFonts w:ascii="Times New Roman" w:cs="Times New Roman" w:eastAsia="Times New Roman" w:hAnsi="Times New Roman"/>
          <w:sz w:val="13"/>
          <w:szCs w:val="13"/>
          <w:u w:val="single" w:color="auto"/>
          <w:color w:val="auto"/>
        </w:rPr>
        <w:t>Exchange Act Compliance</w:t>
      </w:r>
      <w:r>
        <w:rPr>
          <w:rFonts w:ascii="Times New Roman" w:cs="Times New Roman" w:eastAsia="Times New Roman" w:hAnsi="Times New Roman"/>
          <w:sz w:val="13"/>
          <w:szCs w:val="13"/>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33" w:lineRule="exact"/>
        <w:rPr>
          <w:sz w:val="20"/>
          <w:szCs w:val="20"/>
          <w:color w:val="auto"/>
        </w:rPr>
      </w:pPr>
    </w:p>
    <w:p>
      <w:pPr>
        <w:ind w:left="340" w:right="419" w:firstLine="334"/>
        <w:spacing w:after="0" w:line="254" w:lineRule="auto"/>
        <w:rPr>
          <w:sz w:val="20"/>
          <w:szCs w:val="20"/>
          <w:color w:val="auto"/>
        </w:rPr>
      </w:pPr>
      <w:r>
        <w:rPr>
          <w:rFonts w:ascii="Times New Roman" w:cs="Times New Roman" w:eastAsia="Times New Roman" w:hAnsi="Times New Roman"/>
          <w:sz w:val="14"/>
          <w:szCs w:val="14"/>
          <w:color w:val="auto"/>
        </w:rPr>
        <w:t xml:space="preserve">(g)  </w:t>
      </w:r>
      <w:r>
        <w:rPr>
          <w:rFonts w:ascii="Times New Roman" w:cs="Times New Roman" w:eastAsia="Times New Roman" w:hAnsi="Times New Roman"/>
          <w:sz w:val="14"/>
          <w:szCs w:val="14"/>
          <w:u w:val="single" w:color="auto"/>
          <w:color w:val="auto"/>
        </w:rPr>
        <w:t>Statistical and Market-Related Data</w:t>
      </w:r>
      <w:r>
        <w:rPr>
          <w:rFonts w:ascii="Times New Roman" w:cs="Times New Roman" w:eastAsia="Times New Roman" w:hAnsi="Times New Roman"/>
          <w:sz w:val="14"/>
          <w:szCs w:val="14"/>
          <w:color w:val="auto"/>
        </w:rPr>
        <w:t>. All statistical, demographic and market-related data included in the Registration Statement or the Prospectus are based on or derived from sources that the Company believes, after reasonable inquiry, to be reliable and accurate. To the extent required, the Company has obtained the written consent for the use of such data from such sources.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9" w:right="1440" w:bottom="1440" w:gutter="0" w:footer="0" w:header="0"/>
        </w:sectPr>
      </w:pPr>
    </w:p>
    <w:bookmarkStart w:id="71" w:name="page72"/>
    <w:bookmarkEnd w:id="71"/>
    <w:p>
      <w:pPr>
        <w:ind w:left="340" w:right="359" w:firstLine="334"/>
        <w:spacing w:after="0" w:line="24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 xml:space="preserve">(h)  </w:t>
      </w:r>
      <w:r>
        <w:rPr>
          <w:rFonts w:ascii="Times New Roman" w:cs="Times New Roman" w:eastAsia="Times New Roman" w:hAnsi="Times New Roman"/>
          <w:sz w:val="14"/>
          <w:szCs w:val="14"/>
          <w:u w:val="single" w:color="auto"/>
          <w:color w:val="auto"/>
        </w:rPr>
        <w:t>Disclosure Controls and Procedures; Deficiencies in or Changes to Internal Control Over Financial Reporting</w:t>
      </w:r>
      <w:r>
        <w:rPr>
          <w:rFonts w:ascii="Times New Roman" w:cs="Times New Roman" w:eastAsia="Times New Roman" w:hAnsi="Times New Roman"/>
          <w:sz w:val="14"/>
          <w:szCs w:val="14"/>
          <w:color w:val="auto"/>
        </w:rPr>
        <w:t>. 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(i)   </w:t>
      </w:r>
      <w:r>
        <w:rPr>
          <w:rFonts w:ascii="Times New Roman" w:cs="Times New Roman" w:eastAsia="Times New Roman" w:hAnsi="Times New Roman"/>
          <w:sz w:val="14"/>
          <w:szCs w:val="14"/>
          <w:u w:val="single" w:color="auto"/>
          <w:color w:val="auto"/>
        </w:rPr>
        <w:t>This Agreement</w:t>
      </w:r>
      <w:r>
        <w:rPr>
          <w:rFonts w:ascii="Times New Roman" w:cs="Times New Roman" w:eastAsia="Times New Roman" w:hAnsi="Times New Roman"/>
          <w:sz w:val="14"/>
          <w:szCs w:val="14"/>
          <w:color w:val="auto"/>
        </w:rPr>
        <w:t>. This Agreement has been duly authorized, executed and delivered by the Company.</w:t>
      </w:r>
    </w:p>
    <w:p>
      <w:pPr>
        <w:spacing w:after="0" w:line="166" w:lineRule="exact"/>
        <w:rPr>
          <w:sz w:val="20"/>
          <w:szCs w:val="20"/>
          <w:color w:val="auto"/>
        </w:rPr>
      </w:pPr>
    </w:p>
    <w:p>
      <w:pPr>
        <w:ind w:left="340" w:right="539" w:firstLine="334"/>
        <w:spacing w:after="0" w:line="251" w:lineRule="auto"/>
        <w:rPr>
          <w:sz w:val="20"/>
          <w:szCs w:val="20"/>
          <w:color w:val="auto"/>
        </w:rPr>
      </w:pPr>
      <w:r>
        <w:rPr>
          <w:rFonts w:ascii="Times New Roman" w:cs="Times New Roman" w:eastAsia="Times New Roman" w:hAnsi="Times New Roman"/>
          <w:sz w:val="14"/>
          <w:szCs w:val="14"/>
          <w:color w:val="auto"/>
        </w:rPr>
        <w:t xml:space="preserve">(j)  </w:t>
      </w:r>
      <w:r>
        <w:rPr>
          <w:rFonts w:ascii="Times New Roman" w:cs="Times New Roman" w:eastAsia="Times New Roman" w:hAnsi="Times New Roman"/>
          <w:sz w:val="14"/>
          <w:szCs w:val="14"/>
          <w:u w:val="single" w:color="auto"/>
          <w:color w:val="auto"/>
        </w:rPr>
        <w:t>Authorization of the Shares</w:t>
      </w:r>
      <w:r>
        <w:rPr>
          <w:rFonts w:ascii="Times New Roman" w:cs="Times New Roman" w:eastAsia="Times New Roman" w:hAnsi="Times New Roman"/>
          <w:sz w:val="14"/>
          <w:szCs w:val="14"/>
          <w:color w:val="auto"/>
        </w:rPr>
        <w:t>. The Shares have been duly authorized for issuance and sale pursuant to this Agreement and, when issued and delivered by the Company against payment therefor pursuant to this Agreement, will be validly issued, fully paid and nonassessable, free and clear of any security interest, mortgage, pledge, lien, encumbrance or adverse claim, and the issuance and sale of the Shares is not subject to any preemptive rights, rights of first refusal or other similar rights to subscribe for or purchase the Shares.</w:t>
      </w:r>
    </w:p>
    <w:p>
      <w:pPr>
        <w:spacing w:after="0" w:line="145" w:lineRule="exact"/>
        <w:rPr>
          <w:sz w:val="20"/>
          <w:szCs w:val="20"/>
          <w:color w:val="auto"/>
        </w:rPr>
      </w:pPr>
    </w:p>
    <w:p>
      <w:pPr>
        <w:jc w:val="both"/>
        <w:ind w:left="340" w:right="379" w:firstLine="334"/>
        <w:spacing w:after="0" w:line="254" w:lineRule="auto"/>
        <w:rPr>
          <w:sz w:val="20"/>
          <w:szCs w:val="20"/>
          <w:color w:val="auto"/>
        </w:rPr>
      </w:pPr>
      <w:r>
        <w:rPr>
          <w:rFonts w:ascii="Times New Roman" w:cs="Times New Roman" w:eastAsia="Times New Roman" w:hAnsi="Times New Roman"/>
          <w:sz w:val="14"/>
          <w:szCs w:val="14"/>
          <w:color w:val="auto"/>
        </w:rPr>
        <w:t xml:space="preserve">(k)  </w:t>
      </w:r>
      <w:r>
        <w:rPr>
          <w:rFonts w:ascii="Times New Roman" w:cs="Times New Roman" w:eastAsia="Times New Roman" w:hAnsi="Times New Roman"/>
          <w:sz w:val="14"/>
          <w:szCs w:val="14"/>
          <w:u w:val="single" w:color="auto"/>
          <w:color w:val="auto"/>
        </w:rPr>
        <w:t>No Applicable Registration or Other Similar Rights</w:t>
      </w:r>
      <w:r>
        <w:rPr>
          <w:rFonts w:ascii="Times New Roman" w:cs="Times New Roman" w:eastAsia="Times New Roman" w:hAnsi="Times New Roman"/>
          <w:sz w:val="14"/>
          <w:szCs w:val="14"/>
          <w:color w:val="auto"/>
        </w:rPr>
        <w:t>. There are no persons with registration or other similar rights to have any equity or debt securities registered for sale under the Registration Statement or included in the offering contemplated by this Agreement, except for such rights as have been duly waived or satisfied prior to the date hereof.</w:t>
      </w:r>
    </w:p>
    <w:p>
      <w:pPr>
        <w:spacing w:after="0" w:line="144" w:lineRule="exact"/>
        <w:rPr>
          <w:sz w:val="20"/>
          <w:szCs w:val="20"/>
          <w:color w:val="auto"/>
        </w:rPr>
      </w:pPr>
    </w:p>
    <w:p>
      <w:pPr>
        <w:ind w:left="340" w:right="439" w:firstLine="334"/>
        <w:spacing w:after="0" w:line="268" w:lineRule="auto"/>
        <w:rPr>
          <w:sz w:val="20"/>
          <w:szCs w:val="20"/>
          <w:color w:val="auto"/>
        </w:rPr>
      </w:pPr>
      <w:r>
        <w:rPr>
          <w:rFonts w:ascii="Times New Roman" w:cs="Times New Roman" w:eastAsia="Times New Roman" w:hAnsi="Times New Roman"/>
          <w:sz w:val="13"/>
          <w:szCs w:val="13"/>
          <w:color w:val="auto"/>
        </w:rPr>
        <w:t xml:space="preserve">(l)  </w:t>
      </w:r>
      <w:r>
        <w:rPr>
          <w:rFonts w:ascii="Times New Roman" w:cs="Times New Roman" w:eastAsia="Times New Roman" w:hAnsi="Times New Roman"/>
          <w:sz w:val="13"/>
          <w:szCs w:val="13"/>
          <w:u w:val="single" w:color="auto"/>
          <w:color w:val="auto"/>
        </w:rPr>
        <w:t>No Material Adverse Change</w:t>
      </w:r>
      <w:r>
        <w:rPr>
          <w:rFonts w:ascii="Times New Roman" w:cs="Times New Roman" w:eastAsia="Times New Roman" w:hAnsi="Times New Roman"/>
          <w:sz w:val="13"/>
          <w:szCs w:val="13"/>
          <w:color w:val="auto"/>
        </w:rPr>
        <w:t>. Except as otherwise disclosed in the Registration Statement and the Prospectus, subsequent to the respective dates as of which information is given in the Registration Statement and the Prospectus: (i) there has been no material adverse change, or any development that would reasonably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Times New Roman" w:cs="Times New Roman" w:eastAsia="Times New Roman" w:hAnsi="Times New Roman"/>
          <w:sz w:val="13"/>
          <w:szCs w:val="13"/>
          <w:b w:val="1"/>
          <w:bCs w:val="1"/>
          <w:color w:val="auto"/>
        </w:rPr>
        <w:t>Material Adverse Change</w:t>
      </w:r>
      <w:r>
        <w:rPr>
          <w:rFonts w:ascii="Times New Roman" w:cs="Times New Roman" w:eastAsia="Times New Roman" w:hAnsi="Times New Roman"/>
          <w:sz w:val="13"/>
          <w:szCs w:val="13"/>
          <w:color w:val="auto"/>
        </w:rPr>
        <w:t>”);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9" w:right="1440" w:bottom="1440" w:gutter="0" w:footer="0" w:header="0"/>
        </w:sectPr>
      </w:pPr>
    </w:p>
    <w:bookmarkStart w:id="72" w:name="page73"/>
    <w:bookmarkEnd w:id="72"/>
    <w:p>
      <w:pPr>
        <w:ind w:left="340" w:right="419"/>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Company and its subsidiaries, considered as one entity, and have not entered into any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147" w:lineRule="exact"/>
        <w:rPr>
          <w:sz w:val="20"/>
          <w:szCs w:val="20"/>
          <w:color w:val="auto"/>
        </w:rPr>
      </w:pPr>
    </w:p>
    <w:p>
      <w:pPr>
        <w:ind w:left="340" w:right="399" w:firstLine="334"/>
        <w:spacing w:after="0" w:line="248" w:lineRule="auto"/>
        <w:rPr>
          <w:sz w:val="20"/>
          <w:szCs w:val="20"/>
          <w:color w:val="auto"/>
        </w:rPr>
      </w:pPr>
      <w:r>
        <w:rPr>
          <w:rFonts w:ascii="Times New Roman" w:cs="Times New Roman" w:eastAsia="Times New Roman" w:hAnsi="Times New Roman"/>
          <w:sz w:val="14"/>
          <w:szCs w:val="14"/>
          <w:color w:val="auto"/>
        </w:rPr>
        <w:t xml:space="preserve">(m)  </w:t>
      </w:r>
      <w:r>
        <w:rPr>
          <w:rFonts w:ascii="Times New Roman" w:cs="Times New Roman" w:eastAsia="Times New Roman" w:hAnsi="Times New Roman"/>
          <w:sz w:val="14"/>
          <w:szCs w:val="14"/>
          <w:u w:val="single" w:color="auto"/>
          <w:color w:val="auto"/>
        </w:rPr>
        <w:t>Independent Accountants</w:t>
      </w:r>
      <w:r>
        <w:rPr>
          <w:rFonts w:ascii="Times New Roman" w:cs="Times New Roman" w:eastAsia="Times New Roman" w:hAnsi="Times New Roman"/>
          <w:sz w:val="14"/>
          <w:szCs w:val="14"/>
          <w:color w:val="auto"/>
        </w:rPr>
        <w:t>. Ernst &amp; Young LLP, which has expressed its opinion with respect to the financial statements (which term as used in this Agreement includes the related notes thereto) filed with the Commission as a part of the Registration Statement and the Prospectus, is (i) an independent registered public accounting firm as required by the Securities Act, the Exchange Act, and the rules of the Public Company Accounting Oversight Board (“</w:t>
      </w:r>
      <w:r>
        <w:rPr>
          <w:rFonts w:ascii="Times New Roman" w:cs="Times New Roman" w:eastAsia="Times New Roman" w:hAnsi="Times New Roman"/>
          <w:sz w:val="14"/>
          <w:szCs w:val="14"/>
          <w:b w:val="1"/>
          <w:bCs w:val="1"/>
          <w:color w:val="auto"/>
        </w:rPr>
        <w:t>PCAOB</w:t>
      </w:r>
      <w:r>
        <w:rPr>
          <w:rFonts w:ascii="Times New Roman" w:cs="Times New Roman" w:eastAsia="Times New Roman" w:hAnsi="Times New Roman"/>
          <w:sz w:val="14"/>
          <w:szCs w:val="14"/>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48" w:lineRule="exact"/>
        <w:rPr>
          <w:sz w:val="20"/>
          <w:szCs w:val="20"/>
          <w:color w:val="auto"/>
        </w:rPr>
      </w:pPr>
    </w:p>
    <w:p>
      <w:pPr>
        <w:ind w:left="340" w:right="359" w:firstLine="334"/>
        <w:spacing w:after="0" w:line="245" w:lineRule="auto"/>
        <w:rPr>
          <w:sz w:val="20"/>
          <w:szCs w:val="20"/>
          <w:color w:val="auto"/>
        </w:rPr>
      </w:pPr>
      <w:r>
        <w:rPr>
          <w:rFonts w:ascii="Times New Roman" w:cs="Times New Roman" w:eastAsia="Times New Roman" w:hAnsi="Times New Roman"/>
          <w:sz w:val="14"/>
          <w:szCs w:val="14"/>
          <w:color w:val="auto"/>
        </w:rPr>
        <w:t xml:space="preserve">(n)  </w:t>
      </w:r>
      <w:r>
        <w:rPr>
          <w:rFonts w:ascii="Times New Roman" w:cs="Times New Roman" w:eastAsia="Times New Roman" w:hAnsi="Times New Roman"/>
          <w:sz w:val="14"/>
          <w:szCs w:val="14"/>
          <w:u w:val="single" w:color="auto"/>
          <w:color w:val="auto"/>
        </w:rPr>
        <w:t>Financial Statements</w:t>
      </w:r>
      <w:r>
        <w:rPr>
          <w:rFonts w:ascii="Times New Roman" w:cs="Times New Roman" w:eastAsia="Times New Roman" w:hAnsi="Times New Roman"/>
          <w:sz w:val="14"/>
          <w:szCs w:val="14"/>
          <w:color w:val="auto"/>
        </w:rPr>
        <w:t>. The financial statements filed with the Commission as a part of the Registration Statement and the Prospectus present fairly, in all material respects, the consolidated financial position of the Company and its subsidiaries as of the dates indicated and the results of their operations, changes in stockholders’ equity and cash flows for the periods specified. Such financial statements have been prepared in conformity with generally accepted accounting principles as applied in the United States applied on a consistent basis throughout the periods involved, except as may be expressly stated in the related notes thereto and except in the case of unaudited financial statements, which are subject to normal and recurring year-end adjustments and do not contain all footnotes as permitted by the applicable rules of the Commission.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or the Prospectus. The financial data set forth in each of the Registration Statement and the Prospectus fairly present the information set forth therein on a basis consistent with that of the audited financial statements contained in the Registration Statement and the Prospectus.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w:t>
      </w:r>
    </w:p>
    <w:p>
      <w:pPr>
        <w:spacing w:after="0" w:line="155" w:lineRule="exact"/>
        <w:rPr>
          <w:sz w:val="20"/>
          <w:szCs w:val="20"/>
          <w:color w:val="auto"/>
        </w:rPr>
      </w:pPr>
    </w:p>
    <w:p>
      <w:pPr>
        <w:ind w:left="340" w:right="339" w:firstLine="334"/>
        <w:spacing w:after="0" w:line="251" w:lineRule="auto"/>
        <w:rPr>
          <w:sz w:val="20"/>
          <w:szCs w:val="20"/>
          <w:color w:val="auto"/>
        </w:rPr>
      </w:pPr>
      <w:r>
        <w:rPr>
          <w:rFonts w:ascii="Times New Roman" w:cs="Times New Roman" w:eastAsia="Times New Roman" w:hAnsi="Times New Roman"/>
          <w:sz w:val="14"/>
          <w:szCs w:val="14"/>
          <w:color w:val="auto"/>
        </w:rPr>
        <w:t xml:space="preserve">(o)  </w:t>
      </w:r>
      <w:r>
        <w:rPr>
          <w:rFonts w:ascii="Times New Roman" w:cs="Times New Roman" w:eastAsia="Times New Roman" w:hAnsi="Times New Roman"/>
          <w:sz w:val="14"/>
          <w:szCs w:val="14"/>
          <w:u w:val="single" w:color="auto"/>
          <w:color w:val="auto"/>
        </w:rPr>
        <w:t>Company’s Accounting System</w:t>
      </w:r>
      <w:r>
        <w:rPr>
          <w:rFonts w:ascii="Times New Roman" w:cs="Times New Roman" w:eastAsia="Times New Roman" w:hAnsi="Times New Roman"/>
          <w:sz w:val="14"/>
          <w:szCs w:val="14"/>
          <w:color w:val="auto"/>
        </w:rPr>
        <w:t>. The Company and each of its subsidiaries make and keep books and records that are accurate in all material respects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9" w:right="1440" w:bottom="1440" w:gutter="0" w:footer="0" w:header="0"/>
        </w:sectPr>
      </w:pPr>
    </w:p>
    <w:bookmarkStart w:id="73" w:name="page74"/>
    <w:bookmarkEnd w:id="73"/>
    <w:p>
      <w:pPr>
        <w:ind w:left="340" w:right="379"/>
        <w:spacing w:after="0" w:line="27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spacing w:after="0" w:line="127" w:lineRule="exact"/>
        <w:rPr>
          <w:sz w:val="20"/>
          <w:szCs w:val="20"/>
          <w:color w:val="auto"/>
        </w:rPr>
      </w:pPr>
    </w:p>
    <w:p>
      <w:pPr>
        <w:ind w:left="340" w:right="379" w:firstLine="334"/>
        <w:spacing w:after="0" w:line="249" w:lineRule="auto"/>
        <w:rPr>
          <w:sz w:val="20"/>
          <w:szCs w:val="20"/>
          <w:color w:val="auto"/>
        </w:rPr>
      </w:pPr>
      <w:r>
        <w:rPr>
          <w:rFonts w:ascii="Times New Roman" w:cs="Times New Roman" w:eastAsia="Times New Roman" w:hAnsi="Times New Roman"/>
          <w:sz w:val="14"/>
          <w:szCs w:val="14"/>
          <w:color w:val="auto"/>
        </w:rPr>
        <w:t xml:space="preserve">(p)  </w:t>
      </w:r>
      <w:r>
        <w:rPr>
          <w:rFonts w:ascii="Times New Roman" w:cs="Times New Roman" w:eastAsia="Times New Roman" w:hAnsi="Times New Roman"/>
          <w:sz w:val="14"/>
          <w:szCs w:val="14"/>
          <w:u w:val="single" w:color="auto"/>
          <w:color w:val="auto"/>
        </w:rPr>
        <w:t>Incorporation and Good Standing of the Company</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Company has been duly incorporated and is validly existing as a corporation in good standing (where such concept is recognized) under the laws of the jurisdiction of its incorporation and has the corporate power and authority to own, lease and operate its properties and to conduct its business as described in the Registration Statement and the Prospectus and to enter into and perform its obligations under this Agreement. The Company is duly qualified as a foreign corporation to transact business and is in good standing in each jurisdiction in which such qualification is required, whether by reason of the ownership or leasing of property or the conduct of business, except where the failure to be so qualified or in good standing, as the case may be, would not result in a Material Adverse Change.</w:t>
      </w:r>
    </w:p>
    <w:p>
      <w:pPr>
        <w:spacing w:after="0" w:line="148" w:lineRule="exact"/>
        <w:rPr>
          <w:sz w:val="20"/>
          <w:szCs w:val="20"/>
          <w:color w:val="auto"/>
        </w:rPr>
      </w:pPr>
    </w:p>
    <w:p>
      <w:pPr>
        <w:ind w:left="340" w:right="339" w:firstLine="334"/>
        <w:spacing w:after="0" w:line="266" w:lineRule="auto"/>
        <w:rPr>
          <w:sz w:val="20"/>
          <w:szCs w:val="20"/>
          <w:color w:val="auto"/>
        </w:rPr>
      </w:pPr>
      <w:r>
        <w:rPr>
          <w:rFonts w:ascii="Times New Roman" w:cs="Times New Roman" w:eastAsia="Times New Roman" w:hAnsi="Times New Roman"/>
          <w:sz w:val="13"/>
          <w:szCs w:val="13"/>
          <w:color w:val="auto"/>
        </w:rPr>
        <w:t xml:space="preserve">(q)  </w:t>
      </w:r>
      <w:r>
        <w:rPr>
          <w:rFonts w:ascii="Times New Roman" w:cs="Times New Roman" w:eastAsia="Times New Roman" w:hAnsi="Times New Roman"/>
          <w:sz w:val="13"/>
          <w:szCs w:val="13"/>
          <w:u w:val="single" w:color="auto"/>
          <w:color w:val="auto"/>
        </w:rPr>
        <w:t>Subsidiaries.</w:t>
      </w:r>
      <w:r>
        <w:rPr>
          <w:rFonts w:ascii="Times New Roman" w:cs="Times New Roman" w:eastAsia="Times New Roman" w:hAnsi="Times New Roman"/>
          <w:sz w:val="13"/>
          <w:szCs w:val="13"/>
          <w:color w:val="auto"/>
        </w:rPr>
        <w:t xml:space="preserve"> Each of the Company’s “subsidiaries” (for purposes of this Agreement, as defined in Rule 405 under the Securities Act) has been duly incorporated or organized, as the case may be, and is validly existing as a corporation, partnership or limited liability company, as applicable, in good standing (where such concept is recognized) under the laws of the jurisdiction of its incorporation or organization and has the power and authority (corporate or other) to own, lease and operate its properties and to conduct its business as described in the Registration Statement and the Prospectus. Each of the Company’s subsidiaries is duly qualified as a foreign corporation, partnership or limited liability company, as applicable, to transact business and is in good standing (where such concept is recognized) in each jurisdiction in which such qualification is required, whether by reason of the ownership or leasing of property or the conduct of business, except where the failure to be so qualified or in good standing, as the case may be, would not result in a Material Adverse Change.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in Exhibit 21.1 to the Registration Statement.</w:t>
      </w:r>
    </w:p>
    <w:p>
      <w:pPr>
        <w:spacing w:after="0" w:line="301" w:lineRule="exact"/>
        <w:rPr>
          <w:sz w:val="20"/>
          <w:szCs w:val="20"/>
          <w:color w:val="auto"/>
        </w:rPr>
      </w:pPr>
    </w:p>
    <w:p>
      <w:pPr>
        <w:ind w:left="340" w:right="539" w:firstLine="334"/>
        <w:spacing w:after="0" w:line="251" w:lineRule="auto"/>
        <w:rPr>
          <w:sz w:val="20"/>
          <w:szCs w:val="20"/>
          <w:color w:val="auto"/>
        </w:rPr>
      </w:pPr>
      <w:r>
        <w:rPr>
          <w:rFonts w:ascii="Times New Roman" w:cs="Times New Roman" w:eastAsia="Times New Roman" w:hAnsi="Times New Roman"/>
          <w:sz w:val="14"/>
          <w:szCs w:val="14"/>
          <w:color w:val="auto"/>
        </w:rPr>
        <w:t xml:space="preserve">(r)  </w:t>
      </w:r>
      <w:r>
        <w:rPr>
          <w:rFonts w:ascii="Times New Roman" w:cs="Times New Roman" w:eastAsia="Times New Roman" w:hAnsi="Times New Roman"/>
          <w:sz w:val="14"/>
          <w:szCs w:val="14"/>
          <w:u w:val="single" w:color="auto"/>
          <w:color w:val="auto"/>
        </w:rPr>
        <w:t>Capitalization and Other Capital Stock Matters</w:t>
      </w:r>
      <w:r>
        <w:rPr>
          <w:rFonts w:ascii="Times New Roman" w:cs="Times New Roman" w:eastAsia="Times New Roman" w:hAnsi="Times New Roman"/>
          <w:sz w:val="14"/>
          <w:szCs w:val="14"/>
          <w:color w:val="auto"/>
        </w:rPr>
        <w:t>. The authorized, issued and outstanding capital stock of the Company is as set forth in the Registration Statement and the Prospectus under the caption “Description of Capital Stock” (other than for subsequent issuances, if any, pursuant to employee benefit plans described in the Prospectus or upon the exercise of outstanding options or warrants, in each case described in the Registration Statement and the Prospectus). The Common Shares (including the Shares) conform in all material respects to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9" w:right="1440" w:bottom="1440" w:gutter="0" w:footer="0" w:header="0"/>
        </w:sectPr>
      </w:pPr>
    </w:p>
    <w:bookmarkStart w:id="74" w:name="page75"/>
    <w:bookmarkEnd w:id="74"/>
    <w:p>
      <w:pPr>
        <w:ind w:left="340" w:right="359"/>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description thereof contained in the Prospectus. All of the issued and outstanding Common Shares have been duly authorized and validly issued, are fully paid and nonassessable and have been issued in compliance with all applicable federal and state securities laws. None of the outstanding Common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and the Prospectus. The descriptions of the Company’s stock option, stock bonus and other stock plans or arrangements, and the options or other rights granted thereunder, set forth in the Registration Statement and the Prospectus accurately and fairly presents, in all material respects, the information required to be shown with respect to such plans, arrangements, options and rights.</w:t>
      </w:r>
    </w:p>
    <w:p>
      <w:pPr>
        <w:spacing w:after="0" w:line="148" w:lineRule="exact"/>
        <w:rPr>
          <w:sz w:val="20"/>
          <w:szCs w:val="20"/>
          <w:color w:val="auto"/>
        </w:rPr>
      </w:pPr>
    </w:p>
    <w:p>
      <w:pPr>
        <w:ind w:left="340" w:right="359" w:firstLine="334"/>
        <w:spacing w:after="0" w:line="249" w:lineRule="auto"/>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u w:val="single" w:color="auto"/>
          <w:color w:val="auto"/>
        </w:rPr>
        <w:t>Stock Exchange Listing</w:t>
      </w:r>
      <w:r>
        <w:rPr>
          <w:rFonts w:ascii="Times New Roman" w:cs="Times New Roman" w:eastAsia="Times New Roman" w:hAnsi="Times New Roman"/>
          <w:sz w:val="14"/>
          <w:szCs w:val="14"/>
          <w:color w:val="auto"/>
        </w:rPr>
        <w:t>. The Common Shares are registered pursuant to Section 12(b) or 12(g) of the Exchange Act and are listed on the Principal Market, and the Company has taken no action designed to, or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147" w:lineRule="exact"/>
        <w:rPr>
          <w:sz w:val="20"/>
          <w:szCs w:val="20"/>
          <w:color w:val="auto"/>
        </w:rPr>
      </w:pPr>
    </w:p>
    <w:p>
      <w:pPr>
        <w:ind w:left="340" w:right="359" w:firstLine="334"/>
        <w:spacing w:after="0" w:line="265" w:lineRule="auto"/>
        <w:rPr>
          <w:sz w:val="20"/>
          <w:szCs w:val="20"/>
          <w:color w:val="auto"/>
        </w:rPr>
      </w:pPr>
      <w:r>
        <w:rPr>
          <w:rFonts w:ascii="Times New Roman" w:cs="Times New Roman" w:eastAsia="Times New Roman" w:hAnsi="Times New Roman"/>
          <w:sz w:val="13"/>
          <w:szCs w:val="13"/>
          <w:color w:val="auto"/>
        </w:rPr>
        <w:t xml:space="preserve">(t)  </w:t>
      </w:r>
      <w:r>
        <w:rPr>
          <w:rFonts w:ascii="Times New Roman" w:cs="Times New Roman" w:eastAsia="Times New Roman" w:hAnsi="Times New Roman"/>
          <w:sz w:val="13"/>
          <w:szCs w:val="13"/>
          <w:u w:val="single" w:color="auto"/>
          <w:color w:val="auto"/>
        </w:rPr>
        <w:t>Non-Contravention of Existing Instruments; No Further Authorizations or Approvals Required</w:t>
      </w:r>
      <w:r>
        <w:rPr>
          <w:rFonts w:ascii="Times New Roman" w:cs="Times New Roman" w:eastAsia="Times New Roman" w:hAnsi="Times New Roman"/>
          <w:sz w:val="13"/>
          <w:szCs w:val="13"/>
          <w:color w:val="auto"/>
        </w:rPr>
        <w:t>. Neither the Company nor any of its subsidiaries is in violation of its charter or by-laws, partnership agreement or operating agreement or similar organizational documents, as applicable, or is in default (or, with the giving of notice or lapse of time, would be in default) (“</w:t>
      </w:r>
      <w:r>
        <w:rPr>
          <w:rFonts w:ascii="Times New Roman" w:cs="Times New Roman" w:eastAsia="Times New Roman" w:hAnsi="Times New Roman"/>
          <w:sz w:val="13"/>
          <w:szCs w:val="13"/>
          <w:b w:val="1"/>
          <w:bCs w:val="1"/>
          <w:color w:val="auto"/>
        </w:rPr>
        <w:t>Default</w:t>
      </w:r>
      <w:r>
        <w:rPr>
          <w:rFonts w:ascii="Times New Roman" w:cs="Times New Roman" w:eastAsia="Times New Roman" w:hAnsi="Times New Roman"/>
          <w:sz w:val="13"/>
          <w:szCs w:val="13"/>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 w:cs="Times New Roman" w:eastAsia="Times New Roman" w:hAnsi="Times New Roman"/>
          <w:sz w:val="13"/>
          <w:szCs w:val="13"/>
          <w:b w:val="1"/>
          <w:bCs w:val="1"/>
          <w:color w:val="auto"/>
        </w:rPr>
        <w:t>Existing Instrument</w:t>
      </w:r>
      <w:r>
        <w:rPr>
          <w:rFonts w:ascii="Times New Roman" w:cs="Times New Roman" w:eastAsia="Times New Roman" w:hAnsi="Times New Roman"/>
          <w:sz w:val="13"/>
          <w:szCs w:val="13"/>
          <w:color w:val="auto"/>
        </w:rPr>
        <w:t>”), except for such Defaults as would not be expected, individually or in the aggregate, to result in a Material Adverse Change. The Company’s execution, delivery and performance of this Agreement, consummation of the transactions contemplated hereby and by the Registration Statement and the Prospectus and the issuance and sale of the Shares (including the use of proceeds from the sale of the Shares as described in the Registration Statement and the Prospectus under the caption “Use of Proceeds”) (i) have been duly authorized by all necessary corporate action and will not result in any violation of the provisions of the charter or by-laws,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except as would not be expected to result in a Material Adverse Change, and (iii) will not result in any violation of any law, administrative regulation or administrative or court decree applicable to the Company or any of its subsidiaries. No consent, approval, authorization or other order of, or registration or filing with, any court or other governmental or regulatory authority or agency, is required for the Company’s execution, delivery and performance of this Agreement and</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9" w:right="1440" w:bottom="1440" w:gutter="0" w:footer="0" w:header="0"/>
        </w:sectPr>
      </w:pPr>
    </w:p>
    <w:bookmarkStart w:id="75" w:name="page76"/>
    <w:bookmarkEnd w:id="75"/>
    <w:p>
      <w:pPr>
        <w:ind w:left="340" w:right="439"/>
        <w:spacing w:after="0" w:line="27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consummation of the transactions contemplated hereby and by the Registration Statement and the Prospectus, except such as have been obtained or made by the Company and are in full force and effect under the Securities Act and such as may be required under applicable state securities or blue sky laws or FINRA (as defined below). As used herein, a “</w:t>
      </w:r>
      <w:r>
        <w:rPr>
          <w:rFonts w:ascii="Times New Roman" w:cs="Times New Roman" w:eastAsia="Times New Roman" w:hAnsi="Times New Roman"/>
          <w:sz w:val="13"/>
          <w:szCs w:val="13"/>
          <w:b w:val="1"/>
          <w:bCs w:val="1"/>
          <w:color w:val="auto"/>
        </w:rPr>
        <w:t>Debt Repayment Triggering Event</w:t>
      </w:r>
      <w:r>
        <w:rPr>
          <w:rFonts w:ascii="Times New Roman" w:cs="Times New Roman" w:eastAsia="Times New Roman" w:hAnsi="Times New Roman"/>
          <w:sz w:val="13"/>
          <w:szCs w:val="13"/>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32" w:lineRule="exact"/>
        <w:rPr>
          <w:sz w:val="20"/>
          <w:szCs w:val="20"/>
          <w:color w:val="auto"/>
        </w:rPr>
      </w:pPr>
    </w:p>
    <w:p>
      <w:pPr>
        <w:ind w:left="340" w:right="459" w:firstLine="334"/>
        <w:spacing w:after="0" w:line="249" w:lineRule="auto"/>
        <w:rPr>
          <w:sz w:val="20"/>
          <w:szCs w:val="20"/>
          <w:color w:val="auto"/>
        </w:rPr>
      </w:pPr>
      <w:r>
        <w:rPr>
          <w:rFonts w:ascii="Times New Roman" w:cs="Times New Roman" w:eastAsia="Times New Roman" w:hAnsi="Times New Roman"/>
          <w:sz w:val="14"/>
          <w:szCs w:val="14"/>
          <w:color w:val="auto"/>
        </w:rPr>
        <w:t xml:space="preserve">(u)  </w:t>
      </w:r>
      <w:r>
        <w:rPr>
          <w:rFonts w:ascii="Times New Roman" w:cs="Times New Roman" w:eastAsia="Times New Roman" w:hAnsi="Times New Roman"/>
          <w:sz w:val="14"/>
          <w:szCs w:val="14"/>
          <w:u w:val="single" w:color="auto"/>
          <w:color w:val="auto"/>
        </w:rPr>
        <w:t>No Material Actions or Proceedings</w:t>
      </w:r>
      <w:r>
        <w:rPr>
          <w:rFonts w:ascii="Times New Roman" w:cs="Times New Roman" w:eastAsia="Times New Roman" w:hAnsi="Times New Roman"/>
          <w:sz w:val="14"/>
          <w:szCs w:val="14"/>
          <w:color w:val="auto"/>
        </w:rPr>
        <w:t>. Except as otherwise disclosed in the Prospectus, there is no action, suit, proceeding, inquiry or investigation brought by or before any legal or governmental entity now pending or, to the knowledge of the Company, threatened, against or affecting the Company or any of its subsidiaries, which would be expected, individually or in the aggregate, to result in a Material Adverse Change. No material labor dispute with the employees of the Company or any of its subsidiaries, or, to the knowledge of the Company, with the employees of any principal supplier, manufacturer, customer or contractor of the Company, exists or is threatened or imminent.</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 xml:space="preserve">(v)   </w:t>
      </w:r>
      <w:r>
        <w:rPr>
          <w:rFonts w:ascii="Times New Roman" w:cs="Times New Roman" w:eastAsia="Times New Roman" w:hAnsi="Times New Roman"/>
          <w:sz w:val="13"/>
          <w:szCs w:val="13"/>
          <w:u w:val="single" w:color="auto"/>
          <w:color w:val="auto"/>
        </w:rPr>
        <w:t>Intellectual Property Rights</w:t>
      </w:r>
      <w:r>
        <w:rPr>
          <w:rFonts w:ascii="Times New Roman" w:cs="Times New Roman" w:eastAsia="Times New Roman" w:hAnsi="Times New Roman"/>
          <w:sz w:val="13"/>
          <w:szCs w:val="13"/>
          <w:color w:val="auto"/>
        </w:rPr>
        <w:t>. Except as otherwise disclosed in the Registration Statement or the Prospectus, the Company and its subsidiaries</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own, or have obtained valid and enforceable licenses for, the inventions, patent applications, patents, trademarks, trade names, service names,</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copyrights, trade secrets and other intellectual property described in the Registration Statement and the Prospectus as being owned or licensed by them</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or which are necessary for the conduct of their respective businesses as currently conducted or as currently proposed to be conducted (collectively,</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Intellectual Property</w:t>
      </w:r>
      <w:r>
        <w:rPr>
          <w:rFonts w:ascii="Times New Roman" w:cs="Times New Roman" w:eastAsia="Times New Roman" w:hAnsi="Times New Roman"/>
          <w:sz w:val="13"/>
          <w:szCs w:val="13"/>
          <w:color w:val="auto"/>
        </w:rPr>
        <w:t>”) and, to the Company’s knowledge, the conduct of their respective businesses does not and will not infringe, misappropriate or</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otherwise conflict in any material respect with any such rights of others. The Intellectual Property of the Company has not been adjudged by a court of</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competent jurisdiction to be invalid or unenforceable, in whole or in part, and the Company is unaware of any facts which would form a reasonable</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basis for any such adjudication. To the Company’s knowledge: (i) there are no third parties who have rights to any Intellectual Property, except for</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customary reversionary rights of third-party licensors with respect to Intellectual Property that is disclosed in the Registration Statement and the</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Prospectus as licensed to the Company or one or more of its subsidiaries; and (ii) there is no infringement by third parties of any Intellectual Property.</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There is no pending or threatened in writing action, suit, proceeding or claim by others: (A) challenging the Company’s rights in or to any Intellectual</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Property, and the Company is unaware of any facts which would form a reasonable basis for any such action, suit, proceeding or claim; (B) challenging</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the validity, enforceability or scope of any Intellectual Property, and the Company is unaware of any facts which would form a reasonable basis for any</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such action, suit, proceeding or claim; or (C) asserting that the Company or any of its subsidiaries infringes or otherwise violates, or would, upon the</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commercialization of any product or service described in the Registration Statement or the Prospectus as under development, infringe or violate, any</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patent, trademark, trade name, service name, copyright, trade secret or other proprietary rights of others, and the Company is unaware of any facts which</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would form a reasonable basis for any such action, suit, proceeding or claim. The Company and its subsidiaries have complied with the terms of each</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agreement pursuant to which Intellectual Property has been licensed to the Company or any subsidiary, and all such agreements are in full force and</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effect. To the Company’s knowledge, there are no material defects in any of the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9" w:right="1440" w:bottom="1440" w:gutter="0" w:footer="0" w:header="0"/>
        </w:sectPr>
      </w:pPr>
    </w:p>
    <w:bookmarkStart w:id="76" w:name="page77"/>
    <w:bookmarkEnd w:id="76"/>
    <w:p>
      <w:pPr>
        <w:ind w:left="340" w:right="379"/>
        <w:spacing w:after="0" w:line="24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patents or patent applications included in the Intellectual Property. The Company and its subsidiaries have taken all reasonable steps to protect, maintain and safeguard their Intellectual Property, including the execution of appropriate nondisclosure, confidentiality agreements and invention assignment agreements and invention assignments with their employees, and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The duty of candor and good faith as required by the United States Patent and Trademark Office during the prosecution of the United States patents and patent applications included in the Intellectual Property have been complied with; and in all foreign offices having similar requirements, all such requirements have been complied with. None of the Company owned Intellectual Property or technology (including information technology and outsourced arrangements) employed by the Company or its subsidiaries has been obtained or is being used by the Company or its subsidiary in violation of any contractual obligation binding on the Company or its subsidiaries or any of their respective officers, directors or employees or otherwise in violation of the rights of any persons. The product candidates described in the Registration Statement and the Prospectus as under development by the Company or any subsidiary fall within the scope of the claims of one or more patents owned by, or exclusively licensed to, the Company or any subsidiary.</w:t>
      </w:r>
    </w:p>
    <w:p>
      <w:pPr>
        <w:spacing w:after="0" w:line="155" w:lineRule="exact"/>
        <w:rPr>
          <w:sz w:val="20"/>
          <w:szCs w:val="20"/>
          <w:color w:val="auto"/>
        </w:rPr>
      </w:pPr>
    </w:p>
    <w:p>
      <w:pPr>
        <w:ind w:left="340" w:right="399" w:firstLine="334"/>
        <w:spacing w:after="0" w:line="269" w:lineRule="auto"/>
        <w:rPr>
          <w:sz w:val="20"/>
          <w:szCs w:val="20"/>
          <w:color w:val="auto"/>
        </w:rPr>
      </w:pPr>
      <w:r>
        <w:rPr>
          <w:rFonts w:ascii="Times New Roman" w:cs="Times New Roman" w:eastAsia="Times New Roman" w:hAnsi="Times New Roman"/>
          <w:sz w:val="13"/>
          <w:szCs w:val="13"/>
          <w:color w:val="auto"/>
        </w:rPr>
        <w:t xml:space="preserve">(w)  </w:t>
      </w:r>
      <w:r>
        <w:rPr>
          <w:rFonts w:ascii="Times New Roman" w:cs="Times New Roman" w:eastAsia="Times New Roman" w:hAnsi="Times New Roman"/>
          <w:sz w:val="13"/>
          <w:szCs w:val="13"/>
          <w:u w:val="single" w:color="auto"/>
          <w:color w:val="auto"/>
        </w:rPr>
        <w:t>All Necessary Permits, etc</w:t>
      </w:r>
      <w:r>
        <w:rPr>
          <w:rFonts w:ascii="Times New Roman" w:cs="Times New Roman" w:eastAsia="Times New Roman" w:hAnsi="Times New Roman"/>
          <w:sz w:val="13"/>
          <w:szCs w:val="13"/>
          <w:color w:val="auto"/>
        </w:rPr>
        <w:t>. Except as otherwise disclosed in the Prospectus, the Company and each subsidiary possess such valid and current certificates, authorizations or permits required by state, federal or foreign regulatory agencies or bodies to conduct their respective businesses as currently conducted and as described in the Registration Statement or the Prospectus (“</w:t>
      </w:r>
      <w:r>
        <w:rPr>
          <w:rFonts w:ascii="Times New Roman" w:cs="Times New Roman" w:eastAsia="Times New Roman" w:hAnsi="Times New Roman"/>
          <w:sz w:val="13"/>
          <w:szCs w:val="13"/>
          <w:b w:val="1"/>
          <w:bCs w:val="1"/>
          <w:color w:val="auto"/>
        </w:rPr>
        <w:t>Permits</w:t>
      </w:r>
      <w:r>
        <w:rPr>
          <w:rFonts w:ascii="Times New Roman" w:cs="Times New Roman" w:eastAsia="Times New Roman" w:hAnsi="Times New Roman"/>
          <w:sz w:val="13"/>
          <w:szCs w:val="13"/>
          <w:color w:val="auto"/>
        </w:rPr>
        <w:t>”), except where the failure to or possess or obtain the same would not reasonably be expected to result in Material Adverse Change. Neither the Company nor any of its subsidiaries is in violation of, or in default under, any of the Permits or has received any notice of proceedings relating to the revocation or modification of, or non-compliance with, any such certificate, authorization or permit, except for such violation, defaults or proceedings relating to the revocation or modification of, or non-compliance with any such Permits, that would not reasonably be expected to result in Material Adverse Change.</w:t>
      </w:r>
    </w:p>
    <w:p>
      <w:pPr>
        <w:spacing w:after="0" w:line="137" w:lineRule="exact"/>
        <w:rPr>
          <w:sz w:val="20"/>
          <w:szCs w:val="20"/>
          <w:color w:val="auto"/>
        </w:rPr>
      </w:pPr>
    </w:p>
    <w:p>
      <w:pPr>
        <w:ind w:left="340" w:right="379" w:firstLine="334"/>
        <w:spacing w:after="0" w:line="248" w:lineRule="auto"/>
        <w:rPr>
          <w:sz w:val="20"/>
          <w:szCs w:val="20"/>
          <w:color w:val="auto"/>
        </w:rPr>
      </w:pPr>
      <w:r>
        <w:rPr>
          <w:rFonts w:ascii="Times New Roman" w:cs="Times New Roman" w:eastAsia="Times New Roman" w:hAnsi="Times New Roman"/>
          <w:sz w:val="14"/>
          <w:szCs w:val="14"/>
          <w:color w:val="auto"/>
        </w:rPr>
        <w:t xml:space="preserve">(x)  </w:t>
      </w:r>
      <w:r>
        <w:rPr>
          <w:rFonts w:ascii="Times New Roman" w:cs="Times New Roman" w:eastAsia="Times New Roman" w:hAnsi="Times New Roman"/>
          <w:sz w:val="14"/>
          <w:szCs w:val="14"/>
          <w:u w:val="single" w:color="auto"/>
          <w:color w:val="auto"/>
        </w:rPr>
        <w:t>Title to Properties</w:t>
      </w:r>
      <w:r>
        <w:rPr>
          <w:rFonts w:ascii="Times New Roman" w:cs="Times New Roman" w:eastAsia="Times New Roman" w:hAnsi="Times New Roman"/>
          <w:sz w:val="14"/>
          <w:szCs w:val="14"/>
          <w:color w:val="auto"/>
        </w:rPr>
        <w:t xml:space="preserve">. Except as otherwise disclosed in the Prospectus, the Company and its subsidiaries has good and marketable title to all of the real and personal property and other assets reflected as owned in the financial statements referred to in </w:t>
      </w:r>
      <w:r>
        <w:rPr>
          <w:rFonts w:ascii="Times New Roman" w:cs="Times New Roman" w:eastAsia="Times New Roman" w:hAnsi="Times New Roman"/>
          <w:sz w:val="14"/>
          <w:szCs w:val="14"/>
          <w:u w:val="single" w:color="auto"/>
          <w:color w:val="auto"/>
        </w:rPr>
        <w:t>Section 2(m)</w:t>
      </w:r>
      <w:r>
        <w:rPr>
          <w:rFonts w:ascii="Times New Roman" w:cs="Times New Roman" w:eastAsia="Times New Roman" w:hAnsi="Times New Roman"/>
          <w:sz w:val="14"/>
          <w:szCs w:val="14"/>
          <w:color w:val="auto"/>
        </w:rPr>
        <w:t xml:space="preserve"> above (or elsewhere in the Registration Statement or the Prospectus, in each case free and clear of any security interests, mortgages, liens, encumbrances, equities, adverse claims and other defects. The real property, improvements, equipment and personal property held under lease by the Company or of its subsidiary are held under valid and enforceable leases, with such exceptions as are not material and do not materially interfere with the use made or proposed to be made of such real property, improvements, equipment or personal property by the Company or such subsidiary.</w:t>
      </w:r>
    </w:p>
    <w:p>
      <w:pPr>
        <w:spacing w:after="0" w:line="148" w:lineRule="exact"/>
        <w:rPr>
          <w:sz w:val="20"/>
          <w:szCs w:val="20"/>
          <w:color w:val="auto"/>
        </w:rPr>
      </w:pPr>
    </w:p>
    <w:p>
      <w:pPr>
        <w:ind w:left="340" w:right="359" w:firstLine="334"/>
        <w:spacing w:after="0" w:line="251" w:lineRule="auto"/>
        <w:rPr>
          <w:sz w:val="20"/>
          <w:szCs w:val="20"/>
          <w:color w:val="auto"/>
        </w:rPr>
      </w:pPr>
      <w:r>
        <w:rPr>
          <w:rFonts w:ascii="Times New Roman" w:cs="Times New Roman" w:eastAsia="Times New Roman" w:hAnsi="Times New Roman"/>
          <w:sz w:val="14"/>
          <w:szCs w:val="14"/>
          <w:color w:val="auto"/>
        </w:rPr>
        <w:t xml:space="preserve">(y)  </w:t>
      </w:r>
      <w:r>
        <w:rPr>
          <w:rFonts w:ascii="Times New Roman" w:cs="Times New Roman" w:eastAsia="Times New Roman" w:hAnsi="Times New Roman"/>
          <w:sz w:val="14"/>
          <w:szCs w:val="14"/>
          <w:u w:val="single" w:color="auto"/>
          <w:color w:val="auto"/>
        </w:rPr>
        <w:t>Tax Law Compliance</w:t>
      </w:r>
      <w:r>
        <w:rPr>
          <w:rFonts w:ascii="Times New Roman" w:cs="Times New Roman" w:eastAsia="Times New Roman" w:hAnsi="Times New Roman"/>
          <w:sz w:val="14"/>
          <w:szCs w:val="14"/>
          <w:color w:val="auto"/>
        </w:rPr>
        <w:t>. The Company and its subsidiaries have filed all necessary federal, state and foreign income and franchise tax returns required to be filed by them or have properly requested extensions thereof and have paid all material taxes required to be paid by any of them and, if due and payable, any related or similar assessment, fine or penalty levied against any of them except as may be being contested in good faith and by appropriate proceedings.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9" w:right="1440" w:bottom="1440" w:gutter="0" w:footer="0" w:header="0"/>
        </w:sectPr>
      </w:pPr>
    </w:p>
    <w:bookmarkStart w:id="77" w:name="page78"/>
    <w:bookmarkEnd w:id="77"/>
    <w:p>
      <w:pPr>
        <w:ind w:left="340" w:right="51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 xml:space="preserve">Company has made adequate charges, accruals and reserves in the applicable financial statements referred to in </w:t>
      </w:r>
      <w:r>
        <w:rPr>
          <w:rFonts w:ascii="Times New Roman" w:cs="Times New Roman" w:eastAsia="Times New Roman" w:hAnsi="Times New Roman"/>
          <w:sz w:val="14"/>
          <w:szCs w:val="14"/>
          <w:u w:val="single" w:color="auto"/>
          <w:color w:val="auto"/>
        </w:rPr>
        <w:t>Section 2(m)</w:t>
      </w:r>
      <w:r>
        <w:rPr>
          <w:rFonts w:ascii="Times New Roman" w:cs="Times New Roman" w:eastAsia="Times New Roman" w:hAnsi="Times New Roman"/>
          <w:sz w:val="14"/>
          <w:szCs w:val="14"/>
          <w:color w:val="auto"/>
        </w:rPr>
        <w:t xml:space="preserve"> above in respect of all federal, state and foreign income and franchise taxes for all periods as to which the tax liability of the Company or any of its subsidiaries has not been finally determined.</w:t>
      </w:r>
    </w:p>
    <w:p>
      <w:pPr>
        <w:spacing w:after="0" w:line="144" w:lineRule="exact"/>
        <w:rPr>
          <w:sz w:val="20"/>
          <w:szCs w:val="20"/>
          <w:color w:val="auto"/>
        </w:rPr>
      </w:pPr>
    </w:p>
    <w:p>
      <w:pPr>
        <w:ind w:left="340" w:right="539" w:firstLine="334"/>
        <w:spacing w:after="0" w:line="254" w:lineRule="auto"/>
        <w:rPr>
          <w:sz w:val="20"/>
          <w:szCs w:val="20"/>
          <w:color w:val="auto"/>
        </w:rPr>
      </w:pPr>
      <w:r>
        <w:rPr>
          <w:rFonts w:ascii="Times New Roman" w:cs="Times New Roman" w:eastAsia="Times New Roman" w:hAnsi="Times New Roman"/>
          <w:sz w:val="14"/>
          <w:szCs w:val="14"/>
          <w:color w:val="auto"/>
        </w:rPr>
        <w:t xml:space="preserve">(z)  </w:t>
      </w:r>
      <w:r>
        <w:rPr>
          <w:rFonts w:ascii="Times New Roman" w:cs="Times New Roman" w:eastAsia="Times New Roman" w:hAnsi="Times New Roman"/>
          <w:sz w:val="14"/>
          <w:szCs w:val="14"/>
          <w:u w:val="single" w:color="auto"/>
          <w:color w:val="auto"/>
        </w:rPr>
        <w:t>Company Not an “Investment Company.”</w:t>
      </w:r>
      <w:r>
        <w:rPr>
          <w:rFonts w:ascii="Times New Roman" w:cs="Times New Roman" w:eastAsia="Times New Roman" w:hAnsi="Times New Roman"/>
          <w:sz w:val="14"/>
          <w:szCs w:val="14"/>
          <w:color w:val="auto"/>
        </w:rPr>
        <w:t xml:space="preserve"> The Company is not, and will not be, either after receipt of payment for the Shares or after the application of the proceeds therefrom as described under “Use of Proceeds” in the Registration Statement or the Prospectus, required to register as an “investment company” under the Investment Company Act of 1940, as amended (the </w:t>
      </w:r>
      <w:r>
        <w:rPr>
          <w:rFonts w:ascii="Times New Roman" w:cs="Times New Roman" w:eastAsia="Times New Roman" w:hAnsi="Times New Roman"/>
          <w:sz w:val="14"/>
          <w:szCs w:val="14"/>
          <w:b w:val="1"/>
          <w:bCs w:val="1"/>
          <w:color w:val="auto"/>
        </w:rPr>
        <w:t>“Investment Company Act”)</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left="340" w:right="419" w:firstLine="334"/>
        <w:spacing w:after="0" w:line="268" w:lineRule="auto"/>
        <w:rPr>
          <w:sz w:val="20"/>
          <w:szCs w:val="20"/>
          <w:color w:val="auto"/>
        </w:rPr>
      </w:pPr>
      <w:r>
        <w:rPr>
          <w:rFonts w:ascii="Times New Roman" w:cs="Times New Roman" w:eastAsia="Times New Roman" w:hAnsi="Times New Roman"/>
          <w:sz w:val="13"/>
          <w:szCs w:val="13"/>
          <w:color w:val="auto"/>
        </w:rPr>
        <w:t xml:space="preserve">(aa)  </w:t>
      </w:r>
      <w:r>
        <w:rPr>
          <w:rFonts w:ascii="Times New Roman" w:cs="Times New Roman" w:eastAsia="Times New Roman" w:hAnsi="Times New Roman"/>
          <w:sz w:val="13"/>
          <w:szCs w:val="13"/>
          <w:u w:val="single" w:color="auto"/>
          <w:color w:val="auto"/>
        </w:rPr>
        <w:t>Insurance</w:t>
      </w:r>
      <w:r>
        <w:rPr>
          <w:rFonts w:ascii="Times New Roman" w:cs="Times New Roman" w:eastAsia="Times New Roman" w:hAnsi="Times New Roman"/>
          <w:sz w:val="13"/>
          <w:szCs w:val="13"/>
          <w:color w:val="auto"/>
        </w:rPr>
        <w:t>. Except as otherwise disclosed in the Prospectus, each of the Company and its subsidiaries are insured by recognized, financially sound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result in a Material Adverse Change. Neither the Company nor any of its subsidiaries has been denied any insurance coverage which it has sought or for which it has applied.</w:t>
      </w:r>
    </w:p>
    <w:p>
      <w:pPr>
        <w:spacing w:after="0" w:line="138" w:lineRule="exact"/>
        <w:rPr>
          <w:sz w:val="20"/>
          <w:szCs w:val="20"/>
          <w:color w:val="auto"/>
        </w:rPr>
      </w:pPr>
    </w:p>
    <w:p>
      <w:pPr>
        <w:jc w:val="both"/>
        <w:ind w:left="340" w:right="359" w:firstLine="334"/>
        <w:spacing w:after="0" w:line="251" w:lineRule="auto"/>
        <w:rPr>
          <w:sz w:val="20"/>
          <w:szCs w:val="20"/>
          <w:color w:val="auto"/>
        </w:rPr>
      </w:pPr>
      <w:r>
        <w:rPr>
          <w:rFonts w:ascii="Times New Roman" w:cs="Times New Roman" w:eastAsia="Times New Roman" w:hAnsi="Times New Roman"/>
          <w:sz w:val="14"/>
          <w:szCs w:val="14"/>
          <w:color w:val="auto"/>
        </w:rPr>
        <w:t xml:space="preserve">(bb)  </w:t>
      </w:r>
      <w:r>
        <w:rPr>
          <w:rFonts w:ascii="Times New Roman" w:cs="Times New Roman" w:eastAsia="Times New Roman" w:hAnsi="Times New Roman"/>
          <w:sz w:val="14"/>
          <w:szCs w:val="14"/>
          <w:u w:val="single" w:color="auto"/>
          <w:color w:val="auto"/>
        </w:rPr>
        <w:t>No Price Stabilization or Manipulation; Compliance with Regulation M</w:t>
      </w:r>
      <w:r>
        <w:rPr>
          <w:rFonts w:ascii="Times New Roman" w:cs="Times New Roman" w:eastAsia="Times New Roman" w:hAnsi="Times New Roman"/>
          <w:sz w:val="14"/>
          <w:szCs w:val="14"/>
          <w:color w:val="auto"/>
        </w:rPr>
        <w:t>. Neither the Company nor any of its subsidiaries has taken, directly or indirectly, any action designed to or that might cause or result in stabilization or manipulation of the price of the Common Shares or of any “reference security” (as defined in Rule 100 of Regulation M under the Exchange Act (</w:t>
      </w:r>
      <w:r>
        <w:rPr>
          <w:rFonts w:ascii="Times New Roman" w:cs="Times New Roman" w:eastAsia="Times New Roman" w:hAnsi="Times New Roman"/>
          <w:sz w:val="14"/>
          <w:szCs w:val="14"/>
          <w:b w:val="1"/>
          <w:bCs w:val="1"/>
          <w:color w:val="auto"/>
        </w:rPr>
        <w:t>“Regulation M”</w:t>
      </w:r>
      <w:r>
        <w:rPr>
          <w:rFonts w:ascii="Times New Roman" w:cs="Times New Roman" w:eastAsia="Times New Roman" w:hAnsi="Times New Roman"/>
          <w:sz w:val="14"/>
          <w:szCs w:val="14"/>
          <w:color w:val="auto"/>
        </w:rPr>
        <w:t>)) with respect to the Common Shares, whether to facilitate the sale or resale of the Shares or otherwise, and has taken no action which would directly or indirectly violate Regulation M.</w:t>
      </w:r>
    </w:p>
    <w:p>
      <w:pPr>
        <w:spacing w:after="0" w:line="145" w:lineRule="exact"/>
        <w:rPr>
          <w:sz w:val="20"/>
          <w:szCs w:val="20"/>
          <w:color w:val="auto"/>
        </w:rPr>
      </w:pPr>
    </w:p>
    <w:p>
      <w:pPr>
        <w:jc w:val="center"/>
        <w:ind w:left="340" w:right="619"/>
        <w:spacing w:after="0" w:line="304" w:lineRule="auto"/>
        <w:rPr>
          <w:sz w:val="20"/>
          <w:szCs w:val="20"/>
          <w:color w:val="auto"/>
        </w:rPr>
      </w:pPr>
      <w:r>
        <w:rPr>
          <w:rFonts w:ascii="Times New Roman" w:cs="Times New Roman" w:eastAsia="Times New Roman" w:hAnsi="Times New Roman"/>
          <w:sz w:val="13"/>
          <w:szCs w:val="13"/>
          <w:color w:val="auto"/>
        </w:rPr>
        <w:t xml:space="preserve">(cc)   </w:t>
      </w:r>
      <w:r>
        <w:rPr>
          <w:rFonts w:ascii="Times New Roman" w:cs="Times New Roman" w:eastAsia="Times New Roman" w:hAnsi="Times New Roman"/>
          <w:sz w:val="13"/>
          <w:szCs w:val="13"/>
          <w:u w:val="single" w:color="auto"/>
          <w:color w:val="auto"/>
        </w:rPr>
        <w:t>Related Party Transactions</w:t>
      </w:r>
      <w:r>
        <w:rPr>
          <w:rFonts w:ascii="Times New Roman" w:cs="Times New Roman" w:eastAsia="Times New Roman" w:hAnsi="Times New Roman"/>
          <w:sz w:val="13"/>
          <w:szCs w:val="13"/>
          <w:color w:val="auto"/>
        </w:rPr>
        <w:t>. There are no business relationships or related-party transactions involving the Company or any of its subsidiaries or any other person required to be described in the Registration Statement or the Prospectus which have not been described as required.</w:t>
      </w:r>
    </w:p>
    <w:p>
      <w:pPr>
        <w:spacing w:after="0" w:line="112" w:lineRule="exact"/>
        <w:rPr>
          <w:sz w:val="20"/>
          <w:szCs w:val="20"/>
          <w:color w:val="auto"/>
        </w:rPr>
      </w:pPr>
    </w:p>
    <w:p>
      <w:pPr>
        <w:ind w:left="340" w:right="459" w:firstLine="334"/>
        <w:spacing w:after="0" w:line="249" w:lineRule="auto"/>
        <w:rPr>
          <w:sz w:val="20"/>
          <w:szCs w:val="20"/>
          <w:color w:val="auto"/>
        </w:rPr>
      </w:pPr>
      <w:r>
        <w:rPr>
          <w:rFonts w:ascii="Times New Roman" w:cs="Times New Roman" w:eastAsia="Times New Roman" w:hAnsi="Times New Roman"/>
          <w:sz w:val="14"/>
          <w:szCs w:val="14"/>
          <w:color w:val="auto"/>
        </w:rPr>
        <w:t xml:space="preserve">(dd)  </w:t>
      </w:r>
      <w:r>
        <w:rPr>
          <w:rFonts w:ascii="Times New Roman" w:cs="Times New Roman" w:eastAsia="Times New Roman" w:hAnsi="Times New Roman"/>
          <w:sz w:val="14"/>
          <w:szCs w:val="14"/>
          <w:u w:val="single" w:color="auto"/>
          <w:color w:val="auto"/>
        </w:rPr>
        <w:t>FINRA Matters</w:t>
      </w:r>
      <w:r>
        <w:rPr>
          <w:rFonts w:ascii="Times New Roman" w:cs="Times New Roman" w:eastAsia="Times New Roman" w:hAnsi="Times New Roman"/>
          <w:sz w:val="14"/>
          <w:szCs w:val="14"/>
          <w:color w:val="auto"/>
        </w:rPr>
        <w:t>. All of the information provided to the Agent or to counsel for the Agent by the Company, its counsel, its officers and directors and the holders of any securities (debt or equity) or options to acquire any securities of the Company in connection with the offering of the Shares is true, complete, correct and compliant with Financial Industry Regulatory Authority, Inc.’s (“</w:t>
      </w:r>
      <w:r>
        <w:rPr>
          <w:rFonts w:ascii="Times New Roman" w:cs="Times New Roman" w:eastAsia="Times New Roman" w:hAnsi="Times New Roman"/>
          <w:sz w:val="14"/>
          <w:szCs w:val="14"/>
          <w:b w:val="1"/>
          <w:bCs w:val="1"/>
          <w:color w:val="auto"/>
        </w:rPr>
        <w:t>FINRA</w:t>
      </w:r>
      <w:r>
        <w:rPr>
          <w:rFonts w:ascii="Times New Roman" w:cs="Times New Roman" w:eastAsia="Times New Roman" w:hAnsi="Times New Roman"/>
          <w:sz w:val="14"/>
          <w:szCs w:val="14"/>
          <w:color w:val="auto"/>
        </w:rPr>
        <w:t>”) rules and any letters, filings or other supplemental information provided to FINRA pursuant to the FINRA rules is true, complete and correct. The Company meets the requirements for use of Form S-3 under the Securities Act specified in FINRA Rule 5110(h)(1).</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9" w:right="1440" w:bottom="1440" w:gutter="0" w:footer="0" w:header="0"/>
        </w:sectPr>
      </w:pPr>
    </w:p>
    <w:bookmarkStart w:id="78" w:name="page79"/>
    <w:bookmarkEnd w:id="78"/>
    <w:p>
      <w:pPr>
        <w:ind w:left="340" w:right="419" w:firstLine="334"/>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 xml:space="preserve">(ee)  </w:t>
      </w:r>
      <w:r>
        <w:rPr>
          <w:rFonts w:ascii="Times New Roman" w:cs="Times New Roman" w:eastAsia="Times New Roman" w:hAnsi="Times New Roman"/>
          <w:sz w:val="14"/>
          <w:szCs w:val="14"/>
          <w:u w:val="single" w:color="auto"/>
          <w:color w:val="auto"/>
        </w:rPr>
        <w:t>No Unlawful Contributions or Other Payments</w:t>
      </w:r>
      <w:r>
        <w:rPr>
          <w:rFonts w:ascii="Times New Roman" w:cs="Times New Roman" w:eastAsia="Times New Roman" w:hAnsi="Times New Roman"/>
          <w:sz w:val="14"/>
          <w:szCs w:val="14"/>
          <w:color w:val="auto"/>
        </w:rPr>
        <w:t>. Except as otherwise disclosed in the Prospectus, neither the Company nor any of its subsidiaries nor, to the best of the Company’s knowledge, any employee or agent of the Company or any subsidiary, has made any contribution or other payment to any official of, or candidate for, any federal, state or foreign office in violation of any law or of the character required to be disclosed in the Registration Statement and the Prospectus.</w:t>
      </w:r>
    </w:p>
    <w:p>
      <w:pPr>
        <w:spacing w:after="0" w:line="145" w:lineRule="exact"/>
        <w:rPr>
          <w:sz w:val="20"/>
          <w:szCs w:val="20"/>
          <w:color w:val="auto"/>
        </w:rPr>
      </w:pPr>
    </w:p>
    <w:p>
      <w:pPr>
        <w:ind w:left="340" w:right="399" w:firstLine="334"/>
        <w:spacing w:after="0" w:line="266" w:lineRule="auto"/>
        <w:rPr>
          <w:sz w:val="20"/>
          <w:szCs w:val="20"/>
          <w:color w:val="auto"/>
        </w:rPr>
      </w:pPr>
      <w:r>
        <w:rPr>
          <w:rFonts w:ascii="Times New Roman" w:cs="Times New Roman" w:eastAsia="Times New Roman" w:hAnsi="Times New Roman"/>
          <w:sz w:val="13"/>
          <w:szCs w:val="13"/>
          <w:color w:val="auto"/>
        </w:rPr>
        <w:t xml:space="preserve">(ff)  </w:t>
      </w:r>
      <w:r>
        <w:rPr>
          <w:rFonts w:ascii="Times New Roman" w:cs="Times New Roman" w:eastAsia="Times New Roman" w:hAnsi="Times New Roman"/>
          <w:sz w:val="13"/>
          <w:szCs w:val="13"/>
          <w:u w:val="single" w:color="auto"/>
          <w:color w:val="auto"/>
        </w:rPr>
        <w:t>Compliance with Environmental Laws</w:t>
      </w:r>
      <w:r>
        <w:rPr>
          <w:rFonts w:ascii="Times New Roman" w:cs="Times New Roman" w:eastAsia="Times New Roman" w:hAnsi="Times New Roman"/>
          <w:sz w:val="13"/>
          <w:szCs w:val="13"/>
          <w:color w:val="auto"/>
        </w:rPr>
        <w:t>. Except as described in the Prospectus and except as would not be reasonably expected, individually or in the aggregate, to result in a Material Adverse Change;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 w:cs="Times New Roman" w:eastAsia="Times New Roman" w:hAnsi="Times New Roman"/>
          <w:sz w:val="13"/>
          <w:szCs w:val="13"/>
          <w:b w:val="1"/>
          <w:bCs w:val="1"/>
          <w:color w:val="auto"/>
        </w:rPr>
        <w:t>Hazardous Materials</w:t>
      </w:r>
      <w:r>
        <w:rPr>
          <w:rFonts w:ascii="Times New Roman" w:cs="Times New Roman" w:eastAsia="Times New Roman" w:hAnsi="Times New Roman"/>
          <w:sz w:val="13"/>
          <w:szCs w:val="13"/>
          <w:color w:val="auto"/>
        </w:rPr>
        <w:t>”) or to the manufacture, processing, distribution, use, treatment, storage, disposal, transport or handling of Hazardous Materials (collectively, “</w:t>
      </w:r>
      <w:r>
        <w:rPr>
          <w:rFonts w:ascii="Times New Roman" w:cs="Times New Roman" w:eastAsia="Times New Roman" w:hAnsi="Times New Roman"/>
          <w:sz w:val="13"/>
          <w:szCs w:val="13"/>
          <w:b w:val="1"/>
          <w:bCs w:val="1"/>
          <w:color w:val="auto"/>
        </w:rPr>
        <w:t>Environmental Laws</w:t>
      </w:r>
      <w:r>
        <w:rPr>
          <w:rFonts w:ascii="Times New Roman" w:cs="Times New Roman" w:eastAsia="Times New Roman" w:hAnsi="Times New Roman"/>
          <w:sz w:val="13"/>
          <w:szCs w:val="13"/>
          <w:color w:val="auto"/>
        </w:rPr>
        <w:t>”), (ii) the Company and its subsidiaries have all permits, authorizations and approvals required under any applicable Environmental Laws and are each in compliance with their requirements, (iii) there are no pending administrative, regulatory or judicial actions, suits, demands, demand letters, claims, liens, notices of noncompliance or violation, investigation or proceedings, and to the Company’s knowledge, no such matters have been threatened in writing, relating to any Environmental Law against the Company or any of its subsidiaries and (iv)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301" w:lineRule="exact"/>
        <w:rPr>
          <w:sz w:val="20"/>
          <w:szCs w:val="20"/>
          <w:color w:val="auto"/>
        </w:rPr>
      </w:pPr>
    </w:p>
    <w:p>
      <w:pPr>
        <w:jc w:val="both"/>
        <w:ind w:left="340" w:right="339" w:firstLine="334"/>
        <w:spacing w:after="0" w:line="248" w:lineRule="auto"/>
        <w:rPr>
          <w:sz w:val="20"/>
          <w:szCs w:val="20"/>
          <w:color w:val="auto"/>
        </w:rPr>
      </w:pPr>
      <w:r>
        <w:rPr>
          <w:rFonts w:ascii="Times New Roman" w:cs="Times New Roman" w:eastAsia="Times New Roman" w:hAnsi="Times New Roman"/>
          <w:sz w:val="14"/>
          <w:szCs w:val="14"/>
          <w:color w:val="auto"/>
        </w:rPr>
        <w:t xml:space="preserve">(gg)  </w:t>
      </w:r>
      <w:r>
        <w:rPr>
          <w:rFonts w:ascii="Times New Roman" w:cs="Times New Roman" w:eastAsia="Times New Roman" w:hAnsi="Times New Roman"/>
          <w:sz w:val="14"/>
          <w:szCs w:val="14"/>
          <w:u w:val="single" w:color="auto"/>
          <w:color w:val="auto"/>
        </w:rPr>
        <w:t>Periodic Review of Costs of Environmental Compliance</w:t>
      </w:r>
      <w:r>
        <w:rPr>
          <w:rFonts w:ascii="Times New Roman" w:cs="Times New Roman" w:eastAsia="Times New Roman" w:hAnsi="Times New Roman"/>
          <w:sz w:val="14"/>
          <w:szCs w:val="14"/>
          <w:color w:val="auto"/>
        </w:rPr>
        <w:t>. In the ordinary course of its business, the Company conducts a periodic review of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No facts or circumstances have come to the Company’s attention that could result in costs or liabilities that could be expected, individually or in the aggregate, to result in a Material Adverse Change.</w:t>
      </w:r>
    </w:p>
    <w:p>
      <w:pPr>
        <w:spacing w:after="0" w:line="148" w:lineRule="exact"/>
        <w:rPr>
          <w:sz w:val="20"/>
          <w:szCs w:val="20"/>
          <w:color w:val="auto"/>
        </w:rPr>
      </w:pPr>
    </w:p>
    <w:p>
      <w:pPr>
        <w:ind w:left="340" w:right="339" w:firstLine="334"/>
        <w:spacing w:after="0" w:line="248" w:lineRule="auto"/>
        <w:rPr>
          <w:sz w:val="20"/>
          <w:szCs w:val="20"/>
          <w:color w:val="auto"/>
        </w:rPr>
      </w:pPr>
      <w:r>
        <w:rPr>
          <w:rFonts w:ascii="Times New Roman" w:cs="Times New Roman" w:eastAsia="Times New Roman" w:hAnsi="Times New Roman"/>
          <w:sz w:val="14"/>
          <w:szCs w:val="14"/>
          <w:color w:val="auto"/>
        </w:rPr>
        <w:t xml:space="preserve">(hh)  </w:t>
      </w:r>
      <w:r>
        <w:rPr>
          <w:rFonts w:ascii="Times New Roman" w:cs="Times New Roman" w:eastAsia="Times New Roman" w:hAnsi="Times New Roman"/>
          <w:sz w:val="14"/>
          <w:szCs w:val="14"/>
          <w:u w:val="single" w:color="auto"/>
          <w:color w:val="auto"/>
        </w:rPr>
        <w:t>ERISA Compliance</w:t>
      </w:r>
      <w:r>
        <w:rPr>
          <w:rFonts w:ascii="Times New Roman" w:cs="Times New Roman" w:eastAsia="Times New Roman" w:hAnsi="Times New Roman"/>
          <w:sz w:val="14"/>
          <w:szCs w:val="14"/>
          <w:color w:val="auto"/>
        </w:rPr>
        <w:t>. Except as otherwise disclosed in the Prospectus, the Company and its subsidiaries and any “employee benefit plan” (as defined under the Employee Retirement Income Security Act of 1974, as amended, and the regulations and published interpretations thereunder (collectively, “</w:t>
      </w:r>
      <w:r>
        <w:rPr>
          <w:rFonts w:ascii="Times New Roman" w:cs="Times New Roman" w:eastAsia="Times New Roman" w:hAnsi="Times New Roman"/>
          <w:sz w:val="14"/>
          <w:szCs w:val="14"/>
          <w:b w:val="1"/>
          <w:bCs w:val="1"/>
          <w:color w:val="auto"/>
        </w:rPr>
        <w:t>ERISA</w:t>
      </w:r>
      <w:r>
        <w:rPr>
          <w:rFonts w:ascii="Times New Roman" w:cs="Times New Roman" w:eastAsia="Times New Roman" w:hAnsi="Times New Roman"/>
          <w:sz w:val="14"/>
          <w:szCs w:val="14"/>
          <w:color w:val="auto"/>
        </w:rPr>
        <w:t>”)) established or maintained by the Company, its subsidiaries or their “ERISA Affiliates” (as defined below) are in compliance in all material respects with ERISA. “</w:t>
      </w:r>
      <w:r>
        <w:rPr>
          <w:rFonts w:ascii="Times New Roman" w:cs="Times New Roman" w:eastAsia="Times New Roman" w:hAnsi="Times New Roman"/>
          <w:sz w:val="14"/>
          <w:szCs w:val="14"/>
          <w:b w:val="1"/>
          <w:bCs w:val="1"/>
          <w:color w:val="auto"/>
        </w:rPr>
        <w:t>ERISA Affiliate</w:t>
      </w:r>
      <w:r>
        <w:rPr>
          <w:rFonts w:ascii="Times New Roman" w:cs="Times New Roman" w:eastAsia="Times New Roman" w:hAnsi="Times New Roman"/>
          <w:sz w:val="14"/>
          <w:szCs w:val="14"/>
          <w:color w:val="auto"/>
        </w:rPr>
        <w:t>” means, with respect to the Company or any of its subsidiaries, any member of any group of organizations described in Sections 414(b), (c), (m) or (o) of the Internal Revenue Code of 1986, as amended, and the regulations and published interpretations thereunder</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39" w:right="1440" w:bottom="1440" w:gutter="0" w:footer="0" w:header="0"/>
        </w:sectPr>
      </w:pPr>
    </w:p>
    <w:bookmarkStart w:id="79" w:name="page80"/>
    <w:bookmarkEnd w:id="79"/>
    <w:p>
      <w:pPr>
        <w:ind w:left="340" w:right="359"/>
        <w:spacing w:after="0" w:line="26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(the “</w:t>
      </w:r>
      <w:r>
        <w:rPr>
          <w:rFonts w:ascii="Times New Roman" w:cs="Times New Roman" w:eastAsia="Times New Roman" w:hAnsi="Times New Roman"/>
          <w:sz w:val="13"/>
          <w:szCs w:val="13"/>
          <w:b w:val="1"/>
          <w:bCs w:val="1"/>
          <w:color w:val="auto"/>
        </w:rPr>
        <w:t>Code</w:t>
      </w:r>
      <w:r>
        <w:rPr>
          <w:rFonts w:ascii="Times New Roman" w:cs="Times New Roman" w:eastAsia="Times New Roman" w:hAnsi="Times New Roman"/>
          <w:sz w:val="13"/>
          <w:szCs w:val="13"/>
          <w:color w:val="auto"/>
        </w:rPr>
        <w:t>”)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w:t>
      </w:r>
    </w:p>
    <w:p>
      <w:pPr>
        <w:spacing w:after="0" w:line="137" w:lineRule="exact"/>
        <w:rPr>
          <w:sz w:val="20"/>
          <w:szCs w:val="20"/>
          <w:color w:val="auto"/>
        </w:rPr>
      </w:pPr>
    </w:p>
    <w:p>
      <w:pPr>
        <w:ind w:left="340" w:right="899" w:firstLine="334"/>
        <w:spacing w:after="0" w:line="265" w:lineRule="auto"/>
        <w:rPr>
          <w:sz w:val="20"/>
          <w:szCs w:val="20"/>
          <w:color w:val="auto"/>
        </w:rPr>
      </w:pPr>
      <w:r>
        <w:rPr>
          <w:rFonts w:ascii="Times New Roman" w:cs="Times New Roman" w:eastAsia="Times New Roman" w:hAnsi="Times New Roman"/>
          <w:sz w:val="14"/>
          <w:szCs w:val="14"/>
          <w:color w:val="auto"/>
        </w:rPr>
        <w:t xml:space="preserve">(ii)  </w:t>
      </w:r>
      <w:r>
        <w:rPr>
          <w:rFonts w:ascii="Times New Roman" w:cs="Times New Roman" w:eastAsia="Times New Roman" w:hAnsi="Times New Roman"/>
          <w:sz w:val="14"/>
          <w:szCs w:val="14"/>
          <w:u w:val="single" w:color="auto"/>
          <w:color w:val="auto"/>
        </w:rPr>
        <w:t>Brokers</w:t>
      </w:r>
      <w:r>
        <w:rPr>
          <w:rFonts w:ascii="Times New Roman" w:cs="Times New Roman" w:eastAsia="Times New Roman" w:hAnsi="Times New Roman"/>
          <w:sz w:val="14"/>
          <w:szCs w:val="14"/>
          <w:color w:val="auto"/>
        </w:rPr>
        <w:t>. Except as otherwise disclosed in the Prospectus, there is no broker, finder or other party that is entitled to receive from the Company any brokerage or finder’s fee or other fee or commission as a result of any transactions contemplated by this Agreement.</w:t>
      </w:r>
    </w:p>
    <w:p>
      <w:pPr>
        <w:spacing w:after="0" w:line="136" w:lineRule="exact"/>
        <w:rPr>
          <w:sz w:val="20"/>
          <w:szCs w:val="20"/>
          <w:color w:val="auto"/>
        </w:rPr>
      </w:pPr>
    </w:p>
    <w:p>
      <w:pPr>
        <w:jc w:val="both"/>
        <w:ind w:left="340" w:right="619" w:firstLine="334"/>
        <w:spacing w:after="0" w:line="254" w:lineRule="auto"/>
        <w:rPr>
          <w:sz w:val="20"/>
          <w:szCs w:val="20"/>
          <w:color w:val="auto"/>
        </w:rPr>
      </w:pPr>
      <w:r>
        <w:rPr>
          <w:rFonts w:ascii="Times New Roman" w:cs="Times New Roman" w:eastAsia="Times New Roman" w:hAnsi="Times New Roman"/>
          <w:sz w:val="14"/>
          <w:szCs w:val="14"/>
          <w:color w:val="auto"/>
        </w:rPr>
        <w:t xml:space="preserve">(jj)  </w:t>
      </w:r>
      <w:r>
        <w:rPr>
          <w:rFonts w:ascii="Times New Roman" w:cs="Times New Roman" w:eastAsia="Times New Roman" w:hAnsi="Times New Roman"/>
          <w:sz w:val="14"/>
          <w:szCs w:val="14"/>
          <w:u w:val="single" w:color="auto"/>
          <w:color w:val="auto"/>
        </w:rPr>
        <w:t>No Outstanding Loans or Other Extensions of Credit</w:t>
      </w:r>
      <w:r>
        <w:rPr>
          <w:rFonts w:ascii="Times New Roman" w:cs="Times New Roman" w:eastAsia="Times New Roman" w:hAnsi="Times New Roman"/>
          <w:sz w:val="14"/>
          <w:szCs w:val="14"/>
          <w:color w:val="auto"/>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144" w:lineRule="exact"/>
        <w:rPr>
          <w:sz w:val="20"/>
          <w:szCs w:val="20"/>
          <w:color w:val="auto"/>
        </w:rPr>
      </w:pPr>
    </w:p>
    <w:p>
      <w:pPr>
        <w:jc w:val="both"/>
        <w:ind w:left="340" w:right="439" w:firstLine="334"/>
        <w:spacing w:after="0" w:line="304" w:lineRule="auto"/>
        <w:rPr>
          <w:sz w:val="20"/>
          <w:szCs w:val="20"/>
          <w:color w:val="auto"/>
        </w:rPr>
      </w:pPr>
      <w:r>
        <w:rPr>
          <w:rFonts w:ascii="Times New Roman" w:cs="Times New Roman" w:eastAsia="Times New Roman" w:hAnsi="Times New Roman"/>
          <w:sz w:val="13"/>
          <w:szCs w:val="13"/>
          <w:color w:val="auto"/>
        </w:rPr>
        <w:t xml:space="preserve">(kk)  </w:t>
      </w:r>
      <w:r>
        <w:rPr>
          <w:rFonts w:ascii="Times New Roman" w:cs="Times New Roman" w:eastAsia="Times New Roman" w:hAnsi="Times New Roman"/>
          <w:sz w:val="13"/>
          <w:szCs w:val="13"/>
          <w:u w:val="single" w:color="auto"/>
          <w:color w:val="auto"/>
        </w:rPr>
        <w:t>Compliance with Laws</w:t>
      </w:r>
      <w:r>
        <w:rPr>
          <w:rFonts w:ascii="Times New Roman" w:cs="Times New Roman" w:eastAsia="Times New Roman" w:hAnsi="Times New Roman"/>
          <w:sz w:val="13"/>
          <w:szCs w:val="13"/>
          <w:color w:val="auto"/>
        </w:rPr>
        <w:t>. The Company and its subsidiaries have been and are in compliance with all applicable laws, rules and regulations, except where failure to be so in compliance could not reasonably be expected, individually or in the aggregate, to result in a Material Adverse Change.</w:t>
      </w:r>
    </w:p>
    <w:p>
      <w:pPr>
        <w:spacing w:after="0" w:line="112" w:lineRule="exact"/>
        <w:rPr>
          <w:sz w:val="20"/>
          <w:szCs w:val="20"/>
          <w:color w:val="auto"/>
        </w:rPr>
      </w:pPr>
    </w:p>
    <w:p>
      <w:pPr>
        <w:jc w:val="both"/>
        <w:ind w:left="340" w:right="399" w:firstLine="334"/>
        <w:spacing w:after="0" w:line="251" w:lineRule="auto"/>
        <w:rPr>
          <w:sz w:val="20"/>
          <w:szCs w:val="20"/>
          <w:color w:val="auto"/>
        </w:rPr>
      </w:pPr>
      <w:r>
        <w:rPr>
          <w:rFonts w:ascii="Times New Roman" w:cs="Times New Roman" w:eastAsia="Times New Roman" w:hAnsi="Times New Roman"/>
          <w:sz w:val="14"/>
          <w:szCs w:val="14"/>
          <w:color w:val="auto"/>
        </w:rPr>
        <w:t xml:space="preserve">(ll)  </w:t>
      </w:r>
      <w:r>
        <w:rPr>
          <w:rFonts w:ascii="Times New Roman" w:cs="Times New Roman" w:eastAsia="Times New Roman" w:hAnsi="Times New Roman"/>
          <w:sz w:val="14"/>
          <w:szCs w:val="14"/>
          <w:u w:val="single" w:color="auto"/>
          <w:color w:val="auto"/>
        </w:rPr>
        <w:t>Dividend Restrictions</w:t>
      </w:r>
      <w:r>
        <w:rPr>
          <w:rFonts w:ascii="Times New Roman" w:cs="Times New Roman" w:eastAsia="Times New Roman" w:hAnsi="Times New Roman"/>
          <w:sz w:val="14"/>
          <w:szCs w:val="14"/>
          <w:color w:val="auto"/>
        </w:rPr>
        <w:t>. Except as disclosed in the Prospectus,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45" w:lineRule="exact"/>
        <w:rPr>
          <w:sz w:val="20"/>
          <w:szCs w:val="20"/>
          <w:color w:val="auto"/>
        </w:rPr>
      </w:pPr>
    </w:p>
    <w:p>
      <w:pPr>
        <w:ind w:left="340" w:right="379" w:firstLine="334"/>
        <w:spacing w:after="0" w:line="265" w:lineRule="auto"/>
        <w:rPr>
          <w:sz w:val="20"/>
          <w:szCs w:val="20"/>
          <w:color w:val="auto"/>
        </w:rPr>
      </w:pPr>
      <w:r>
        <w:rPr>
          <w:rFonts w:ascii="Times New Roman" w:cs="Times New Roman" w:eastAsia="Times New Roman" w:hAnsi="Times New Roman"/>
          <w:sz w:val="13"/>
          <w:szCs w:val="13"/>
          <w:color w:val="auto"/>
        </w:rPr>
        <w:t xml:space="preserve">(mm)  </w:t>
      </w:r>
      <w:r>
        <w:rPr>
          <w:rFonts w:ascii="Times New Roman" w:cs="Times New Roman" w:eastAsia="Times New Roman" w:hAnsi="Times New Roman"/>
          <w:sz w:val="13"/>
          <w:szCs w:val="13"/>
          <w:u w:val="single" w:color="auto"/>
          <w:color w:val="auto"/>
        </w:rPr>
        <w:t>Anti-Corruption and Anti-Bribery Laws</w:t>
      </w:r>
      <w:r>
        <w:rPr>
          <w:rFonts w:ascii="Times New Roman" w:cs="Times New Roman" w:eastAsia="Times New Roman" w:hAnsi="Times New Roman"/>
          <w:sz w:val="13"/>
          <w:szCs w:val="13"/>
          <w:color w:val="auto"/>
        </w:rPr>
        <w:t>. Neither the Company nor any of its subsidiaries nor any director, officer or employee of the Company or any of its subsidiaries, nor to the knowledge of the Company, any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w:t>
      </w:r>
    </w:p>
    <w:p>
      <w:pPr>
        <w:spacing w:after="0" w:line="4" w:lineRule="exact"/>
        <w:rPr>
          <w:sz w:val="20"/>
          <w:szCs w:val="20"/>
          <w:color w:val="auto"/>
        </w:rPr>
      </w:pPr>
    </w:p>
    <w:p>
      <w:pPr>
        <w:ind w:left="340" w:right="399" w:hanging="10"/>
        <w:spacing w:after="0" w:line="248" w:lineRule="auto"/>
        <w:tabs>
          <w:tab w:leader="none" w:pos="578"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violated or is in violation of any provision of the U.S. Foreign Corrupt Practices Act of 1977, as amended (the “</w:t>
      </w:r>
      <w:r>
        <w:rPr>
          <w:rFonts w:ascii="Times New Roman" w:cs="Times New Roman" w:eastAsia="Times New Roman" w:hAnsi="Times New Roman"/>
          <w:sz w:val="14"/>
          <w:szCs w:val="14"/>
          <w:b w:val="1"/>
          <w:bCs w:val="1"/>
          <w:color w:val="auto"/>
        </w:rPr>
        <w:t>FCPA</w:t>
      </w:r>
      <w:r>
        <w:rPr>
          <w:rFonts w:ascii="Times New Roman" w:cs="Times New Roman" w:eastAsia="Times New Roman" w:hAnsi="Times New Roman"/>
          <w:sz w:val="14"/>
          <w:szCs w:val="14"/>
          <w:color w:val="auto"/>
        </w:rPr>
        <w:t>”), the UK Bribery Act 2010, or any other applicable anti-bribery or anti-corruption law; or (iv) made, offered, authorized, requested, or</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35" w:right="1440" w:bottom="1440" w:gutter="0" w:footer="0" w:header="0"/>
        </w:sectPr>
      </w:pPr>
    </w:p>
    <w:bookmarkStart w:id="80" w:name="page81"/>
    <w:bookmarkEnd w:id="80"/>
    <w:p>
      <w:pPr>
        <w:ind w:left="340" w:right="41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145" w:lineRule="exact"/>
        <w:rPr>
          <w:sz w:val="20"/>
          <w:szCs w:val="20"/>
          <w:color w:val="auto"/>
        </w:rPr>
      </w:pPr>
    </w:p>
    <w:p>
      <w:pPr>
        <w:ind w:left="340" w:right="359" w:firstLine="334"/>
        <w:spacing w:after="0" w:line="248" w:lineRule="auto"/>
        <w:rPr>
          <w:sz w:val="20"/>
          <w:szCs w:val="20"/>
          <w:color w:val="auto"/>
        </w:rPr>
      </w:pPr>
      <w:r>
        <w:rPr>
          <w:rFonts w:ascii="Times New Roman" w:cs="Times New Roman" w:eastAsia="Times New Roman" w:hAnsi="Times New Roman"/>
          <w:sz w:val="14"/>
          <w:szCs w:val="14"/>
          <w:color w:val="auto"/>
        </w:rPr>
        <w:t xml:space="preserve">(nn)  </w:t>
      </w:r>
      <w:r>
        <w:rPr>
          <w:rFonts w:ascii="Times New Roman" w:cs="Times New Roman" w:eastAsia="Times New Roman" w:hAnsi="Times New Roman"/>
          <w:sz w:val="14"/>
          <w:szCs w:val="14"/>
          <w:u w:val="single" w:color="auto"/>
          <w:color w:val="auto"/>
        </w:rPr>
        <w:t>Money Laundering Laws</w:t>
      </w:r>
      <w:r>
        <w:rPr>
          <w:rFonts w:ascii="Times New Roman" w:cs="Times New Roman" w:eastAsia="Times New Roman" w:hAnsi="Times New Roman"/>
          <w:sz w:val="14"/>
          <w:szCs w:val="14"/>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4"/>
          <w:szCs w:val="14"/>
          <w:b w:val="1"/>
          <w:bCs w:val="1"/>
          <w:color w:val="auto"/>
        </w:rPr>
        <w:t>Money Laundering Laws</w:t>
      </w:r>
      <w:r>
        <w:rPr>
          <w:rFonts w:ascii="Times New Roman" w:cs="Times New Roman" w:eastAsia="Times New Roman" w:hAnsi="Times New Roman"/>
          <w:sz w:val="14"/>
          <w:szCs w:val="14"/>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48" w:lineRule="exact"/>
        <w:rPr>
          <w:sz w:val="20"/>
          <w:szCs w:val="20"/>
          <w:color w:val="auto"/>
        </w:rPr>
      </w:pPr>
    </w:p>
    <w:p>
      <w:pPr>
        <w:ind w:left="340" w:right="379" w:firstLine="334"/>
        <w:spacing w:after="0" w:line="245" w:lineRule="auto"/>
        <w:rPr>
          <w:sz w:val="20"/>
          <w:szCs w:val="20"/>
          <w:color w:val="auto"/>
        </w:rPr>
      </w:pPr>
      <w:r>
        <w:rPr>
          <w:rFonts w:ascii="Times New Roman" w:cs="Times New Roman" w:eastAsia="Times New Roman" w:hAnsi="Times New Roman"/>
          <w:sz w:val="14"/>
          <w:szCs w:val="14"/>
          <w:color w:val="auto"/>
        </w:rPr>
        <w:t xml:space="preserve">(oo)  </w:t>
      </w:r>
      <w:r>
        <w:rPr>
          <w:rFonts w:ascii="Times New Roman" w:cs="Times New Roman" w:eastAsia="Times New Roman" w:hAnsi="Times New Roman"/>
          <w:sz w:val="14"/>
          <w:szCs w:val="14"/>
          <w:u w:val="single" w:color="auto"/>
          <w:color w:val="auto"/>
        </w:rPr>
        <w:t>Clinical Data and Regulatory Compliance.</w:t>
      </w:r>
      <w:r>
        <w:rPr>
          <w:rFonts w:ascii="Times New Roman" w:cs="Times New Roman" w:eastAsia="Times New Roman" w:hAnsi="Times New Roman"/>
          <w:sz w:val="14"/>
          <w:szCs w:val="14"/>
          <w:color w:val="auto"/>
        </w:rPr>
        <w:t xml:space="preserve"> The preclinical tests and clinical trials, and other studies (collectively, “studies”) that are described in, or the results of which are referred to in, the Registration Statement or the Prospectus were and, if still pending, are being conducted in all material respects in accordance with the protocols, procedures and controls designed and approved for such studies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Registration Statement or the Prospectus; the Company and its subsidiaries have made all such filings and obtained all such approvals as may be required by the Food and Drug Administration of the U.S. Department of Health and Human Services or any committee thereof or from any other U.S. or foreign government or drug or medical device regulatory agency, or Institutional Review Board (collectively, the “</w:t>
      </w:r>
      <w:r>
        <w:rPr>
          <w:rFonts w:ascii="Times New Roman" w:cs="Times New Roman" w:eastAsia="Times New Roman" w:hAnsi="Times New Roman"/>
          <w:sz w:val="14"/>
          <w:szCs w:val="14"/>
          <w:b w:val="1"/>
          <w:bCs w:val="1"/>
          <w:color w:val="auto"/>
        </w:rPr>
        <w:t>Regulatory Agencies</w:t>
      </w:r>
      <w:r>
        <w:rPr>
          <w:rFonts w:ascii="Times New Roman" w:cs="Times New Roman" w:eastAsia="Times New Roman" w:hAnsi="Times New Roman"/>
          <w:sz w:val="14"/>
          <w:szCs w:val="14"/>
          <w:color w:val="auto"/>
        </w:rPr>
        <w:t>”); neither the Company nor any of its subsidiaries has received any notice of, or correspondence from, any Regulatory Agency requiring the termination, suspension or modification of any clinical trials that are described or referred to in the Registration Statement or the Prospectus; and the Company and its subsidiaries have each operated and currently are in compliance in all material respects with all applicable rules, regulations and policies of the Regulatory Agencies.</w:t>
      </w:r>
    </w:p>
    <w:p>
      <w:pPr>
        <w:spacing w:after="0" w:line="156" w:lineRule="exact"/>
        <w:rPr>
          <w:sz w:val="20"/>
          <w:szCs w:val="20"/>
          <w:color w:val="auto"/>
        </w:rPr>
      </w:pPr>
    </w:p>
    <w:p>
      <w:pPr>
        <w:ind w:left="340" w:right="399" w:firstLine="334"/>
        <w:spacing w:after="0" w:line="269" w:lineRule="auto"/>
        <w:rPr>
          <w:sz w:val="20"/>
          <w:szCs w:val="20"/>
          <w:color w:val="auto"/>
        </w:rPr>
      </w:pPr>
      <w:r>
        <w:rPr>
          <w:rFonts w:ascii="Times New Roman" w:cs="Times New Roman" w:eastAsia="Times New Roman" w:hAnsi="Times New Roman"/>
          <w:sz w:val="13"/>
          <w:szCs w:val="13"/>
          <w:color w:val="auto"/>
        </w:rPr>
        <w:t xml:space="preserve">(pp)  </w:t>
      </w:r>
      <w:r>
        <w:rPr>
          <w:rFonts w:ascii="Times New Roman" w:cs="Times New Roman" w:eastAsia="Times New Roman" w:hAnsi="Times New Roman"/>
          <w:sz w:val="13"/>
          <w:szCs w:val="13"/>
          <w:u w:val="single" w:color="auto"/>
          <w:color w:val="auto"/>
        </w:rPr>
        <w:t>Sanctions.</w:t>
      </w:r>
      <w:r>
        <w:rPr>
          <w:rFonts w:ascii="Times New Roman" w:cs="Times New Roman" w:eastAsia="Times New Roman" w:hAnsi="Times New Roman"/>
          <w:sz w:val="13"/>
          <w:szCs w:val="13"/>
          <w:color w:val="auto"/>
        </w:rPr>
        <w:t xml:space="preserve"> Neither the Company nor any of its subsidiaries, directors, officers, or employees, nor, to the knowledge of the Company, after due inquiry, any agent, affiliate or other person acting on behalf of the Company or any of its subsidiaries is currently the subject or the target of any U.S. sanctions administered by the Office of Foreign Assets Control of the U.S. Department of the Treasury (“</w:t>
      </w:r>
      <w:r>
        <w:rPr>
          <w:rFonts w:ascii="Times New Roman" w:cs="Times New Roman" w:eastAsia="Times New Roman" w:hAnsi="Times New Roman"/>
          <w:sz w:val="13"/>
          <w:szCs w:val="13"/>
          <w:b w:val="1"/>
          <w:bCs w:val="1"/>
          <w:color w:val="auto"/>
        </w:rPr>
        <w:t>OFAC</w:t>
      </w:r>
      <w:r>
        <w:rPr>
          <w:rFonts w:ascii="Times New Roman" w:cs="Times New Roman" w:eastAsia="Times New Roman" w:hAnsi="Times New Roman"/>
          <w:sz w:val="13"/>
          <w:szCs w:val="13"/>
          <w:color w:val="auto"/>
        </w:rPr>
        <w:t>”) or the U.S. Department of State, the United Nations Security Council, the European Union, His Majesty’s Treasury of the United Kingdom, or other relevant sanctions authority (collectively, “</w:t>
      </w:r>
      <w:r>
        <w:rPr>
          <w:rFonts w:ascii="Times New Roman" w:cs="Times New Roman" w:eastAsia="Times New Roman" w:hAnsi="Times New Roman"/>
          <w:sz w:val="13"/>
          <w:szCs w:val="13"/>
          <w:b w:val="1"/>
          <w:bCs w:val="1"/>
          <w:color w:val="auto"/>
        </w:rPr>
        <w:t>Sanctions</w:t>
      </w:r>
      <w:r>
        <w:rPr>
          <w:rFonts w:ascii="Times New Roman" w:cs="Times New Roman" w:eastAsia="Times New Roman" w:hAnsi="Times New Roman"/>
          <w:sz w:val="13"/>
          <w:szCs w:val="13"/>
          <w:color w:val="auto"/>
        </w:rPr>
        <w:t>”); nor is the Company or any of its subsidiaries located, organized or resident in a country or territory that is the subject or the target of Sanctions, including, without limitation, the so-called Donetsk People’s Republic, the so-called Luhansk People’s Republic, the Crimea region and the non-government controlled areas of the Zaporizhzhia and Kherson Regions of Ukraine (or any other Covered Region of Ukraine identified</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9" w:right="1440" w:bottom="1440" w:gutter="0" w:footer="0" w:header="0"/>
        </w:sectPr>
      </w:pPr>
    </w:p>
    <w:bookmarkStart w:id="81" w:name="page82"/>
    <w:bookmarkEnd w:id="81"/>
    <w:p>
      <w:pPr>
        <w:ind w:left="340" w:right="35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pursuant to Executive Order 14065), Cuba, Iran, North Korea, and, prior to July 1, 2025, Syria (the “</w:t>
      </w:r>
      <w:r>
        <w:rPr>
          <w:rFonts w:ascii="Times New Roman" w:cs="Times New Roman" w:eastAsia="Times New Roman" w:hAnsi="Times New Roman"/>
          <w:sz w:val="13"/>
          <w:szCs w:val="13"/>
          <w:b w:val="1"/>
          <w:bCs w:val="1"/>
          <w:color w:val="auto"/>
        </w:rPr>
        <w:t>Sanctioned Territories</w:t>
      </w:r>
      <w:r>
        <w:rPr>
          <w:rFonts w:ascii="Times New Roman" w:cs="Times New Roman" w:eastAsia="Times New Roman" w:hAnsi="Times New Roman"/>
          <w:sz w:val="13"/>
          <w:szCs w:val="13"/>
          <w:color w:val="auto"/>
        </w:rPr>
        <w:t>”);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Since April 24, 2019, the Company and its subsidiaries have not knowingly engaged in and are not now knowingly engaged in any dealings or transactions with any person that at the time of the dealing or transaction is or was the subject or the target of Sanctions or with any Sanctioned Territory.</w:t>
      </w:r>
    </w:p>
    <w:p>
      <w:pPr>
        <w:spacing w:after="0" w:line="136" w:lineRule="exact"/>
        <w:rPr>
          <w:sz w:val="20"/>
          <w:szCs w:val="20"/>
          <w:color w:val="auto"/>
        </w:rPr>
      </w:pPr>
    </w:p>
    <w:p>
      <w:pPr>
        <w:ind w:left="340" w:right="439" w:firstLine="334"/>
        <w:spacing w:after="0" w:line="265" w:lineRule="auto"/>
        <w:rPr>
          <w:sz w:val="20"/>
          <w:szCs w:val="20"/>
          <w:color w:val="auto"/>
        </w:rPr>
      </w:pPr>
      <w:r>
        <w:rPr>
          <w:rFonts w:ascii="Times New Roman" w:cs="Times New Roman" w:eastAsia="Times New Roman" w:hAnsi="Times New Roman"/>
          <w:sz w:val="14"/>
          <w:szCs w:val="14"/>
          <w:color w:val="auto"/>
        </w:rPr>
        <w:t xml:space="preserve">(qq)  </w:t>
      </w:r>
      <w:r>
        <w:rPr>
          <w:rFonts w:ascii="Times New Roman" w:cs="Times New Roman" w:eastAsia="Times New Roman" w:hAnsi="Times New Roman"/>
          <w:sz w:val="14"/>
          <w:szCs w:val="14"/>
          <w:u w:val="single" w:color="auto"/>
          <w:color w:val="auto"/>
        </w:rPr>
        <w:t>Sarbanes-Oxley</w:t>
      </w:r>
      <w:r>
        <w:rPr>
          <w:rFonts w:ascii="Times New Roman" w:cs="Times New Roman" w:eastAsia="Times New Roman" w:hAnsi="Times New Roman"/>
          <w:sz w:val="14"/>
          <w:szCs w:val="14"/>
          <w:color w:val="auto"/>
        </w:rPr>
        <w:t>. The Company is in compliance, in all material respects, with all applicable provisions of the Sarbanes-Oxley Act of 2002 and the rules and regulations promulgated thereunder.</w:t>
      </w:r>
    </w:p>
    <w:p>
      <w:pPr>
        <w:spacing w:after="0" w:line="136" w:lineRule="exact"/>
        <w:rPr>
          <w:sz w:val="20"/>
          <w:szCs w:val="20"/>
          <w:color w:val="auto"/>
        </w:rPr>
      </w:pPr>
    </w:p>
    <w:p>
      <w:pPr>
        <w:ind w:left="340" w:right="499" w:firstLine="334"/>
        <w:spacing w:after="0" w:line="254" w:lineRule="auto"/>
        <w:rPr>
          <w:sz w:val="20"/>
          <w:szCs w:val="20"/>
          <w:color w:val="auto"/>
        </w:rPr>
      </w:pPr>
      <w:r>
        <w:rPr>
          <w:rFonts w:ascii="Times New Roman" w:cs="Times New Roman" w:eastAsia="Times New Roman" w:hAnsi="Times New Roman"/>
          <w:sz w:val="14"/>
          <w:szCs w:val="14"/>
          <w:color w:val="auto"/>
        </w:rPr>
        <w:t xml:space="preserve">(rr)  </w:t>
      </w:r>
      <w:r>
        <w:rPr>
          <w:rFonts w:ascii="Times New Roman" w:cs="Times New Roman" w:eastAsia="Times New Roman" w:hAnsi="Times New Roman"/>
          <w:sz w:val="14"/>
          <w:szCs w:val="14"/>
          <w:u w:val="single" w:color="auto"/>
          <w:color w:val="auto"/>
        </w:rPr>
        <w:t>Duties, Transfer Taxes, Etc</w:t>
      </w:r>
      <w:r>
        <w:rPr>
          <w:rFonts w:ascii="Times New Roman" w:cs="Times New Roman" w:eastAsia="Times New Roman" w:hAnsi="Times New Roman"/>
          <w:sz w:val="14"/>
          <w:szCs w:val="14"/>
          <w:color w:val="auto"/>
        </w:rPr>
        <w:t>. 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Shares.</w:t>
      </w:r>
    </w:p>
    <w:p>
      <w:pPr>
        <w:spacing w:after="0" w:line="144" w:lineRule="exact"/>
        <w:rPr>
          <w:sz w:val="20"/>
          <w:szCs w:val="20"/>
          <w:color w:val="auto"/>
        </w:rPr>
      </w:pPr>
    </w:p>
    <w:p>
      <w:pPr>
        <w:ind w:left="340" w:right="399" w:firstLine="334"/>
        <w:spacing w:after="0" w:line="245" w:lineRule="auto"/>
        <w:rPr>
          <w:sz w:val="20"/>
          <w:szCs w:val="20"/>
          <w:color w:val="auto"/>
        </w:rPr>
      </w:pPr>
      <w:r>
        <w:rPr>
          <w:rFonts w:ascii="Times New Roman" w:cs="Times New Roman" w:eastAsia="Times New Roman" w:hAnsi="Times New Roman"/>
          <w:sz w:val="14"/>
          <w:szCs w:val="14"/>
          <w:color w:val="auto"/>
        </w:rPr>
        <w:t xml:space="preserve">(ss)  </w:t>
      </w:r>
      <w:r>
        <w:rPr>
          <w:rFonts w:ascii="Times New Roman" w:cs="Times New Roman" w:eastAsia="Times New Roman" w:hAnsi="Times New Roman"/>
          <w:sz w:val="14"/>
          <w:szCs w:val="14"/>
          <w:u w:val="single" w:color="auto"/>
          <w:color w:val="auto"/>
        </w:rPr>
        <w:t>Cybersecurity</w:t>
      </w:r>
      <w:r>
        <w:rPr>
          <w:rFonts w:ascii="Times New Roman" w:cs="Times New Roman" w:eastAsia="Times New Roman" w:hAnsi="Times New Roman"/>
          <w:sz w:val="14"/>
          <w:szCs w:val="14"/>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4"/>
          <w:szCs w:val="14"/>
          <w:b w:val="1"/>
          <w:bCs w:val="1"/>
          <w:color w:val="auto"/>
        </w:rPr>
        <w:t>IT Systems</w:t>
      </w:r>
      <w:r>
        <w:rPr>
          <w:rFonts w:ascii="Times New Roman" w:cs="Times New Roman" w:eastAsia="Times New Roman" w:hAnsi="Times New Roman"/>
          <w:sz w:val="14"/>
          <w:szCs w:val="14"/>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14"/>
          <w:szCs w:val="14"/>
          <w:b w:val="1"/>
          <w:bCs w:val="1"/>
          <w:color w:val="auto"/>
        </w:rPr>
        <w:t>Personal Data</w:t>
      </w:r>
      <w:r>
        <w:rPr>
          <w:rFonts w:ascii="Times New Roman" w:cs="Times New Roman" w:eastAsia="Times New Roman" w:hAnsi="Times New Roman"/>
          <w:sz w:val="14"/>
          <w:szCs w:val="14"/>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4"/>
          <w:szCs w:val="14"/>
          <w:b w:val="1"/>
          <w:bCs w:val="1"/>
          <w:color w:val="auto"/>
        </w:rPr>
        <w:t>HIPAA</w:t>
      </w:r>
      <w:r>
        <w:rPr>
          <w:rFonts w:ascii="Times New Roman" w:cs="Times New Roman" w:eastAsia="Times New Roman" w:hAnsi="Times New Roman"/>
          <w:sz w:val="14"/>
          <w:szCs w:val="14"/>
          <w:color w:val="auto"/>
        </w:rPr>
        <w:t>”);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35" w:right="1440" w:bottom="1440" w:gutter="0" w:footer="0" w:header="0"/>
        </w:sectPr>
      </w:pPr>
    </w:p>
    <w:bookmarkStart w:id="82" w:name="page83"/>
    <w:bookmarkEnd w:id="82"/>
    <w:p>
      <w:pPr>
        <w:ind w:left="340" w:right="51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policies and contractual obligations relating to the privacy and security of IT Systems and Personal Data and to the protection of such IT Systems and Personal Data from unauthorized use, access, misappropriation or modification.</w:t>
      </w:r>
    </w:p>
    <w:p>
      <w:pPr>
        <w:spacing w:after="0" w:line="136" w:lineRule="exact"/>
        <w:rPr>
          <w:sz w:val="20"/>
          <w:szCs w:val="20"/>
          <w:color w:val="auto"/>
        </w:rPr>
      </w:pPr>
    </w:p>
    <w:p>
      <w:pPr>
        <w:ind w:left="340" w:right="439" w:firstLine="334"/>
        <w:spacing w:after="0" w:line="264" w:lineRule="auto"/>
        <w:rPr>
          <w:sz w:val="20"/>
          <w:szCs w:val="20"/>
          <w:color w:val="auto"/>
        </w:rPr>
      </w:pPr>
      <w:r>
        <w:rPr>
          <w:rFonts w:ascii="Times New Roman" w:cs="Times New Roman" w:eastAsia="Times New Roman" w:hAnsi="Times New Roman"/>
          <w:sz w:val="13"/>
          <w:szCs w:val="13"/>
          <w:color w:val="auto"/>
        </w:rPr>
        <w:t xml:space="preserve">(tt)  </w:t>
      </w:r>
      <w:r>
        <w:rPr>
          <w:rFonts w:ascii="Times New Roman" w:cs="Times New Roman" w:eastAsia="Times New Roman" w:hAnsi="Times New Roman"/>
          <w:sz w:val="13"/>
          <w:szCs w:val="13"/>
          <w:u w:val="single" w:color="auto"/>
          <w:color w:val="auto"/>
        </w:rPr>
        <w:t>Compliance with Data Privacy Laws</w:t>
      </w:r>
      <w:r>
        <w:rPr>
          <w:rFonts w:ascii="Times New Roman" w:cs="Times New Roman" w:eastAsia="Times New Roman" w:hAnsi="Times New Roman"/>
          <w:sz w:val="13"/>
          <w:szCs w:val="13"/>
          <w:color w:val="auto"/>
        </w:rPr>
        <w:t>. The Company and its subsidiaries are, and at all prior times were, in material compliance with all applicable state and federal data privacy and security laws and regulations, including without limitation HIPAA, and the Company and its subsidiaries have taken commercially reasonable actions to prepare to comply with, and since May 25, 2018, have been and currently are in material compliance with, the European Union General Data Protection Regulation (“</w:t>
      </w:r>
      <w:r>
        <w:rPr>
          <w:rFonts w:ascii="Times New Roman" w:cs="Times New Roman" w:eastAsia="Times New Roman" w:hAnsi="Times New Roman"/>
          <w:sz w:val="13"/>
          <w:szCs w:val="13"/>
          <w:b w:val="1"/>
          <w:bCs w:val="1"/>
          <w:color w:val="auto"/>
        </w:rPr>
        <w:t>GDPR</w:t>
      </w:r>
      <w:r>
        <w:rPr>
          <w:rFonts w:ascii="Times New Roman" w:cs="Times New Roman" w:eastAsia="Times New Roman" w:hAnsi="Times New Roman"/>
          <w:sz w:val="13"/>
          <w:szCs w:val="13"/>
          <w:color w:val="auto"/>
        </w:rPr>
        <w:t>”) (EU 2016/679) (collectively, the “</w:t>
      </w:r>
      <w:r>
        <w:rPr>
          <w:rFonts w:ascii="Times New Roman" w:cs="Times New Roman" w:eastAsia="Times New Roman" w:hAnsi="Times New Roman"/>
          <w:sz w:val="13"/>
          <w:szCs w:val="13"/>
          <w:b w:val="1"/>
          <w:bCs w:val="1"/>
          <w:color w:val="auto"/>
        </w:rPr>
        <w:t>Privacy Laws</w:t>
      </w:r>
      <w:r>
        <w:rPr>
          <w:rFonts w:ascii="Times New Roman" w:cs="Times New Roman" w:eastAsia="Times New Roman" w:hAnsi="Times New Roman"/>
          <w:sz w:val="13"/>
          <w:szCs w:val="13"/>
          <w:color w:val="auto"/>
        </w:rPr>
        <w: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3"/>
          <w:szCs w:val="13"/>
          <w:b w:val="1"/>
          <w:bCs w:val="1"/>
          <w:color w:val="auto"/>
        </w:rPr>
        <w:t>Policies</w:t>
      </w:r>
      <w:r>
        <w:rPr>
          <w:rFonts w:ascii="Times New Roman" w:cs="Times New Roman" w:eastAsia="Times New Roman" w:hAnsi="Times New Roman"/>
          <w:sz w:val="13"/>
          <w:szCs w:val="13"/>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w:t>
      </w:r>
    </w:p>
    <w:p>
      <w:pPr>
        <w:spacing w:after="0" w:line="4" w:lineRule="exact"/>
        <w:rPr>
          <w:sz w:val="20"/>
          <w:szCs w:val="20"/>
          <w:color w:val="auto"/>
        </w:rPr>
      </w:pPr>
    </w:p>
    <w:p>
      <w:pPr>
        <w:ind w:left="540" w:hanging="210"/>
        <w:spacing w:after="0"/>
        <w:tabs>
          <w:tab w:leader="none" w:pos="54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currently conducting or paying for, in whole or in part, any investigation, remediation, or other corrective action pursuant to any Privacy Law; or</w:t>
      </w:r>
    </w:p>
    <w:p>
      <w:pPr>
        <w:spacing w:after="0" w:line="14" w:lineRule="exact"/>
        <w:rPr>
          <w:rFonts w:ascii="Times New Roman" w:cs="Times New Roman" w:eastAsia="Times New Roman" w:hAnsi="Times New Roman"/>
          <w:sz w:val="13"/>
          <w:szCs w:val="13"/>
          <w:color w:val="auto"/>
        </w:rPr>
      </w:pPr>
    </w:p>
    <w:p>
      <w:pPr>
        <w:ind w:left="560" w:hanging="230"/>
        <w:spacing w:after="0"/>
        <w:tabs>
          <w:tab w:leader="none" w:pos="5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party to any order, decree, or agreement that imposes any obligation or liability under any Privacy Law.</w:t>
      </w:r>
    </w:p>
    <w:p>
      <w:pPr>
        <w:spacing w:after="0" w:line="155" w:lineRule="exact"/>
        <w:rPr>
          <w:sz w:val="20"/>
          <w:szCs w:val="20"/>
          <w:color w:val="auto"/>
        </w:rPr>
      </w:pPr>
    </w:p>
    <w:p>
      <w:pPr>
        <w:ind w:left="340" w:right="459" w:firstLine="334"/>
        <w:spacing w:after="0" w:line="265" w:lineRule="auto"/>
        <w:rPr>
          <w:sz w:val="20"/>
          <w:szCs w:val="20"/>
          <w:color w:val="auto"/>
        </w:rPr>
      </w:pPr>
      <w:r>
        <w:rPr>
          <w:rFonts w:ascii="Times New Roman" w:cs="Times New Roman" w:eastAsia="Times New Roman" w:hAnsi="Times New Roman"/>
          <w:sz w:val="14"/>
          <w:szCs w:val="14"/>
          <w:color w:val="auto"/>
        </w:rPr>
        <w:t xml:space="preserve">(uu)  </w:t>
      </w:r>
      <w:r>
        <w:rPr>
          <w:rFonts w:ascii="Times New Roman" w:cs="Times New Roman" w:eastAsia="Times New Roman" w:hAnsi="Times New Roman"/>
          <w:sz w:val="14"/>
          <w:szCs w:val="14"/>
          <w:u w:val="single" w:color="auto"/>
          <w:color w:val="auto"/>
        </w:rPr>
        <w:t>Other Underwriting Agreements</w:t>
      </w:r>
      <w:r>
        <w:rPr>
          <w:rFonts w:ascii="Times New Roman" w:cs="Times New Roman" w:eastAsia="Times New Roman" w:hAnsi="Times New Roman"/>
          <w:sz w:val="14"/>
          <w:szCs w:val="14"/>
          <w:color w:val="auto"/>
        </w:rPr>
        <w:t>. The Company is not a party to any agreement with an agent or underwriter for any other “at the market” or continuous equity transaction.</w:t>
      </w:r>
    </w:p>
    <w:p>
      <w:pPr>
        <w:spacing w:after="0" w:line="136" w:lineRule="exact"/>
        <w:rPr>
          <w:sz w:val="20"/>
          <w:szCs w:val="20"/>
          <w:color w:val="auto"/>
        </w:rPr>
      </w:pPr>
    </w:p>
    <w:p>
      <w:pPr>
        <w:ind w:left="340" w:right="399" w:firstLine="334"/>
        <w:spacing w:after="0" w:line="245" w:lineRule="auto"/>
        <w:rPr>
          <w:sz w:val="20"/>
          <w:szCs w:val="20"/>
          <w:color w:val="auto"/>
        </w:rPr>
      </w:pPr>
      <w:r>
        <w:rPr>
          <w:rFonts w:ascii="Times New Roman" w:cs="Times New Roman" w:eastAsia="Times New Roman" w:hAnsi="Times New Roman"/>
          <w:sz w:val="14"/>
          <w:szCs w:val="14"/>
          <w:color w:val="auto"/>
        </w:rPr>
        <w:t xml:space="preserve">(vv)  </w:t>
      </w:r>
      <w:r>
        <w:rPr>
          <w:rFonts w:ascii="Times New Roman" w:cs="Times New Roman" w:eastAsia="Times New Roman" w:hAnsi="Times New Roman"/>
          <w:sz w:val="14"/>
          <w:szCs w:val="14"/>
          <w:u w:val="single" w:color="auto"/>
          <w:color w:val="auto"/>
        </w:rPr>
        <w:t>Compliance with Health Care Laws</w:t>
      </w:r>
      <w:r>
        <w:rPr>
          <w:rFonts w:ascii="Times New Roman" w:cs="Times New Roman" w:eastAsia="Times New Roman" w:hAnsi="Times New Roman"/>
          <w:sz w:val="14"/>
          <w:szCs w:val="14"/>
          <w:color w:val="auto"/>
        </w:rPr>
        <w:t>. The Company and its subsidiaries are, and at all times have been, in compliance with all applicable Health Care Laws. For purposes of this Agreement, “</w:t>
      </w:r>
      <w:r>
        <w:rPr>
          <w:rFonts w:ascii="Times New Roman" w:cs="Times New Roman" w:eastAsia="Times New Roman" w:hAnsi="Times New Roman"/>
          <w:sz w:val="14"/>
          <w:szCs w:val="14"/>
          <w:b w:val="1"/>
          <w:bCs w:val="1"/>
          <w:color w:val="auto"/>
        </w:rPr>
        <w:t>Health Care Laws</w:t>
      </w:r>
      <w:r>
        <w:rPr>
          <w:rFonts w:ascii="Times New Roman" w:cs="Times New Roman" w:eastAsia="Times New Roman" w:hAnsi="Times New Roman"/>
          <w:sz w:val="14"/>
          <w:szCs w:val="14"/>
          <w:color w:val="auto"/>
        </w:rPr>
        <w:t>” means, as applicable to the Company and its subsidiaries: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the U.S. Health Insurance Portability and Accountability Act of 1996 (“</w:t>
      </w:r>
      <w:r>
        <w:rPr>
          <w:rFonts w:ascii="Times New Roman" w:cs="Times New Roman" w:eastAsia="Times New Roman" w:hAnsi="Times New Roman"/>
          <w:sz w:val="14"/>
          <w:szCs w:val="14"/>
          <w:b w:val="1"/>
          <w:bCs w:val="1"/>
          <w:color w:val="auto"/>
        </w:rPr>
        <w:t>HIPAA</w:t>
      </w:r>
      <w:r>
        <w:rPr>
          <w:rFonts w:ascii="Times New Roman" w:cs="Times New Roman" w:eastAsia="Times New Roman" w:hAnsi="Times New Roman"/>
          <w:sz w:val="14"/>
          <w:szCs w:val="14"/>
          <w:color w:val="auto"/>
        </w:rPr>
        <w:t>”) (42 U.S.C. Section 1320d et seq.), the Stark Law (42 U.S.C. Section 1395nn),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the Patient Protection and Affordable Care Act of 2010, as amended by the Health Care and Education Reconciliation Act of 2010; (v) licensure, quality, safety and accreditation requirements under applicable federal, state, local or foreign laws or regulatory bodies; and (vi) all other local, state, federal, national, supranational and foreign laws, relating to the regulation of the Company or its subsidiaries,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39" w:right="1440" w:bottom="1440" w:gutter="0" w:footer="0" w:header="0"/>
        </w:sectPr>
      </w:pPr>
    </w:p>
    <w:bookmarkStart w:id="83" w:name="page84"/>
    <w:bookmarkEnd w:id="83"/>
    <w:p>
      <w:pPr>
        <w:ind w:left="340" w:right="359" w:hanging="10"/>
        <w:spacing w:after="0" w:line="245" w:lineRule="auto"/>
        <w:tabs>
          <w:tab w:leader="none" w:pos="609"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the directives and regulations promulgated pursuant to such statutes and any state or non-U.S. counterpart thereof.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155" w:lineRule="exact"/>
        <w:rPr>
          <w:sz w:val="20"/>
          <w:szCs w:val="20"/>
          <w:color w:val="auto"/>
        </w:rPr>
      </w:pPr>
    </w:p>
    <w:p>
      <w:pPr>
        <w:ind w:left="340" w:right="499" w:firstLine="334"/>
        <w:spacing w:after="0" w:line="254" w:lineRule="auto"/>
        <w:rPr>
          <w:sz w:val="20"/>
          <w:szCs w:val="20"/>
          <w:color w:val="auto"/>
        </w:rPr>
      </w:pPr>
      <w:r>
        <w:rPr>
          <w:rFonts w:ascii="Times New Roman" w:cs="Times New Roman" w:eastAsia="Times New Roman" w:hAnsi="Times New Roman"/>
          <w:sz w:val="14"/>
          <w:szCs w:val="14"/>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44" w:lineRule="exact"/>
        <w:rPr>
          <w:sz w:val="20"/>
          <w:szCs w:val="20"/>
          <w:color w:val="auto"/>
        </w:rPr>
      </w:pPr>
    </w:p>
    <w:p>
      <w:pPr>
        <w:ind w:left="340" w:right="479" w:firstLine="334"/>
        <w:spacing w:after="0" w:line="304" w:lineRule="auto"/>
        <w:rPr>
          <w:sz w:val="20"/>
          <w:szCs w:val="20"/>
          <w:color w:val="auto"/>
        </w:rPr>
      </w:pPr>
      <w:r>
        <w:rPr>
          <w:rFonts w:ascii="Times New Roman" w:cs="Times New Roman" w:eastAsia="Times New Roman" w:hAnsi="Times New Roman"/>
          <w:sz w:val="13"/>
          <w:szCs w:val="13"/>
          <w:color w:val="auto"/>
        </w:rPr>
        <w:t xml:space="preserve">The Company acknowledges that the Agent and, for purposes of the opinions to be delivered pursuant to </w:t>
      </w:r>
      <w:r>
        <w:rPr>
          <w:rFonts w:ascii="Times New Roman" w:cs="Times New Roman" w:eastAsia="Times New Roman" w:hAnsi="Times New Roman"/>
          <w:sz w:val="13"/>
          <w:szCs w:val="13"/>
          <w:u w:val="single" w:color="auto"/>
          <w:color w:val="auto"/>
        </w:rPr>
        <w:t>Section 4(o)</w:t>
      </w:r>
      <w:r>
        <w:rPr>
          <w:rFonts w:ascii="Times New Roman" w:cs="Times New Roman" w:eastAsia="Times New Roman" w:hAnsi="Times New Roman"/>
          <w:sz w:val="13"/>
          <w:szCs w:val="13"/>
          <w:color w:val="auto"/>
        </w:rPr>
        <w:t xml:space="preserve"> hereof, counsel to the Company and counsel to the Agent, will rely upon the accuracy and truthfulness of the foregoing representations and hereby consents to such reliance.</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Section 3.  ISSUANCE AND SALE OF COMMON SHARES</w:t>
      </w:r>
    </w:p>
    <w:p>
      <w:pPr>
        <w:spacing w:after="0" w:line="89" w:lineRule="exact"/>
        <w:rPr>
          <w:sz w:val="20"/>
          <w:szCs w:val="20"/>
          <w:color w:val="auto"/>
        </w:rPr>
      </w:pPr>
    </w:p>
    <w:p>
      <w:pPr>
        <w:ind w:left="340" w:right="399" w:firstLine="334"/>
        <w:spacing w:after="0" w:line="251" w:lineRule="auto"/>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Sale of Securities</w:t>
      </w:r>
      <w:r>
        <w:rPr>
          <w:rFonts w:ascii="Times New Roman" w:cs="Times New Roman" w:eastAsia="Times New Roman" w:hAnsi="Times New Roman"/>
          <w:sz w:val="14"/>
          <w:szCs w:val="14"/>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(b)   </w:t>
      </w:r>
      <w:r>
        <w:rPr>
          <w:rFonts w:ascii="Times New Roman" w:cs="Times New Roman" w:eastAsia="Times New Roman" w:hAnsi="Times New Roman"/>
          <w:sz w:val="14"/>
          <w:szCs w:val="14"/>
          <w:u w:val="single" w:color="auto"/>
          <w:color w:val="auto"/>
        </w:rPr>
        <w:t>Mechanics of Issuances</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340" w:right="499" w:firstLine="324"/>
        <w:spacing w:after="0" w:line="251" w:lineRule="auto"/>
        <w:tabs>
          <w:tab w:leader="none" w:pos="83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Issuance Notice</w:t>
      </w:r>
      <w:r>
        <w:rPr>
          <w:rFonts w:ascii="Times New Roman" w:cs="Times New Roman" w:eastAsia="Times New Roman" w:hAnsi="Times New Roman"/>
          <w:sz w:val="14"/>
          <w:szCs w:val="14"/>
          <w:color w:val="auto"/>
        </w:rPr>
        <w:t xml:space="preserve">. Upon the terms and subject to the conditions set forth herein, on any Trading Day during the Agency Period on which the conditions set forth in </w:t>
      </w:r>
      <w:r>
        <w:rPr>
          <w:rFonts w:ascii="Times New Roman" w:cs="Times New Roman" w:eastAsia="Times New Roman" w:hAnsi="Times New Roman"/>
          <w:sz w:val="14"/>
          <w:szCs w:val="14"/>
          <w:u w:val="single" w:color="auto"/>
          <w:color w:val="auto"/>
        </w:rPr>
        <w:t>Section 5(a)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5(b)</w:t>
      </w:r>
      <w:r>
        <w:rPr>
          <w:rFonts w:ascii="Times New Roman" w:cs="Times New Roman" w:eastAsia="Times New Roman" w:hAnsi="Times New Roman"/>
          <w:sz w:val="14"/>
          <w:szCs w:val="14"/>
          <w:color w:val="auto"/>
        </w:rPr>
        <w:t xml:space="preserve"> shall have been satisfied, the Company may exercise its right to request an issuance of Shares by delivering to the Agent an Issuance Notice;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(A) in no event may the Company deliver an Issuance Notice to the extent that the sum of (x) the aggregate Sales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9" w:right="1440" w:bottom="1440" w:gutter="0" w:footer="0" w:header="0"/>
        </w:sectPr>
      </w:pPr>
    </w:p>
    <w:bookmarkStart w:id="84" w:name="page85"/>
    <w:bookmarkEnd w:id="84"/>
    <w:p>
      <w:pPr>
        <w:ind w:left="340" w:right="359"/>
        <w:spacing w:after="0" w:line="27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132" w:lineRule="exact"/>
        <w:rPr>
          <w:sz w:val="20"/>
          <w:szCs w:val="20"/>
          <w:color w:val="auto"/>
        </w:rPr>
      </w:pPr>
    </w:p>
    <w:p>
      <w:pPr>
        <w:ind w:left="340" w:right="359" w:firstLine="334"/>
        <w:spacing w:after="0" w:line="249" w:lineRule="auto"/>
        <w:rPr>
          <w:sz w:val="20"/>
          <w:szCs w:val="20"/>
          <w:color w:val="auto"/>
        </w:rPr>
      </w:pPr>
      <w:r>
        <w:rPr>
          <w:rFonts w:ascii="Times New Roman" w:cs="Times New Roman" w:eastAsia="Times New Roman" w:hAnsi="Times New Roman"/>
          <w:sz w:val="14"/>
          <w:szCs w:val="14"/>
          <w:color w:val="auto"/>
        </w:rPr>
        <w:t xml:space="preserve">(ii)  </w:t>
      </w:r>
      <w:r>
        <w:rPr>
          <w:rFonts w:ascii="Times New Roman" w:cs="Times New Roman" w:eastAsia="Times New Roman" w:hAnsi="Times New Roman"/>
          <w:sz w:val="14"/>
          <w:szCs w:val="14"/>
          <w:u w:val="single" w:color="auto"/>
          <w:color w:val="auto"/>
        </w:rPr>
        <w:t>Agent Efforts</w:t>
      </w:r>
      <w:r>
        <w:rPr>
          <w:rFonts w:ascii="Times New Roman" w:cs="Times New Roman" w:eastAsia="Times New Roman" w:hAnsi="Times New Roman"/>
          <w:sz w:val="14"/>
          <w:szCs w:val="14"/>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(iii)   </w:t>
      </w:r>
      <w:r>
        <w:rPr>
          <w:rFonts w:ascii="Times New Roman" w:cs="Times New Roman" w:eastAsia="Times New Roman" w:hAnsi="Times New Roman"/>
          <w:sz w:val="14"/>
          <w:szCs w:val="14"/>
          <w:u w:val="single" w:color="auto"/>
          <w:color w:val="auto"/>
        </w:rPr>
        <w:t>Method of Offer and Sale</w:t>
      </w:r>
      <w:r>
        <w:rPr>
          <w:rFonts w:ascii="Times New Roman" w:cs="Times New Roman" w:eastAsia="Times New Roman" w:hAnsi="Times New Roman"/>
          <w:sz w:val="14"/>
          <w:szCs w:val="14"/>
          <w:color w:val="auto"/>
        </w:rPr>
        <w:t>. The Shares may be offered and sold (A) in privately negotiated transactions with the consent of the Company;</w:t>
      </w:r>
    </w:p>
    <w:p>
      <w:pPr>
        <w:spacing w:after="0" w:line="15" w:lineRule="exact"/>
        <w:rPr>
          <w:sz w:val="20"/>
          <w:szCs w:val="20"/>
          <w:color w:val="auto"/>
        </w:rPr>
      </w:pPr>
    </w:p>
    <w:p>
      <w:pPr>
        <w:ind w:left="340" w:right="439" w:hanging="10"/>
        <w:spacing w:after="0" w:line="270" w:lineRule="auto"/>
        <w:tabs>
          <w:tab w:leader="none" w:pos="556"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block transactions; or (C) by any other method permitted by law deemed to be an “at the market offering” as defined in Rule 415(a)(4) under the Securities Act, including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spacing w:after="0" w:line="134" w:lineRule="exact"/>
        <w:rPr>
          <w:sz w:val="20"/>
          <w:szCs w:val="20"/>
          <w:color w:val="auto"/>
        </w:rPr>
      </w:pPr>
    </w:p>
    <w:p>
      <w:pPr>
        <w:jc w:val="both"/>
        <w:ind w:left="340" w:right="399" w:firstLine="334"/>
        <w:spacing w:after="0" w:line="254" w:lineRule="auto"/>
        <w:rPr>
          <w:sz w:val="20"/>
          <w:szCs w:val="20"/>
          <w:color w:val="auto"/>
        </w:rPr>
      </w:pPr>
      <w:r>
        <w:rPr>
          <w:rFonts w:ascii="Times New Roman" w:cs="Times New Roman" w:eastAsia="Times New Roman" w:hAnsi="Times New Roman"/>
          <w:sz w:val="14"/>
          <w:szCs w:val="14"/>
          <w:color w:val="auto"/>
        </w:rPr>
        <w:t xml:space="preserve">(iv)  </w:t>
      </w:r>
      <w:r>
        <w:rPr>
          <w:rFonts w:ascii="Times New Roman" w:cs="Times New Roman" w:eastAsia="Times New Roman" w:hAnsi="Times New Roman"/>
          <w:sz w:val="14"/>
          <w:szCs w:val="14"/>
          <w:u w:val="single" w:color="auto"/>
          <w:color w:val="auto"/>
        </w:rPr>
        <w:t>Confirmation to the Company</w:t>
      </w:r>
      <w:r>
        <w:rPr>
          <w:rFonts w:ascii="Times New Roman" w:cs="Times New Roman" w:eastAsia="Times New Roman" w:hAnsi="Times New Roman"/>
          <w:sz w:val="14"/>
          <w:szCs w:val="14"/>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144" w:lineRule="exact"/>
        <w:rPr>
          <w:sz w:val="20"/>
          <w:szCs w:val="20"/>
          <w:color w:val="auto"/>
        </w:rPr>
      </w:pPr>
    </w:p>
    <w:p>
      <w:pPr>
        <w:ind w:left="340" w:right="419" w:firstLine="334"/>
        <w:spacing w:after="0" w:line="269" w:lineRule="auto"/>
        <w:rPr>
          <w:sz w:val="20"/>
          <w:szCs w:val="20"/>
          <w:color w:val="auto"/>
        </w:rPr>
      </w:pPr>
      <w:r>
        <w:rPr>
          <w:rFonts w:ascii="Times New Roman" w:cs="Times New Roman" w:eastAsia="Times New Roman" w:hAnsi="Times New Roman"/>
          <w:sz w:val="13"/>
          <w:szCs w:val="13"/>
          <w:color w:val="auto"/>
        </w:rPr>
        <w:t xml:space="preserve">(v)  </w:t>
      </w:r>
      <w:r>
        <w:rPr>
          <w:rFonts w:ascii="Times New Roman" w:cs="Times New Roman" w:eastAsia="Times New Roman" w:hAnsi="Times New Roman"/>
          <w:sz w:val="13"/>
          <w:szCs w:val="13"/>
          <w:u w:val="single" w:color="auto"/>
          <w:color w:val="auto"/>
        </w:rPr>
        <w:t>Settlement</w:t>
      </w:r>
      <w:r>
        <w:rPr>
          <w:rFonts w:ascii="Times New Roman" w:cs="Times New Roman" w:eastAsia="Times New Roman" w:hAnsi="Times New Roman"/>
          <w:sz w:val="13"/>
          <w:szCs w:val="13"/>
          <w:color w:val="auto"/>
        </w:rPr>
        <w:t xml:space="preserve">. Each issuance of Shares will be settled on the applicable Settlement Date for such issuance of Shares and, subject to the provisions of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Times New Roman" w:cs="Times New Roman" w:eastAsia="Times New Roman" w:hAnsi="Times New Roman"/>
          <w:sz w:val="13"/>
          <w:szCs w:val="13"/>
          <w:b w:val="1"/>
          <w:bCs w:val="1"/>
          <w:color w:val="auto"/>
        </w:rPr>
        <w:t>Time of Sale</w:t>
      </w:r>
      <w:r>
        <w:rPr>
          <w:rFonts w:ascii="Times New Roman" w:cs="Times New Roman" w:eastAsia="Times New Roman" w:hAnsi="Times New Roman"/>
          <w:sz w:val="13"/>
          <w:szCs w:val="13"/>
          <w:color w:val="auto"/>
        </w:rPr>
        <w:t>”).</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39" w:right="1440" w:bottom="1440" w:gutter="0" w:footer="0" w:header="0"/>
        </w:sectPr>
      </w:pPr>
    </w:p>
    <w:bookmarkStart w:id="85" w:name="page86"/>
    <w:bookmarkEnd w:id="85"/>
    <w:p>
      <w:pPr>
        <w:ind w:left="340" w:right="359" w:firstLine="334"/>
        <w:spacing w:after="0" w:line="26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 xml:space="preserve">(vi)  </w:t>
      </w:r>
      <w:r>
        <w:rPr>
          <w:rFonts w:ascii="Times New Roman" w:cs="Times New Roman" w:eastAsia="Times New Roman" w:hAnsi="Times New Roman"/>
          <w:sz w:val="13"/>
          <w:szCs w:val="13"/>
          <w:u w:val="single" w:color="auto"/>
          <w:color w:val="auto"/>
        </w:rPr>
        <w:t>Suspension or Termination of Sales</w:t>
      </w:r>
      <w:r>
        <w:rPr>
          <w:rFonts w:ascii="Times New Roman" w:cs="Times New Roman" w:eastAsia="Times New Roman" w:hAnsi="Times New Roman"/>
          <w:sz w:val="13"/>
          <w:szCs w:val="13"/>
          <w:color w:val="auto"/>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Times New Roman" w:cs="Times New Roman" w:eastAsia="Times New Roman" w:hAnsi="Times New Roman"/>
          <w:sz w:val="13"/>
          <w:szCs w:val="13"/>
          <w:u w:val="single" w:color="auto"/>
          <w:color w:val="auto"/>
        </w:rPr>
        <w:t>Section 3(b)(v)</w:t>
      </w:r>
      <w:r>
        <w:rPr>
          <w:rFonts w:ascii="Times New Roman" w:cs="Times New Roman" w:eastAsia="Times New Roman" w:hAnsi="Times New Roman"/>
          <w:sz w:val="13"/>
          <w:szCs w:val="13"/>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Times New Roman" w:cs="Times New Roman" w:eastAsia="Times New Roman" w:hAnsi="Times New Roman"/>
          <w:sz w:val="13"/>
          <w:szCs w:val="13"/>
          <w:u w:val="single" w:color="auto"/>
          <w:color w:val="auto"/>
        </w:rPr>
        <w:t>Section 3(b)(i)</w:t>
      </w:r>
      <w:r>
        <w:rPr>
          <w:rFonts w:ascii="Times New Roman" w:cs="Times New Roman" w:eastAsia="Times New Roman" w:hAnsi="Times New Roman"/>
          <w:sz w:val="13"/>
          <w:szCs w:val="13"/>
          <w:color w:val="auto"/>
        </w:rPr>
        <w:t>.</w:t>
      </w:r>
    </w:p>
    <w:p>
      <w:pPr>
        <w:spacing w:after="0" w:line="142" w:lineRule="exact"/>
        <w:rPr>
          <w:sz w:val="20"/>
          <w:szCs w:val="20"/>
          <w:color w:val="auto"/>
        </w:rPr>
      </w:pPr>
    </w:p>
    <w:p>
      <w:pPr>
        <w:ind w:left="340" w:right="379" w:firstLine="334"/>
        <w:spacing w:after="0" w:line="251" w:lineRule="auto"/>
        <w:rPr>
          <w:sz w:val="20"/>
          <w:szCs w:val="20"/>
          <w:color w:val="auto"/>
        </w:rPr>
      </w:pPr>
      <w:r>
        <w:rPr>
          <w:rFonts w:ascii="Times New Roman" w:cs="Times New Roman" w:eastAsia="Times New Roman" w:hAnsi="Times New Roman"/>
          <w:sz w:val="14"/>
          <w:szCs w:val="14"/>
          <w:color w:val="auto"/>
        </w:rPr>
        <w:t xml:space="preserve">(vii)  </w:t>
      </w:r>
      <w:r>
        <w:rPr>
          <w:rFonts w:ascii="Times New Roman" w:cs="Times New Roman" w:eastAsia="Times New Roman" w:hAnsi="Times New Roman"/>
          <w:sz w:val="14"/>
          <w:szCs w:val="14"/>
          <w:u w:val="single" w:color="auto"/>
          <w:color w:val="auto"/>
        </w:rPr>
        <w:t>No Guarantee of Placement, Etc.</w:t>
      </w:r>
      <w:r>
        <w:rPr>
          <w:rFonts w:ascii="Times New Roman" w:cs="Times New Roman" w:eastAsia="Times New Roman" w:hAnsi="Times New Roman"/>
          <w:sz w:val="14"/>
          <w:szCs w:val="14"/>
          <w:color w:val="auto"/>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45" w:lineRule="exact"/>
        <w:rPr>
          <w:sz w:val="20"/>
          <w:szCs w:val="20"/>
          <w:color w:val="auto"/>
        </w:rPr>
      </w:pPr>
    </w:p>
    <w:p>
      <w:pPr>
        <w:ind w:left="340" w:right="539" w:firstLine="334"/>
        <w:spacing w:after="0" w:line="254" w:lineRule="auto"/>
        <w:rPr>
          <w:sz w:val="20"/>
          <w:szCs w:val="20"/>
          <w:color w:val="auto"/>
        </w:rPr>
      </w:pPr>
      <w:r>
        <w:rPr>
          <w:rFonts w:ascii="Times New Roman" w:cs="Times New Roman" w:eastAsia="Times New Roman" w:hAnsi="Times New Roman"/>
          <w:sz w:val="14"/>
          <w:szCs w:val="14"/>
          <w:color w:val="auto"/>
        </w:rPr>
        <w:t xml:space="preserve">(viii)  </w:t>
      </w:r>
      <w:r>
        <w:rPr>
          <w:rFonts w:ascii="Times New Roman" w:cs="Times New Roman" w:eastAsia="Times New Roman" w:hAnsi="Times New Roman"/>
          <w:sz w:val="14"/>
          <w:szCs w:val="14"/>
          <w:u w:val="single" w:color="auto"/>
          <w:color w:val="auto"/>
        </w:rPr>
        <w:t>Material Non-Public Information.</w:t>
      </w:r>
      <w:r>
        <w:rPr>
          <w:rFonts w:ascii="Times New Roman" w:cs="Times New Roman" w:eastAsia="Times New Roman" w:hAnsi="Times New Roman"/>
          <w:sz w:val="14"/>
          <w:szCs w:val="14"/>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44" w:lineRule="exact"/>
        <w:rPr>
          <w:sz w:val="20"/>
          <w:szCs w:val="20"/>
          <w:color w:val="auto"/>
        </w:rPr>
      </w:pPr>
    </w:p>
    <w:p>
      <w:pPr>
        <w:ind w:left="340" w:right="419" w:firstLine="334"/>
        <w:spacing w:after="0" w:line="254" w:lineRule="auto"/>
        <w:rPr>
          <w:sz w:val="20"/>
          <w:szCs w:val="20"/>
          <w:color w:val="auto"/>
        </w:rPr>
      </w:pPr>
      <w:r>
        <w:rPr>
          <w:rFonts w:ascii="Times New Roman" w:cs="Times New Roman" w:eastAsia="Times New Roman" w:hAnsi="Times New Roman"/>
          <w:sz w:val="14"/>
          <w:szCs w:val="14"/>
          <w:color w:val="auto"/>
        </w:rPr>
        <w:t xml:space="preserve">(c)  </w:t>
      </w:r>
      <w:r>
        <w:rPr>
          <w:rFonts w:ascii="Times New Roman" w:cs="Times New Roman" w:eastAsia="Times New Roman" w:hAnsi="Times New Roman"/>
          <w:sz w:val="14"/>
          <w:szCs w:val="14"/>
          <w:u w:val="single" w:color="auto"/>
          <w:color w:val="auto"/>
        </w:rPr>
        <w:t>Fees</w:t>
      </w:r>
      <w:r>
        <w:rPr>
          <w:rFonts w:ascii="Times New Roman" w:cs="Times New Roman" w:eastAsia="Times New Roman" w:hAnsi="Times New Roman"/>
          <w:sz w:val="14"/>
          <w:szCs w:val="14"/>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Times New Roman" w:cs="Times New Roman" w:eastAsia="Times New Roman" w:hAnsi="Times New Roman"/>
          <w:sz w:val="14"/>
          <w:szCs w:val="14"/>
          <w:u w:val="single" w:color="auto"/>
          <w:color w:val="auto"/>
        </w:rPr>
        <w:t>Section 3(b)(vi))</w:t>
      </w:r>
      <w:r>
        <w:rPr>
          <w:rFonts w:ascii="Times New Roman" w:cs="Times New Roman" w:eastAsia="Times New Roman" w:hAnsi="Times New Roman"/>
          <w:sz w:val="14"/>
          <w:szCs w:val="14"/>
          <w:color w:val="auto"/>
        </w:rPr>
        <w:t xml:space="preserve"> by the Agent deducting the Selling Commission from the applicable Issuance Amount.</w:t>
      </w:r>
    </w:p>
    <w:p>
      <w:pPr>
        <w:spacing w:after="0" w:line="144" w:lineRule="exact"/>
        <w:rPr>
          <w:sz w:val="20"/>
          <w:szCs w:val="20"/>
          <w:color w:val="auto"/>
        </w:rPr>
      </w:pPr>
    </w:p>
    <w:p>
      <w:pPr>
        <w:ind w:left="340" w:right="359" w:firstLine="334"/>
        <w:spacing w:after="0" w:line="246" w:lineRule="auto"/>
        <w:rPr>
          <w:sz w:val="20"/>
          <w:szCs w:val="20"/>
          <w:color w:val="auto"/>
        </w:rPr>
      </w:pPr>
      <w:r>
        <w:rPr>
          <w:rFonts w:ascii="Times New Roman" w:cs="Times New Roman" w:eastAsia="Times New Roman" w:hAnsi="Times New Roman"/>
          <w:sz w:val="14"/>
          <w:szCs w:val="14"/>
          <w:color w:val="auto"/>
        </w:rPr>
        <w:t xml:space="preserve">(d)  </w:t>
      </w:r>
      <w:r>
        <w:rPr>
          <w:rFonts w:ascii="Times New Roman" w:cs="Times New Roman" w:eastAsia="Times New Roman" w:hAnsi="Times New Roman"/>
          <w:sz w:val="14"/>
          <w:szCs w:val="14"/>
          <w:u w:val="single" w:color="auto"/>
          <w:color w:val="auto"/>
        </w:rPr>
        <w:t>Expenses</w:t>
      </w:r>
      <w:r>
        <w:rPr>
          <w:rFonts w:ascii="Times New Roman" w:cs="Times New Roman" w:eastAsia="Times New Roman" w:hAnsi="Times New Roman"/>
          <w:sz w:val="14"/>
          <w:szCs w:val="14"/>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9" w:right="1440" w:bottom="1440" w:gutter="0" w:footer="0" w:header="0"/>
        </w:sectPr>
      </w:pPr>
    </w:p>
    <w:bookmarkStart w:id="86" w:name="page87"/>
    <w:bookmarkEnd w:id="86"/>
    <w:p>
      <w:pPr>
        <w:ind w:left="340" w:right="379"/>
        <w:spacing w:after="0" w:line="24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requested by the Agent, preparing and printing a “</w:t>
      </w:r>
      <w:r>
        <w:rPr>
          <w:rFonts w:ascii="Times New Roman" w:cs="Times New Roman" w:eastAsia="Times New Roman" w:hAnsi="Times New Roman"/>
          <w:sz w:val="14"/>
          <w:szCs w:val="14"/>
          <w:b w:val="1"/>
          <w:bCs w:val="1"/>
          <w:color w:val="auto"/>
        </w:rPr>
        <w:t>Blue Sky Survey</w:t>
      </w:r>
      <w:r>
        <w:rPr>
          <w:rFonts w:ascii="Times New Roman" w:cs="Times New Roman" w:eastAsia="Times New Roman" w:hAnsi="Times New Roman"/>
          <w:sz w:val="14"/>
          <w:szCs w:val="14"/>
          <w:color w:val="auto"/>
        </w:rPr>
        <w:t xml:space="preserve">” or memorandum and a “Canadian wrapper,, and any supplements thereto, advising the Agent of 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(ix)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(x) the fees and expenses associated with listing the Shares on the Principal Market. The fees and disbursements of Agent’s counsel pursuant to subsections (vi) and (vii) above shall not exceed (A) $75,000 in connection with execution of this Agreement; (B) $25,000 in connection with each Triggering Event Date (as defined below) on which the Company is required to provide a certificate pursuant to </w:t>
      </w:r>
      <w:r>
        <w:rPr>
          <w:rFonts w:ascii="Times New Roman" w:cs="Times New Roman" w:eastAsia="Times New Roman" w:hAnsi="Times New Roman"/>
          <w:sz w:val="14"/>
          <w:szCs w:val="14"/>
          <w:u w:val="single" w:color="auto"/>
          <w:color w:val="auto"/>
        </w:rPr>
        <w:t>Section 4(o)(ii)</w:t>
      </w:r>
      <w:r>
        <w:rPr>
          <w:rFonts w:ascii="Times New Roman" w:cs="Times New Roman" w:eastAsia="Times New Roman" w:hAnsi="Times New Roman"/>
          <w:sz w:val="14"/>
          <w:szCs w:val="14"/>
          <w:color w:val="auto"/>
        </w:rPr>
        <w:t xml:space="preserve">; and (C) $15,000 in connection with each Triggering Event Date on which the Company is required to provide a certificate pursuant to </w:t>
      </w:r>
      <w:r>
        <w:rPr>
          <w:rFonts w:ascii="Times New Roman" w:cs="Times New Roman" w:eastAsia="Times New Roman" w:hAnsi="Times New Roman"/>
          <w:sz w:val="14"/>
          <w:szCs w:val="14"/>
          <w:u w:val="single" w:color="auto"/>
          <w:color w:val="auto"/>
        </w:rPr>
        <w:t>Sections 4(o)(i)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(iii)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(iv)</w:t>
      </w:r>
      <w:r>
        <w:rPr>
          <w:rFonts w:ascii="Times New Roman" w:cs="Times New Roman" w:eastAsia="Times New Roman" w:hAnsi="Times New Roman"/>
          <w:sz w:val="14"/>
          <w:szCs w:val="14"/>
          <w:color w:val="auto"/>
        </w:rPr>
        <w:t>.</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Section 4.  ADDITIONAL COVENANTS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Company covenants and agrees with the Agent as follows, in addition to any other covenants and agreements made elsewhere in this</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Agreement:</w:t>
      </w:r>
    </w:p>
    <w:p>
      <w:pPr>
        <w:spacing w:after="0" w:line="155" w:lineRule="exact"/>
        <w:rPr>
          <w:sz w:val="20"/>
          <w:szCs w:val="20"/>
          <w:color w:val="auto"/>
        </w:rPr>
      </w:pPr>
    </w:p>
    <w:p>
      <w:pPr>
        <w:ind w:left="340" w:right="339" w:firstLine="334"/>
        <w:spacing w:after="0" w:line="269" w:lineRule="auto"/>
        <w:rPr>
          <w:sz w:val="20"/>
          <w:szCs w:val="20"/>
          <w:color w:val="auto"/>
        </w:rPr>
      </w:pPr>
      <w:r>
        <w:rPr>
          <w:rFonts w:ascii="Times New Roman" w:cs="Times New Roman" w:eastAsia="Times New Roman" w:hAnsi="Times New Roman"/>
          <w:sz w:val="13"/>
          <w:szCs w:val="13"/>
          <w:color w:val="auto"/>
        </w:rPr>
        <w:t xml:space="preserve">(a)  </w:t>
      </w:r>
      <w:r>
        <w:rPr>
          <w:rFonts w:ascii="Times New Roman" w:cs="Times New Roman" w:eastAsia="Times New Roman" w:hAnsi="Times New Roman"/>
          <w:sz w:val="13"/>
          <w:szCs w:val="13"/>
          <w:u w:val="single" w:color="auto"/>
          <w:color w:val="auto"/>
        </w:rPr>
        <w:t>Exchange Act Compliance</w:t>
      </w:r>
      <w:r>
        <w:rPr>
          <w:rFonts w:ascii="Times New Roman" w:cs="Times New Roman" w:eastAsia="Times New Roman" w:hAnsi="Times New Roman"/>
          <w:sz w:val="13"/>
          <w:szCs w:val="13"/>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Times New Roman" w:cs="Times New Roman" w:eastAsia="Times New Roman" w:hAnsi="Times New Roman"/>
          <w:sz w:val="13"/>
          <w:szCs w:val="13"/>
          <w:b w:val="1"/>
          <w:bCs w:val="1"/>
          <w:color w:val="auto"/>
        </w:rPr>
        <w:t>Interim</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Prospectus Supplement</w:t>
      </w:r>
      <w:r>
        <w:rPr>
          <w:rFonts w:ascii="Times New Roman" w:cs="Times New Roman" w:eastAsia="Times New Roman" w:hAnsi="Times New Roman"/>
          <w:sz w:val="13"/>
          <w:szCs w:val="13"/>
          <w:color w:val="auto"/>
        </w:rPr>
        <w:t>”), such summary information and, at least once a quarter and subject to this Section 4, file such Interim Prospectus Supplement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pursuant to Rule 424(b) under the Securities Act (and within the time periods required by Rule 424(b) and Rule 430B under the Securities Act)).</w:t>
      </w:r>
    </w:p>
    <w:p>
      <w:pPr>
        <w:spacing w:after="0" w:line="137" w:lineRule="exact"/>
        <w:rPr>
          <w:sz w:val="20"/>
          <w:szCs w:val="20"/>
          <w:color w:val="auto"/>
        </w:rPr>
      </w:pPr>
    </w:p>
    <w:p>
      <w:pPr>
        <w:ind w:left="340" w:right="359" w:firstLine="334"/>
        <w:spacing w:after="0" w:line="248" w:lineRule="auto"/>
        <w:rPr>
          <w:sz w:val="20"/>
          <w:szCs w:val="20"/>
          <w:color w:val="auto"/>
        </w:rPr>
      </w:pPr>
      <w:r>
        <w:rPr>
          <w:rFonts w:ascii="Times New Roman" w:cs="Times New Roman" w:eastAsia="Times New Roman" w:hAnsi="Times New Roman"/>
          <w:sz w:val="14"/>
          <w:szCs w:val="14"/>
          <w:color w:val="auto"/>
        </w:rPr>
        <w:t xml:space="preserve">(b)  </w:t>
      </w:r>
      <w:r>
        <w:rPr>
          <w:rFonts w:ascii="Times New Roman" w:cs="Times New Roman" w:eastAsia="Times New Roman" w:hAnsi="Times New Roman"/>
          <w:sz w:val="14"/>
          <w:szCs w:val="14"/>
          <w:u w:val="single" w:color="auto"/>
          <w:color w:val="auto"/>
        </w:rPr>
        <w:t>Securities Act Compliance</w:t>
      </w:r>
      <w:r>
        <w:rPr>
          <w:rFonts w:ascii="Times New Roman" w:cs="Times New Roman" w:eastAsia="Times New Roman" w:hAnsi="Times New Roman"/>
          <w:sz w:val="14"/>
          <w:szCs w:val="14"/>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35" w:right="1440" w:bottom="1440" w:gutter="0" w:footer="0" w:header="0"/>
        </w:sectPr>
      </w:pPr>
    </w:p>
    <w:bookmarkStart w:id="87" w:name="page88"/>
    <w:bookmarkEnd w:id="87"/>
    <w:p>
      <w:pPr>
        <w:ind w:left="340" w:right="419"/>
        <w:spacing w:after="0" w:line="27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33" w:lineRule="exact"/>
        <w:rPr>
          <w:sz w:val="20"/>
          <w:szCs w:val="20"/>
          <w:color w:val="auto"/>
        </w:rPr>
      </w:pPr>
    </w:p>
    <w:p>
      <w:pPr>
        <w:ind w:left="340" w:right="339" w:firstLine="334"/>
        <w:spacing w:after="0" w:line="246" w:lineRule="auto"/>
        <w:rPr>
          <w:sz w:val="20"/>
          <w:szCs w:val="20"/>
          <w:color w:val="auto"/>
        </w:rPr>
      </w:pPr>
      <w:r>
        <w:rPr>
          <w:rFonts w:ascii="Times New Roman" w:cs="Times New Roman" w:eastAsia="Times New Roman" w:hAnsi="Times New Roman"/>
          <w:sz w:val="14"/>
          <w:szCs w:val="14"/>
          <w:color w:val="auto"/>
        </w:rPr>
        <w:t xml:space="preserve">(c)  </w:t>
      </w:r>
      <w:r>
        <w:rPr>
          <w:rFonts w:ascii="Times New Roman" w:cs="Times New Roman" w:eastAsia="Times New Roman" w:hAnsi="Times New Roman"/>
          <w:sz w:val="14"/>
          <w:szCs w:val="14"/>
          <w:u w:val="single" w:color="auto"/>
          <w:color w:val="auto"/>
        </w:rPr>
        <w:t>Amendments and Supplements to the Prospectus and Other Securities Act Matters</w:t>
      </w:r>
      <w:r>
        <w:rPr>
          <w:rFonts w:ascii="Times New Roman" w:cs="Times New Roman" w:eastAsia="Times New Roman" w:hAnsi="Times New Roman"/>
          <w:sz w:val="14"/>
          <w:szCs w:val="14"/>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 4(d) and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4(f).</w:t>
      </w:r>
    </w:p>
    <w:p>
      <w:pPr>
        <w:spacing w:after="0" w:line="150" w:lineRule="exact"/>
        <w:rPr>
          <w:sz w:val="20"/>
          <w:szCs w:val="20"/>
          <w:color w:val="auto"/>
        </w:rPr>
      </w:pPr>
    </w:p>
    <w:p>
      <w:pPr>
        <w:ind w:left="340" w:right="399" w:firstLine="334"/>
        <w:spacing w:after="0" w:line="247" w:lineRule="auto"/>
        <w:rPr>
          <w:sz w:val="20"/>
          <w:szCs w:val="20"/>
          <w:color w:val="auto"/>
        </w:rPr>
      </w:pPr>
      <w:r>
        <w:rPr>
          <w:rFonts w:ascii="Times New Roman" w:cs="Times New Roman" w:eastAsia="Times New Roman" w:hAnsi="Times New Roman"/>
          <w:sz w:val="14"/>
          <w:szCs w:val="14"/>
          <w:color w:val="auto"/>
        </w:rPr>
        <w:t xml:space="preserve">(d)  </w:t>
      </w:r>
      <w:r>
        <w:rPr>
          <w:rFonts w:ascii="Times New Roman" w:cs="Times New Roman" w:eastAsia="Times New Roman" w:hAnsi="Times New Roman"/>
          <w:sz w:val="14"/>
          <w:szCs w:val="14"/>
          <w:u w:val="single" w:color="auto"/>
          <w:color w:val="auto"/>
        </w:rPr>
        <w:t>Agent’s Review of Proposed Amendments and Supplements</w:t>
      </w:r>
      <w:r>
        <w:rPr>
          <w:rFonts w:ascii="Times New Roman" w:cs="Times New Roman" w:eastAsia="Times New Roman" w:hAnsi="Times New Roman"/>
          <w:sz w:val="14"/>
          <w:szCs w:val="14"/>
          <w:color w:val="auto"/>
        </w:rPr>
        <w:t>. Prior to amending or supplementing the Registration Statement (including any registration statement filed under Rule 462(b) under the Securities Act) or the Prospectus (excluding any amendment or supplement through incorporation of any report filed under the Exchange Act), the Company shall furnish to the Agent for review, a reasonable amount of time prior to the proposed time of filing or use thereof, a copy of each such proposed amendment or supplement, insofar as such proposed amendment or supplement relates to the transactions contemplated hereby, and the Company shall not file or use any such proposed amendment or supplement without the Agent’s prior consent, and to file with the Commission within the applicable period specified in Rule 424(b) under the Securities Act any prospectus required to be filed pursuant to such Rule.</w:t>
      </w:r>
    </w:p>
    <w:p>
      <w:pPr>
        <w:spacing w:after="0" w:line="150" w:lineRule="exact"/>
        <w:rPr>
          <w:sz w:val="20"/>
          <w:szCs w:val="20"/>
          <w:color w:val="auto"/>
        </w:rPr>
      </w:pPr>
    </w:p>
    <w:p>
      <w:pPr>
        <w:ind w:left="340" w:right="439" w:firstLine="334"/>
        <w:spacing w:after="0" w:line="251" w:lineRule="auto"/>
        <w:rPr>
          <w:sz w:val="20"/>
          <w:szCs w:val="20"/>
          <w:color w:val="auto"/>
        </w:rPr>
      </w:pPr>
      <w:r>
        <w:rPr>
          <w:rFonts w:ascii="Times New Roman" w:cs="Times New Roman" w:eastAsia="Times New Roman" w:hAnsi="Times New Roman"/>
          <w:sz w:val="14"/>
          <w:szCs w:val="14"/>
          <w:color w:val="auto"/>
        </w:rPr>
        <w:t xml:space="preserve">(e)  </w:t>
      </w:r>
      <w:r>
        <w:rPr>
          <w:rFonts w:ascii="Times New Roman" w:cs="Times New Roman" w:eastAsia="Times New Roman" w:hAnsi="Times New Roman"/>
          <w:sz w:val="14"/>
          <w:szCs w:val="14"/>
          <w:u w:val="single" w:color="auto"/>
          <w:color w:val="auto"/>
        </w:rPr>
        <w:t>Use of Free Writing Prospectus</w:t>
      </w:r>
      <w:r>
        <w:rPr>
          <w:rFonts w:ascii="Times New Roman" w:cs="Times New Roman" w:eastAsia="Times New Roman" w:hAnsi="Times New Roman"/>
          <w:sz w:val="14"/>
          <w:szCs w:val="14"/>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Times New Roman" w:cs="Times New Roman" w:eastAsia="Times New Roman" w:hAnsi="Times New Roman"/>
          <w:sz w:val="14"/>
          <w:szCs w:val="14"/>
          <w:b w:val="1"/>
          <w:bCs w:val="1"/>
          <w:color w:val="auto"/>
        </w:rPr>
        <w:t>Free Writing Prospectus</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39" w:right="1440" w:bottom="1440" w:gutter="0" w:footer="0" w:header="0"/>
        </w:sectPr>
      </w:pPr>
    </w:p>
    <w:bookmarkStart w:id="88" w:name="page89"/>
    <w:bookmarkEnd w:id="88"/>
    <w:p>
      <w:pPr>
        <w:ind w:left="340" w:right="419" w:firstLine="334"/>
        <w:spacing w:after="0" w:line="26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 xml:space="preserve">(f)  </w:t>
      </w:r>
      <w:r>
        <w:rPr>
          <w:rFonts w:ascii="Times New Roman" w:cs="Times New Roman" w:eastAsia="Times New Roman" w:hAnsi="Times New Roman"/>
          <w:sz w:val="13"/>
          <w:szCs w:val="13"/>
          <w:u w:val="single" w:color="auto"/>
          <w:color w:val="auto"/>
        </w:rPr>
        <w:t>Free Writing Prospectuses</w:t>
      </w:r>
      <w:r>
        <w:rPr>
          <w:rFonts w:ascii="Times New Roman" w:cs="Times New Roman" w:eastAsia="Times New Roman" w:hAnsi="Times New Roman"/>
          <w:sz w:val="13"/>
          <w:szCs w:val="13"/>
          <w:color w:val="auto"/>
        </w:rPr>
        <w:t xml:space="preserve">.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light of the circumstances prevailing at such subsequent time, not misleading, as the case may be;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w:t>
      </w:r>
    </w:p>
    <w:p>
      <w:pPr>
        <w:spacing w:after="0" w:line="307" w:lineRule="exact"/>
        <w:rPr>
          <w:sz w:val="20"/>
          <w:szCs w:val="20"/>
          <w:color w:val="auto"/>
        </w:rPr>
      </w:pPr>
    </w:p>
    <w:p>
      <w:pPr>
        <w:ind w:left="340" w:right="459" w:firstLine="334"/>
        <w:spacing w:after="0" w:line="254" w:lineRule="auto"/>
        <w:rPr>
          <w:sz w:val="20"/>
          <w:szCs w:val="20"/>
          <w:color w:val="auto"/>
        </w:rPr>
      </w:pPr>
      <w:r>
        <w:rPr>
          <w:rFonts w:ascii="Times New Roman" w:cs="Times New Roman" w:eastAsia="Times New Roman" w:hAnsi="Times New Roman"/>
          <w:sz w:val="14"/>
          <w:szCs w:val="14"/>
          <w:color w:val="auto"/>
        </w:rPr>
        <w:t xml:space="preserve">(g)  </w:t>
      </w:r>
      <w:r>
        <w:rPr>
          <w:rFonts w:ascii="Times New Roman" w:cs="Times New Roman" w:eastAsia="Times New Roman" w:hAnsi="Times New Roman"/>
          <w:sz w:val="14"/>
          <w:szCs w:val="14"/>
          <w:u w:val="single" w:color="auto"/>
          <w:color w:val="auto"/>
        </w:rPr>
        <w:t>Filing of Agent Free Writing Prospectuses</w:t>
      </w:r>
      <w:r>
        <w:rPr>
          <w:rFonts w:ascii="Times New Roman" w:cs="Times New Roman" w:eastAsia="Times New Roman" w:hAnsi="Times New Roman"/>
          <w:sz w:val="14"/>
          <w:szCs w:val="14"/>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44" w:lineRule="exact"/>
        <w:rPr>
          <w:sz w:val="20"/>
          <w:szCs w:val="20"/>
          <w:color w:val="auto"/>
        </w:rPr>
      </w:pPr>
    </w:p>
    <w:p>
      <w:pPr>
        <w:ind w:left="340" w:right="459" w:firstLine="334"/>
        <w:spacing w:after="0" w:line="267" w:lineRule="auto"/>
        <w:rPr>
          <w:sz w:val="20"/>
          <w:szCs w:val="20"/>
          <w:color w:val="auto"/>
        </w:rPr>
      </w:pPr>
      <w:r>
        <w:rPr>
          <w:rFonts w:ascii="Times New Roman" w:cs="Times New Roman" w:eastAsia="Times New Roman" w:hAnsi="Times New Roman"/>
          <w:sz w:val="13"/>
          <w:szCs w:val="13"/>
          <w:color w:val="auto"/>
        </w:rPr>
        <w:t xml:space="preserve">(h)  </w:t>
      </w:r>
      <w:r>
        <w:rPr>
          <w:rFonts w:ascii="Times New Roman" w:cs="Times New Roman" w:eastAsia="Times New Roman" w:hAnsi="Times New Roman"/>
          <w:sz w:val="13"/>
          <w:szCs w:val="13"/>
          <w:u w:val="single" w:color="auto"/>
          <w:color w:val="auto"/>
        </w:rPr>
        <w:t>Copies of Registration Statement and Prospectus</w:t>
      </w:r>
      <w:r>
        <w:rPr>
          <w:rFonts w:ascii="Times New Roman" w:cs="Times New Roman" w:eastAsia="Times New Roman" w:hAnsi="Times New Roman"/>
          <w:sz w:val="13"/>
          <w:szCs w:val="13"/>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w:t>
      </w:r>
    </w:p>
    <w:p>
      <w:pPr>
        <w:spacing w:after="0" w:line="1" w:lineRule="exact"/>
        <w:rPr>
          <w:sz w:val="20"/>
          <w:szCs w:val="20"/>
          <w:color w:val="auto"/>
        </w:rPr>
      </w:pPr>
    </w:p>
    <w:p>
      <w:pPr>
        <w:ind w:left="340" w:right="399"/>
        <w:spacing w:after="0" w:line="244" w:lineRule="auto"/>
        <w:rPr>
          <w:sz w:val="20"/>
          <w:szCs w:val="20"/>
          <w:color w:val="auto"/>
        </w:rPr>
      </w:pPr>
      <w:r>
        <w:rPr>
          <w:rFonts w:ascii="Times New Roman" w:cs="Times New Roman" w:eastAsia="Times New Roman" w:hAnsi="Times New Roman"/>
          <w:sz w:val="14"/>
          <w:szCs w:val="14"/>
          <w:color w:val="auto"/>
        </w:rPr>
        <w:t>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39" w:right="1440" w:bottom="1440" w:gutter="0" w:footer="0" w:header="0"/>
        </w:sectPr>
      </w:pPr>
    </w:p>
    <w:bookmarkStart w:id="89" w:name="page90"/>
    <w:bookmarkEnd w:id="89"/>
    <w:p>
      <w:pPr>
        <w:ind w:left="340" w:right="379"/>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148" w:lineRule="exact"/>
        <w:rPr>
          <w:sz w:val="20"/>
          <w:szCs w:val="20"/>
          <w:color w:val="auto"/>
        </w:rPr>
      </w:pPr>
    </w:p>
    <w:p>
      <w:pPr>
        <w:ind w:left="340" w:right="379" w:firstLine="334"/>
        <w:spacing w:after="0" w:line="246" w:lineRule="auto"/>
        <w:rPr>
          <w:sz w:val="20"/>
          <w:szCs w:val="20"/>
          <w:color w:val="auto"/>
        </w:rPr>
      </w:pPr>
      <w:r>
        <w:rPr>
          <w:rFonts w:ascii="Times New Roman" w:cs="Times New Roman" w:eastAsia="Times New Roman" w:hAnsi="Times New Roman"/>
          <w:sz w:val="14"/>
          <w:szCs w:val="14"/>
          <w:color w:val="auto"/>
        </w:rPr>
        <w:t xml:space="preserve">(i)  </w:t>
      </w:r>
      <w:r>
        <w:rPr>
          <w:rFonts w:ascii="Times New Roman" w:cs="Times New Roman" w:eastAsia="Times New Roman" w:hAnsi="Times New Roman"/>
          <w:sz w:val="14"/>
          <w:szCs w:val="14"/>
          <w:u w:val="single" w:color="auto"/>
          <w:color w:val="auto"/>
        </w:rPr>
        <w:t>Blue Sky Compliance</w:t>
      </w:r>
      <w:r>
        <w:rPr>
          <w:rFonts w:ascii="Times New Roman" w:cs="Times New Roman" w:eastAsia="Times New Roman" w:hAnsi="Times New Roman"/>
          <w:sz w:val="14"/>
          <w:szCs w:val="14"/>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52" w:lineRule="exact"/>
        <w:rPr>
          <w:sz w:val="20"/>
          <w:szCs w:val="20"/>
          <w:color w:val="auto"/>
        </w:rPr>
      </w:pPr>
    </w:p>
    <w:p>
      <w:pPr>
        <w:ind w:left="340" w:right="419" w:firstLine="334"/>
        <w:spacing w:after="0" w:line="283" w:lineRule="auto"/>
        <w:rPr>
          <w:sz w:val="20"/>
          <w:szCs w:val="20"/>
          <w:color w:val="auto"/>
        </w:rPr>
      </w:pPr>
      <w:r>
        <w:rPr>
          <w:rFonts w:ascii="Times New Roman" w:cs="Times New Roman" w:eastAsia="Times New Roman" w:hAnsi="Times New Roman"/>
          <w:sz w:val="13"/>
          <w:szCs w:val="13"/>
          <w:color w:val="auto"/>
        </w:rPr>
        <w:t xml:space="preserve">(j)  </w:t>
      </w:r>
      <w:r>
        <w:rPr>
          <w:rFonts w:ascii="Times New Roman" w:cs="Times New Roman" w:eastAsia="Times New Roman" w:hAnsi="Times New Roman"/>
          <w:sz w:val="13"/>
          <w:szCs w:val="13"/>
          <w:u w:val="single" w:color="auto"/>
          <w:color w:val="auto"/>
        </w:rPr>
        <w:t>Earnings Statement</w:t>
      </w:r>
      <w:r>
        <w:rPr>
          <w:rFonts w:ascii="Times New Roman" w:cs="Times New Roman" w:eastAsia="Times New Roman" w:hAnsi="Times New Roman"/>
          <w:sz w:val="13"/>
          <w:szCs w:val="13"/>
          <w:color w:val="auto"/>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 xml:space="preserve">(k)   </w:t>
      </w:r>
      <w:r>
        <w:rPr>
          <w:rFonts w:ascii="Times New Roman" w:cs="Times New Roman" w:eastAsia="Times New Roman" w:hAnsi="Times New Roman"/>
          <w:sz w:val="13"/>
          <w:szCs w:val="13"/>
          <w:u w:val="single" w:color="auto"/>
          <w:color w:val="auto"/>
        </w:rPr>
        <w:t>Listing; Reservation of Shares</w:t>
      </w:r>
      <w:r>
        <w:rPr>
          <w:rFonts w:ascii="Times New Roman" w:cs="Times New Roman" w:eastAsia="Times New Roman" w:hAnsi="Times New Roman"/>
          <w:sz w:val="13"/>
          <w:szCs w:val="13"/>
          <w:color w:val="auto"/>
        </w:rPr>
        <w:t>. (a) The Company will use its best efforts to maintain the listing of the Shares on the Principal Market; and</w:t>
      </w:r>
    </w:p>
    <w:p>
      <w:pPr>
        <w:spacing w:after="0" w:line="26" w:lineRule="exact"/>
        <w:rPr>
          <w:sz w:val="20"/>
          <w:szCs w:val="20"/>
          <w:color w:val="auto"/>
        </w:rPr>
      </w:pPr>
    </w:p>
    <w:p>
      <w:pPr>
        <w:ind w:left="340" w:right="599" w:hanging="10"/>
        <w:spacing w:after="0" w:line="248" w:lineRule="auto"/>
        <w:tabs>
          <w:tab w:leader="none" w:pos="533"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reserve and keep available at all times, free of preemptive rights, Shares for the purpose of enabling the Company to satisfy its obligations under this Agreement.</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(l)   </w:t>
      </w:r>
      <w:r>
        <w:rPr>
          <w:rFonts w:ascii="Times New Roman" w:cs="Times New Roman" w:eastAsia="Times New Roman" w:hAnsi="Times New Roman"/>
          <w:sz w:val="14"/>
          <w:szCs w:val="14"/>
          <w:u w:val="single" w:color="auto"/>
          <w:color w:val="auto"/>
        </w:rPr>
        <w:t>Transfer Agent</w:t>
      </w:r>
      <w:r>
        <w:rPr>
          <w:rFonts w:ascii="Times New Roman" w:cs="Times New Roman" w:eastAsia="Times New Roman" w:hAnsi="Times New Roman"/>
          <w:sz w:val="14"/>
          <w:szCs w:val="14"/>
          <w:color w:val="auto"/>
        </w:rPr>
        <w:t>. The Company shall engage and maintain, at its expense, a registrar and transfer agent for the Shares.</w:t>
      </w:r>
    </w:p>
    <w:p>
      <w:pPr>
        <w:spacing w:after="0" w:line="166" w:lineRule="exact"/>
        <w:rPr>
          <w:sz w:val="20"/>
          <w:szCs w:val="20"/>
          <w:color w:val="auto"/>
        </w:rPr>
      </w:pPr>
    </w:p>
    <w:p>
      <w:pPr>
        <w:ind w:left="340" w:right="519" w:firstLine="334"/>
        <w:spacing w:after="0" w:line="251" w:lineRule="auto"/>
        <w:rPr>
          <w:sz w:val="20"/>
          <w:szCs w:val="20"/>
          <w:color w:val="auto"/>
        </w:rPr>
      </w:pPr>
      <w:r>
        <w:rPr>
          <w:rFonts w:ascii="Times New Roman" w:cs="Times New Roman" w:eastAsia="Times New Roman" w:hAnsi="Times New Roman"/>
          <w:sz w:val="14"/>
          <w:szCs w:val="14"/>
          <w:color w:val="auto"/>
        </w:rPr>
        <w:t xml:space="preserve">(m)  </w:t>
      </w:r>
      <w:r>
        <w:rPr>
          <w:rFonts w:ascii="Times New Roman" w:cs="Times New Roman" w:eastAsia="Times New Roman" w:hAnsi="Times New Roman"/>
          <w:sz w:val="14"/>
          <w:szCs w:val="14"/>
          <w:u w:val="single" w:color="auto"/>
          <w:color w:val="auto"/>
        </w:rPr>
        <w:t>Due Diligence</w:t>
      </w:r>
      <w:r>
        <w:rPr>
          <w:rFonts w:ascii="Times New Roman" w:cs="Times New Roman" w:eastAsia="Times New Roman" w:hAnsi="Times New Roman"/>
          <w:sz w:val="14"/>
          <w:szCs w:val="14"/>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45" w:lineRule="exact"/>
        <w:rPr>
          <w:sz w:val="20"/>
          <w:szCs w:val="20"/>
          <w:color w:val="auto"/>
        </w:rPr>
      </w:pPr>
    </w:p>
    <w:p>
      <w:pPr>
        <w:jc w:val="both"/>
        <w:ind w:left="340" w:right="659" w:firstLine="334"/>
        <w:spacing w:after="0" w:line="254" w:lineRule="auto"/>
        <w:rPr>
          <w:sz w:val="20"/>
          <w:szCs w:val="20"/>
          <w:color w:val="auto"/>
        </w:rPr>
      </w:pPr>
      <w:r>
        <w:rPr>
          <w:rFonts w:ascii="Times New Roman" w:cs="Times New Roman" w:eastAsia="Times New Roman" w:hAnsi="Times New Roman"/>
          <w:sz w:val="14"/>
          <w:szCs w:val="14"/>
          <w:color w:val="auto"/>
        </w:rPr>
        <w:t xml:space="preserve">(n)  </w:t>
      </w:r>
      <w:r>
        <w:rPr>
          <w:rFonts w:ascii="Times New Roman" w:cs="Times New Roman" w:eastAsia="Times New Roman" w:hAnsi="Times New Roman"/>
          <w:sz w:val="14"/>
          <w:szCs w:val="14"/>
          <w:u w:val="single" w:color="auto"/>
          <w:color w:val="auto"/>
        </w:rPr>
        <w:t>Representations and Warranties</w:t>
      </w:r>
      <w:r>
        <w:rPr>
          <w:rFonts w:ascii="Times New Roman" w:cs="Times New Roman" w:eastAsia="Times New Roman" w:hAnsi="Times New Roman"/>
          <w:sz w:val="14"/>
          <w:szCs w:val="14"/>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39" w:right="1440" w:bottom="1440" w:gutter="0" w:footer="0" w:header="0"/>
        </w:sectPr>
      </w:pPr>
    </w:p>
    <w:bookmarkStart w:id="90" w:name="page91"/>
    <w:bookmarkEnd w:id="90"/>
    <w:p>
      <w:pPr>
        <w:ind w:left="340" w:right="339"/>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47" w:lineRule="exact"/>
        <w:rPr>
          <w:sz w:val="20"/>
          <w:szCs w:val="20"/>
          <w:color w:val="auto"/>
        </w:rPr>
      </w:pPr>
    </w:p>
    <w:p>
      <w:pPr>
        <w:ind w:left="340" w:right="379" w:firstLine="334"/>
        <w:spacing w:after="0" w:line="265" w:lineRule="auto"/>
        <w:rPr>
          <w:sz w:val="20"/>
          <w:szCs w:val="20"/>
          <w:color w:val="auto"/>
        </w:rPr>
      </w:pPr>
      <w:r>
        <w:rPr>
          <w:rFonts w:ascii="Times New Roman" w:cs="Times New Roman" w:eastAsia="Times New Roman" w:hAnsi="Times New Roman"/>
          <w:sz w:val="14"/>
          <w:szCs w:val="14"/>
          <w:color w:val="auto"/>
        </w:rPr>
        <w:t xml:space="preserve">(o)  </w:t>
      </w:r>
      <w:r>
        <w:rPr>
          <w:rFonts w:ascii="Times New Roman" w:cs="Times New Roman" w:eastAsia="Times New Roman" w:hAnsi="Times New Roman"/>
          <w:sz w:val="14"/>
          <w:szCs w:val="14"/>
          <w:u w:val="single" w:color="auto"/>
          <w:color w:val="auto"/>
        </w:rPr>
        <w:t>Deliverables at Triggering Event Dates; Certificates.</w:t>
      </w:r>
      <w:r>
        <w:rPr>
          <w:rFonts w:ascii="Times New Roman" w:cs="Times New Roman" w:eastAsia="Times New Roman" w:hAnsi="Times New Roman"/>
          <w:sz w:val="14"/>
          <w:szCs w:val="14"/>
          <w:color w:val="auto"/>
        </w:rPr>
        <w:t xml:space="preserve"> The Company agrees that on or prior to the date of the first Issuance Notice and, during the term of this Agreement after the date of the first Issuance Notice, upon:</w:t>
      </w:r>
    </w:p>
    <w:p>
      <w:pPr>
        <w:spacing w:after="0" w:line="136" w:lineRule="exact"/>
        <w:rPr>
          <w:sz w:val="20"/>
          <w:szCs w:val="20"/>
          <w:color w:val="auto"/>
        </w:rPr>
      </w:pPr>
    </w:p>
    <w:p>
      <w:pPr>
        <w:ind w:left="340" w:right="359" w:firstLine="751"/>
        <w:spacing w:after="0" w:line="283" w:lineRule="auto"/>
        <w:rPr>
          <w:sz w:val="20"/>
          <w:szCs w:val="20"/>
          <w:color w:val="auto"/>
        </w:rPr>
      </w:pPr>
      <w:r>
        <w:rPr>
          <w:rFonts w:ascii="Times New Roman" w:cs="Times New Roman" w:eastAsia="Times New Roman" w:hAnsi="Times New Roman"/>
          <w:sz w:val="13"/>
          <w:szCs w:val="13"/>
          <w:color w:val="auto"/>
        </w:rPr>
        <w:t>(A)  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spacing w:after="0" w:line="44" w:lineRule="exact"/>
        <w:rPr>
          <w:sz w:val="20"/>
          <w:szCs w:val="20"/>
          <w:color w:val="auto"/>
        </w:rPr>
      </w:pPr>
    </w:p>
    <w:p>
      <w:pPr>
        <w:ind w:left="660" w:right="979" w:firstLine="324"/>
        <w:spacing w:after="0" w:line="265" w:lineRule="auto"/>
        <w:tabs>
          <w:tab w:leader="none" w:pos="119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filing with the Commission of an annual report on Form 10-K (including any Form 10-K/A containing amended financial information or a material amendment to the previously filed annual report on Form 10-K) of the Company;</w:t>
      </w:r>
    </w:p>
    <w:p>
      <w:pPr>
        <w:spacing w:after="0" w:line="53" w:lineRule="exact"/>
        <w:rPr>
          <w:rFonts w:ascii="Times New Roman" w:cs="Times New Roman" w:eastAsia="Times New Roman" w:hAnsi="Times New Roman"/>
          <w:sz w:val="14"/>
          <w:szCs w:val="14"/>
          <w:color w:val="auto"/>
        </w:rPr>
      </w:pPr>
    </w:p>
    <w:p>
      <w:pPr>
        <w:ind w:left="660" w:right="919" w:firstLine="324"/>
        <w:spacing w:after="0" w:line="265" w:lineRule="auto"/>
        <w:tabs>
          <w:tab w:leader="none" w:pos="119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filing with the Commission of a quarterly report on Form 10-Q (including any Form 10-Q/A containing amended financial information or a material amendment to the previously filed quarterly report on Form 10-Q) of the Company; or</w:t>
      </w:r>
    </w:p>
    <w:p>
      <w:pPr>
        <w:spacing w:after="0" w:line="136" w:lineRule="exact"/>
        <w:rPr>
          <w:sz w:val="20"/>
          <w:szCs w:val="20"/>
          <w:color w:val="auto"/>
        </w:rPr>
      </w:pPr>
    </w:p>
    <w:p>
      <w:pPr>
        <w:ind w:left="340" w:right="559" w:firstLine="751"/>
        <w:spacing w:after="0" w:line="251" w:lineRule="auto"/>
        <w:rPr>
          <w:sz w:val="20"/>
          <w:szCs w:val="20"/>
          <w:color w:val="auto"/>
        </w:rPr>
      </w:pPr>
      <w:r>
        <w:rPr>
          <w:rFonts w:ascii="Times New Roman" w:cs="Times New Roman" w:eastAsia="Times New Roman" w:hAnsi="Times New Roman"/>
          <w:sz w:val="14"/>
          <w:szCs w:val="14"/>
          <w:color w:val="auto"/>
        </w:rPr>
        <w:t>(D)  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w:t>
      </w:r>
    </w:p>
    <w:p>
      <w:pPr>
        <w:spacing w:after="0" w:line="141" w:lineRule="exact"/>
        <w:rPr>
          <w:sz w:val="20"/>
          <w:szCs w:val="20"/>
          <w:color w:val="auto"/>
        </w:rPr>
      </w:pPr>
    </w:p>
    <w:p>
      <w:pPr>
        <w:ind w:left="340" w:right="419"/>
        <w:spacing w:after="0" w:line="267" w:lineRule="auto"/>
        <w:rPr>
          <w:sz w:val="20"/>
          <w:szCs w:val="20"/>
          <w:color w:val="auto"/>
        </w:rPr>
      </w:pPr>
      <w:r>
        <w:rPr>
          <w:rFonts w:ascii="Times New Roman" w:cs="Times New Roman" w:eastAsia="Times New Roman" w:hAnsi="Times New Roman"/>
          <w:sz w:val="13"/>
          <w:szCs w:val="13"/>
          <w:color w:val="auto"/>
        </w:rPr>
        <w:t>(any such event, a “</w:t>
      </w:r>
      <w:r>
        <w:rPr>
          <w:rFonts w:ascii="Times New Roman" w:cs="Times New Roman" w:eastAsia="Times New Roman" w:hAnsi="Times New Roman"/>
          <w:sz w:val="13"/>
          <w:szCs w:val="13"/>
          <w:b w:val="1"/>
          <w:bCs w:val="1"/>
          <w:color w:val="auto"/>
        </w:rPr>
        <w:t>Triggering Event Date</w:t>
      </w:r>
      <w:r>
        <w:rPr>
          <w:rFonts w:ascii="Times New Roman" w:cs="Times New Roman" w:eastAsia="Times New Roman" w:hAnsi="Times New Roman"/>
          <w:sz w:val="13"/>
          <w:szCs w:val="13"/>
          <w:color w:val="auto"/>
        </w:rPr>
        <w:t xml:space="preserve">”), the Company shall furnish the Agent (but in the case of clause (C)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w:t>
      </w:r>
      <w:r>
        <w:rPr>
          <w:rFonts w:ascii="Times New Roman" w:cs="Times New Roman" w:eastAsia="Times New Roman" w:hAnsi="Times New Roman"/>
          <w:sz w:val="13"/>
          <w:szCs w:val="13"/>
          <w:u w:val="single" w:color="auto"/>
          <w:color w:val="auto"/>
        </w:rPr>
        <w:t>Section 5(a)(iii)</w:t>
      </w:r>
      <w:r>
        <w:rPr>
          <w:rFonts w:ascii="Times New Roman" w:cs="Times New Roman" w:eastAsia="Times New Roman" w:hAnsi="Times New Roman"/>
          <w:sz w:val="13"/>
          <w:szCs w:val="13"/>
          <w:color w:val="auto"/>
        </w:rPr>
        <w:t xml:space="preserve"> hereof, and</w:t>
      </w:r>
    </w:p>
    <w:p>
      <w:pPr>
        <w:ind w:left="340" w:right="479" w:hanging="10"/>
        <w:spacing w:after="0" w:line="246" w:lineRule="auto"/>
        <w:tabs>
          <w:tab w:leader="none" w:pos="55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containing any other certification that the Agent shall reasonably request. The requirement to provide a certificate under this </w:t>
      </w:r>
      <w:r>
        <w:rPr>
          <w:rFonts w:ascii="Times New Roman" w:cs="Times New Roman" w:eastAsia="Times New Roman" w:hAnsi="Times New Roman"/>
          <w:sz w:val="14"/>
          <w:szCs w:val="14"/>
          <w:u w:val="single" w:color="auto"/>
          <w:color w:val="auto"/>
        </w:rPr>
        <w:t>Section 4(o)</w:t>
      </w:r>
      <w:r>
        <w:rPr>
          <w:rFonts w:ascii="Times New Roman" w:cs="Times New Roman" w:eastAsia="Times New Roman" w:hAnsi="Times New Roman"/>
          <w:sz w:val="14"/>
          <w:szCs w:val="14"/>
          <w:color w:val="auto"/>
        </w:rPr>
        <w:t xml:space="preserve"> 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9" w:right="1440" w:bottom="1440" w:gutter="0" w:footer="0" w:header="0"/>
        </w:sectPr>
      </w:pPr>
    </w:p>
    <w:bookmarkStart w:id="91" w:name="page92"/>
    <w:bookmarkEnd w:id="91"/>
    <w:p>
      <w:pPr>
        <w:ind w:left="340" w:right="419"/>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Section 4(o), then before the Company delivers the instructions for the sale of Shares or the Agent sells any Shares pursuant to such instructions, the Company shall provide the Agent with a certificate in conformity with this Section 4(o) dated as of the date that the instructions for the sale of Shares are issued.</w:t>
      </w:r>
    </w:p>
    <w:p>
      <w:pPr>
        <w:spacing w:after="0" w:line="147" w:lineRule="exact"/>
        <w:rPr>
          <w:sz w:val="20"/>
          <w:szCs w:val="20"/>
          <w:color w:val="auto"/>
        </w:rPr>
      </w:pPr>
    </w:p>
    <w:p>
      <w:pPr>
        <w:ind w:left="340" w:right="359" w:firstLine="334"/>
        <w:spacing w:after="0" w:line="246" w:lineRule="auto"/>
        <w:rPr>
          <w:sz w:val="20"/>
          <w:szCs w:val="20"/>
          <w:color w:val="auto"/>
        </w:rPr>
      </w:pPr>
      <w:r>
        <w:rPr>
          <w:rFonts w:ascii="Times New Roman" w:cs="Times New Roman" w:eastAsia="Times New Roman" w:hAnsi="Times New Roman"/>
          <w:sz w:val="14"/>
          <w:szCs w:val="14"/>
          <w:color w:val="auto"/>
        </w:rPr>
        <w:t xml:space="preserve">(p)  </w:t>
      </w:r>
      <w:r>
        <w:rPr>
          <w:rFonts w:ascii="Times New Roman" w:cs="Times New Roman" w:eastAsia="Times New Roman" w:hAnsi="Times New Roman"/>
          <w:sz w:val="14"/>
          <w:szCs w:val="14"/>
          <w:u w:val="single" w:color="auto"/>
          <w:color w:val="auto"/>
        </w:rPr>
        <w:t>Legal Opinions.</w:t>
      </w:r>
      <w:r>
        <w:rPr>
          <w:rFonts w:ascii="Times New Roman" w:cs="Times New Roman" w:eastAsia="Times New Roman" w:hAnsi="Times New Roman"/>
          <w:sz w:val="14"/>
          <w:szCs w:val="14"/>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a negative assurances letter and the written legal opinion of Mintz, Levin, Cohn, Ferris, Glovsky and Popeo, P.C., counsel to the Company, and Paul Hastings LLP, counsel to the Agent, each dated the date of delivery, in form and substance reasonably satisfactory to Agent and its counsel, substantially similar to the form previously provided to the Agent and its counsel, modified, as necessary, to relate to the Registration Statement and the Prospectus as then amended or 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52" w:lineRule="exact"/>
        <w:rPr>
          <w:sz w:val="20"/>
          <w:szCs w:val="20"/>
          <w:color w:val="auto"/>
        </w:rPr>
      </w:pPr>
    </w:p>
    <w:p>
      <w:pPr>
        <w:ind w:left="340" w:right="379" w:firstLine="334"/>
        <w:spacing w:after="0" w:line="267" w:lineRule="auto"/>
        <w:rPr>
          <w:sz w:val="20"/>
          <w:szCs w:val="20"/>
          <w:color w:val="auto"/>
        </w:rPr>
      </w:pPr>
      <w:r>
        <w:rPr>
          <w:rFonts w:ascii="Times New Roman" w:cs="Times New Roman" w:eastAsia="Times New Roman" w:hAnsi="Times New Roman"/>
          <w:sz w:val="13"/>
          <w:szCs w:val="13"/>
          <w:color w:val="auto"/>
        </w:rPr>
        <w:t xml:space="preserve">(q)  </w:t>
      </w:r>
      <w:r>
        <w:rPr>
          <w:rFonts w:ascii="Times New Roman" w:cs="Times New Roman" w:eastAsia="Times New Roman" w:hAnsi="Times New Roman"/>
          <w:sz w:val="13"/>
          <w:szCs w:val="13"/>
          <w:u w:val="single" w:color="auto"/>
          <w:color w:val="auto"/>
        </w:rPr>
        <w:t>Comfort Letter</w:t>
      </w:r>
      <w:r>
        <w:rPr>
          <w:rFonts w:ascii="Times New Roman" w:cs="Times New Roman" w:eastAsia="Times New Roman" w:hAnsi="Times New Roman"/>
          <w:sz w:val="13"/>
          <w:szCs w:val="13"/>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Ernst &amp; Young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upon a material transaction or event requiring the filing of a current report on Form 8-K containing material amended financial information of the Company, including the restatement of the Company’s financial statements, which such events shall be considered a Triggering Event Date, the Company shall also cause a comfort letter to be furnished to the Agent prior to any additional sales of Shares.</w:t>
      </w:r>
    </w:p>
    <w:p>
      <w:pPr>
        <w:spacing w:after="0" w:line="138" w:lineRule="exact"/>
        <w:rPr>
          <w:sz w:val="20"/>
          <w:szCs w:val="20"/>
          <w:color w:val="auto"/>
        </w:rPr>
      </w:pPr>
    </w:p>
    <w:p>
      <w:pPr>
        <w:ind w:left="340" w:right="379" w:firstLine="334"/>
        <w:spacing w:after="0" w:line="247" w:lineRule="auto"/>
        <w:rPr>
          <w:sz w:val="20"/>
          <w:szCs w:val="20"/>
          <w:color w:val="auto"/>
        </w:rPr>
      </w:pPr>
      <w:r>
        <w:rPr>
          <w:rFonts w:ascii="Times New Roman" w:cs="Times New Roman" w:eastAsia="Times New Roman" w:hAnsi="Times New Roman"/>
          <w:sz w:val="14"/>
          <w:szCs w:val="14"/>
          <w:color w:val="auto"/>
        </w:rPr>
        <w:t xml:space="preserve">(r)  </w:t>
      </w:r>
      <w:r>
        <w:rPr>
          <w:rFonts w:ascii="Times New Roman" w:cs="Times New Roman" w:eastAsia="Times New Roman" w:hAnsi="Times New Roman"/>
          <w:sz w:val="14"/>
          <w:szCs w:val="14"/>
          <w:u w:val="single" w:color="auto"/>
          <w:color w:val="auto"/>
        </w:rPr>
        <w:t>Secretary’s Certificate</w:t>
      </w:r>
      <w:r>
        <w:rPr>
          <w:rFonts w:ascii="Times New Roman" w:cs="Times New Roman" w:eastAsia="Times New Roman" w:hAnsi="Times New Roman"/>
          <w:sz w:val="14"/>
          <w:szCs w:val="14"/>
          <w:color w:val="auto"/>
        </w:rPr>
        <w:t>. On or prior to the date of the first Issuance Notice and on or prior to each Triggering Event Date,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39" w:right="1440" w:bottom="1440" w:gutter="0" w:footer="0" w:header="0"/>
        </w:sectPr>
      </w:pPr>
    </w:p>
    <w:bookmarkStart w:id="92" w:name="page93"/>
    <w:bookmarkEnd w:id="92"/>
    <w:p>
      <w:pPr>
        <w:ind w:left="340" w:right="539" w:firstLine="334"/>
        <w:spacing w:after="0" w:line="30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 xml:space="preserve">(s)  </w:t>
      </w:r>
      <w:r>
        <w:rPr>
          <w:rFonts w:ascii="Times New Roman" w:cs="Times New Roman" w:eastAsia="Times New Roman" w:hAnsi="Times New Roman"/>
          <w:sz w:val="13"/>
          <w:szCs w:val="13"/>
          <w:u w:val="single" w:color="auto"/>
          <w:color w:val="auto"/>
        </w:rPr>
        <w:t>Agent’s Own Account; Clients’ Account</w:t>
      </w:r>
      <w:r>
        <w:rPr>
          <w:rFonts w:ascii="Times New Roman" w:cs="Times New Roman" w:eastAsia="Times New Roman" w:hAnsi="Times New Roman"/>
          <w:sz w:val="13"/>
          <w:szCs w:val="13"/>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12" w:lineRule="exact"/>
        <w:rPr>
          <w:sz w:val="20"/>
          <w:szCs w:val="20"/>
          <w:color w:val="auto"/>
        </w:rPr>
      </w:pPr>
    </w:p>
    <w:p>
      <w:pPr>
        <w:ind w:left="340" w:right="459" w:firstLine="334"/>
        <w:spacing w:after="0" w:line="304" w:lineRule="auto"/>
        <w:rPr>
          <w:sz w:val="20"/>
          <w:szCs w:val="20"/>
          <w:color w:val="auto"/>
        </w:rPr>
      </w:pPr>
      <w:r>
        <w:rPr>
          <w:rFonts w:ascii="Times New Roman" w:cs="Times New Roman" w:eastAsia="Times New Roman" w:hAnsi="Times New Roman"/>
          <w:sz w:val="13"/>
          <w:szCs w:val="13"/>
          <w:color w:val="auto"/>
        </w:rPr>
        <w:t xml:space="preserve">(t)  </w:t>
      </w:r>
      <w:r>
        <w:rPr>
          <w:rFonts w:ascii="Times New Roman" w:cs="Times New Roman" w:eastAsia="Times New Roman" w:hAnsi="Times New Roman"/>
          <w:sz w:val="13"/>
          <w:szCs w:val="13"/>
          <w:u w:val="single" w:color="auto"/>
          <w:color w:val="auto"/>
        </w:rPr>
        <w:t>Investment Limitation</w:t>
      </w:r>
      <w:r>
        <w:rPr>
          <w:rFonts w:ascii="Times New Roman" w:cs="Times New Roman" w:eastAsia="Times New Roman" w:hAnsi="Times New Roman"/>
          <w:sz w:val="13"/>
          <w:szCs w:val="13"/>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12" w:lineRule="exact"/>
        <w:rPr>
          <w:sz w:val="20"/>
          <w:szCs w:val="20"/>
          <w:color w:val="auto"/>
        </w:rPr>
      </w:pPr>
    </w:p>
    <w:p>
      <w:pPr>
        <w:ind w:left="340" w:right="399" w:firstLine="334"/>
        <w:spacing w:after="0" w:line="269" w:lineRule="auto"/>
        <w:rPr>
          <w:sz w:val="20"/>
          <w:szCs w:val="20"/>
          <w:color w:val="auto"/>
        </w:rPr>
      </w:pPr>
      <w:r>
        <w:rPr>
          <w:rFonts w:ascii="Times New Roman" w:cs="Times New Roman" w:eastAsia="Times New Roman" w:hAnsi="Times New Roman"/>
          <w:sz w:val="13"/>
          <w:szCs w:val="13"/>
          <w:color w:val="auto"/>
        </w:rPr>
        <w:t xml:space="preserve">(u)  </w:t>
      </w:r>
      <w:r>
        <w:rPr>
          <w:rFonts w:ascii="Times New Roman" w:cs="Times New Roman" w:eastAsia="Times New Roman" w:hAnsi="Times New Roman"/>
          <w:sz w:val="13"/>
          <w:szCs w:val="13"/>
          <w:u w:val="single" w:color="auto"/>
          <w:color w:val="auto"/>
        </w:rPr>
        <w:t>Market Activities</w:t>
      </w:r>
      <w:r>
        <w:rPr>
          <w:rFonts w:ascii="Times New Roman" w:cs="Times New Roman" w:eastAsia="Times New Roman" w:hAnsi="Times New Roman"/>
          <w:sz w:val="13"/>
          <w:szCs w:val="13"/>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Times New Roman" w:cs="Times New Roman" w:eastAsia="Times New Roman" w:hAnsi="Times New Roman"/>
          <w:sz w:val="13"/>
          <w:szCs w:val="13"/>
          <w:b w:val="1"/>
          <w:bCs w:val="1"/>
          <w:color w:val="auto"/>
        </w:rPr>
        <w:t>Rule 102</w:t>
      </w:r>
      <w:r>
        <w:rPr>
          <w:rFonts w:ascii="Times New Roman" w:cs="Times New Roman" w:eastAsia="Times New Roman" w:hAnsi="Times New Roman"/>
          <w:sz w:val="13"/>
          <w:szCs w:val="13"/>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137" w:lineRule="exact"/>
        <w:rPr>
          <w:sz w:val="20"/>
          <w:szCs w:val="20"/>
          <w:color w:val="auto"/>
        </w:rPr>
      </w:pPr>
    </w:p>
    <w:p>
      <w:pPr>
        <w:ind w:left="340" w:right="339" w:firstLine="334"/>
        <w:spacing w:after="0" w:line="245" w:lineRule="auto"/>
        <w:rPr>
          <w:sz w:val="20"/>
          <w:szCs w:val="20"/>
          <w:color w:val="auto"/>
        </w:rPr>
      </w:pPr>
      <w:r>
        <w:rPr>
          <w:rFonts w:ascii="Times New Roman" w:cs="Times New Roman" w:eastAsia="Times New Roman" w:hAnsi="Times New Roman"/>
          <w:sz w:val="14"/>
          <w:szCs w:val="14"/>
          <w:color w:val="auto"/>
        </w:rPr>
        <w:t xml:space="preserve">(v)  </w:t>
      </w:r>
      <w:r>
        <w:rPr>
          <w:rFonts w:ascii="Times New Roman" w:cs="Times New Roman" w:eastAsia="Times New Roman" w:hAnsi="Times New Roman"/>
          <w:sz w:val="14"/>
          <w:szCs w:val="14"/>
          <w:u w:val="single" w:color="auto"/>
          <w:color w:val="auto"/>
        </w:rPr>
        <w:t>Notice of Other Sale</w:t>
      </w:r>
      <w:r>
        <w:rPr>
          <w:rFonts w:ascii="Times New Roman" w:cs="Times New Roman" w:eastAsia="Times New Roman" w:hAnsi="Times New Roman"/>
          <w:sz w:val="14"/>
          <w:szCs w:val="14"/>
          <w:color w:val="auto"/>
        </w:rPr>
        <w:t>.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 will not directly or indirectly enter into any other “at the 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Nasdaq rules or other compensation plan of the Company or its subsidiaries, as in effect on the date of this Agreement, (ii) issuance or sale of Common Shares issuable upon exchange, conversion or redemption of securities or the exercise or vesting of warrants, options or other equity awards outstanding at the date of this Agreement, and (iii) modification of any outstanding options, warrants of any rights to purchase or acquire Common Shares.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39" w:right="1440" w:bottom="1440" w:gutter="0" w:footer="0" w:header="0"/>
        </w:sectPr>
      </w:pPr>
    </w:p>
    <w:bookmarkStart w:id="93" w:name="page94"/>
    <w:bookmarkEnd w:id="93"/>
    <w:p>
      <w:pPr>
        <w:ind w:left="3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5. CONDITIONS TO DELIVERY OF ISSUANCE NOTICES AND TO SETTLEMENT</w:t>
      </w:r>
    </w:p>
    <w:p>
      <w:pPr>
        <w:spacing w:after="0" w:line="89" w:lineRule="exact"/>
        <w:rPr>
          <w:sz w:val="20"/>
          <w:szCs w:val="20"/>
          <w:color w:val="auto"/>
        </w:rPr>
      </w:pPr>
    </w:p>
    <w:p>
      <w:pPr>
        <w:ind w:left="340" w:right="399" w:firstLine="334"/>
        <w:spacing w:after="0" w:line="251" w:lineRule="auto"/>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Conditions Precedent to the Right of the Company to Deliver an Issuance Notice and the Obligation of the Agent to Sell Shares</w:t>
      </w:r>
      <w:r>
        <w:rPr>
          <w:rFonts w:ascii="Times New Roman" w:cs="Times New Roman" w:eastAsia="Times New Roman" w:hAnsi="Times New Roman"/>
          <w:sz w:val="14"/>
          <w:szCs w:val="14"/>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of each of the following conditions:</w:t>
      </w:r>
    </w:p>
    <w:p>
      <w:pPr>
        <w:spacing w:after="0" w:line="73" w:lineRule="exact"/>
        <w:rPr>
          <w:sz w:val="20"/>
          <w:szCs w:val="20"/>
          <w:color w:val="auto"/>
        </w:rPr>
      </w:pPr>
    </w:p>
    <w:p>
      <w:pPr>
        <w:ind w:left="1060" w:right="339" w:hanging="403"/>
        <w:spacing w:after="0" w:line="249" w:lineRule="auto"/>
        <w:tabs>
          <w:tab w:leader="none" w:pos="10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Accuracy of the Company’s Representations and Warranties; Performance by the Company</w:t>
      </w:r>
      <w:r>
        <w:rPr>
          <w:rFonts w:ascii="Times New Roman" w:cs="Times New Roman" w:eastAsia="Times New Roman" w:hAnsi="Times New Roman"/>
          <w:sz w:val="14"/>
          <w:szCs w:val="14"/>
          <w:color w:val="auto"/>
        </w:rPr>
        <w:t xml:space="preserve">. The Company shall have delivered the certificate required to be delivered pursuant to </w:t>
      </w:r>
      <w:r>
        <w:rPr>
          <w:rFonts w:ascii="Times New Roman" w:cs="Times New Roman" w:eastAsia="Times New Roman" w:hAnsi="Times New Roman"/>
          <w:sz w:val="14"/>
          <w:szCs w:val="14"/>
          <w:u w:val="single" w:color="auto"/>
          <w:color w:val="auto"/>
        </w:rPr>
        <w:t>Section 4(o)</w:t>
      </w:r>
      <w:r>
        <w:rPr>
          <w:rFonts w:ascii="Times New Roman" w:cs="Times New Roman" w:eastAsia="Times New Roman" w:hAnsi="Times New Roman"/>
          <w:sz w:val="14"/>
          <w:szCs w:val="14"/>
          <w:color w:val="auto"/>
        </w:rPr>
        <w:t xml:space="preserve"> on or before the date on which delivery of such certificate is required pursuant to </w:t>
      </w:r>
      <w:r>
        <w:rPr>
          <w:rFonts w:ascii="Times New Roman" w:cs="Times New Roman" w:eastAsia="Times New Roman" w:hAnsi="Times New Roman"/>
          <w:sz w:val="14"/>
          <w:szCs w:val="14"/>
          <w:u w:val="single" w:color="auto"/>
          <w:color w:val="auto"/>
        </w:rPr>
        <w:t>Section 4(o)</w:t>
      </w:r>
      <w:r>
        <w:rPr>
          <w:rFonts w:ascii="Times New Roman" w:cs="Times New Roman" w:eastAsia="Times New Roman" w:hAnsi="Times New Roman"/>
          <w:sz w:val="14"/>
          <w:szCs w:val="14"/>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Times New Roman" w:cs="Times New Roman" w:eastAsia="Times New Roman" w:hAnsi="Times New Roman"/>
          <w:sz w:val="14"/>
          <w:szCs w:val="14"/>
          <w:u w:val="single" w:color="auto"/>
          <w:color w:val="auto"/>
        </w:rPr>
        <w:t>Section 4(p)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4(q)</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4(r)</w:t>
      </w:r>
      <w:r>
        <w:rPr>
          <w:rFonts w:ascii="Times New Roman" w:cs="Times New Roman" w:eastAsia="Times New Roman" w:hAnsi="Times New Roman"/>
          <w:sz w:val="14"/>
          <w:szCs w:val="14"/>
          <w:color w:val="auto"/>
        </w:rPr>
        <w:t>.</w:t>
      </w:r>
    </w:p>
    <w:p>
      <w:pPr>
        <w:spacing w:after="0" w:line="75" w:lineRule="exact"/>
        <w:rPr>
          <w:rFonts w:ascii="Times New Roman" w:cs="Times New Roman" w:eastAsia="Times New Roman" w:hAnsi="Times New Roman"/>
          <w:sz w:val="14"/>
          <w:szCs w:val="14"/>
          <w:color w:val="auto"/>
        </w:rPr>
      </w:pPr>
    </w:p>
    <w:p>
      <w:pPr>
        <w:ind w:left="1060" w:right="379" w:hanging="403"/>
        <w:spacing w:after="0" w:line="249" w:lineRule="auto"/>
        <w:tabs>
          <w:tab w:leader="none" w:pos="10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Injunction</w:t>
      </w:r>
      <w:r>
        <w:rPr>
          <w:rFonts w:ascii="Times New Roman" w:cs="Times New Roman" w:eastAsia="Times New Roman" w:hAnsi="Times New Roman"/>
          <w:sz w:val="14"/>
          <w:szCs w:val="14"/>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75" w:lineRule="exact"/>
        <w:rPr>
          <w:rFonts w:ascii="Times New Roman" w:cs="Times New Roman" w:eastAsia="Times New Roman" w:hAnsi="Times New Roman"/>
          <w:sz w:val="14"/>
          <w:szCs w:val="14"/>
          <w:color w:val="auto"/>
        </w:rPr>
      </w:pPr>
    </w:p>
    <w:p>
      <w:pPr>
        <w:ind w:left="1060" w:right="419" w:hanging="403"/>
        <w:spacing w:after="0" w:line="249" w:lineRule="auto"/>
        <w:tabs>
          <w:tab w:leader="none" w:pos="10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Material Adverse Changes</w:t>
      </w:r>
      <w:r>
        <w:rPr>
          <w:rFonts w:ascii="Times New Roman" w:cs="Times New Roman" w:eastAsia="Times New Roman" w:hAnsi="Times New Roman"/>
          <w:sz w:val="14"/>
          <w:szCs w:val="14"/>
          <w:color w:val="auto"/>
        </w:rPr>
        <w:t>. Except as disclosed in the Prospectus and the Time of Sale Information, (a) in the judgment of the Agent there shall not have occurred any Material Adverse Change;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75" w:lineRule="exact"/>
        <w:rPr>
          <w:rFonts w:ascii="Times New Roman" w:cs="Times New Roman" w:eastAsia="Times New Roman" w:hAnsi="Times New Roman"/>
          <w:sz w:val="14"/>
          <w:szCs w:val="14"/>
          <w:color w:val="auto"/>
        </w:rPr>
      </w:pPr>
    </w:p>
    <w:p>
      <w:pPr>
        <w:ind w:left="1060" w:right="379" w:hanging="403"/>
        <w:spacing w:after="0" w:line="248" w:lineRule="auto"/>
        <w:tabs>
          <w:tab w:leader="none" w:pos="10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Suspension of Trading in or Delisting of Common Shares; Other Events</w:t>
      </w:r>
      <w:r>
        <w:rPr>
          <w:rFonts w:ascii="Times New Roman" w:cs="Times New Roman" w:eastAsia="Times New Roman" w:hAnsi="Times New Roman"/>
          <w:sz w:val="14"/>
          <w:szCs w:val="14"/>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35" w:right="1440" w:bottom="1440" w:gutter="0" w:footer="0" w:header="0"/>
        </w:sectPr>
      </w:pPr>
    </w:p>
    <w:bookmarkStart w:id="94" w:name="page95"/>
    <w:bookmarkEnd w:id="94"/>
    <w:p>
      <w:pPr>
        <w:ind w:left="1080" w:right="579"/>
        <w:spacing w:after="0" w:line="27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or by the Principal Market or trading in securities generally on either the Principal Market shall have been suspended or limited, or minimum or maximum prices shall have been generally established on any of such stock exchanges by the Commission or the FINRA;</w:t>
      </w:r>
    </w:p>
    <w:p>
      <w:pPr>
        <w:ind w:left="1080" w:right="499" w:hanging="3"/>
        <w:spacing w:after="0" w:line="244" w:lineRule="auto"/>
        <w:tabs>
          <w:tab w:leader="none" w:pos="1281"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152" w:lineRule="exact"/>
        <w:rPr>
          <w:sz w:val="20"/>
          <w:szCs w:val="20"/>
          <w:color w:val="auto"/>
        </w:rPr>
      </w:pPr>
    </w:p>
    <w:p>
      <w:pPr>
        <w:ind w:left="340" w:right="359" w:firstLine="334"/>
        <w:spacing w:after="0" w:line="249" w:lineRule="auto"/>
        <w:rPr>
          <w:sz w:val="20"/>
          <w:szCs w:val="20"/>
          <w:color w:val="auto"/>
        </w:rPr>
      </w:pPr>
      <w:r>
        <w:rPr>
          <w:rFonts w:ascii="Times New Roman" w:cs="Times New Roman" w:eastAsia="Times New Roman" w:hAnsi="Times New Roman"/>
          <w:sz w:val="14"/>
          <w:szCs w:val="14"/>
          <w:color w:val="auto"/>
        </w:rPr>
        <w:t xml:space="preserve">(b)  </w:t>
      </w:r>
      <w:r>
        <w:rPr>
          <w:rFonts w:ascii="Times New Roman" w:cs="Times New Roman" w:eastAsia="Times New Roman" w:hAnsi="Times New Roman"/>
          <w:sz w:val="14"/>
          <w:szCs w:val="14"/>
          <w:u w:val="single" w:color="auto"/>
          <w:color w:val="auto"/>
        </w:rPr>
        <w:t>Documents Required to be Delivered on each Issuance Notice Date</w:t>
      </w:r>
      <w:r>
        <w:rPr>
          <w:rFonts w:ascii="Times New Roman" w:cs="Times New Roman" w:eastAsia="Times New Roman" w:hAnsi="Times New Roman"/>
          <w:sz w:val="14"/>
          <w:szCs w:val="14"/>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47" w:lineRule="exact"/>
        <w:rPr>
          <w:sz w:val="20"/>
          <w:szCs w:val="20"/>
          <w:color w:val="auto"/>
        </w:rPr>
      </w:pPr>
    </w:p>
    <w:p>
      <w:pPr>
        <w:ind w:left="340" w:right="599" w:firstLine="334"/>
        <w:spacing w:after="0" w:line="251" w:lineRule="auto"/>
        <w:rPr>
          <w:sz w:val="20"/>
          <w:szCs w:val="20"/>
          <w:color w:val="auto"/>
        </w:rPr>
      </w:pPr>
      <w:r>
        <w:rPr>
          <w:rFonts w:ascii="Times New Roman" w:cs="Times New Roman" w:eastAsia="Times New Roman" w:hAnsi="Times New Roman"/>
          <w:sz w:val="14"/>
          <w:szCs w:val="14"/>
          <w:color w:val="auto"/>
        </w:rPr>
        <w:t xml:space="preserve">(c)  </w:t>
      </w:r>
      <w:r>
        <w:rPr>
          <w:rFonts w:ascii="Times New Roman" w:cs="Times New Roman" w:eastAsia="Times New Roman" w:hAnsi="Times New Roman"/>
          <w:sz w:val="14"/>
          <w:szCs w:val="14"/>
          <w:u w:val="single" w:color="auto"/>
          <w:color w:val="auto"/>
        </w:rPr>
        <w:t>No Misstatement or Material Omission</w:t>
      </w:r>
      <w:r>
        <w:rPr>
          <w:rFonts w:ascii="Times New Roman" w:cs="Times New Roman" w:eastAsia="Times New Roman" w:hAnsi="Times New Roman"/>
          <w:sz w:val="14"/>
          <w:szCs w:val="14"/>
          <w:color w:val="auto"/>
        </w:rPr>
        <w:t>. Agent shall not have advised the Company that the Registration Statement, the Prospectus or the Times of Sales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Section 6.  INDEMNIFICATION AND CONTRIBUTION</w:t>
      </w:r>
    </w:p>
    <w:p>
      <w:pPr>
        <w:spacing w:after="0" w:line="89" w:lineRule="exact"/>
        <w:rPr>
          <w:sz w:val="20"/>
          <w:szCs w:val="20"/>
          <w:color w:val="auto"/>
        </w:rPr>
      </w:pPr>
    </w:p>
    <w:p>
      <w:pPr>
        <w:ind w:left="340" w:right="459" w:firstLine="334"/>
        <w:spacing w:after="0" w:line="265" w:lineRule="auto"/>
        <w:rPr>
          <w:sz w:val="20"/>
          <w:szCs w:val="20"/>
          <w:color w:val="auto"/>
        </w:rPr>
      </w:pPr>
      <w:r>
        <w:rPr>
          <w:rFonts w:ascii="Times New Roman" w:cs="Times New Roman" w:eastAsia="Times New Roman" w:hAnsi="Times New Roman"/>
          <w:sz w:val="13"/>
          <w:szCs w:val="13"/>
          <w:color w:val="auto"/>
        </w:rPr>
        <w:t xml:space="preserve">(a)  </w:t>
      </w:r>
      <w:r>
        <w:rPr>
          <w:rFonts w:ascii="Times New Roman" w:cs="Times New Roman" w:eastAsia="Times New Roman" w:hAnsi="Times New Roman"/>
          <w:sz w:val="13"/>
          <w:szCs w:val="13"/>
          <w:u w:val="single" w:color="auto"/>
          <w:color w:val="auto"/>
        </w:rPr>
        <w:t>Indemnification of the Agent</w:t>
      </w:r>
      <w:r>
        <w:rPr>
          <w:rFonts w:ascii="Times New Roman" w:cs="Times New Roman" w:eastAsia="Times New Roman" w:hAnsi="Times New Roman"/>
          <w:sz w:val="13"/>
          <w:szCs w:val="13"/>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w:t>
      </w:r>
    </w:p>
    <w:p>
      <w:pPr>
        <w:spacing w:after="0" w:line="1" w:lineRule="exact"/>
        <w:rPr>
          <w:sz w:val="20"/>
          <w:szCs w:val="20"/>
          <w:color w:val="auto"/>
        </w:rPr>
      </w:pPr>
    </w:p>
    <w:p>
      <w:pPr>
        <w:ind w:left="340" w:right="379" w:hanging="10"/>
        <w:spacing w:after="0" w:line="246" w:lineRule="auto"/>
        <w:tabs>
          <w:tab w:leader="none" w:pos="541"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39" w:right="1440" w:bottom="1440" w:gutter="0" w:footer="0" w:header="0"/>
        </w:sectPr>
      </w:pPr>
    </w:p>
    <w:bookmarkStart w:id="95" w:name="page96"/>
    <w:bookmarkEnd w:id="95"/>
    <w:p>
      <w:pPr>
        <w:ind w:left="340" w:right="339"/>
        <w:spacing w:after="0" w:line="24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fact necessary in order to make the statements therein, in the light of the circumstances under which they were made, not misleading; or (iii) any act or failure to act or any alleged act or failure to act by the Agent in connection with, or relating in any manner to, the Common Shares or the offering contemplated hereby, and which is included as part of or referred to in any loss, claim, damage, liability or action arising out of or based upon any matter covered by clause (i) or (ii) above, provided that the Company shall not be liable under this clause (iii) to the extent that a court of competent jurisdiction shall have determined by a final judgment that such loss, claim, damage, liability or action resulted directly from any such acts or failures to act undertaken or omitted to be taken by the Agent through its bad faith or willful misconduct, and to reimburse the Agent and each such officer, employee and controlling person for any and all expenses (including the reasonable and documented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under the caption “Plan of Distribution” in the Prospectus (the “</w:t>
      </w:r>
      <w:r>
        <w:rPr>
          <w:rFonts w:ascii="Times New Roman" w:cs="Times New Roman" w:eastAsia="Times New Roman" w:hAnsi="Times New Roman"/>
          <w:sz w:val="14"/>
          <w:szCs w:val="14"/>
          <w:b w:val="1"/>
          <w:bCs w:val="1"/>
          <w:color w:val="auto"/>
        </w:rPr>
        <w:t>Agent Information</w:t>
      </w:r>
      <w:r>
        <w:rPr>
          <w:rFonts w:ascii="Times New Roman" w:cs="Times New Roman" w:eastAsia="Times New Roman" w:hAnsi="Times New Roman"/>
          <w:sz w:val="14"/>
          <w:szCs w:val="14"/>
          <w:color w:val="auto"/>
        </w:rPr>
        <w:t xml:space="preserve">”). The indemnity agreement set forth in this </w:t>
      </w:r>
      <w:r>
        <w:rPr>
          <w:rFonts w:ascii="Times New Roman" w:cs="Times New Roman" w:eastAsia="Times New Roman" w:hAnsi="Times New Roman"/>
          <w:sz w:val="14"/>
          <w:szCs w:val="14"/>
          <w:u w:val="single" w:color="auto"/>
          <w:color w:val="auto"/>
        </w:rPr>
        <w:t>Section 6(a)</w:t>
      </w:r>
      <w:r>
        <w:rPr>
          <w:rFonts w:ascii="Times New Roman" w:cs="Times New Roman" w:eastAsia="Times New Roman" w:hAnsi="Times New Roman"/>
          <w:sz w:val="14"/>
          <w:szCs w:val="14"/>
          <w:color w:val="auto"/>
        </w:rPr>
        <w:t xml:space="preserve"> shall be in addition to any liabilities that the Company may otherwise have.</w:t>
      </w:r>
    </w:p>
    <w:p>
      <w:pPr>
        <w:spacing w:after="0" w:line="153" w:lineRule="exact"/>
        <w:rPr>
          <w:sz w:val="20"/>
          <w:szCs w:val="20"/>
          <w:color w:val="auto"/>
        </w:rPr>
      </w:pPr>
    </w:p>
    <w:p>
      <w:pPr>
        <w:ind w:left="340" w:right="339" w:firstLine="334"/>
        <w:spacing w:after="0" w:line="245" w:lineRule="auto"/>
        <w:rPr>
          <w:sz w:val="20"/>
          <w:szCs w:val="20"/>
          <w:color w:val="auto"/>
        </w:rPr>
      </w:pPr>
      <w:r>
        <w:rPr>
          <w:rFonts w:ascii="Times New Roman" w:cs="Times New Roman" w:eastAsia="Times New Roman" w:hAnsi="Times New Roman"/>
          <w:sz w:val="14"/>
          <w:szCs w:val="14"/>
          <w:color w:val="auto"/>
        </w:rPr>
        <w:t xml:space="preserve">(b)  </w:t>
      </w:r>
      <w:r>
        <w:rPr>
          <w:rFonts w:ascii="Times New Roman" w:cs="Times New Roman" w:eastAsia="Times New Roman" w:hAnsi="Times New Roman"/>
          <w:sz w:val="14"/>
          <w:szCs w:val="14"/>
          <w:u w:val="single" w:color="auto"/>
          <w:color w:val="auto"/>
        </w:rPr>
        <w:t>Indemnification of the Company</w:t>
      </w:r>
      <w:r>
        <w:rPr>
          <w:rFonts w:ascii="Times New Roman" w:cs="Times New Roman" w:eastAsia="Times New Roman" w:hAnsi="Times New Roman"/>
          <w:sz w:val="14"/>
          <w:szCs w:val="14"/>
          <w:color w:val="auto"/>
        </w:rPr>
        <w:t>.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the Agent Information, and to reimburse the Company and each such director, officer and controlling person for any and all reasonable and documented</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39" w:right="1440" w:bottom="1440" w:gutter="0" w:footer="0" w:header="0"/>
        </w:sectPr>
      </w:pPr>
    </w:p>
    <w:bookmarkStart w:id="96" w:name="page97"/>
    <w:bookmarkEnd w:id="96"/>
    <w:p>
      <w:pPr>
        <w:jc w:val="both"/>
        <w:ind w:left="340" w:right="51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expenses (including the reasonable and documented fees and disbursements of one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Section 6(b) shall be in addition to any liabilities that the Agent or the Company may otherwise have.</w:t>
      </w:r>
    </w:p>
    <w:p>
      <w:pPr>
        <w:spacing w:after="0" w:line="145" w:lineRule="exact"/>
        <w:rPr>
          <w:sz w:val="20"/>
          <w:szCs w:val="20"/>
          <w:color w:val="auto"/>
        </w:rPr>
      </w:pPr>
    </w:p>
    <w:p>
      <w:pPr>
        <w:ind w:left="340" w:right="359" w:firstLine="334"/>
        <w:spacing w:after="0" w:line="264" w:lineRule="auto"/>
        <w:rPr>
          <w:sz w:val="20"/>
          <w:szCs w:val="20"/>
          <w:color w:val="auto"/>
        </w:rPr>
      </w:pPr>
      <w:r>
        <w:rPr>
          <w:rFonts w:ascii="Times New Roman" w:cs="Times New Roman" w:eastAsia="Times New Roman" w:hAnsi="Times New Roman"/>
          <w:sz w:val="13"/>
          <w:szCs w:val="13"/>
          <w:color w:val="auto"/>
        </w:rPr>
        <w:t xml:space="preserve">(c)  </w:t>
      </w:r>
      <w:r>
        <w:rPr>
          <w:rFonts w:ascii="Times New Roman" w:cs="Times New Roman" w:eastAsia="Times New Roman" w:hAnsi="Times New Roman"/>
          <w:sz w:val="13"/>
          <w:szCs w:val="13"/>
          <w:u w:val="single" w:color="auto"/>
          <w:color w:val="auto"/>
        </w:rPr>
        <w:t>Notifications and Other Indemnification Procedures</w:t>
      </w:r>
      <w:r>
        <w:rPr>
          <w:rFonts w:ascii="Times New Roman" w:cs="Times New Roman" w:eastAsia="Times New Roman" w:hAnsi="Times New Roman"/>
          <w:sz w:val="13"/>
          <w:szCs w:val="13"/>
          <w:color w:val="auto"/>
        </w:rPr>
        <w:t xml:space="preserve">. Promptly after receipt by an indemnified party under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of notice of the commencement of any action, such indemnified party will, if a claim in respect thereof is to be made against an indemnifying party under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Agent (in the case of counsel for the indemnified parties referred to in </w:t>
      </w:r>
      <w:r>
        <w:rPr>
          <w:rFonts w:ascii="Times New Roman" w:cs="Times New Roman" w:eastAsia="Times New Roman" w:hAnsi="Times New Roman"/>
          <w:sz w:val="13"/>
          <w:szCs w:val="13"/>
          <w:u w:val="single" w:color="auto"/>
          <w:color w:val="auto"/>
        </w:rPr>
        <w:t>Section 6(a)</w:t>
      </w:r>
      <w:r>
        <w:rPr>
          <w:rFonts w:ascii="Times New Roman" w:cs="Times New Roman" w:eastAsia="Times New Roman" w:hAnsi="Times New Roman"/>
          <w:sz w:val="13"/>
          <w:szCs w:val="13"/>
          <w:color w:val="auto"/>
        </w:rPr>
        <w:t xml:space="preserve">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311" w:lineRule="exact"/>
        <w:rPr>
          <w:sz w:val="20"/>
          <w:szCs w:val="20"/>
          <w:color w:val="auto"/>
        </w:rPr>
      </w:pPr>
    </w:p>
    <w:p>
      <w:pPr>
        <w:ind w:left="340" w:right="399" w:firstLine="334"/>
        <w:spacing w:after="0" w:line="265" w:lineRule="auto"/>
        <w:rPr>
          <w:sz w:val="20"/>
          <w:szCs w:val="20"/>
          <w:color w:val="auto"/>
        </w:rPr>
      </w:pPr>
      <w:r>
        <w:rPr>
          <w:rFonts w:ascii="Times New Roman" w:cs="Times New Roman" w:eastAsia="Times New Roman" w:hAnsi="Times New Roman"/>
          <w:sz w:val="14"/>
          <w:szCs w:val="14"/>
          <w:color w:val="auto"/>
        </w:rPr>
        <w:t xml:space="preserve">(d)  </w:t>
      </w:r>
      <w:r>
        <w:rPr>
          <w:rFonts w:ascii="Times New Roman" w:cs="Times New Roman" w:eastAsia="Times New Roman" w:hAnsi="Times New Roman"/>
          <w:sz w:val="14"/>
          <w:szCs w:val="14"/>
          <w:u w:val="single" w:color="auto"/>
          <w:color w:val="auto"/>
        </w:rPr>
        <w:t>Settlements</w:t>
      </w:r>
      <w:r>
        <w:rPr>
          <w:rFonts w:ascii="Times New Roman" w:cs="Times New Roman" w:eastAsia="Times New Roman" w:hAnsi="Times New Roman"/>
          <w:sz w:val="14"/>
          <w:szCs w:val="14"/>
          <w:color w:val="auto"/>
        </w:rPr>
        <w:t xml:space="preserve">. The indemnifying party under this </w:t>
      </w:r>
      <w:r>
        <w:rPr>
          <w:rFonts w:ascii="Times New Roman" w:cs="Times New Roman" w:eastAsia="Times New Roman" w:hAnsi="Times New Roman"/>
          <w:sz w:val="14"/>
          <w:szCs w:val="14"/>
          <w:u w:val="single" w:color="auto"/>
          <w:color w:val="auto"/>
        </w:rPr>
        <w:t>Section 6</w:t>
      </w:r>
      <w:r>
        <w:rPr>
          <w:rFonts w:ascii="Times New Roman" w:cs="Times New Roman" w:eastAsia="Times New Roman" w:hAnsi="Times New Roman"/>
          <w:sz w:val="14"/>
          <w:szCs w:val="14"/>
          <w:color w:val="auto"/>
        </w:rPr>
        <w:t xml:space="preserve"> shall not be liable for any settlement of any proceeding effected without its written consent, but if settled with such consent or if there be a final judgment for the plaintiff, the indemnifying party agrees to indemnify the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39" w:right="1440" w:bottom="1440" w:gutter="0" w:footer="0" w:header="0"/>
        </w:sectPr>
      </w:pPr>
    </w:p>
    <w:bookmarkStart w:id="97" w:name="page98"/>
    <w:bookmarkEnd w:id="97"/>
    <w:p>
      <w:pPr>
        <w:ind w:left="340" w:right="43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 xml:space="preserve">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Times New Roman" w:cs="Times New Roman" w:eastAsia="Times New Roman" w:hAnsi="Times New Roman"/>
          <w:sz w:val="13"/>
          <w:szCs w:val="13"/>
          <w:u w:val="single" w:color="auto"/>
          <w:color w:val="auto"/>
        </w:rPr>
        <w:t>Section 6(c)</w:t>
      </w:r>
      <w:r>
        <w:rPr>
          <w:rFonts w:ascii="Times New Roman" w:cs="Times New Roman" w:eastAsia="Times New Roman" w:hAnsi="Times New Roman"/>
          <w:sz w:val="13"/>
          <w:szCs w:val="13"/>
          <w:color w:val="auto"/>
        </w:rPr>
        <w:t xml:space="preserve"> hereof, the indemnifying party agrees that it shall be liable for any settlement of any proceeding effected without its written consent if (i) such settlement is entered into more than 30 days after receipt by such indemnifying party of the aforesaid request; and</w:t>
      </w:r>
    </w:p>
    <w:p>
      <w:pPr>
        <w:spacing w:after="0" w:line="1" w:lineRule="exact"/>
        <w:rPr>
          <w:sz w:val="20"/>
          <w:szCs w:val="20"/>
          <w:color w:val="auto"/>
        </w:rPr>
      </w:pPr>
    </w:p>
    <w:p>
      <w:pPr>
        <w:ind w:left="340" w:right="359" w:hanging="10"/>
        <w:spacing w:after="0" w:line="245" w:lineRule="auto"/>
        <w:tabs>
          <w:tab w:leader="none" w:pos="541"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149" w:lineRule="exact"/>
        <w:rPr>
          <w:sz w:val="20"/>
          <w:szCs w:val="20"/>
          <w:color w:val="auto"/>
        </w:rPr>
      </w:pPr>
    </w:p>
    <w:p>
      <w:pPr>
        <w:ind w:left="340" w:right="359" w:firstLine="334"/>
        <w:spacing w:after="0" w:line="245" w:lineRule="auto"/>
        <w:rPr>
          <w:sz w:val="20"/>
          <w:szCs w:val="20"/>
          <w:color w:val="auto"/>
        </w:rPr>
      </w:pPr>
      <w:r>
        <w:rPr>
          <w:rFonts w:ascii="Times New Roman" w:cs="Times New Roman" w:eastAsia="Times New Roman" w:hAnsi="Times New Roman"/>
          <w:sz w:val="14"/>
          <w:szCs w:val="14"/>
          <w:color w:val="auto"/>
        </w:rPr>
        <w:t xml:space="preserve">(e)  </w:t>
      </w:r>
      <w:r>
        <w:rPr>
          <w:rFonts w:ascii="Times New Roman" w:cs="Times New Roman" w:eastAsia="Times New Roman" w:hAnsi="Times New Roman"/>
          <w:sz w:val="14"/>
          <w:szCs w:val="14"/>
          <w:u w:val="single" w:color="auto"/>
          <w:color w:val="auto"/>
        </w:rPr>
        <w:t>Contribution</w:t>
      </w:r>
      <w:r>
        <w:rPr>
          <w:rFonts w:ascii="Times New Roman" w:cs="Times New Roman" w:eastAsia="Times New Roman" w:hAnsi="Times New Roman"/>
          <w:sz w:val="14"/>
          <w:szCs w:val="14"/>
          <w:color w:val="auto"/>
        </w:rPr>
        <w:t xml:space="preserve">. If the indemnification provided for in this </w:t>
      </w:r>
      <w:r>
        <w:rPr>
          <w:rFonts w:ascii="Times New Roman" w:cs="Times New Roman" w:eastAsia="Times New Roman" w:hAnsi="Times New Roman"/>
          <w:sz w:val="14"/>
          <w:szCs w:val="14"/>
          <w:u w:val="single" w:color="auto"/>
          <w:color w:val="auto"/>
        </w:rPr>
        <w:t>Section 6</w:t>
      </w:r>
      <w:r>
        <w:rPr>
          <w:rFonts w:ascii="Times New Roman" w:cs="Times New Roman" w:eastAsia="Times New Roman" w:hAnsi="Times New Roman"/>
          <w:sz w:val="14"/>
          <w:szCs w:val="14"/>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55" w:lineRule="exact"/>
        <w:rPr>
          <w:sz w:val="20"/>
          <w:szCs w:val="20"/>
          <w:color w:val="auto"/>
        </w:rPr>
      </w:pPr>
    </w:p>
    <w:p>
      <w:pPr>
        <w:ind w:left="340" w:right="339" w:firstLine="334"/>
        <w:spacing w:after="0" w:line="249" w:lineRule="auto"/>
        <w:rPr>
          <w:sz w:val="20"/>
          <w:szCs w:val="20"/>
          <w:color w:val="auto"/>
        </w:rPr>
      </w:pPr>
      <w:r>
        <w:rPr>
          <w:rFonts w:ascii="Times New Roman" w:cs="Times New Roman" w:eastAsia="Times New Roman" w:hAnsi="Times New Roman"/>
          <w:sz w:val="14"/>
          <w:szCs w:val="14"/>
          <w:color w:val="auto"/>
        </w:rPr>
        <w:t xml:space="preserve">The amount paid or payable by a party as a result of the losses, claims, damages, liabilities and expenses referred to above shall be deemed to include, subject to the limitations set forth in </w:t>
      </w:r>
      <w:r>
        <w:rPr>
          <w:rFonts w:ascii="Times New Roman" w:cs="Times New Roman" w:eastAsia="Times New Roman" w:hAnsi="Times New Roman"/>
          <w:sz w:val="14"/>
          <w:szCs w:val="14"/>
          <w:u w:val="single" w:color="auto"/>
          <w:color w:val="auto"/>
        </w:rPr>
        <w:t>Section 6(c)</w:t>
      </w:r>
      <w:r>
        <w:rPr>
          <w:rFonts w:ascii="Times New Roman" w:cs="Times New Roman" w:eastAsia="Times New Roman" w:hAnsi="Times New Roman"/>
          <w:sz w:val="14"/>
          <w:szCs w:val="14"/>
          <w:color w:val="auto"/>
        </w:rPr>
        <w:t xml:space="preserve">, any legal or other fees or expenses reasonably incurred by such party in connection with investigating or defending any action or claim. The provisions set forth in </w:t>
      </w:r>
      <w:r>
        <w:rPr>
          <w:rFonts w:ascii="Times New Roman" w:cs="Times New Roman" w:eastAsia="Times New Roman" w:hAnsi="Times New Roman"/>
          <w:sz w:val="14"/>
          <w:szCs w:val="14"/>
          <w:u w:val="single" w:color="auto"/>
          <w:color w:val="auto"/>
        </w:rPr>
        <w:t>Section 6(c)</w:t>
      </w:r>
      <w:r>
        <w:rPr>
          <w:rFonts w:ascii="Times New Roman" w:cs="Times New Roman" w:eastAsia="Times New Roman" w:hAnsi="Times New Roman"/>
          <w:sz w:val="14"/>
          <w:szCs w:val="14"/>
          <w:color w:val="auto"/>
        </w:rPr>
        <w:t xml:space="preserve"> with respect to notice of commencement of any action shall apply if a claim for contribution is to be made under this </w:t>
      </w:r>
      <w:r>
        <w:rPr>
          <w:rFonts w:ascii="Times New Roman" w:cs="Times New Roman" w:eastAsia="Times New Roman" w:hAnsi="Times New Roman"/>
          <w:sz w:val="14"/>
          <w:szCs w:val="14"/>
          <w:u w:val="single" w:color="auto"/>
          <w:color w:val="auto"/>
        </w:rPr>
        <w:t>Section 6(c)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no additional notice shall be required with respect to any action for which notice has been given under </w:t>
      </w:r>
      <w:r>
        <w:rPr>
          <w:rFonts w:ascii="Times New Roman" w:cs="Times New Roman" w:eastAsia="Times New Roman" w:hAnsi="Times New Roman"/>
          <w:sz w:val="14"/>
          <w:szCs w:val="14"/>
          <w:u w:val="single" w:color="auto"/>
          <w:color w:val="auto"/>
        </w:rPr>
        <w:t>Section 6(c)</w:t>
      </w:r>
      <w:r>
        <w:rPr>
          <w:rFonts w:ascii="Times New Roman" w:cs="Times New Roman" w:eastAsia="Times New Roman" w:hAnsi="Times New Roman"/>
          <w:sz w:val="14"/>
          <w:szCs w:val="14"/>
          <w:color w:val="auto"/>
        </w:rPr>
        <w:t xml:space="preserve"> for purposes of indemnification.</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39" w:right="1440" w:bottom="1440" w:gutter="0" w:footer="0" w:header="0"/>
        </w:sectPr>
      </w:pPr>
    </w:p>
    <w:bookmarkStart w:id="98" w:name="page99"/>
    <w:bookmarkEnd w:id="98"/>
    <w:p>
      <w:pPr>
        <w:ind w:left="340" w:right="399" w:firstLine="334"/>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 xml:space="preserve">The Company and the Agent agree that it would not be just and equitable if contribution pursuant to this </w:t>
      </w:r>
      <w:r>
        <w:rPr>
          <w:rFonts w:ascii="Times New Roman" w:cs="Times New Roman" w:eastAsia="Times New Roman" w:hAnsi="Times New Roman"/>
          <w:sz w:val="14"/>
          <w:szCs w:val="14"/>
          <w:u w:val="single" w:color="auto"/>
          <w:color w:val="auto"/>
        </w:rPr>
        <w:t>Section 6(e)</w:t>
      </w:r>
      <w:r>
        <w:rPr>
          <w:rFonts w:ascii="Times New Roman" w:cs="Times New Roman" w:eastAsia="Times New Roman" w:hAnsi="Times New Roman"/>
          <w:sz w:val="14"/>
          <w:szCs w:val="14"/>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4"/>
          <w:szCs w:val="14"/>
          <w:u w:val="single" w:color="auto"/>
          <w:color w:val="auto"/>
        </w:rPr>
        <w:t>Section 6(e)</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340" w:right="339" w:firstLine="334"/>
        <w:spacing w:after="0" w:line="247" w:lineRule="auto"/>
        <w:rPr>
          <w:sz w:val="20"/>
          <w:szCs w:val="20"/>
          <w:color w:val="auto"/>
        </w:rPr>
      </w:pPr>
      <w:r>
        <w:rPr>
          <w:rFonts w:ascii="Times New Roman" w:cs="Times New Roman" w:eastAsia="Times New Roman" w:hAnsi="Times New Roman"/>
          <w:sz w:val="14"/>
          <w:szCs w:val="14"/>
          <w:color w:val="auto"/>
        </w:rPr>
        <w:t xml:space="preserve">Notwithstanding the provisions of this </w:t>
      </w:r>
      <w:r>
        <w:rPr>
          <w:rFonts w:ascii="Times New Roman" w:cs="Times New Roman" w:eastAsia="Times New Roman" w:hAnsi="Times New Roman"/>
          <w:sz w:val="14"/>
          <w:szCs w:val="14"/>
          <w:u w:val="single" w:color="auto"/>
          <w:color w:val="auto"/>
        </w:rPr>
        <w:t>Section 6(e)</w:t>
      </w:r>
      <w:r>
        <w:rPr>
          <w:rFonts w:ascii="Times New Roman" w:cs="Times New Roman" w:eastAsia="Times New Roman" w:hAnsi="Times New Roman"/>
          <w:sz w:val="14"/>
          <w:szCs w:val="14"/>
          <w:color w:val="auto"/>
        </w:rPr>
        <w:t xml:space="preserve">, the Agent shall not be required to contribute any amount in excess of the agent fees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Times New Roman" w:cs="Times New Roman" w:eastAsia="Times New Roman" w:hAnsi="Times New Roman"/>
          <w:sz w:val="14"/>
          <w:szCs w:val="14"/>
          <w:u w:val="single" w:color="auto"/>
          <w:color w:val="auto"/>
        </w:rPr>
        <w:t>Section 6(e)</w:t>
      </w:r>
      <w:r>
        <w:rPr>
          <w:rFonts w:ascii="Times New Roman" w:cs="Times New Roman" w:eastAsia="Times New Roman" w:hAnsi="Times New Roman"/>
          <w:sz w:val="14"/>
          <w:szCs w:val="14"/>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 the meaning of the Securities Act and the Exchange Act shall have the same rights to contribution as the Company.</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Section 7.  TERMINATION &amp; SURVIVAL</w:t>
      </w:r>
    </w:p>
    <w:p>
      <w:pPr>
        <w:spacing w:after="0" w:line="89" w:lineRule="exact"/>
        <w:rPr>
          <w:sz w:val="20"/>
          <w:szCs w:val="20"/>
          <w:color w:val="auto"/>
        </w:rPr>
      </w:pPr>
    </w:p>
    <w:p>
      <w:pPr>
        <w:ind w:left="340" w:right="459" w:firstLine="334"/>
        <w:spacing w:after="0" w:line="265" w:lineRule="auto"/>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Term</w:t>
      </w:r>
      <w:r>
        <w:rPr>
          <w:rFonts w:ascii="Times New Roman" w:cs="Times New Roman" w:eastAsia="Times New Roman" w:hAnsi="Times New Roman"/>
          <w:sz w:val="14"/>
          <w:szCs w:val="14"/>
          <w:color w:val="auto"/>
        </w:rPr>
        <w:t xml:space="preserve">. Subject to the provisions of this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the term of this Agreement shall continue from the date of this Agreement until the end of the Agency Period, unless earlier terminated by the parties to this Agreement pursuant to this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(b)   </w:t>
      </w:r>
      <w:r>
        <w:rPr>
          <w:rFonts w:ascii="Times New Roman" w:cs="Times New Roman" w:eastAsia="Times New Roman" w:hAnsi="Times New Roman"/>
          <w:sz w:val="14"/>
          <w:szCs w:val="14"/>
          <w:u w:val="single" w:color="auto"/>
          <w:color w:val="auto"/>
        </w:rPr>
        <w:t>Termination; Survival Following Termination</w:t>
      </w:r>
      <w:r>
        <w:rPr>
          <w:rFonts w:ascii="Times New Roman" w:cs="Times New Roman" w:eastAsia="Times New Roman" w:hAnsi="Times New Roman"/>
          <w:sz w:val="14"/>
          <w:szCs w:val="14"/>
          <w:color w:val="auto"/>
        </w:rPr>
        <w:t>.</w:t>
      </w:r>
    </w:p>
    <w:p>
      <w:pPr>
        <w:spacing w:after="0" w:line="95" w:lineRule="exact"/>
        <w:rPr>
          <w:sz w:val="20"/>
          <w:szCs w:val="20"/>
          <w:color w:val="auto"/>
        </w:rPr>
      </w:pPr>
    </w:p>
    <w:p>
      <w:pPr>
        <w:ind w:left="1320" w:right="439" w:hanging="325"/>
        <w:spacing w:after="0" w:line="248" w:lineRule="auto"/>
        <w:tabs>
          <w:tab w:leader="none" w:pos="13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Times New Roman" w:cs="Times New Roman" w:eastAsia="Times New Roman" w:hAnsi="Times New Roman"/>
          <w:sz w:val="14"/>
          <w:szCs w:val="14"/>
          <w:u w:val="single" w:color="auto"/>
          <w:color w:val="auto"/>
        </w:rPr>
        <w:t>Section 3(b)(v)</w:t>
      </w:r>
      <w:r>
        <w:rPr>
          <w:rFonts w:ascii="Times New Roman" w:cs="Times New Roman" w:eastAsia="Times New Roman" w:hAnsi="Times New Roman"/>
          <w:sz w:val="14"/>
          <w:szCs w:val="14"/>
          <w:color w:val="auto"/>
        </w:rPr>
        <w:t xml:space="preserve"> with respect to such Shares and (B)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76" w:lineRule="exact"/>
        <w:rPr>
          <w:rFonts w:ascii="Times New Roman" w:cs="Times New Roman" w:eastAsia="Times New Roman" w:hAnsi="Times New Roman"/>
          <w:sz w:val="14"/>
          <w:szCs w:val="14"/>
          <w:color w:val="auto"/>
        </w:rPr>
      </w:pPr>
    </w:p>
    <w:p>
      <w:pPr>
        <w:ind w:left="1320" w:right="379" w:hanging="325"/>
        <w:spacing w:after="0" w:line="249" w:lineRule="auto"/>
        <w:tabs>
          <w:tab w:leader="none" w:pos="13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addition to the survival provision of </w:t>
      </w:r>
      <w:r>
        <w:rPr>
          <w:rFonts w:ascii="Times New Roman" w:cs="Times New Roman" w:eastAsia="Times New Roman" w:hAnsi="Times New Roman"/>
          <w:sz w:val="14"/>
          <w:szCs w:val="14"/>
          <w:u w:val="single" w:color="auto"/>
          <w:color w:val="auto"/>
        </w:rPr>
        <w:t>Section 7(b)(i)</w:t>
      </w:r>
      <w:r>
        <w:rPr>
          <w:rFonts w:ascii="Times New Roman" w:cs="Times New Roman" w:eastAsia="Times New Roman" w:hAnsi="Times New Roman"/>
          <w:sz w:val="14"/>
          <w:szCs w:val="14"/>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Section 8.  MISCELLANEOUS</w:t>
      </w:r>
    </w:p>
    <w:p>
      <w:pPr>
        <w:spacing w:after="0" w:line="89" w:lineRule="exact"/>
        <w:rPr>
          <w:sz w:val="20"/>
          <w:szCs w:val="20"/>
          <w:color w:val="auto"/>
        </w:rPr>
      </w:pPr>
    </w:p>
    <w:p>
      <w:pPr>
        <w:ind w:left="340" w:right="359" w:firstLine="334"/>
        <w:spacing w:after="0" w:line="265" w:lineRule="auto"/>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Press Releases and Disclosure</w:t>
      </w:r>
      <w:r>
        <w:rPr>
          <w:rFonts w:ascii="Times New Roman" w:cs="Times New Roman" w:eastAsia="Times New Roman" w:hAnsi="Times New Roman"/>
          <w:sz w:val="14"/>
          <w:szCs w:val="14"/>
          <w:color w:val="auto"/>
        </w:rPr>
        <w:t>. The Company may issue a press release describing the material terms of the transactions contemplated hereby as soon as practicable following the date of this Agreement, and may file with the Commission a Current Report on Form 8-K, with</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39" w:right="1440" w:bottom="1440" w:gutter="0" w:footer="0" w:header="0"/>
        </w:sectPr>
      </w:pPr>
    </w:p>
    <w:bookmarkStart w:id="99" w:name="page100"/>
    <w:bookmarkEnd w:id="99"/>
    <w:p>
      <w:pPr>
        <w:ind w:left="340" w:right="339"/>
        <w:spacing w:after="0" w:line="24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152" w:lineRule="exact"/>
        <w:rPr>
          <w:sz w:val="20"/>
          <w:szCs w:val="20"/>
          <w:color w:val="auto"/>
        </w:rPr>
      </w:pPr>
    </w:p>
    <w:p>
      <w:pPr>
        <w:ind w:left="340" w:right="379" w:firstLine="334"/>
        <w:spacing w:after="0" w:line="246" w:lineRule="auto"/>
        <w:rPr>
          <w:sz w:val="20"/>
          <w:szCs w:val="20"/>
          <w:color w:val="auto"/>
        </w:rPr>
      </w:pPr>
      <w:r>
        <w:rPr>
          <w:rFonts w:ascii="Times New Roman" w:cs="Times New Roman" w:eastAsia="Times New Roman" w:hAnsi="Times New Roman"/>
          <w:sz w:val="14"/>
          <w:szCs w:val="14"/>
          <w:color w:val="auto"/>
        </w:rPr>
        <w:t xml:space="preserve">(b)  </w:t>
      </w:r>
      <w:r>
        <w:rPr>
          <w:rFonts w:ascii="Times New Roman" w:cs="Times New Roman" w:eastAsia="Times New Roman" w:hAnsi="Times New Roman"/>
          <w:sz w:val="14"/>
          <w:szCs w:val="14"/>
          <w:u w:val="single" w:color="auto"/>
          <w:color w:val="auto"/>
        </w:rPr>
        <w:t>No Advisory or Fiduciary Relationship</w:t>
      </w:r>
      <w:r>
        <w:rPr>
          <w:rFonts w:ascii="Times New Roman" w:cs="Times New Roman" w:eastAsia="Times New Roman" w:hAnsi="Times New Roman"/>
          <w:sz w:val="14"/>
          <w:szCs w:val="14"/>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and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50" w:lineRule="exact"/>
        <w:rPr>
          <w:sz w:val="20"/>
          <w:szCs w:val="20"/>
          <w:color w:val="auto"/>
        </w:rPr>
      </w:pPr>
    </w:p>
    <w:p>
      <w:pPr>
        <w:ind w:left="340" w:right="359" w:firstLine="334"/>
        <w:spacing w:after="0" w:line="247" w:lineRule="auto"/>
        <w:rPr>
          <w:sz w:val="20"/>
          <w:szCs w:val="20"/>
          <w:color w:val="auto"/>
        </w:rPr>
      </w:pPr>
      <w:r>
        <w:rPr>
          <w:rFonts w:ascii="Times New Roman" w:cs="Times New Roman" w:eastAsia="Times New Roman" w:hAnsi="Times New Roman"/>
          <w:sz w:val="14"/>
          <w:szCs w:val="14"/>
          <w:color w:val="auto"/>
        </w:rPr>
        <w:t xml:space="preserve">(c)  </w:t>
      </w:r>
      <w:r>
        <w:rPr>
          <w:rFonts w:ascii="Times New Roman" w:cs="Times New Roman" w:eastAsia="Times New Roman" w:hAnsi="Times New Roman"/>
          <w:sz w:val="14"/>
          <w:szCs w:val="14"/>
          <w:u w:val="single" w:color="auto"/>
          <w:color w:val="auto"/>
        </w:rPr>
        <w:t>Research Analyst Independence</w:t>
      </w:r>
      <w:r>
        <w:rPr>
          <w:rFonts w:ascii="Times New Roman" w:cs="Times New Roman" w:eastAsia="Times New Roman" w:hAnsi="Times New Roman"/>
          <w:sz w:val="14"/>
          <w:szCs w:val="14"/>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39" w:right="1440" w:bottom="1440" w:gutter="0" w:footer="0" w:header="0"/>
        </w:sectPr>
      </w:pPr>
    </w:p>
    <w:bookmarkStart w:id="100" w:name="page101"/>
    <w:bookmarkEnd w:id="100"/>
    <w:p>
      <w:pPr>
        <w:ind w:left="340" w:right="599" w:firstLine="334"/>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 xml:space="preserve">(d)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communications hereunder shall be in writing and shall be mailed, hand delivered or telecopied and confirmed to the parties hereto as follows: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If to the Agent:</w:t>
      </w:r>
    </w:p>
    <w:p>
      <w:pPr>
        <w:spacing w:after="0" w:line="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Jefferies LLC</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520 Madison Avenue</w:t>
      </w:r>
    </w:p>
    <w:p>
      <w:pPr>
        <w:spacing w:after="0" w:line="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New York, NY 10022</w:t>
      </w:r>
    </w:p>
    <w:p>
      <w:pPr>
        <w:spacing w:after="0" w:line="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Attention: General Counsel</w:t>
      </w:r>
    </w:p>
    <w:p>
      <w:pPr>
        <w:spacing w:after="0" w:line="1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Paul Hastings LLP</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The MetLife Building</w:t>
      </w:r>
    </w:p>
    <w:p>
      <w:pPr>
        <w:spacing w:after="0" w:line="3" w:lineRule="exact"/>
        <w:rPr>
          <w:sz w:val="20"/>
          <w:szCs w:val="20"/>
          <w:color w:val="auto"/>
        </w:rPr>
      </w:pPr>
    </w:p>
    <w:p>
      <w:pPr>
        <w:ind w:left="920" w:right="6899" w:hanging="6"/>
        <w:spacing w:after="0" w:line="262" w:lineRule="auto"/>
        <w:tabs>
          <w:tab w:leader="none" w:pos="1159"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Park Avenue New York, NY 10166</w:t>
      </w:r>
    </w:p>
    <w:p>
      <w:pPr>
        <w:ind w:left="9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Attention: Siavosh Salimi and William A. Magioncalda.</w:t>
      </w:r>
    </w:p>
    <w:p>
      <w:pPr>
        <w:spacing w:after="0" w:line="1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If to the Company:</w:t>
      </w:r>
    </w:p>
    <w:p>
      <w:pPr>
        <w:spacing w:after="0" w:line="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ProKidney Corp.</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2000 Frontis Plaza Blvd.</w:t>
      </w:r>
    </w:p>
    <w:p>
      <w:pPr>
        <w:spacing w:after="0" w:line="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Suite 250</w:t>
      </w:r>
    </w:p>
    <w:p>
      <w:pPr>
        <w:spacing w:after="0" w:line="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Winston-Salem, NC 27103</w:t>
      </w:r>
    </w:p>
    <w:p>
      <w:pPr>
        <w:spacing w:after="0" w:line="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Attention: Todd Girolamo</w:t>
      </w:r>
    </w:p>
    <w:p>
      <w:pPr>
        <w:spacing w:after="0" w:line="1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Mintz, Levin, Cohn, Ferris, Glovksy and Popeo, P.C.</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One Financial Center</w:t>
      </w:r>
    </w:p>
    <w:p>
      <w:pPr>
        <w:spacing w:after="0" w:line="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Boston, MA 02111</w:t>
      </w:r>
    </w:p>
    <w:p>
      <w:pPr>
        <w:spacing w:after="0" w:line="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Attention: William C. Hicks and Jason S. McCaffrey.</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 xml:space="preserve">Any party hereto may change the address for receipt of communications by giving written notice to the others in accordance with this </w:t>
      </w:r>
      <w:r>
        <w:rPr>
          <w:rFonts w:ascii="Times New Roman" w:cs="Times New Roman" w:eastAsia="Times New Roman" w:hAnsi="Times New Roman"/>
          <w:sz w:val="14"/>
          <w:szCs w:val="14"/>
          <w:u w:val="single" w:color="auto"/>
          <w:color w:val="auto"/>
        </w:rPr>
        <w:t>Section 8(d)</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340" w:right="459" w:firstLine="334"/>
        <w:spacing w:after="0" w:line="283" w:lineRule="auto"/>
        <w:rPr>
          <w:sz w:val="20"/>
          <w:szCs w:val="20"/>
          <w:color w:val="auto"/>
        </w:rPr>
      </w:pPr>
      <w:r>
        <w:rPr>
          <w:rFonts w:ascii="Times New Roman" w:cs="Times New Roman" w:eastAsia="Times New Roman" w:hAnsi="Times New Roman"/>
          <w:sz w:val="13"/>
          <w:szCs w:val="13"/>
          <w:color w:val="auto"/>
        </w:rPr>
        <w:t xml:space="preserve">(e)  </w:t>
      </w:r>
      <w:r>
        <w:rPr>
          <w:rFonts w:ascii="Times New Roman" w:cs="Times New Roman" w:eastAsia="Times New Roman" w:hAnsi="Times New Roman"/>
          <w:sz w:val="13"/>
          <w:szCs w:val="13"/>
          <w:u w:val="single" w:color="auto"/>
          <w:color w:val="auto"/>
        </w:rPr>
        <w:t>Successors</w:t>
      </w:r>
      <w:r>
        <w:rPr>
          <w:rFonts w:ascii="Times New Roman" w:cs="Times New Roman" w:eastAsia="Times New Roman" w:hAnsi="Times New Roman"/>
          <w:sz w:val="13"/>
          <w:szCs w:val="13"/>
          <w:color w:val="auto"/>
        </w:rPr>
        <w:t xml:space="preserve">. This Agreement will inure to the benefit of and be binding upon the parties hereto, and to the benefit of the employees, officers and directors and controlling persons referred to in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126" w:lineRule="exact"/>
        <w:rPr>
          <w:sz w:val="20"/>
          <w:szCs w:val="20"/>
          <w:color w:val="auto"/>
        </w:rPr>
      </w:pPr>
    </w:p>
    <w:p>
      <w:pPr>
        <w:ind w:left="340" w:right="419" w:firstLine="334"/>
        <w:spacing w:after="0" w:line="251" w:lineRule="auto"/>
        <w:rPr>
          <w:sz w:val="20"/>
          <w:szCs w:val="20"/>
          <w:color w:val="auto"/>
        </w:rPr>
      </w:pPr>
      <w:r>
        <w:rPr>
          <w:rFonts w:ascii="Times New Roman" w:cs="Times New Roman" w:eastAsia="Times New Roman" w:hAnsi="Times New Roman"/>
          <w:sz w:val="14"/>
          <w:szCs w:val="14"/>
          <w:color w:val="auto"/>
        </w:rPr>
        <w:t xml:space="preserve">(f)  </w:t>
      </w:r>
      <w:r>
        <w:rPr>
          <w:rFonts w:ascii="Times New Roman" w:cs="Times New Roman" w:eastAsia="Times New Roman" w:hAnsi="Times New Roman"/>
          <w:sz w:val="14"/>
          <w:szCs w:val="14"/>
          <w:u w:val="single" w:color="auto"/>
          <w:color w:val="auto"/>
        </w:rPr>
        <w:t>Partial Unenforceability</w:t>
      </w:r>
      <w:r>
        <w:rPr>
          <w:rFonts w:ascii="Times New Roman" w:cs="Times New Roman" w:eastAsia="Times New Roman" w:hAnsi="Times New Roman"/>
          <w:sz w:val="14"/>
          <w:szCs w:val="14"/>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45" w:lineRule="exact"/>
        <w:rPr>
          <w:sz w:val="20"/>
          <w:szCs w:val="20"/>
          <w:color w:val="auto"/>
        </w:rPr>
      </w:pPr>
    </w:p>
    <w:p>
      <w:pPr>
        <w:ind w:left="340" w:right="359" w:firstLine="334"/>
        <w:spacing w:after="0" w:line="254" w:lineRule="auto"/>
        <w:rPr>
          <w:sz w:val="20"/>
          <w:szCs w:val="20"/>
          <w:color w:val="auto"/>
        </w:rPr>
      </w:pPr>
      <w:r>
        <w:rPr>
          <w:rFonts w:ascii="Times New Roman" w:cs="Times New Roman" w:eastAsia="Times New Roman" w:hAnsi="Times New Roman"/>
          <w:sz w:val="14"/>
          <w:szCs w:val="14"/>
          <w:color w:val="auto"/>
        </w:rPr>
        <w:t xml:space="preserve">(g)  </w:t>
      </w:r>
      <w:r>
        <w:rPr>
          <w:rFonts w:ascii="Times New Roman" w:cs="Times New Roman" w:eastAsia="Times New Roman" w:hAnsi="Times New Roman"/>
          <w:sz w:val="14"/>
          <w:szCs w:val="14"/>
          <w:u w:val="single" w:color="auto"/>
          <w:color w:val="auto"/>
        </w:rPr>
        <w:t>Recognition of U.S. Special Resolutions Regimes</w:t>
      </w:r>
      <w:r>
        <w:rPr>
          <w:rFonts w:ascii="Times New Roman" w:cs="Times New Roman" w:eastAsia="Times New Roman" w:hAnsi="Times New Roman"/>
          <w:sz w:val="14"/>
          <w:szCs w:val="14"/>
          <w:color w:val="auto"/>
        </w:rPr>
        <w:t>. 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39" w:right="1440" w:bottom="1440" w:gutter="0" w:footer="0" w:header="0"/>
        </w:sectPr>
      </w:pPr>
    </w:p>
    <w:bookmarkStart w:id="101" w:name="page102"/>
    <w:bookmarkEnd w:id="101"/>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Special Resolution Regime if this Agreement, and any such interest and obligation, were governed by the laws of the United States or a state of the</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United States. In the event that the Agent is a Covered Entity and the Agent or a BHC Act Affiliate of the Agent becomes subject to a proceeding under</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 U.S. Special Resolution Regime, Default Rights under this Agreement that may be exercised against the Agent are permitted to be exercised to no</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greater extent than such Default Rights could be exercised under the U.S. Special Resolution Regime if this Agreement were governed by the laws of</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United States or a state of the United States. For purposes of this Agreement, (A) “</w:t>
      </w:r>
      <w:r>
        <w:rPr>
          <w:rFonts w:ascii="Times New Roman" w:cs="Times New Roman" w:eastAsia="Times New Roman" w:hAnsi="Times New Roman"/>
          <w:sz w:val="14"/>
          <w:szCs w:val="14"/>
          <w:b w:val="1"/>
          <w:bCs w:val="1"/>
          <w:color w:val="auto"/>
        </w:rPr>
        <w:t>BHC Act Affiliate</w:t>
      </w:r>
      <w:r>
        <w:rPr>
          <w:rFonts w:ascii="Times New Roman" w:cs="Times New Roman" w:eastAsia="Times New Roman" w:hAnsi="Times New Roman"/>
          <w:sz w:val="14"/>
          <w:szCs w:val="14"/>
          <w:color w:val="auto"/>
        </w:rPr>
        <w:t>” has the meaning assigned to the term</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“affiliate” in, and shall be interpreted in accordance with, 12 U.S.C. § 1841(k); (B) “</w:t>
      </w:r>
      <w:r>
        <w:rPr>
          <w:rFonts w:ascii="Times New Roman" w:cs="Times New Roman" w:eastAsia="Times New Roman" w:hAnsi="Times New Roman"/>
          <w:sz w:val="13"/>
          <w:szCs w:val="13"/>
          <w:b w:val="1"/>
          <w:bCs w:val="1"/>
          <w:color w:val="auto"/>
        </w:rPr>
        <w:t>Covered Entity</w:t>
      </w:r>
      <w:r>
        <w:rPr>
          <w:rFonts w:ascii="Times New Roman" w:cs="Times New Roman" w:eastAsia="Times New Roman" w:hAnsi="Times New Roman"/>
          <w:sz w:val="13"/>
          <w:szCs w:val="13"/>
          <w:color w:val="auto"/>
        </w:rPr>
        <w:t>” means any of the following: (i) a “covered entity”</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as that term is defined in, and interpreted in accordance with, 12 C.F.R. § 252.82(b); (ii) a “covered bank” as that term is defined in, and interpreted in</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accordance with, 12 C.F.R. § 47.3(b); or (iii) a “covered FSI” as that term is defined in, and interpreted in accordance with, 12 C.F.R. § 382.2(b); (C)</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Default Right</w:t>
      </w:r>
      <w:r>
        <w:rPr>
          <w:rFonts w:ascii="Times New Roman" w:cs="Times New Roman" w:eastAsia="Times New Roman" w:hAnsi="Times New Roman"/>
          <w:sz w:val="13"/>
          <w:szCs w:val="13"/>
          <w:color w:val="auto"/>
        </w:rPr>
        <w:t>” has the meaning assigned to that term in, and shall be interpreted in accordance with, 12 C.F.R. §§ 252.81, 47.2 or 382.1, as applicable;</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and (D) “</w:t>
      </w:r>
      <w:r>
        <w:rPr>
          <w:rFonts w:ascii="Times New Roman" w:cs="Times New Roman" w:eastAsia="Times New Roman" w:hAnsi="Times New Roman"/>
          <w:sz w:val="14"/>
          <w:szCs w:val="14"/>
          <w:b w:val="1"/>
          <w:bCs w:val="1"/>
          <w:color w:val="auto"/>
        </w:rPr>
        <w:t>U.S. Special Resolution Regime</w:t>
      </w:r>
      <w:r>
        <w:rPr>
          <w:rFonts w:ascii="Times New Roman" w:cs="Times New Roman" w:eastAsia="Times New Roman" w:hAnsi="Times New Roman"/>
          <w:sz w:val="14"/>
          <w:szCs w:val="14"/>
          <w:color w:val="auto"/>
        </w:rPr>
        <w:t>” means each of (i) the Federal Deposit Insurance Act and the regulations promulgated thereunder and</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(ii) Title II of the Dodd-Frank Wall Street Reform and Consumer Protection Act and the regulations promulgated thereunder.</w:t>
      </w:r>
    </w:p>
    <w:p>
      <w:pPr>
        <w:spacing w:after="0" w:line="155" w:lineRule="exact"/>
        <w:rPr>
          <w:sz w:val="20"/>
          <w:szCs w:val="20"/>
          <w:color w:val="auto"/>
        </w:rPr>
      </w:pPr>
    </w:p>
    <w:p>
      <w:pPr>
        <w:ind w:left="340" w:right="359" w:firstLine="334"/>
        <w:spacing w:after="0" w:line="246" w:lineRule="auto"/>
        <w:rPr>
          <w:sz w:val="20"/>
          <w:szCs w:val="20"/>
          <w:color w:val="auto"/>
        </w:rPr>
      </w:pPr>
      <w:r>
        <w:rPr>
          <w:rFonts w:ascii="Times New Roman" w:cs="Times New Roman" w:eastAsia="Times New Roman" w:hAnsi="Times New Roman"/>
          <w:sz w:val="14"/>
          <w:szCs w:val="14"/>
          <w:color w:val="auto"/>
        </w:rPr>
        <w:t xml:space="preserve">(h)  </w:t>
      </w:r>
      <w:r>
        <w:rPr>
          <w:rFonts w:ascii="Times New Roman" w:cs="Times New Roman" w:eastAsia="Times New Roman" w:hAnsi="Times New Roman"/>
          <w:sz w:val="14"/>
          <w:szCs w:val="14"/>
          <w:u w:val="single" w:color="auto"/>
          <w:color w:val="auto"/>
        </w:rPr>
        <w:t>Governing Law Provisions</w:t>
      </w:r>
      <w:r>
        <w:rPr>
          <w:rFonts w:ascii="Times New Roman" w:cs="Times New Roman" w:eastAsia="Times New Roman" w:hAnsi="Times New Roman"/>
          <w:sz w:val="14"/>
          <w:szCs w:val="14"/>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14"/>
          <w:szCs w:val="14"/>
          <w:b w:val="1"/>
          <w:bCs w:val="1"/>
          <w:color w:val="auto"/>
        </w:rPr>
        <w:t>Specified Courts</w:t>
      </w:r>
      <w:r>
        <w:rPr>
          <w:rFonts w:ascii="Times New Roman" w:cs="Times New Roman" w:eastAsia="Times New Roman" w:hAnsi="Times New Roman"/>
          <w:sz w:val="14"/>
          <w:szCs w:val="14"/>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50" w:lineRule="exact"/>
        <w:rPr>
          <w:sz w:val="20"/>
          <w:szCs w:val="20"/>
          <w:color w:val="auto"/>
        </w:rPr>
      </w:pPr>
    </w:p>
    <w:p>
      <w:pPr>
        <w:ind w:left="340" w:right="379" w:firstLine="334"/>
        <w:spacing w:after="0" w:line="247" w:lineRule="auto"/>
        <w:rPr>
          <w:sz w:val="20"/>
          <w:szCs w:val="20"/>
          <w:color w:val="auto"/>
        </w:rPr>
      </w:pPr>
      <w:r>
        <w:rPr>
          <w:rFonts w:ascii="Times New Roman" w:cs="Times New Roman" w:eastAsia="Times New Roman" w:hAnsi="Times New Roman"/>
          <w:sz w:val="14"/>
          <w:szCs w:val="14"/>
          <w:color w:val="auto"/>
        </w:rPr>
        <w:t xml:space="preserve">(i)  </w:t>
      </w:r>
      <w:r>
        <w:rPr>
          <w:rFonts w:ascii="Times New Roman" w:cs="Times New Roman" w:eastAsia="Times New Roman" w:hAnsi="Times New Roman"/>
          <w:sz w:val="14"/>
          <w:szCs w:val="14"/>
          <w:u w:val="single" w:color="auto"/>
          <w:color w:val="auto"/>
        </w:rPr>
        <w:t>General Provisions</w:t>
      </w:r>
      <w:r>
        <w:rPr>
          <w:rFonts w:ascii="Times New Roman" w:cs="Times New Roman" w:eastAsia="Times New Roman" w:hAnsi="Times New Roman"/>
          <w:sz w:val="14"/>
          <w:szCs w:val="14"/>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complying with the U.S. federal ESIGN Act of 2000, e.g., www.docusign.com or www.echosign.com).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Immediately Follows]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39" w:right="1440" w:bottom="1440" w:gutter="0" w:footer="0" w:header="0"/>
        </w:sectPr>
      </w:pPr>
    </w:p>
    <w:bookmarkStart w:id="102" w:name="page103"/>
    <w:bookmarkEnd w:id="102"/>
    <w:p>
      <w:pPr>
        <w:ind w:left="340" w:right="579" w:firstLine="334"/>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5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6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b w:val="1"/>
          <w:bCs w:val="1"/>
          <w:color w:val="auto"/>
        </w:rPr>
        <w:t>PROKIDNEY CORP.</w:t>
      </w:r>
    </w:p>
    <w:p>
      <w:pPr>
        <w:spacing w:after="0" w:line="170" w:lineRule="exact"/>
        <w:rPr>
          <w:sz w:val="20"/>
          <w:szCs w:val="20"/>
          <w:color w:val="auto"/>
        </w:rPr>
      </w:pPr>
    </w:p>
    <w:p>
      <w:pPr>
        <w:ind w:left="5340"/>
        <w:spacing w:after="0"/>
        <w:tabs>
          <w:tab w:leader="none" w:pos="57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James Coulston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9525</wp:posOffset>
            </wp:positionV>
            <wp:extent cx="1838325"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1838325" cy="6350"/>
                    </a:xfrm>
                    <a:prstGeom prst="rect">
                      <a:avLst/>
                    </a:prstGeom>
                    <a:noFill/>
                  </pic:spPr>
                </pic:pic>
              </a:graphicData>
            </a:graphic>
          </wp:anchor>
        </w:drawing>
      </w:r>
    </w:p>
    <w:p>
      <w:pPr>
        <w:spacing w:after="0" w:line="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Name: James Coulston</w:t>
      </w:r>
    </w:p>
    <w:p>
      <w:pPr>
        <w:spacing w:after="0" w:line="15" w:lineRule="exact"/>
        <w:rPr>
          <w:sz w:val="20"/>
          <w:szCs w:val="20"/>
          <w:color w:val="auto"/>
        </w:rPr>
      </w:pPr>
    </w:p>
    <w:p>
      <w:pPr>
        <w:ind w:left="5340"/>
        <w:spacing w:after="0"/>
        <w:tabs>
          <w:tab w:leader="none" w:pos="576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foregoing Agreement is hereby confirmed and accepted by the Agent in New York, New York as of the date first above written.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JEFFERIES LLC</w:t>
      </w:r>
    </w:p>
    <w:p>
      <w:pPr>
        <w:spacing w:after="0" w:line="170" w:lineRule="exact"/>
        <w:rPr>
          <w:sz w:val="20"/>
          <w:szCs w:val="20"/>
          <w:color w:val="auto"/>
        </w:rPr>
      </w:pPr>
    </w:p>
    <w:p>
      <w:pPr>
        <w:ind w:left="340"/>
        <w:spacing w:after="0"/>
        <w:tabs>
          <w:tab w:leader="none" w:pos="7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Donald Lynaugh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9525</wp:posOffset>
            </wp:positionV>
            <wp:extent cx="1819275"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1819275" cy="6350"/>
                    </a:xfrm>
                    <a:prstGeom prst="rect">
                      <a:avLst/>
                    </a:prstGeom>
                    <a:noFill/>
                  </pic:spPr>
                </pic:pic>
              </a:graphicData>
            </a:graphic>
          </wp:anchor>
        </w:drawing>
      </w:r>
    </w:p>
    <w:p>
      <w:pPr>
        <w:spacing w:after="0" w:line="3" w:lineRule="exact"/>
        <w:rPr>
          <w:sz w:val="20"/>
          <w:szCs w:val="20"/>
          <w:color w:val="auto"/>
        </w:rPr>
      </w:pPr>
    </w:p>
    <w:p>
      <w:pPr>
        <w:ind w:left="340"/>
        <w:spacing w:after="0"/>
        <w:tabs>
          <w:tab w:leader="none" w:pos="78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3"/>
          <w:szCs w:val="13"/>
          <w:color w:val="auto"/>
        </w:rPr>
        <w:t>Donald Lynaugh</w:t>
      </w:r>
    </w:p>
    <w:p>
      <w:pPr>
        <w:spacing w:after="0" w:line="15" w:lineRule="exact"/>
        <w:rPr>
          <w:sz w:val="20"/>
          <w:szCs w:val="20"/>
          <w:color w:val="auto"/>
        </w:rPr>
      </w:pPr>
    </w:p>
    <w:p>
      <w:pPr>
        <w:ind w:left="340"/>
        <w:spacing w:after="0"/>
        <w:tabs>
          <w:tab w:leader="none" w:pos="780" w:val="left"/>
        </w:tabs>
        <w:rPr>
          <w:sz w:val="20"/>
          <w:szCs w:val="20"/>
          <w:color w:val="auto"/>
        </w:rPr>
      </w:pPr>
      <w:r>
        <w:rPr>
          <w:rFonts w:ascii="Times New Roman" w:cs="Times New Roman" w:eastAsia="Times New Roman" w:hAnsi="Times New Roman"/>
          <w:sz w:val="14"/>
          <w:szCs w:val="14"/>
          <w:color w:val="auto"/>
        </w:rPr>
        <w:t>Title:</w:t>
        <w:tab/>
        <w:t>Managing Director</w:t>
      </w:r>
    </w:p>
    <w:p>
      <w:pPr>
        <w:sectPr>
          <w:pgSz w:w="11900" w:h="16838" w:orient="portrait"/>
          <w:cols w:equalWidth="0" w:num="1">
            <w:col w:w="9019"/>
          </w:cols>
          <w:pgMar w:left="1440" w:top="239" w:right="1440"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EXHIBIT A</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ISSUANCE NOTICE</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[Date]</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Jefferies LLC</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520 Madison Avenue</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New York, New York 10022</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Attn: [__________]</w:t>
      </w:r>
    </w:p>
    <w:p>
      <w:pPr>
        <w:spacing w:after="0" w:line="162" w:lineRule="exact"/>
        <w:rPr>
          <w:sz w:val="20"/>
          <w:szCs w:val="20"/>
          <w:color w:val="auto"/>
        </w:rPr>
      </w:pPr>
    </w:p>
    <w:p>
      <w:pPr>
        <w:ind w:left="340" w:right="399"/>
        <w:spacing w:after="0" w:line="257" w:lineRule="auto"/>
        <w:rPr>
          <w:sz w:val="20"/>
          <w:szCs w:val="20"/>
          <w:color w:val="auto"/>
        </w:rPr>
      </w:pPr>
      <w:r>
        <w:rPr>
          <w:rFonts w:ascii="Times New Roman" w:cs="Times New Roman" w:eastAsia="Times New Roman" w:hAnsi="Times New Roman"/>
          <w:sz w:val="14"/>
          <w:szCs w:val="14"/>
          <w:color w:val="auto"/>
        </w:rPr>
        <w:t>Reference is made to the Open Market Sale Agreement between ProKidney Corp.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and Jefferies LLC (the “</w:t>
      </w:r>
      <w:r>
        <w:rPr>
          <w:rFonts w:ascii="Times New Roman" w:cs="Times New Roman" w:eastAsia="Times New Roman" w:hAnsi="Times New Roman"/>
          <w:sz w:val="14"/>
          <w:szCs w:val="14"/>
          <w:b w:val="1"/>
          <w:bCs w:val="1"/>
          <w:color w:val="auto"/>
        </w:rPr>
        <w:t>Agent</w:t>
      </w:r>
      <w:r>
        <w:rPr>
          <w:rFonts w:ascii="Times New Roman" w:cs="Times New Roman" w:eastAsia="Times New Roman" w:hAnsi="Times New Roman"/>
          <w:sz w:val="14"/>
          <w:szCs w:val="14"/>
          <w:color w:val="auto"/>
        </w:rPr>
        <w:t>”) dated as of October 29, 2026. The Company confirms that all conditions to the delivery of this Issuance Notice are satisfied as of the date hereof. Capitalized terms used herein and not defined shall have the respective meanings ascribed to such terms in the Sales Agreement.</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Date that the Base Registration Statement Expires: [●], 2029</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 xml:space="preserve">Date of Delivery of Issuance Notice (determined pursuant to </w:t>
      </w:r>
      <w:r>
        <w:rPr>
          <w:rFonts w:ascii="Times New Roman" w:cs="Times New Roman" w:eastAsia="Times New Roman" w:hAnsi="Times New Roman"/>
          <w:sz w:val="14"/>
          <w:szCs w:val="14"/>
          <w:u w:val="single" w:color="auto"/>
          <w:color w:val="auto"/>
        </w:rPr>
        <w:t>Section 3(b)(i)</w:t>
      </w:r>
      <w:r>
        <w:rPr>
          <w:rFonts w:ascii="Times New Roman" w:cs="Times New Roman" w:eastAsia="Times New Roman" w:hAnsi="Times New Roman"/>
          <w:sz w:val="14"/>
          <w:szCs w:val="14"/>
          <w:color w:val="auto"/>
        </w:rPr>
        <w:t>): _______________</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Issuance Amount (equal to the total Sales Price for such Shares):    $_______________________</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176"/>
        </w:trPr>
        <w:tc>
          <w:tcPr>
            <w:tcW w:w="1960" w:type="dxa"/>
            <w:vAlign w:val="bottom"/>
            <w:gridSpan w:val="4"/>
          </w:tcPr>
          <w:p>
            <w:pPr>
              <w:spacing w:after="0"/>
              <w:rPr>
                <w:sz w:val="20"/>
                <w:szCs w:val="20"/>
                <w:color w:val="auto"/>
              </w:rPr>
            </w:pPr>
            <w:r>
              <w:rPr>
                <w:rFonts w:ascii="Times New Roman" w:cs="Times New Roman" w:eastAsia="Times New Roman" w:hAnsi="Times New Roman"/>
                <w:sz w:val="14"/>
                <w:szCs w:val="14"/>
                <w:color w:val="auto"/>
                <w:w w:val="99"/>
              </w:rPr>
              <w:t xml:space="preserve">Number of days in selling period:   </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________________________</w:t>
            </w:r>
          </w:p>
        </w:tc>
      </w:tr>
      <w:tr>
        <w:trPr>
          <w:trHeight w:val="327"/>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w w:val="91"/>
              </w:rPr>
              <w:t>First date of selling period: 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________________________</w:t>
            </w:r>
          </w:p>
        </w:tc>
      </w:tr>
      <w:tr>
        <w:trPr>
          <w:trHeight w:val="327"/>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w w:val="92"/>
              </w:rPr>
              <w:t>Last date of selling period: 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________________________</w:t>
            </w:r>
          </w:p>
        </w:tc>
      </w:tr>
    </w:tbl>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Settlement Date(s) if other than standard T+1 settlement:    ________________________</w:t>
      </w:r>
    </w:p>
    <w:p>
      <w:pPr>
        <w:spacing w:after="0" w:line="166" w:lineRule="exact"/>
        <w:rPr>
          <w:sz w:val="20"/>
          <w:szCs w:val="20"/>
          <w:color w:val="auto"/>
        </w:rPr>
      </w:pPr>
    </w:p>
    <w:p>
      <w:pPr>
        <w:ind w:left="340" w:right="559"/>
        <w:spacing w:after="0" w:line="265" w:lineRule="auto"/>
        <w:rPr>
          <w:sz w:val="20"/>
          <w:szCs w:val="20"/>
          <w:color w:val="auto"/>
        </w:rPr>
      </w:pPr>
      <w:r>
        <w:rPr>
          <w:rFonts w:ascii="Times New Roman" w:cs="Times New Roman" w:eastAsia="Times New Roman" w:hAnsi="Times New Roman"/>
          <w:sz w:val="14"/>
          <w:szCs w:val="14"/>
          <w:color w:val="auto"/>
        </w:rPr>
        <w:t>Floor Price Limitation (in no event less than $1.00 without the prior written consent of the Agent, which consent may be withheld in the Agent’s sole discretion): $ ____ per share</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 xml:space="preserve">Comments: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-8890</wp:posOffset>
            </wp:positionV>
            <wp:extent cx="3983355"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3983355" cy="6350"/>
                    </a:xfrm>
                    <a:prstGeom prst="rect">
                      <a:avLst/>
                    </a:prstGeom>
                    <a:noFill/>
                  </pic:spPr>
                </pic:pic>
              </a:graphicData>
            </a:graphic>
          </wp:anchor>
        </w:drawing>
      </w:r>
    </w:p>
    <w:p>
      <w:pPr>
        <w:spacing w:after="0" w:line="1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___________________________</w:t>
      </w:r>
    </w:p>
    <w:p>
      <w:pPr>
        <w:spacing w:after="0" w:line="16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9525</wp:posOffset>
            </wp:positionV>
            <wp:extent cx="1838325"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1838325" cy="6350"/>
                    </a:xfrm>
                    <a:prstGeom prst="rect">
                      <a:avLst/>
                    </a:prstGeom>
                    <a:noFill/>
                  </pic:spPr>
                </pic:pic>
              </a:graphicData>
            </a:graphic>
          </wp:anchor>
        </w:drawing>
      </w:r>
    </w:p>
    <w:p>
      <w:pPr>
        <w:spacing w:after="0" w:line="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Name:</w:t>
      </w:r>
    </w:p>
    <w:p>
      <w:pPr>
        <w:spacing w:after="0" w:line="1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Title: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w:t>
      </w:r>
    </w:p>
    <w:p>
      <w:pPr>
        <w:sectPr>
          <w:pgSz w:w="11900" w:h="16838" w:orient="portrait"/>
          <w:cols w:equalWidth="0" w:num="1">
            <w:col w:w="9019"/>
          </w:cols>
          <w:pgMar w:left="1440" w:top="235" w:right="1440"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Schedule A</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Notice Parties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u w:val="single" w:color="auto"/>
          <w:color w:val="auto"/>
        </w:rPr>
        <w:t>The Company</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Bruce Culleton, M.D.</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James Coulston</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u w:val="single" w:color="auto"/>
          <w:color w:val="auto"/>
        </w:rPr>
        <w:t>The Agent</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Donald Lynaugh</w:t>
      </w:r>
    </w:p>
    <w:p>
      <w:pPr>
        <w:sectPr>
          <w:pgSz w:w="11900" w:h="16838" w:orient="portrait"/>
          <w:cols w:equalWidth="0" w:num="1">
            <w:col w:w="9019"/>
          </w:cols>
          <w:pgMar w:left="1440" w:top="235" w:right="1440" w:bottom="1440" w:gutter="0" w:footer="0" w:header="0"/>
        </w:sectPr>
      </w:pPr>
    </w:p>
    <w:bookmarkStart w:id="105" w:name="page106"/>
    <w:bookmarkEnd w:id="105"/>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Exhibit 4.3</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PROKIDNEY CORP.</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Issuer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 Trustee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Dated as of [               ]</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Senior Debt Securities</w:t>
      </w:r>
    </w:p>
    <w:p>
      <w:pPr>
        <w:sectPr>
          <w:pgSz w:w="11900" w:h="16838" w:orient="portrait"/>
          <w:cols w:equalWidth="0" w:num="1">
            <w:col w:w="9019"/>
          </w:cols>
          <w:pgMar w:left="1440" w:top="123" w:right="1440"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r>
        <w:rPr>
          <w:rFonts w:ascii="Times New Roman" w:cs="Times New Roman" w:eastAsia="Times New Roman" w:hAnsi="Times New Roman"/>
          <w:sz w:val="20"/>
          <w:szCs w:val="20"/>
          <w:b w:val="1"/>
          <w:bCs w:val="1"/>
          <w:color w:val="auto"/>
          <w:vertAlign w:val="superscript"/>
        </w:rPr>
        <w:t>1</w:t>
      </w:r>
    </w:p>
    <w:p>
      <w:pPr>
        <w:spacing w:after="0" w:line="116" w:lineRule="exact"/>
        <w:rPr>
          <w:sz w:val="20"/>
          <w:szCs w:val="20"/>
          <w:color w:val="auto"/>
        </w:rPr>
      </w:pPr>
    </w:p>
    <w:tbl>
      <w:tblPr>
        <w:tblLayout w:type="fixed"/>
        <w:tblInd w:w="340" w:type="dxa"/>
        <w:tblCellMar>
          <w:top w:w="0" w:type="dxa"/>
          <w:left w:w="0" w:type="dxa"/>
          <w:bottom w:w="0" w:type="dxa"/>
          <w:right w:w="0" w:type="dxa"/>
        </w:tblCellMar>
      </w:tblPr>
      <w:tr>
        <w:trPr>
          <w:trHeight w:val="143"/>
        </w:trPr>
        <w:tc>
          <w:tcPr>
            <w:tcW w:w="13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33"/>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 DEFINITIONS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46"/>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SECTION 1.01</w:t>
            </w:r>
          </w:p>
        </w:tc>
        <w:tc>
          <w:tcPr>
            <w:tcW w:w="5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Definitions of Terms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46"/>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 ISSUE, DESCRIPTION, TERMS, EXECUTION, REGISTRATION AND EXCHANGE OF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34"/>
        </w:trPr>
        <w:tc>
          <w:tcPr>
            <w:tcW w:w="7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SECTION 2.01   Designation and Terms of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64"/>
        </w:trPr>
        <w:tc>
          <w:tcPr>
            <w:tcW w:w="7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SECTION 2.02   Form of Securities and Trustee’s Certificate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4"/>
        </w:trPr>
        <w:tc>
          <w:tcPr>
            <w:tcW w:w="7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SECTION 2.03   Denominations: Provisions for Payment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4"/>
        </w:trPr>
        <w:tc>
          <w:tcPr>
            <w:tcW w:w="7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SECTION 2.04   Execution and Authentications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4"/>
        </w:trPr>
        <w:tc>
          <w:tcPr>
            <w:tcW w:w="7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SECTION 2.05   Registration of Transfer and Exchange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64"/>
        </w:trPr>
        <w:tc>
          <w:tcPr>
            <w:tcW w:w="1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2.06</w:t>
            </w:r>
          </w:p>
        </w:tc>
        <w:tc>
          <w:tcPr>
            <w:tcW w:w="5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Temporary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4"/>
        </w:trPr>
        <w:tc>
          <w:tcPr>
            <w:tcW w:w="7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SECTION 2.07   Mutilated, Destroyed, Lost or Stolen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4"/>
        </w:trPr>
        <w:tc>
          <w:tcPr>
            <w:tcW w:w="1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2.08</w:t>
            </w:r>
          </w:p>
        </w:tc>
        <w:tc>
          <w:tcPr>
            <w:tcW w:w="5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Cancellation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4"/>
        </w:trPr>
        <w:tc>
          <w:tcPr>
            <w:tcW w:w="7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SECTION 2.09   Benefits of Indenture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4"/>
        </w:trPr>
        <w:tc>
          <w:tcPr>
            <w:tcW w:w="1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2.10</w:t>
            </w:r>
          </w:p>
        </w:tc>
        <w:tc>
          <w:tcPr>
            <w:tcW w:w="5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Authenticating Agent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6"/>
        </w:trPr>
        <w:tc>
          <w:tcPr>
            <w:tcW w:w="1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2.11</w:t>
            </w:r>
          </w:p>
        </w:tc>
        <w:tc>
          <w:tcPr>
            <w:tcW w:w="5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Global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46"/>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III REDEMPTION OF SECURITIES AND SINKING FUND PROVISIONS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34"/>
        </w:trPr>
        <w:tc>
          <w:tcPr>
            <w:tcW w:w="1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3.01</w:t>
            </w:r>
          </w:p>
        </w:tc>
        <w:tc>
          <w:tcPr>
            <w:tcW w:w="5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Redemption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4"/>
        </w:trPr>
        <w:tc>
          <w:tcPr>
            <w:tcW w:w="7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SECTION 3.02   Notice of Redemption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4"/>
        </w:trPr>
        <w:tc>
          <w:tcPr>
            <w:tcW w:w="7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SECTION 3.03   Payment Upon Redemption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4"/>
        </w:trPr>
        <w:tc>
          <w:tcPr>
            <w:tcW w:w="1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3.04</w:t>
            </w:r>
          </w:p>
        </w:tc>
        <w:tc>
          <w:tcPr>
            <w:tcW w:w="5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Sinking Fund</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4"/>
        </w:trPr>
        <w:tc>
          <w:tcPr>
            <w:tcW w:w="7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SECTION 3.05   Satisfaction of Sinking Fund Payments with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6"/>
        </w:trPr>
        <w:tc>
          <w:tcPr>
            <w:tcW w:w="7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SECTION 3.06   Redemption of Securities for Sinking Fund</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46"/>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IV COVENANTS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34"/>
        </w:trPr>
        <w:tc>
          <w:tcPr>
            <w:tcW w:w="7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SECTION 4.01   Payment of Principal, Premium and Interest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4"/>
        </w:trPr>
        <w:tc>
          <w:tcPr>
            <w:tcW w:w="7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SECTION 4.02   Maintenance of Office or Agency</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4"/>
        </w:trPr>
        <w:tc>
          <w:tcPr>
            <w:tcW w:w="1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4.03</w:t>
            </w:r>
          </w:p>
        </w:tc>
        <w:tc>
          <w:tcPr>
            <w:tcW w:w="5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Paying Agents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4"/>
        </w:trPr>
        <w:tc>
          <w:tcPr>
            <w:tcW w:w="7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SECTION 4.04   Appointment to Fill Vacancy in Office of Trustee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6"/>
        </w:trPr>
        <w:tc>
          <w:tcPr>
            <w:tcW w:w="7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SECTION 4.05   Compliance with Consolidation Provisions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46"/>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 SECURITYHOLDERS’ LISTS AND REPORTS BY THE COMPANY AND THE TRUSTEE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34"/>
        </w:trPr>
        <w:tc>
          <w:tcPr>
            <w:tcW w:w="7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SECTION 5.01   Company to Furnish Trustee Names and Addresses of Securityholders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4"/>
        </w:trPr>
        <w:tc>
          <w:tcPr>
            <w:tcW w:w="7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SECTION 5.02   Preservation of Information; Communications with Securityholders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4"/>
        </w:trPr>
        <w:tc>
          <w:tcPr>
            <w:tcW w:w="7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SECTION 5.03   Reports by the Company</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76"/>
        </w:trPr>
        <w:tc>
          <w:tcPr>
            <w:tcW w:w="7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SECTION 5.04   Reports by the Trustee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46"/>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 REMEDIES OF THE TRUSTEE AND SECURITYHOLDERS ON EVENT OF DEFAULT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34"/>
        </w:trPr>
        <w:tc>
          <w:tcPr>
            <w:tcW w:w="1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6.01</w:t>
            </w:r>
          </w:p>
        </w:tc>
        <w:tc>
          <w:tcPr>
            <w:tcW w:w="5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Events of Default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4"/>
        </w:trPr>
        <w:tc>
          <w:tcPr>
            <w:tcW w:w="7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SECTION 6.02   Collection of Indebtedness and Suits for Enforcement by Trustee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76"/>
        </w:trPr>
        <w:tc>
          <w:tcPr>
            <w:tcW w:w="7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SECTION 6.03   Application of Moneys Collected</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71755</wp:posOffset>
            </wp:positionV>
            <wp:extent cx="578485"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578485" cy="6350"/>
                    </a:xfrm>
                    <a:prstGeom prst="rect">
                      <a:avLst/>
                    </a:prstGeom>
                    <a:noFill/>
                  </pic:spPr>
                </pic:pic>
              </a:graphicData>
            </a:graphic>
          </wp:anchor>
        </w:drawing>
      </w:r>
    </w:p>
    <w:p>
      <w:pPr>
        <w:spacing w:after="0" w:line="111" w:lineRule="exact"/>
        <w:rPr>
          <w:sz w:val="20"/>
          <w:szCs w:val="20"/>
          <w:color w:val="auto"/>
        </w:rPr>
      </w:pPr>
    </w:p>
    <w:p>
      <w:pPr>
        <w:ind w:left="660" w:right="899" w:hanging="330"/>
        <w:spacing w:after="0" w:line="208" w:lineRule="auto"/>
        <w:tabs>
          <w:tab w:leader="none" w:pos="660" w:val="left"/>
        </w:tabs>
        <w:numPr>
          <w:ilvl w:val="0"/>
          <w:numId w:val="5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This Table of Contents does not constitute part of the Indenture and shall not have any bearing on the interpretation of any of its terms or provisions.</w:t>
      </w:r>
    </w:p>
    <w:p>
      <w:pPr>
        <w:spacing w:after="0" w:line="101" w:lineRule="exact"/>
        <w:rPr>
          <w:rFonts w:ascii="Times New Roman" w:cs="Times New Roman" w:eastAsia="Times New Roman" w:hAnsi="Times New Roman"/>
          <w:sz w:val="20"/>
          <w:szCs w:val="20"/>
          <w:color w:val="auto"/>
          <w:vertAlign w:val="superscript"/>
        </w:rPr>
      </w:pPr>
    </w:p>
    <w:p>
      <w:pPr>
        <w:ind w:left="4480" w:hanging="74"/>
        <w:spacing w:after="0"/>
        <w:tabs>
          <w:tab w:leader="none" w:pos="448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w:t>
      </w:r>
    </w:p>
    <w:p>
      <w:pPr>
        <w:sectPr>
          <w:pgSz w:w="11900" w:h="16838" w:orient="portrait"/>
          <w:cols w:equalWidth="0" w:num="1">
            <w:col w:w="9019"/>
          </w:cols>
          <w:pgMar w:left="1440" w:top="235" w:right="1440" w:bottom="1440" w:gutter="0" w:footer="0" w:header="0"/>
        </w:sectPr>
      </w:pPr>
    </w:p>
    <w:bookmarkStart w:id="107" w:name="page108"/>
    <w:bookmarkEnd w:id="107"/>
    <w:tbl>
      <w:tblPr>
        <w:tblLayout w:type="fixed"/>
        <w:tblInd w:w="340" w:type="dxa"/>
        <w:tblCellMar>
          <w:top w:w="0" w:type="dxa"/>
          <w:left w:w="0" w:type="dxa"/>
          <w:bottom w:w="0" w:type="dxa"/>
          <w:right w:w="0" w:type="dxa"/>
        </w:tblCellMar>
      </w:tblPr>
      <w:tr>
        <w:trPr>
          <w:trHeight w:val="168"/>
        </w:trPr>
        <w:tc>
          <w:tcPr>
            <w:tcW w:w="1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SECTION 6.04</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Limitation on Suits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6.05</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Rights and Remedies Cumulative; Delay or Omission Not Waiver</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6.06</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Control by Securityholders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76"/>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6.07</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Undertaking to Pay Costs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46"/>
        </w:trPr>
        <w:tc>
          <w:tcPr>
            <w:tcW w:w="6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 CONCERNING THE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3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7.01</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Certain Duties and Responsibilities of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7.02</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Certain Rights of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7.03</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Trustee Not Responsible for Recitals or Issuance of Securities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7.04</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May Hold Securities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7.05</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Moneys Held in Trust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7.06</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Compensation and Reimbursement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7.07</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Reliance on Officers’ Certificate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7.08</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Disqualification; Conflicting Interests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7.09</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Corporate Trustee Required; Eligibility</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7.10</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Resignation and Removal; Appointment of Successor</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7.11</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Acceptance of Appointment By Successor</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7.12</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Merger, Conversion, Consolidation or Succession to Business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6"/>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7.13</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Preferential Collection of Claims Against the Company</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46"/>
        </w:trPr>
        <w:tc>
          <w:tcPr>
            <w:tcW w:w="6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VIII CONCERNING THE SECURITYHOLDERS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3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8.01</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Evidence of Action by Securityholders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8.02</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Proof of Execution by Securityholders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8.03</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Who May be Deemed Owners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8.04</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Certain Securities Owned by Company Disregarded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8.05</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Actions Binding on Future Securityholders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8.06</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Purposes for Which Meetings May Be Called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8.07</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Call Notice and Place of Meetings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8.08</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Persons Entitled To Vote at Meetings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8.09</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Quorum; Action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8.10</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Determination of Voting Rights; Conduct and Adjournment of Meetings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76"/>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8.11</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Counting Votes and Recording Action of Meetings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46"/>
        </w:trPr>
        <w:tc>
          <w:tcPr>
            <w:tcW w:w="6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IX SUPPLEMENTAL INDENTURES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3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9.01</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Supplemental Indentures Without the Consent of Securityholders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9.02</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Supplemental Indentures With Consent of Securityholders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9.03</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Effect of Supplemental Indentures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9.04</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Securities Affected by Supplemental Indentures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76"/>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9.05</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Execution of Supplemental Indentures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46"/>
        </w:trPr>
        <w:tc>
          <w:tcPr>
            <w:tcW w:w="6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 SUCCESSOR ENTITY</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3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10.01</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Company May Consolidate, Etc.</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10.02</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Successor Entity Substituted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76"/>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10.03</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Evidence of Consolidation, Etc. to Trustee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46"/>
        </w:trPr>
        <w:tc>
          <w:tcPr>
            <w:tcW w:w="6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XI SATISFACTION AND DISCHARGE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3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11.01</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Satisfaction and Discharge of Indenture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11.02</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Discharge of Obligations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11.03</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Deposited Moneys to be Held in Trust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11.04</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Payment of Moneys Held by Paying Agents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76"/>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11.05</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Repayment to Company</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7204075"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 ii -</w:t>
      </w:r>
    </w:p>
    <w:p>
      <w:pPr>
        <w:sectPr>
          <w:pgSz w:w="11900" w:h="16838" w:orient="portrait"/>
          <w:cols w:equalWidth="0" w:num="1">
            <w:col w:w="9019"/>
          </w:cols>
          <w:pgMar w:left="1440" w:top="235" w:right="1440" w:bottom="1440" w:gutter="0" w:footer="0" w:header="0"/>
        </w:sectPr>
      </w:pPr>
    </w:p>
    <w:bookmarkStart w:id="108" w:name="page109"/>
    <w:bookmarkEnd w:id="108"/>
    <w:tbl>
      <w:tblPr>
        <w:tblLayout w:type="fixed"/>
        <w:tblInd w:w="340" w:type="dxa"/>
        <w:tblCellMar>
          <w:top w:w="0" w:type="dxa"/>
          <w:left w:w="0" w:type="dxa"/>
          <w:bottom w:w="0" w:type="dxa"/>
          <w:right w:w="0" w:type="dxa"/>
        </w:tblCellMar>
      </w:tblPr>
      <w:tr>
        <w:trPr>
          <w:trHeight w:val="176"/>
        </w:trPr>
        <w:tc>
          <w:tcPr>
            <w:tcW w:w="7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XII IMMUNITY OF INCORPORATORS, STOCKHOLDERS, OFFICERS AND DIRECTORS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46"/>
        </w:trPr>
        <w:tc>
          <w:tcPr>
            <w:tcW w:w="1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SECTION 12.01</w:t>
            </w:r>
          </w:p>
        </w:tc>
        <w:tc>
          <w:tcPr>
            <w:tcW w:w="56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No Recourse</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46"/>
        </w:trPr>
        <w:tc>
          <w:tcPr>
            <w:tcW w:w="7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XIII MISCELLANEOUS PROVISIONS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34"/>
        </w:trPr>
        <w:tc>
          <w:tcPr>
            <w:tcW w:w="70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SECTION 13.01   Effect on Successors and Assigns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4"/>
        </w:trPr>
        <w:tc>
          <w:tcPr>
            <w:tcW w:w="70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SECTION 13.02   Actions by Successor</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4"/>
        </w:trPr>
        <w:tc>
          <w:tcPr>
            <w:tcW w:w="70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SECTION 13.03   Surrender of Company Powers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13.04</w:t>
            </w:r>
          </w:p>
        </w:tc>
        <w:tc>
          <w:tcPr>
            <w:tcW w:w="56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Notices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13.05</w:t>
            </w:r>
          </w:p>
        </w:tc>
        <w:tc>
          <w:tcPr>
            <w:tcW w:w="56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Governing Law</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4"/>
        </w:trPr>
        <w:tc>
          <w:tcPr>
            <w:tcW w:w="70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SECTION 13.06   Treatment of Securities as Debt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4"/>
        </w:trPr>
        <w:tc>
          <w:tcPr>
            <w:tcW w:w="70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SECTION 13.07   Compliance Certificates and Opinions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4"/>
        </w:trPr>
        <w:tc>
          <w:tcPr>
            <w:tcW w:w="70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SECTION 13.08   Payments on Business Days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64"/>
        </w:trPr>
        <w:tc>
          <w:tcPr>
            <w:tcW w:w="70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SECTION 13.09   Conflict with Trust Indenture Act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13.10</w:t>
            </w:r>
          </w:p>
        </w:tc>
        <w:tc>
          <w:tcPr>
            <w:tcW w:w="56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Counterparts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64"/>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13.11</w:t>
            </w:r>
          </w:p>
        </w:tc>
        <w:tc>
          <w:tcPr>
            <w:tcW w:w="56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Separability</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76"/>
        </w:trPr>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13.12</w:t>
            </w:r>
          </w:p>
        </w:tc>
        <w:tc>
          <w:tcPr>
            <w:tcW w:w="56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Assignment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bl>
    <w:p>
      <w:pPr>
        <w:spacing w:after="0" w:line="3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7204075"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 iii -</w:t>
      </w:r>
    </w:p>
    <w:p>
      <w:pPr>
        <w:sectPr>
          <w:pgSz w:w="11900" w:h="16838" w:orient="portrait"/>
          <w:cols w:equalWidth="0" w:num="1">
            <w:col w:w="9019"/>
          </w:cols>
          <w:pgMar w:left="1440" w:top="239" w:right="1440" w:bottom="1440" w:gutter="0" w:footer="0" w:header="0"/>
        </w:sectPr>
      </w:pPr>
    </w:p>
    <w:bookmarkStart w:id="109" w:name="page110"/>
    <w:bookmarkEnd w:id="109"/>
    <w:p>
      <w:pPr>
        <w:ind w:left="340" w:right="519" w:firstLine="334"/>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INDENTURE, dated as of [        ], by and between ProKidney Corp., a Delaware corporation (the “Company”), and [        ], as trustee (the “Trustee”):</w:t>
      </w:r>
    </w:p>
    <w:p>
      <w:pPr>
        <w:spacing w:after="0" w:line="54" w:lineRule="exact"/>
        <w:rPr>
          <w:sz w:val="20"/>
          <w:szCs w:val="20"/>
          <w:color w:val="auto"/>
        </w:rPr>
      </w:pPr>
    </w:p>
    <w:p>
      <w:pPr>
        <w:ind w:left="340" w:right="439" w:firstLine="334"/>
        <w:spacing w:after="0" w:line="283" w:lineRule="auto"/>
        <w:rPr>
          <w:sz w:val="20"/>
          <w:szCs w:val="20"/>
          <w:color w:val="auto"/>
        </w:rPr>
      </w:pPr>
      <w:r>
        <w:rPr>
          <w:rFonts w:ascii="Times New Roman" w:cs="Times New Roman" w:eastAsia="Times New Roman" w:hAnsi="Times New Roman"/>
          <w:sz w:val="13"/>
          <w:szCs w:val="13"/>
          <w:color w:val="auto"/>
        </w:rPr>
        <w:t>WHEREAS,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26" w:lineRule="exact"/>
        <w:rPr>
          <w:sz w:val="20"/>
          <w:szCs w:val="20"/>
          <w:color w:val="auto"/>
        </w:rPr>
      </w:pPr>
    </w:p>
    <w:p>
      <w:pPr>
        <w:ind w:left="340" w:right="519" w:firstLine="334"/>
        <w:spacing w:after="0" w:line="265" w:lineRule="auto"/>
        <w:rPr>
          <w:sz w:val="20"/>
          <w:szCs w:val="20"/>
          <w:color w:val="auto"/>
        </w:rPr>
      </w:pPr>
      <w:r>
        <w:rPr>
          <w:rFonts w:ascii="Times New Roman" w:cs="Times New Roman" w:eastAsia="Times New Roman" w:hAnsi="Times New Roman"/>
          <w:sz w:val="14"/>
          <w:szCs w:val="14"/>
          <w:color w:val="auto"/>
        </w:rPr>
        <w:t>WHEREAS, to provide the terms and conditions upon which the Securities are to be authenticated, issued and delivered, the Company has duly authorized the execution of this Indenture; and</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WHEREAS, all things necessary to make this Indenture a valid agreement of the Company, in accordance with its terms, have been done.</w:t>
      </w:r>
    </w:p>
    <w:p>
      <w:pPr>
        <w:spacing w:after="0" w:line="166" w:lineRule="exact"/>
        <w:rPr>
          <w:sz w:val="20"/>
          <w:szCs w:val="20"/>
          <w:color w:val="auto"/>
        </w:rPr>
      </w:pPr>
    </w:p>
    <w:p>
      <w:pPr>
        <w:ind w:left="340" w:right="599" w:firstLine="334"/>
        <w:spacing w:after="0" w:line="265" w:lineRule="auto"/>
        <w:rPr>
          <w:sz w:val="20"/>
          <w:szCs w:val="20"/>
          <w:color w:val="auto"/>
        </w:rPr>
      </w:pPr>
      <w:r>
        <w:rPr>
          <w:rFonts w:ascii="Times New Roman" w:cs="Times New Roman" w:eastAsia="Times New Roman" w:hAnsi="Times New Roman"/>
          <w:sz w:val="14"/>
          <w:szCs w:val="14"/>
          <w:color w:val="auto"/>
        </w:rPr>
        <w:t>NOW, THEREFORE, in consideration of the premises and the purchase of the Securities by the holders thereof, it is mutually covenanted and agreed as follows for the equal and ratable benefit of the holders of Securities:</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I</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DEFINITIONS</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1.01 Definitions of Terms.</w:t>
      </w:r>
    </w:p>
    <w:p>
      <w:pPr>
        <w:spacing w:after="0" w:line="166" w:lineRule="exact"/>
        <w:rPr>
          <w:sz w:val="20"/>
          <w:szCs w:val="20"/>
          <w:color w:val="auto"/>
        </w:rPr>
      </w:pPr>
    </w:p>
    <w:p>
      <w:pPr>
        <w:ind w:left="340" w:right="379" w:firstLine="334"/>
        <w:spacing w:after="0" w:line="248" w:lineRule="auto"/>
        <w:rPr>
          <w:sz w:val="20"/>
          <w:szCs w:val="20"/>
          <w:color w:val="auto"/>
        </w:rPr>
      </w:pPr>
      <w:r>
        <w:rPr>
          <w:rFonts w:ascii="Times New Roman" w:cs="Times New Roman" w:eastAsia="Times New Roman" w:hAnsi="Times New Roman"/>
          <w:sz w:val="14"/>
          <w:szCs w:val="14"/>
          <w:color w:val="auto"/>
        </w:rPr>
        <w:t>The terms defined in this Section (except as in this Indenture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otherwise expressly provided or unless the context otherwise requires), shall have the meanings assigned to such terms in said Trust Indenture Act and in said Securities Act as in force at the date of the execution of this instrument.</w:t>
      </w:r>
    </w:p>
    <w:p>
      <w:pPr>
        <w:spacing w:after="0" w:line="148" w:lineRule="exact"/>
        <w:rPr>
          <w:sz w:val="20"/>
          <w:szCs w:val="20"/>
          <w:color w:val="auto"/>
        </w:rPr>
      </w:pPr>
    </w:p>
    <w:p>
      <w:pPr>
        <w:ind w:left="340" w:right="619" w:firstLine="334"/>
        <w:spacing w:after="0" w:line="265" w:lineRule="auto"/>
        <w:rPr>
          <w:sz w:val="20"/>
          <w:szCs w:val="20"/>
          <w:color w:val="auto"/>
        </w:rPr>
      </w:pPr>
      <w:r>
        <w:rPr>
          <w:rFonts w:ascii="Times New Roman" w:cs="Times New Roman" w:eastAsia="Times New Roman" w:hAnsi="Times New Roman"/>
          <w:sz w:val="14"/>
          <w:szCs w:val="14"/>
          <w:color w:val="auto"/>
        </w:rPr>
        <w:t>“Authenticating Agent” means an authenticating agent with respect to all or any of the series of Securities appointed with respect to all or any series of the Securities by the Trustee pursuant to Section 2.10.</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“Bankruptcy Law” means Title 11, U.S. Code, or any similar U.S. federal or state law for the relief of debtors.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“Board of Directors” means the Board of Directors of the Company or any duly authorized committee of such Board.</w:t>
      </w:r>
    </w:p>
    <w:p>
      <w:pPr>
        <w:spacing w:after="0" w:line="166" w:lineRule="exact"/>
        <w:rPr>
          <w:sz w:val="20"/>
          <w:szCs w:val="20"/>
          <w:color w:val="auto"/>
        </w:rPr>
      </w:pPr>
    </w:p>
    <w:p>
      <w:pPr>
        <w:ind w:left="340" w:right="499" w:firstLine="334"/>
        <w:spacing w:after="0" w:line="265" w:lineRule="auto"/>
        <w:rPr>
          <w:sz w:val="20"/>
          <w:szCs w:val="20"/>
          <w:color w:val="auto"/>
        </w:rPr>
      </w:pPr>
      <w:r>
        <w:rPr>
          <w:rFonts w:ascii="Times New Roman" w:cs="Times New Roman" w:eastAsia="Times New Roman" w:hAnsi="Times New Roman"/>
          <w:sz w:val="14"/>
          <w:szCs w:val="14"/>
          <w:color w:val="auto"/>
        </w:rPr>
        <w:t>“Board Resolution” means a copy of a resolution certified by the Secretary or an Assistant Secretary of the Company to have been duly adopted by the Board of Directors and to be in full force and effect on the date of such certification.</w:t>
      </w:r>
    </w:p>
    <w:p>
      <w:pPr>
        <w:sectPr>
          <w:pgSz w:w="11900" w:h="16838" w:orient="portrait"/>
          <w:cols w:equalWidth="0" w:num="1">
            <w:col w:w="9019"/>
          </w:cols>
          <w:pgMar w:left="1440" w:top="239" w:right="1440" w:bottom="1440" w:gutter="0" w:footer="0" w:header="0"/>
        </w:sectPr>
      </w:pPr>
    </w:p>
    <w:bookmarkStart w:id="110" w:name="page111"/>
    <w:bookmarkEnd w:id="110"/>
    <w:p>
      <w:pPr>
        <w:ind w:left="340" w:right="639" w:firstLine="334"/>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“Business Day” means, with respect to any series of Securities, any day other than a day on which Federal or State banking institutions in the Borough of Manhattan, the City and State of New York, are authorized or obligated by law, executive order or regulation to close.</w:t>
      </w:r>
    </w:p>
    <w:p>
      <w:pPr>
        <w:spacing w:after="0" w:line="136" w:lineRule="exact"/>
        <w:rPr>
          <w:sz w:val="20"/>
          <w:szCs w:val="20"/>
          <w:color w:val="auto"/>
        </w:rPr>
      </w:pPr>
    </w:p>
    <w:p>
      <w:pPr>
        <w:ind w:left="340" w:right="899" w:firstLine="334"/>
        <w:spacing w:after="0" w:line="265" w:lineRule="auto"/>
        <w:rPr>
          <w:sz w:val="20"/>
          <w:szCs w:val="20"/>
          <w:color w:val="auto"/>
        </w:rPr>
      </w:pPr>
      <w:r>
        <w:rPr>
          <w:rFonts w:ascii="Times New Roman" w:cs="Times New Roman" w:eastAsia="Times New Roman" w:hAnsi="Times New Roman"/>
          <w:sz w:val="14"/>
          <w:szCs w:val="14"/>
          <w:color w:val="auto"/>
        </w:rPr>
        <w:t>“Certificate” means a certificate signed by the chief executive officer, the chief financial officer or the principal accounting officer of the Company. The Certificate need not comply with the provisions of Section 13.07.</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“Commission” means the Securities and Exchange Commission.</w:t>
      </w:r>
    </w:p>
    <w:p>
      <w:pPr>
        <w:spacing w:after="0" w:line="166" w:lineRule="exact"/>
        <w:rPr>
          <w:sz w:val="20"/>
          <w:szCs w:val="20"/>
          <w:color w:val="auto"/>
        </w:rPr>
      </w:pPr>
    </w:p>
    <w:p>
      <w:pPr>
        <w:ind w:left="340" w:right="679" w:firstLine="334"/>
        <w:spacing w:after="0" w:line="265" w:lineRule="auto"/>
        <w:rPr>
          <w:sz w:val="20"/>
          <w:szCs w:val="20"/>
          <w:color w:val="auto"/>
        </w:rPr>
      </w:pPr>
      <w:r>
        <w:rPr>
          <w:rFonts w:ascii="Times New Roman" w:cs="Times New Roman" w:eastAsia="Times New Roman" w:hAnsi="Times New Roman"/>
          <w:sz w:val="14"/>
          <w:szCs w:val="14"/>
          <w:color w:val="auto"/>
        </w:rPr>
        <w:t>“Company” means the corporation named as the “Company” in the first paragraph of this instrument until a successor corporation shall have become such pursuant to the applicable provisions of this Indenture, and thereafter “Company” shall mean such successor corporation.</w:t>
      </w:r>
    </w:p>
    <w:p>
      <w:pPr>
        <w:spacing w:after="0" w:line="136" w:lineRule="exact"/>
        <w:rPr>
          <w:sz w:val="20"/>
          <w:szCs w:val="20"/>
          <w:color w:val="auto"/>
        </w:rPr>
      </w:pPr>
    </w:p>
    <w:p>
      <w:pPr>
        <w:ind w:left="340" w:right="739" w:firstLine="334"/>
        <w:spacing w:after="0" w:line="254" w:lineRule="auto"/>
        <w:rPr>
          <w:sz w:val="20"/>
          <w:szCs w:val="20"/>
          <w:color w:val="auto"/>
        </w:rPr>
      </w:pPr>
      <w:r>
        <w:rPr>
          <w:rFonts w:ascii="Times New Roman" w:cs="Times New Roman" w:eastAsia="Times New Roman" w:hAnsi="Times New Roman"/>
          <w:sz w:val="14"/>
          <w:szCs w:val="14"/>
          <w:color w:val="auto"/>
        </w:rPr>
        <w:t>“Corporate Trust Office” means the office of the Trustee at which, at any particular time, its corporate trust business shall be principally administered, which office at the date hereof is located at [        ], except that whenever a provision herein refers to an office or agency of the Trustee in the Borough of Manhattan, the City and State of New York, such office is located, at the date hereof, at [        ].</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“Custodian” means any receiver, trustee, assignee, liquidator, or similar official under any Bankruptcy Law.</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“Default” means an event which is, or after notice or lapse of time, or both, would constitute an Event of Default.</w:t>
      </w:r>
    </w:p>
    <w:p>
      <w:pPr>
        <w:spacing w:after="0" w:line="166" w:lineRule="exact"/>
        <w:rPr>
          <w:sz w:val="20"/>
          <w:szCs w:val="20"/>
          <w:color w:val="auto"/>
        </w:rPr>
      </w:pPr>
    </w:p>
    <w:p>
      <w:pPr>
        <w:ind w:left="340" w:right="419" w:firstLine="334"/>
        <w:spacing w:after="0" w:line="251" w:lineRule="auto"/>
        <w:rPr>
          <w:sz w:val="20"/>
          <w:szCs w:val="20"/>
          <w:color w:val="auto"/>
        </w:rPr>
      </w:pPr>
      <w:r>
        <w:rPr>
          <w:rFonts w:ascii="Times New Roman" w:cs="Times New Roman" w:eastAsia="Times New Roman" w:hAnsi="Times New Roman"/>
          <w:sz w:val="14"/>
          <w:szCs w:val="14"/>
          <w:color w:val="auto"/>
        </w:rPr>
        <w:t>“Depositary” means, with respect to Securities of any series, for which the Company shall determine that such Securities will be issued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2.01 or Section 2.11.</w:t>
      </w:r>
    </w:p>
    <w:p>
      <w:pPr>
        <w:spacing w:after="0" w:line="145" w:lineRule="exact"/>
        <w:rPr>
          <w:sz w:val="20"/>
          <w:szCs w:val="20"/>
          <w:color w:val="auto"/>
        </w:rPr>
      </w:pPr>
    </w:p>
    <w:p>
      <w:pPr>
        <w:ind w:left="340" w:right="419" w:firstLine="334"/>
        <w:spacing w:after="0" w:line="265" w:lineRule="auto"/>
        <w:rPr>
          <w:sz w:val="20"/>
          <w:szCs w:val="20"/>
          <w:color w:val="auto"/>
        </w:rPr>
      </w:pPr>
      <w:r>
        <w:rPr>
          <w:rFonts w:ascii="Times New Roman" w:cs="Times New Roman" w:eastAsia="Times New Roman" w:hAnsi="Times New Roman"/>
          <w:sz w:val="14"/>
          <w:szCs w:val="14"/>
          <w:color w:val="auto"/>
        </w:rPr>
        <w:t>“Event of Default” means, with respect to Securities of a particular series, any event specified in Section 6.01, continued for the period of time, if any, therein designated.</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“Exchange Act” means the Securities Exchange Act of 1934, as amended.</w:t>
      </w:r>
    </w:p>
    <w:p>
      <w:pPr>
        <w:spacing w:after="0" w:line="166" w:lineRule="exact"/>
        <w:rPr>
          <w:sz w:val="20"/>
          <w:szCs w:val="20"/>
          <w:color w:val="auto"/>
        </w:rPr>
      </w:pPr>
    </w:p>
    <w:p>
      <w:pPr>
        <w:ind w:left="340" w:right="479" w:firstLine="334"/>
        <w:spacing w:after="0" w:line="254" w:lineRule="auto"/>
        <w:rPr>
          <w:sz w:val="20"/>
          <w:szCs w:val="20"/>
          <w:color w:val="auto"/>
        </w:rPr>
      </w:pPr>
      <w:r>
        <w:rPr>
          <w:rFonts w:ascii="Times New Roman" w:cs="Times New Roman" w:eastAsia="Times New Roman" w:hAnsi="Times New Roman"/>
          <w:sz w:val="14"/>
          <w:szCs w:val="14"/>
          <w:color w:val="auto"/>
        </w:rPr>
        <w:t>“Global Security” means, with respect to any series of Securities, a Security executed by the Company and delivered by the Trustee to the Depositary or pursuant to the Depositary’s instruction, all in accordance with this Indenture, which shall be registered in the name of the Depositary or its nominee.</w:t>
      </w:r>
    </w:p>
    <w:p>
      <w:pPr>
        <w:spacing w:after="0" w:line="144" w:lineRule="exact"/>
        <w:rPr>
          <w:sz w:val="20"/>
          <w:szCs w:val="20"/>
          <w:color w:val="auto"/>
        </w:rPr>
      </w:pPr>
    </w:p>
    <w:p>
      <w:pPr>
        <w:ind w:left="340" w:right="359" w:firstLine="334"/>
        <w:spacing w:after="0" w:line="246" w:lineRule="auto"/>
        <w:rPr>
          <w:sz w:val="20"/>
          <w:szCs w:val="20"/>
          <w:color w:val="auto"/>
        </w:rPr>
      </w:pPr>
      <w:r>
        <w:rPr>
          <w:rFonts w:ascii="Times New Roman" w:cs="Times New Roman" w:eastAsia="Times New Roman" w:hAnsi="Times New Roman"/>
          <w:sz w:val="14"/>
          <w:szCs w:val="14"/>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non-callable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9" w:right="1440" w:bottom="1440" w:gutter="0" w:footer="0" w:header="0"/>
        </w:sectPr>
      </w:pPr>
    </w:p>
    <w:bookmarkStart w:id="111" w:name="page112"/>
    <w:bookmarkEnd w:id="111"/>
    <w:p>
      <w:pPr>
        <w:ind w:left="340" w:right="399" w:firstLine="334"/>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“herein,” “hereof” and “hereunder,” and other words of similar import, refer to this Indenture as a whole and not to any particular Article, Section or other subdivision.</w:t>
      </w:r>
    </w:p>
    <w:p>
      <w:pPr>
        <w:spacing w:after="0" w:line="136" w:lineRule="exact"/>
        <w:rPr>
          <w:sz w:val="20"/>
          <w:szCs w:val="20"/>
          <w:color w:val="auto"/>
        </w:rPr>
      </w:pPr>
    </w:p>
    <w:p>
      <w:pPr>
        <w:ind w:left="340" w:right="499" w:firstLine="334"/>
        <w:spacing w:after="0" w:line="265" w:lineRule="auto"/>
        <w:rPr>
          <w:sz w:val="20"/>
          <w:szCs w:val="20"/>
          <w:color w:val="auto"/>
        </w:rPr>
      </w:pPr>
      <w:r>
        <w:rPr>
          <w:rFonts w:ascii="Times New Roman" w:cs="Times New Roman" w:eastAsia="Times New Roman" w:hAnsi="Times New Roman"/>
          <w:sz w:val="14"/>
          <w:szCs w:val="14"/>
          <w:color w:val="auto"/>
        </w:rPr>
        <w:t>“Indenture” means this instrument as originally executed or as it may from time to time be supplemented or amended by one or more indentures supplemental hereto entered into in accordance with the terms hereof.</w:t>
      </w:r>
    </w:p>
    <w:p>
      <w:pPr>
        <w:spacing w:after="0" w:line="136" w:lineRule="exact"/>
        <w:rPr>
          <w:sz w:val="20"/>
          <w:szCs w:val="20"/>
          <w:color w:val="auto"/>
        </w:rPr>
      </w:pPr>
    </w:p>
    <w:p>
      <w:pPr>
        <w:jc w:val="both"/>
        <w:ind w:left="340" w:right="359" w:firstLine="334"/>
        <w:spacing w:after="0" w:line="254" w:lineRule="auto"/>
        <w:rPr>
          <w:sz w:val="20"/>
          <w:szCs w:val="20"/>
          <w:color w:val="auto"/>
        </w:rPr>
      </w:pPr>
      <w:r>
        <w:rPr>
          <w:rFonts w:ascii="Times New Roman" w:cs="Times New Roman" w:eastAsia="Times New Roman" w:hAnsi="Times New Roman"/>
          <w:sz w:val="14"/>
          <w:szCs w:val="14"/>
          <w:color w:val="auto"/>
        </w:rPr>
        <w:t>“Interest Payment Date,”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44" w:lineRule="exact"/>
        <w:rPr>
          <w:sz w:val="20"/>
          <w:szCs w:val="20"/>
          <w:color w:val="auto"/>
        </w:rPr>
      </w:pPr>
    </w:p>
    <w:p>
      <w:pPr>
        <w:ind w:left="340" w:right="379" w:firstLine="334"/>
        <w:spacing w:after="0" w:line="251" w:lineRule="auto"/>
        <w:rPr>
          <w:sz w:val="20"/>
          <w:szCs w:val="20"/>
          <w:color w:val="auto"/>
        </w:rPr>
      </w:pPr>
      <w:r>
        <w:rPr>
          <w:rFonts w:ascii="Times New Roman" w:cs="Times New Roman" w:eastAsia="Times New Roman" w:hAnsi="Times New Roman"/>
          <w:sz w:val="14"/>
          <w:szCs w:val="14"/>
          <w:color w:val="auto"/>
        </w:rPr>
        <w:t>“Officers’ Certificate” means a certificate signed by a director or the President or a Senior Vice President and by the Chief Financial Officer, Vice President of Finance, the Treasurer or an Assistant Treasurer or the Controller or an Assistant Controller or the Secretary or an Assistant Secretary of the Company that is delivered to the Trustee in accordance with the terms hereof. Certificate shall include the statements provided for in Section 13.07, if and to the extent required by the provisions thereof.</w:t>
      </w:r>
    </w:p>
    <w:p>
      <w:pPr>
        <w:spacing w:after="0" w:line="145" w:lineRule="exact"/>
        <w:rPr>
          <w:sz w:val="20"/>
          <w:szCs w:val="20"/>
          <w:color w:val="auto"/>
        </w:rPr>
      </w:pPr>
    </w:p>
    <w:p>
      <w:pPr>
        <w:ind w:left="340" w:right="519" w:firstLine="334"/>
        <w:spacing w:after="0" w:line="265" w:lineRule="auto"/>
        <w:rPr>
          <w:sz w:val="20"/>
          <w:szCs w:val="20"/>
          <w:color w:val="auto"/>
        </w:rPr>
      </w:pPr>
      <w:r>
        <w:rPr>
          <w:rFonts w:ascii="Times New Roman" w:cs="Times New Roman" w:eastAsia="Times New Roman" w:hAnsi="Times New Roman"/>
          <w:sz w:val="14"/>
          <w:szCs w:val="14"/>
          <w:color w:val="auto"/>
        </w:rPr>
        <w:t>“Opinion of Counsel” means a written opinion of counsel, who may be counsel to the Company (and may include directors or employees of the Company) and which opinion is acceptable to the Trustee which acceptance shall not be unreasonably withheld.</w:t>
      </w:r>
    </w:p>
    <w:p>
      <w:pPr>
        <w:spacing w:after="0" w:line="136" w:lineRule="exact"/>
        <w:rPr>
          <w:sz w:val="20"/>
          <w:szCs w:val="20"/>
          <w:color w:val="auto"/>
        </w:rPr>
      </w:pPr>
    </w:p>
    <w:p>
      <w:pPr>
        <w:ind w:left="340" w:right="339" w:firstLine="334"/>
        <w:spacing w:after="0" w:line="246" w:lineRule="auto"/>
        <w:rPr>
          <w:sz w:val="20"/>
          <w:szCs w:val="20"/>
          <w:color w:val="auto"/>
        </w:rPr>
      </w:pPr>
      <w:r>
        <w:rPr>
          <w:rFonts w:ascii="Times New Roman" w:cs="Times New Roman" w:eastAsia="Times New Roman" w:hAnsi="Times New Roman"/>
          <w:sz w:val="14"/>
          <w:szCs w:val="14"/>
          <w:color w:val="auto"/>
        </w:rPr>
        <w:t>“Outstanding”,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52" w:lineRule="exact"/>
        <w:rPr>
          <w:sz w:val="20"/>
          <w:szCs w:val="20"/>
          <w:color w:val="auto"/>
        </w:rPr>
      </w:pPr>
    </w:p>
    <w:p>
      <w:pPr>
        <w:ind w:left="340" w:right="499" w:firstLine="334"/>
        <w:spacing w:after="0" w:line="265" w:lineRule="auto"/>
        <w:rPr>
          <w:sz w:val="20"/>
          <w:szCs w:val="20"/>
          <w:color w:val="auto"/>
        </w:rPr>
      </w:pPr>
      <w:r>
        <w:rPr>
          <w:rFonts w:ascii="Times New Roman" w:cs="Times New Roman" w:eastAsia="Times New Roman" w:hAnsi="Times New Roman"/>
          <w:sz w:val="14"/>
          <w:szCs w:val="14"/>
          <w:color w:val="auto"/>
        </w:rPr>
        <w:t>“Person” means any individual, corporation, limited liability company, partnership, joint-venture, association, joint-stock company, trust, estate, unincorporated organization or government or any agency or political subdivision thereof.</w:t>
      </w:r>
    </w:p>
    <w:p>
      <w:pPr>
        <w:spacing w:after="0" w:line="136" w:lineRule="exact"/>
        <w:rPr>
          <w:sz w:val="20"/>
          <w:szCs w:val="20"/>
          <w:color w:val="auto"/>
        </w:rPr>
      </w:pPr>
    </w:p>
    <w:p>
      <w:pPr>
        <w:ind w:left="340" w:right="419" w:firstLine="334"/>
        <w:spacing w:after="0" w:line="254" w:lineRule="auto"/>
        <w:rPr>
          <w:sz w:val="20"/>
          <w:szCs w:val="20"/>
          <w:color w:val="auto"/>
        </w:rPr>
      </w:pPr>
      <w:r>
        <w:rPr>
          <w:rFonts w:ascii="Times New Roman" w:cs="Times New Roman" w:eastAsia="Times New Roman" w:hAnsi="Times New Roman"/>
          <w:sz w:val="14"/>
          <w:szCs w:val="14"/>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2.07 in lieu of a mutilated, destroyed, lost or stolen Security shall be deemed to evidence the same debt as the mutilated, destroyed, lost or stolen Security.</w:t>
      </w:r>
    </w:p>
    <w:p>
      <w:pPr>
        <w:spacing w:after="0" w:line="144" w:lineRule="exact"/>
        <w:rPr>
          <w:sz w:val="20"/>
          <w:szCs w:val="20"/>
          <w:color w:val="auto"/>
        </w:rPr>
      </w:pPr>
    </w:p>
    <w:p>
      <w:pPr>
        <w:ind w:left="340" w:right="659" w:firstLine="334"/>
        <w:spacing w:after="0" w:line="276" w:lineRule="auto"/>
        <w:rPr>
          <w:sz w:val="20"/>
          <w:szCs w:val="20"/>
          <w:color w:val="auto"/>
        </w:rPr>
      </w:pPr>
      <w:r>
        <w:rPr>
          <w:rFonts w:ascii="Times New Roman" w:cs="Times New Roman" w:eastAsia="Times New Roman" w:hAnsi="Times New Roman"/>
          <w:sz w:val="13"/>
          <w:szCs w:val="13"/>
          <w:color w:val="auto"/>
        </w:rPr>
        <w:t>“Responsible Officer,” when used with respect to the Trustee, means any officer of the Trustee, including any vice president, assistant vice president, secretary, assistant secretary, the treasurer, any assistant treasurer, the managing director or any other officer of the Trustee customarily performing functions similar to those performed by any of the above designated officers and also means, with respect to a particular corporate trust matter, any other officer to whom such matter is referred because of such officer’s knowledge of and familiarity with the particular subject.</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9" w:right="1440" w:bottom="1440" w:gutter="0" w:footer="0" w:header="0"/>
        </w:sectPr>
      </w:pPr>
    </w:p>
    <w:bookmarkStart w:id="112" w:name="page113"/>
    <w:bookmarkEnd w:id="112"/>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“Securities” means the debt Securities authenticated and delivered under this Indenture.</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“Security Register” has the meaning specified in Section 2.05.</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“Security Registrar” has the meaning specified in Section 2.05.</w:t>
      </w:r>
    </w:p>
    <w:p>
      <w:pPr>
        <w:spacing w:after="0" w:line="166" w:lineRule="exact"/>
        <w:rPr>
          <w:sz w:val="20"/>
          <w:szCs w:val="20"/>
          <w:color w:val="auto"/>
        </w:rPr>
      </w:pPr>
    </w:p>
    <w:p>
      <w:pPr>
        <w:ind w:left="340" w:right="779" w:firstLine="334"/>
        <w:spacing w:after="0" w:line="265" w:lineRule="auto"/>
        <w:rPr>
          <w:sz w:val="20"/>
          <w:szCs w:val="20"/>
          <w:color w:val="auto"/>
        </w:rPr>
      </w:pPr>
      <w:r>
        <w:rPr>
          <w:rFonts w:ascii="Times New Roman" w:cs="Times New Roman" w:eastAsia="Times New Roman" w:hAnsi="Times New Roman"/>
          <w:sz w:val="14"/>
          <w:szCs w:val="14"/>
          <w:color w:val="auto"/>
        </w:rPr>
        <w:t>“Securityholder,” “holder of Securities,” “registered holder,” or other similar term, means the Person or Persons in whose name or names a particular Security shall be registered in the Security Register.</w:t>
      </w:r>
    </w:p>
    <w:p>
      <w:pPr>
        <w:spacing w:after="0" w:line="136" w:lineRule="exact"/>
        <w:rPr>
          <w:sz w:val="20"/>
          <w:szCs w:val="20"/>
          <w:color w:val="auto"/>
        </w:rPr>
      </w:pPr>
    </w:p>
    <w:p>
      <w:pPr>
        <w:ind w:left="340" w:right="379" w:firstLine="334"/>
        <w:spacing w:after="0" w:line="249" w:lineRule="auto"/>
        <w:rPr>
          <w:sz w:val="20"/>
          <w:szCs w:val="20"/>
          <w:color w:val="auto"/>
        </w:rPr>
      </w:pPr>
      <w:r>
        <w:rPr>
          <w:rFonts w:ascii="Times New Roman" w:cs="Times New Roman" w:eastAsia="Times New Roman" w:hAnsi="Times New Roman"/>
          <w:sz w:val="14"/>
          <w:szCs w:val="14"/>
          <w:color w:val="auto"/>
        </w:rPr>
        <w:t>“Subsidiary”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spacing w:after="0" w:line="147" w:lineRule="exact"/>
        <w:rPr>
          <w:sz w:val="20"/>
          <w:szCs w:val="20"/>
          <w:color w:val="auto"/>
        </w:rPr>
      </w:pPr>
    </w:p>
    <w:p>
      <w:pPr>
        <w:jc w:val="both"/>
        <w:ind w:left="340" w:right="639" w:firstLine="334"/>
        <w:spacing w:after="0" w:line="254" w:lineRule="auto"/>
        <w:rPr>
          <w:sz w:val="20"/>
          <w:szCs w:val="20"/>
          <w:color w:val="auto"/>
        </w:rPr>
      </w:pPr>
      <w:r>
        <w:rPr>
          <w:rFonts w:ascii="Times New Roman" w:cs="Times New Roman" w:eastAsia="Times New Roman" w:hAnsi="Times New Roman"/>
          <w:sz w:val="14"/>
          <w:szCs w:val="14"/>
          <w:color w:val="auto"/>
        </w:rPr>
        <w:t>“Trustee” means the Person named as the “Trustee” in the first paragraph of this instrument until a successor Trustee shall have become such pursuant to the applicable provisions of this Indenture, and thereafter “Trustee” shall mean such successor Trustee. The term “Trustee” as used with respect to a particular series of the Securities shall mean the trustee with respect to that series.</w:t>
      </w:r>
    </w:p>
    <w:p>
      <w:pPr>
        <w:spacing w:after="0" w:line="144" w:lineRule="exact"/>
        <w:rPr>
          <w:sz w:val="20"/>
          <w:szCs w:val="20"/>
          <w:color w:val="auto"/>
        </w:rPr>
      </w:pPr>
    </w:p>
    <w:p>
      <w:pPr>
        <w:jc w:val="both"/>
        <w:ind w:left="340" w:right="419" w:firstLine="334"/>
        <w:spacing w:after="0" w:line="254" w:lineRule="auto"/>
        <w:rPr>
          <w:sz w:val="20"/>
          <w:szCs w:val="20"/>
          <w:color w:val="auto"/>
        </w:rPr>
      </w:pPr>
      <w:r>
        <w:rPr>
          <w:rFonts w:ascii="Times New Roman" w:cs="Times New Roman" w:eastAsia="Times New Roman" w:hAnsi="Times New Roman"/>
          <w:sz w:val="14"/>
          <w:szCs w:val="14"/>
          <w:color w:val="auto"/>
        </w:rPr>
        <w:t>“Trust Indenture Act” means the Trust Indenture Act of 1939, as amended, subject to the provisions of Sections 9.01, 9.02, and 10.01, as in effect at the date of execution of this instrument; provided, however, that in the event the Trust Indenture Act is amended after such date, Trust Indenture Act means, to the extent required by such amendment, the Trust Indenture Act of 1939, as so amended, or any successor statute.</w:t>
      </w:r>
    </w:p>
    <w:p>
      <w:pPr>
        <w:spacing w:after="0" w:line="144" w:lineRule="exact"/>
        <w:rPr>
          <w:sz w:val="20"/>
          <w:szCs w:val="20"/>
          <w:color w:val="auto"/>
        </w:rPr>
      </w:pPr>
    </w:p>
    <w:p>
      <w:pPr>
        <w:ind w:left="340" w:right="399" w:firstLine="334"/>
        <w:spacing w:after="0" w:line="254" w:lineRule="auto"/>
        <w:rPr>
          <w:sz w:val="20"/>
          <w:szCs w:val="20"/>
          <w:color w:val="auto"/>
        </w:rPr>
      </w:pPr>
      <w:r>
        <w:rPr>
          <w:rFonts w:ascii="Times New Roman" w:cs="Times New Roman" w:eastAsia="Times New Roman" w:hAnsi="Times New Roman"/>
          <w:sz w:val="14"/>
          <w:szCs w:val="14"/>
          <w:color w:val="auto"/>
        </w:rPr>
        <w:t>“Voting Stock,” as applied to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II</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ISSUE, DESCRIPTION, TERMS, EXECUTION, REGISTRATION AND EXCHANGE OF SECURITIES</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2.01 Designation and Terms of Securities.</w:t>
      </w:r>
    </w:p>
    <w:p>
      <w:pPr>
        <w:spacing w:after="0" w:line="95" w:lineRule="exact"/>
        <w:rPr>
          <w:sz w:val="20"/>
          <w:szCs w:val="20"/>
          <w:color w:val="auto"/>
        </w:rPr>
      </w:pPr>
    </w:p>
    <w:p>
      <w:pPr>
        <w:jc w:val="both"/>
        <w:ind w:left="1060" w:right="359" w:hanging="403"/>
        <w:spacing w:after="0" w:line="249" w:lineRule="auto"/>
        <w:tabs>
          <w:tab w:leader="none" w:pos="10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of the Company or pursuant to one or more indentures supplemental hereto. Prior to the initial issuance of Securities of a given series, there shall be established in or pursuant to a Board Resolution of the Company, and set forth in an Officers’ Certificate of the Company, or established in one or more indentures supplemental hereto:</w:t>
      </w:r>
    </w:p>
    <w:p>
      <w:pPr>
        <w:spacing w:after="0" w:line="75" w:lineRule="exact"/>
        <w:rPr>
          <w:rFonts w:ascii="Times New Roman" w:cs="Times New Roman" w:eastAsia="Times New Roman" w:hAnsi="Times New Roman"/>
          <w:sz w:val="14"/>
          <w:szCs w:val="14"/>
          <w:color w:val="auto"/>
        </w:rPr>
      </w:pPr>
    </w:p>
    <w:p>
      <w:pPr>
        <w:ind w:left="1400" w:hanging="323"/>
        <w:spacing w:after="0"/>
        <w:tabs>
          <w:tab w:leader="none" w:pos="140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Security of the series (which shall distinguish the Securities of the series from all other Securities);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9" w:right="1440" w:bottom="1440" w:gutter="0" w:footer="0" w:header="0"/>
        </w:sectPr>
      </w:pPr>
    </w:p>
    <w:bookmarkStart w:id="113" w:name="page114"/>
    <w:bookmarkEnd w:id="113"/>
    <w:p>
      <w:pPr>
        <w:ind w:left="1400" w:right="739" w:hanging="323"/>
        <w:spacing w:after="0" w:line="283" w:lineRule="auto"/>
        <w:tabs>
          <w:tab w:leader="none" w:pos="140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the aggregate principal amount of the Securities of such series initially to be issued and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54" w:lineRule="exact"/>
        <w:rPr>
          <w:rFonts w:ascii="Times New Roman" w:cs="Times New Roman" w:eastAsia="Times New Roman" w:hAnsi="Times New Roman"/>
          <w:sz w:val="13"/>
          <w:szCs w:val="13"/>
          <w:color w:val="auto"/>
        </w:rPr>
      </w:pPr>
    </w:p>
    <w:p>
      <w:pPr>
        <w:ind w:left="1400" w:right="519" w:hanging="323"/>
        <w:spacing w:after="0" w:line="265" w:lineRule="auto"/>
        <w:tabs>
          <w:tab w:leader="none" w:pos="14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units based on or relating to currencies in which debt securities of such series are denominated and the currency or units in which principal or interest or both will or may be payable;</w:t>
      </w:r>
    </w:p>
    <w:p>
      <w:pPr>
        <w:spacing w:after="0" w:line="63" w:lineRule="exact"/>
        <w:rPr>
          <w:rFonts w:ascii="Times New Roman" w:cs="Times New Roman" w:eastAsia="Times New Roman" w:hAnsi="Times New Roman"/>
          <w:sz w:val="14"/>
          <w:szCs w:val="14"/>
          <w:color w:val="auto"/>
        </w:rPr>
      </w:pPr>
    </w:p>
    <w:p>
      <w:pPr>
        <w:ind w:left="1400" w:hanging="323"/>
        <w:spacing w:after="0"/>
        <w:tabs>
          <w:tab w:leader="none" w:pos="14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Securities of the series is payable and the place(s) of payment;</w:t>
      </w:r>
    </w:p>
    <w:p>
      <w:pPr>
        <w:spacing w:after="0" w:line="94" w:lineRule="exact"/>
        <w:rPr>
          <w:rFonts w:ascii="Times New Roman" w:cs="Times New Roman" w:eastAsia="Times New Roman" w:hAnsi="Times New Roman"/>
          <w:sz w:val="14"/>
          <w:szCs w:val="14"/>
          <w:color w:val="auto"/>
        </w:rPr>
      </w:pPr>
    </w:p>
    <w:p>
      <w:pPr>
        <w:ind w:left="1400" w:hanging="323"/>
        <w:spacing w:after="0"/>
        <w:tabs>
          <w:tab w:leader="none" w:pos="14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at which the Securities of the series shall bear interest or the manner of calculation of such rate or rates, if any;</w:t>
      </w:r>
    </w:p>
    <w:p>
      <w:pPr>
        <w:spacing w:after="0" w:line="94" w:lineRule="exact"/>
        <w:rPr>
          <w:rFonts w:ascii="Times New Roman" w:cs="Times New Roman" w:eastAsia="Times New Roman" w:hAnsi="Times New Roman"/>
          <w:sz w:val="14"/>
          <w:szCs w:val="14"/>
          <w:color w:val="auto"/>
        </w:rPr>
      </w:pPr>
    </w:p>
    <w:p>
      <w:pPr>
        <w:ind w:left="1400" w:right="659" w:hanging="323"/>
        <w:spacing w:after="0" w:line="283" w:lineRule="auto"/>
        <w:tabs>
          <w:tab w:leader="none" w:pos="140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method for determining such dates;</w:t>
      </w:r>
    </w:p>
    <w:p>
      <w:pPr>
        <w:spacing w:after="0" w:line="54" w:lineRule="exact"/>
        <w:rPr>
          <w:rFonts w:ascii="Times New Roman" w:cs="Times New Roman" w:eastAsia="Times New Roman" w:hAnsi="Times New Roman"/>
          <w:sz w:val="13"/>
          <w:szCs w:val="13"/>
          <w:color w:val="auto"/>
        </w:rPr>
      </w:pPr>
    </w:p>
    <w:p>
      <w:pPr>
        <w:ind w:left="1400" w:hanging="323"/>
        <w:spacing w:after="0"/>
        <w:tabs>
          <w:tab w:leader="none" w:pos="14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if any, to extend the interest payment periods or to defer the payment of interest and the duration of such extension;</w:t>
      </w:r>
    </w:p>
    <w:p>
      <w:pPr>
        <w:spacing w:after="0" w:line="94" w:lineRule="exact"/>
        <w:rPr>
          <w:rFonts w:ascii="Times New Roman" w:cs="Times New Roman" w:eastAsia="Times New Roman" w:hAnsi="Times New Roman"/>
          <w:sz w:val="14"/>
          <w:szCs w:val="14"/>
          <w:color w:val="auto"/>
        </w:rPr>
      </w:pPr>
    </w:p>
    <w:p>
      <w:pPr>
        <w:ind w:left="1400" w:right="339" w:hanging="323"/>
        <w:spacing w:after="0" w:line="265" w:lineRule="auto"/>
        <w:tabs>
          <w:tab w:leader="none" w:pos="14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or periods within which, the price or prices at which and the terms and conditions upon which, Securities of the series may be redeemed, in whole or in part, at the option of the Company;</w:t>
      </w:r>
    </w:p>
    <w:p>
      <w:pPr>
        <w:spacing w:after="0" w:line="63" w:lineRule="exact"/>
        <w:rPr>
          <w:rFonts w:ascii="Times New Roman" w:cs="Times New Roman" w:eastAsia="Times New Roman" w:hAnsi="Times New Roman"/>
          <w:sz w:val="14"/>
          <w:szCs w:val="14"/>
          <w:color w:val="auto"/>
        </w:rPr>
      </w:pPr>
    </w:p>
    <w:p>
      <w:pPr>
        <w:ind w:left="1400" w:right="339" w:hanging="323"/>
        <w:spacing w:after="0" w:line="251" w:lineRule="auto"/>
        <w:tabs>
          <w:tab w:leader="none" w:pos="14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if any, of the Company to redeem or purchase Securities of the series pursuant to any sinking fund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73" w:lineRule="exact"/>
        <w:rPr>
          <w:rFonts w:ascii="Times New Roman" w:cs="Times New Roman" w:eastAsia="Times New Roman" w:hAnsi="Times New Roman"/>
          <w:sz w:val="14"/>
          <w:szCs w:val="14"/>
          <w:color w:val="auto"/>
        </w:rPr>
      </w:pPr>
    </w:p>
    <w:p>
      <w:pPr>
        <w:ind w:left="1400" w:hanging="323"/>
        <w:spacing w:after="0"/>
        <w:tabs>
          <w:tab w:leader="none" w:pos="14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 debt securities will be secured or unsecured, and the terms of any secured debt;</w:t>
      </w:r>
    </w:p>
    <w:p>
      <w:pPr>
        <w:spacing w:after="0" w:line="94" w:lineRule="exact"/>
        <w:rPr>
          <w:rFonts w:ascii="Times New Roman" w:cs="Times New Roman" w:eastAsia="Times New Roman" w:hAnsi="Times New Roman"/>
          <w:sz w:val="14"/>
          <w:szCs w:val="14"/>
          <w:color w:val="auto"/>
        </w:rPr>
      </w:pPr>
    </w:p>
    <w:p>
      <w:pPr>
        <w:ind w:left="1400" w:hanging="323"/>
        <w:spacing w:after="0"/>
        <w:tabs>
          <w:tab w:leader="none" w:pos="14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the Securities of the series including the form of the Certificate of Authentication for such series;</w:t>
      </w:r>
    </w:p>
    <w:p>
      <w:pPr>
        <w:spacing w:after="0" w:line="94" w:lineRule="exact"/>
        <w:rPr>
          <w:rFonts w:ascii="Times New Roman" w:cs="Times New Roman" w:eastAsia="Times New Roman" w:hAnsi="Times New Roman"/>
          <w:sz w:val="14"/>
          <w:szCs w:val="14"/>
          <w:color w:val="auto"/>
        </w:rPr>
      </w:pPr>
    </w:p>
    <w:p>
      <w:pPr>
        <w:ind w:left="1400" w:right="499" w:hanging="323"/>
        <w:spacing w:after="0" w:line="265" w:lineRule="auto"/>
        <w:tabs>
          <w:tab w:leader="none" w:pos="14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denominations of one thousand U.S. dollars ($1,000) or any integral multiple thereof, the denominations in which the Securities of the series shall be issuable;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9" w:right="1440" w:bottom="1440" w:gutter="0" w:footer="0" w:header="0"/>
        </w:sectPr>
      </w:pPr>
    </w:p>
    <w:bookmarkStart w:id="114" w:name="page115"/>
    <w:bookmarkEnd w:id="114"/>
    <w:p>
      <w:pPr>
        <w:ind w:left="1400" w:right="339" w:hanging="323"/>
        <w:spacing w:after="0" w:line="254" w:lineRule="auto"/>
        <w:tabs>
          <w:tab w:leader="none" w:pos="140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any and all other terms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72" w:lineRule="exact"/>
        <w:rPr>
          <w:rFonts w:ascii="Times New Roman" w:cs="Times New Roman" w:eastAsia="Times New Roman" w:hAnsi="Times New Roman"/>
          <w:sz w:val="14"/>
          <w:szCs w:val="14"/>
          <w:color w:val="auto"/>
        </w:rPr>
      </w:pPr>
    </w:p>
    <w:p>
      <w:pPr>
        <w:ind w:left="1400" w:hanging="323"/>
        <w:spacing w:after="0"/>
        <w:tabs>
          <w:tab w:leader="none" w:pos="140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Securities are issuable as a Global Security and, in such case, the identity of the Depositary for such series;</w:t>
      </w:r>
    </w:p>
    <w:p>
      <w:pPr>
        <w:spacing w:after="0" w:line="94" w:lineRule="exact"/>
        <w:rPr>
          <w:rFonts w:ascii="Times New Roman" w:cs="Times New Roman" w:eastAsia="Times New Roman" w:hAnsi="Times New Roman"/>
          <w:sz w:val="14"/>
          <w:szCs w:val="14"/>
          <w:color w:val="auto"/>
        </w:rPr>
      </w:pPr>
    </w:p>
    <w:p>
      <w:pPr>
        <w:ind w:left="1400" w:right="479" w:hanging="323"/>
        <w:spacing w:after="0" w:line="265" w:lineRule="auto"/>
        <w:tabs>
          <w:tab w:leader="none" w:pos="140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Securities will be convertible into shares of common stock or other securities of the Company and, if so, the terms and conditions upon which such Securities will be so convertible, including the conversion price and the conversion period;</w:t>
      </w:r>
    </w:p>
    <w:p>
      <w:pPr>
        <w:spacing w:after="0" w:line="63" w:lineRule="exact"/>
        <w:rPr>
          <w:rFonts w:ascii="Times New Roman" w:cs="Times New Roman" w:eastAsia="Times New Roman" w:hAnsi="Times New Roman"/>
          <w:sz w:val="14"/>
          <w:szCs w:val="14"/>
          <w:color w:val="auto"/>
        </w:rPr>
      </w:pPr>
    </w:p>
    <w:p>
      <w:pPr>
        <w:ind w:left="1400" w:right="399" w:hanging="323"/>
        <w:spacing w:after="0" w:line="265" w:lineRule="auto"/>
        <w:tabs>
          <w:tab w:leader="none" w:pos="140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principal amount thereof, the portion of the principal amount of Securities of the series which shall be payable upon declaration of acceleration of the maturity thereof pursuant to Section 6.01; and</w:t>
      </w:r>
    </w:p>
    <w:p>
      <w:pPr>
        <w:spacing w:after="0" w:line="63" w:lineRule="exact"/>
        <w:rPr>
          <w:rFonts w:ascii="Times New Roman" w:cs="Times New Roman" w:eastAsia="Times New Roman" w:hAnsi="Times New Roman"/>
          <w:sz w:val="14"/>
          <w:szCs w:val="14"/>
          <w:color w:val="auto"/>
        </w:rPr>
      </w:pPr>
    </w:p>
    <w:p>
      <w:pPr>
        <w:ind w:left="1400" w:hanging="323"/>
        <w:spacing w:after="0"/>
        <w:tabs>
          <w:tab w:leader="none" w:pos="140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or different Events of Default or restrictive covenants provided for with respect to the Securities of the series.</w:t>
      </w:r>
    </w:p>
    <w:p>
      <w:pPr>
        <w:spacing w:after="0" w:line="166" w:lineRule="exact"/>
        <w:rPr>
          <w:sz w:val="20"/>
          <w:szCs w:val="20"/>
          <w:color w:val="auto"/>
        </w:rPr>
      </w:pPr>
    </w:p>
    <w:p>
      <w:pPr>
        <w:ind w:left="340" w:right="439" w:firstLine="334"/>
        <w:spacing w:after="0" w:line="265" w:lineRule="auto"/>
        <w:rPr>
          <w:sz w:val="20"/>
          <w:szCs w:val="20"/>
          <w:color w:val="auto"/>
        </w:rPr>
      </w:pPr>
      <w:r>
        <w:rPr>
          <w:rFonts w:ascii="Times New Roman" w:cs="Times New Roman" w:eastAsia="Times New Roman" w:hAnsi="Times New Roman"/>
          <w:sz w:val="14"/>
          <w:szCs w:val="14"/>
          <w:color w:val="auto"/>
        </w:rPr>
        <w:t>All Securities of any one series shall be substantially identical except as to denomination and except as may otherwise be provided in or pursuant to any such Board Resolution or in any indentures supplemental hereto.</w:t>
      </w:r>
    </w:p>
    <w:p>
      <w:pPr>
        <w:spacing w:after="0" w:line="136" w:lineRule="exact"/>
        <w:rPr>
          <w:sz w:val="20"/>
          <w:szCs w:val="20"/>
          <w:color w:val="auto"/>
        </w:rPr>
      </w:pPr>
    </w:p>
    <w:p>
      <w:pPr>
        <w:ind w:left="340" w:right="399" w:firstLine="334"/>
        <w:spacing w:after="0" w:line="254" w:lineRule="auto"/>
        <w:rPr>
          <w:sz w:val="20"/>
          <w:szCs w:val="20"/>
          <w:color w:val="auto"/>
        </w:rPr>
      </w:pPr>
      <w:r>
        <w:rPr>
          <w:rFonts w:ascii="Times New Roman" w:cs="Times New Roman" w:eastAsia="Times New Roman" w:hAnsi="Times New Roman"/>
          <w:sz w:val="14"/>
          <w:szCs w:val="14"/>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44" w:lineRule="exact"/>
        <w:rPr>
          <w:sz w:val="20"/>
          <w:szCs w:val="20"/>
          <w:color w:val="auto"/>
        </w:rPr>
      </w:pPr>
    </w:p>
    <w:p>
      <w:pPr>
        <w:jc w:val="both"/>
        <w:ind w:left="340" w:right="579" w:firstLine="334"/>
        <w:spacing w:after="0" w:line="254" w:lineRule="auto"/>
        <w:rPr>
          <w:sz w:val="20"/>
          <w:szCs w:val="20"/>
          <w:color w:val="auto"/>
        </w:rPr>
      </w:pPr>
      <w:r>
        <w:rPr>
          <w:rFonts w:ascii="Times New Roman" w:cs="Times New Roman" w:eastAsia="Times New Roman" w:hAnsi="Times New Roman"/>
          <w:sz w:val="14"/>
          <w:szCs w:val="14"/>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2.02 Form of Securities and Trustee’s Certificate.</w:t>
      </w:r>
    </w:p>
    <w:p>
      <w:pPr>
        <w:spacing w:after="0" w:line="166" w:lineRule="exact"/>
        <w:rPr>
          <w:sz w:val="20"/>
          <w:szCs w:val="20"/>
          <w:color w:val="auto"/>
        </w:rPr>
      </w:pPr>
    </w:p>
    <w:p>
      <w:pPr>
        <w:ind w:left="340" w:right="439" w:firstLine="334"/>
        <w:spacing w:after="0" w:line="248" w:lineRule="auto"/>
        <w:rPr>
          <w:sz w:val="20"/>
          <w:szCs w:val="20"/>
          <w:color w:val="auto"/>
        </w:rPr>
      </w:pPr>
      <w:r>
        <w:rPr>
          <w:rFonts w:ascii="Times New Roman" w:cs="Times New Roman" w:eastAsia="Times New Roman" w:hAnsi="Times New Roman"/>
          <w:sz w:val="14"/>
          <w:szCs w:val="14"/>
          <w:color w:val="auto"/>
        </w:rPr>
        <w:t>The Securities of any series and the Trustee’s certificate of authentication to be borne by such Securities shall be substantially of the tenor and purport as set forth in one or more indentures supplemental hereto or as provided in a Board Resolution of the Company and as set forth in an Officers’ Certificate of the Company and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stock exchange on which Securities of that series may be listed, or to conform to usage.</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2.03 Denominations: Provisions for Payment.</w:t>
      </w:r>
    </w:p>
    <w:p>
      <w:pPr>
        <w:spacing w:after="0" w:line="166" w:lineRule="exact"/>
        <w:rPr>
          <w:sz w:val="20"/>
          <w:szCs w:val="20"/>
          <w:color w:val="auto"/>
        </w:rPr>
      </w:pPr>
    </w:p>
    <w:p>
      <w:pPr>
        <w:ind w:left="340" w:right="459" w:firstLine="334"/>
        <w:spacing w:after="0" w:line="254" w:lineRule="auto"/>
        <w:rPr>
          <w:sz w:val="20"/>
          <w:szCs w:val="20"/>
          <w:color w:val="auto"/>
        </w:rPr>
      </w:pPr>
      <w:r>
        <w:rPr>
          <w:rFonts w:ascii="Times New Roman" w:cs="Times New Roman" w:eastAsia="Times New Roman" w:hAnsi="Times New Roman"/>
          <w:sz w:val="14"/>
          <w:szCs w:val="14"/>
          <w:color w:val="auto"/>
        </w:rPr>
        <w:t>The Securities shall be issuable as registered Securities and in the denominations of one thousand U.S. dollars ($1,000) or any integral multiple thereof, subject to Section 2.01(a)(12). The Securities of a particular series shall bear interest payable on the dates and at the rate specified with respect to that series.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9" w:right="1440" w:bottom="1440" w:gutter="0" w:footer="0" w:header="0"/>
        </w:sectPr>
      </w:pPr>
    </w:p>
    <w:bookmarkStart w:id="115" w:name="page116"/>
    <w:bookmarkEnd w:id="115"/>
    <w:p>
      <w:pPr>
        <w:ind w:left="340" w:right="43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spacing w:after="0" w:line="145" w:lineRule="exact"/>
        <w:rPr>
          <w:sz w:val="20"/>
          <w:szCs w:val="20"/>
          <w:color w:val="auto"/>
        </w:rPr>
      </w:pPr>
    </w:p>
    <w:p>
      <w:pPr>
        <w:ind w:left="340" w:right="359" w:firstLine="334"/>
        <w:spacing w:after="0" w:line="249" w:lineRule="auto"/>
        <w:rPr>
          <w:sz w:val="20"/>
          <w:szCs w:val="20"/>
          <w:color w:val="auto"/>
        </w:rPr>
      </w:pPr>
      <w:r>
        <w:rPr>
          <w:rFonts w:ascii="Times New Roman" w:cs="Times New Roman" w:eastAsia="Times New Roman" w:hAnsi="Times New Roman"/>
          <w:sz w:val="14"/>
          <w:szCs w:val="14"/>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47" w:lineRule="exact"/>
        <w:rPr>
          <w:sz w:val="20"/>
          <w:szCs w:val="20"/>
          <w:color w:val="auto"/>
        </w:rPr>
      </w:pPr>
    </w:p>
    <w:p>
      <w:pPr>
        <w:ind w:left="340" w:right="459" w:firstLine="334"/>
        <w:spacing w:after="0" w:line="283" w:lineRule="auto"/>
        <w:rPr>
          <w:sz w:val="20"/>
          <w:szCs w:val="20"/>
          <w:color w:val="auto"/>
        </w:rPr>
      </w:pPr>
      <w:r>
        <w:rPr>
          <w:rFonts w:ascii="Times New Roman" w:cs="Times New Roman" w:eastAsia="Times New Roman" w:hAnsi="Times New Roman"/>
          <w:sz w:val="13"/>
          <w:szCs w:val="13"/>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54" w:lineRule="exact"/>
        <w:rPr>
          <w:sz w:val="20"/>
          <w:szCs w:val="20"/>
          <w:color w:val="auto"/>
        </w:rPr>
      </w:pPr>
    </w:p>
    <w:p>
      <w:pPr>
        <w:ind w:left="1400" w:right="359" w:hanging="323"/>
        <w:spacing w:after="0" w:line="245" w:lineRule="auto"/>
        <w:tabs>
          <w:tab w:leader="none" w:pos="14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82" w:lineRule="exact"/>
        <w:rPr>
          <w:rFonts w:ascii="Times New Roman" w:cs="Times New Roman" w:eastAsia="Times New Roman" w:hAnsi="Times New Roman"/>
          <w:sz w:val="14"/>
          <w:szCs w:val="14"/>
          <w:color w:val="auto"/>
        </w:rPr>
      </w:pPr>
    </w:p>
    <w:p>
      <w:pPr>
        <w:ind w:left="1400" w:right="479" w:hanging="323"/>
        <w:spacing w:after="0" w:line="251" w:lineRule="auto"/>
        <w:tabs>
          <w:tab w:leader="none" w:pos="14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9" w:right="1440" w:bottom="1440" w:gutter="0" w:footer="0" w:header="0"/>
        </w:sectPr>
      </w:pPr>
    </w:p>
    <w:bookmarkStart w:id="116" w:name="page117"/>
    <w:bookmarkEnd w:id="116"/>
    <w:p>
      <w:pPr>
        <w:ind w:left="340" w:right="339" w:firstLine="334"/>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Unless otherwise set forth in a Board Resolution of the Company or one or more indentures supplemental hereto establishing the terms of any series of Securities pursuant to Section 2.01 hereof, the term “regular record date” as used in this Section with respect to a series of Securities with respect to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last day of the month immediately preceding the month in which an Interest Payment Date established for such series pursuant to Section 2.01 hereof shall occur, if such Interest Payment Date is the fifteenth day of a month, whether or not such date is a Business Day.</w:t>
      </w:r>
    </w:p>
    <w:p>
      <w:pPr>
        <w:spacing w:after="0" w:line="148" w:lineRule="exact"/>
        <w:rPr>
          <w:sz w:val="20"/>
          <w:szCs w:val="20"/>
          <w:color w:val="auto"/>
        </w:rPr>
      </w:pPr>
    </w:p>
    <w:p>
      <w:pPr>
        <w:jc w:val="both"/>
        <w:ind w:left="340" w:right="459" w:firstLine="334"/>
        <w:spacing w:after="0" w:line="304" w:lineRule="auto"/>
        <w:rPr>
          <w:sz w:val="20"/>
          <w:szCs w:val="20"/>
          <w:color w:val="auto"/>
        </w:rPr>
      </w:pPr>
      <w:r>
        <w:rPr>
          <w:rFonts w:ascii="Times New Roman" w:cs="Times New Roman" w:eastAsia="Times New Roman" w:hAnsi="Times New Roman"/>
          <w:sz w:val="13"/>
          <w:szCs w:val="13"/>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2.04 Execution and Authentications.</w:t>
      </w:r>
    </w:p>
    <w:p>
      <w:pPr>
        <w:spacing w:after="0" w:line="166" w:lineRule="exact"/>
        <w:rPr>
          <w:sz w:val="20"/>
          <w:szCs w:val="20"/>
          <w:color w:val="auto"/>
        </w:rPr>
      </w:pPr>
    </w:p>
    <w:p>
      <w:pPr>
        <w:ind w:left="340" w:right="359" w:firstLine="334"/>
        <w:spacing w:after="0" w:line="246" w:lineRule="auto"/>
        <w:rPr>
          <w:sz w:val="20"/>
          <w:szCs w:val="20"/>
          <w:color w:val="auto"/>
        </w:rPr>
      </w:pPr>
      <w:r>
        <w:rPr>
          <w:rFonts w:ascii="Times New Roman" w:cs="Times New Roman" w:eastAsia="Times New Roman" w:hAnsi="Times New Roman"/>
          <w:sz w:val="14"/>
          <w:szCs w:val="14"/>
          <w:color w:val="auto"/>
        </w:rPr>
        <w:t>The Securities shall be signed on behalf of the Company by its President, or one of its Senior Vice Presidents, or its Treasurer, or one of its Assistant Treasurers, or its Secretary, or one of its Assistant Secretaries, under its corporate seal attested by its Secretary or one of its Assistant Secretaries. Signatures may be in the form of a manual or facsimile signature. The Company may use the facsimile signature of any Person who shall have been a President or Vice President thereof, or of any Person who shall have been a Treasurer or Assistant Treasurer thereof, or of any Person who shall have been a Secretary or Assistant Secretary thereof, notwithstanding the fact that at the time the Securities shall be authenticated and delivered or disposed of such Person shall have ceased to be the President or a Vice President, the Treasurer or an Assistant Treasurer or the Secretary or an Assistant Secretary, of the Company. The seal of the Company may be in the form of a facsimile of such seal and may be impressed, affixed, imprinted or otherwise reproduced on the Securities. The Securities may contain such notations, legends or endorsements required by law, stock exchange rule or usage. Each Security shall be dated the date of its authentication.</w:t>
      </w:r>
    </w:p>
    <w:p>
      <w:pPr>
        <w:spacing w:after="0" w:line="152" w:lineRule="exact"/>
        <w:rPr>
          <w:sz w:val="20"/>
          <w:szCs w:val="20"/>
          <w:color w:val="auto"/>
        </w:rPr>
      </w:pPr>
    </w:p>
    <w:p>
      <w:pPr>
        <w:ind w:left="340" w:right="379" w:firstLine="334"/>
        <w:spacing w:after="0" w:line="247" w:lineRule="auto"/>
        <w:rPr>
          <w:sz w:val="20"/>
          <w:szCs w:val="20"/>
          <w:color w:val="auto"/>
        </w:rPr>
      </w:pPr>
      <w:r>
        <w:rPr>
          <w:rFonts w:ascii="Times New Roman" w:cs="Times New Roman" w:eastAsia="Times New Roman" w:hAnsi="Times New Roman"/>
          <w:sz w:val="14"/>
          <w:szCs w:val="14"/>
          <w:color w:val="auto"/>
        </w:rPr>
        <w:t>A Security shall not be valid or obligatory for any purpose and shall not be entitled to any benefit under this Indenture, in each case, until authenticated with a certificate of authentication manually signed by an authorized signatory of the Trustee, or by an Authenticating Agent. Such certificate shall be conclusive evidence, and the only evidence, that the Security so authenticated has been duly authenticated and delivered hereunder and that the Security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its President or any Vice President and its Secretary or any Assistant Secretary, and the Trustee in accordance with such written order shall authenticate and deliver such Securities.</w:t>
      </w:r>
    </w:p>
    <w:p>
      <w:pPr>
        <w:spacing w:after="0" w:line="150" w:lineRule="exact"/>
        <w:rPr>
          <w:sz w:val="20"/>
          <w:szCs w:val="20"/>
          <w:color w:val="auto"/>
        </w:rPr>
      </w:pPr>
    </w:p>
    <w:p>
      <w:pPr>
        <w:ind w:left="340" w:right="459" w:firstLine="334"/>
        <w:spacing w:after="0" w:line="254" w:lineRule="auto"/>
        <w:rPr>
          <w:sz w:val="20"/>
          <w:szCs w:val="20"/>
          <w:color w:val="auto"/>
        </w:rPr>
      </w:pPr>
      <w:r>
        <w:rPr>
          <w:rFonts w:ascii="Times New Roman" w:cs="Times New Roman" w:eastAsia="Times New Roman" w:hAnsi="Times New Roman"/>
          <w:sz w:val="14"/>
          <w:szCs w:val="14"/>
          <w:color w:val="auto"/>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spacing w:after="0" w:line="144" w:lineRule="exact"/>
        <w:rPr>
          <w:sz w:val="20"/>
          <w:szCs w:val="20"/>
          <w:color w:val="auto"/>
        </w:rPr>
      </w:pPr>
    </w:p>
    <w:p>
      <w:pPr>
        <w:ind w:left="340" w:right="479" w:firstLine="334"/>
        <w:spacing w:after="0" w:line="304" w:lineRule="auto"/>
        <w:rPr>
          <w:sz w:val="20"/>
          <w:szCs w:val="20"/>
          <w:color w:val="auto"/>
        </w:rPr>
      </w:pPr>
      <w:r>
        <w:rPr>
          <w:rFonts w:ascii="Times New Roman" w:cs="Times New Roman" w:eastAsia="Times New Roman" w:hAnsi="Times New Roman"/>
          <w:sz w:val="13"/>
          <w:szCs w:val="13"/>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9" w:right="1440" w:bottom="1440" w:gutter="0" w:footer="0" w:header="0"/>
        </w:sectPr>
      </w:pPr>
    </w:p>
    <w:bookmarkStart w:id="117" w:name="page118"/>
    <w:bookmarkEnd w:id="117"/>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2.05 Registration of Transfer and Exchange.</w:t>
      </w:r>
    </w:p>
    <w:p>
      <w:pPr>
        <w:spacing w:after="0" w:line="95" w:lineRule="exact"/>
        <w:rPr>
          <w:sz w:val="20"/>
          <w:szCs w:val="20"/>
          <w:color w:val="auto"/>
        </w:rPr>
      </w:pPr>
    </w:p>
    <w:p>
      <w:pPr>
        <w:ind w:left="1060" w:right="359" w:hanging="403"/>
        <w:spacing w:after="0" w:line="248" w:lineRule="auto"/>
        <w:tabs>
          <w:tab w:leader="none" w:pos="10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76" w:lineRule="exact"/>
        <w:rPr>
          <w:rFonts w:ascii="Times New Roman" w:cs="Times New Roman" w:eastAsia="Times New Roman" w:hAnsi="Times New Roman"/>
          <w:sz w:val="14"/>
          <w:szCs w:val="14"/>
          <w:color w:val="auto"/>
        </w:rPr>
      </w:pPr>
    </w:p>
    <w:p>
      <w:pPr>
        <w:ind w:left="1060" w:right="339" w:hanging="403"/>
        <w:spacing w:after="0" w:line="248" w:lineRule="auto"/>
        <w:tabs>
          <w:tab w:leader="none" w:pos="10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66" w:lineRule="exact"/>
        <w:rPr>
          <w:sz w:val="20"/>
          <w:szCs w:val="20"/>
          <w:color w:val="auto"/>
        </w:rPr>
      </w:pPr>
    </w:p>
    <w:p>
      <w:pPr>
        <w:jc w:val="both"/>
        <w:ind w:left="660" w:right="499"/>
        <w:spacing w:after="0" w:line="254" w:lineRule="auto"/>
        <w:rPr>
          <w:sz w:val="20"/>
          <w:szCs w:val="20"/>
          <w:color w:val="auto"/>
        </w:rPr>
      </w:pPr>
      <w:r>
        <w:rPr>
          <w:rFonts w:ascii="Times New Roman" w:cs="Times New Roman" w:eastAsia="Times New Roman" w:hAnsi="Times New Roman"/>
          <w:sz w:val="14"/>
          <w:szCs w:val="14"/>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62" w:lineRule="exact"/>
        <w:rPr>
          <w:sz w:val="20"/>
          <w:szCs w:val="20"/>
          <w:color w:val="auto"/>
        </w:rPr>
      </w:pPr>
    </w:p>
    <w:p>
      <w:pPr>
        <w:ind w:left="660" w:right="359"/>
        <w:spacing w:after="0" w:line="254" w:lineRule="auto"/>
        <w:rPr>
          <w:sz w:val="20"/>
          <w:szCs w:val="20"/>
          <w:color w:val="auto"/>
        </w:rPr>
      </w:pPr>
      <w:r>
        <w:rPr>
          <w:rFonts w:ascii="Times New Roman" w:cs="Times New Roman" w:eastAsia="Times New Roman" w:hAnsi="Times New Roman"/>
          <w:sz w:val="14"/>
          <w:szCs w:val="14"/>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72" w:lineRule="exact"/>
        <w:rPr>
          <w:sz w:val="20"/>
          <w:szCs w:val="20"/>
          <w:color w:val="auto"/>
        </w:rPr>
      </w:pPr>
    </w:p>
    <w:p>
      <w:pPr>
        <w:jc w:val="both"/>
        <w:ind w:left="1060" w:right="659" w:hanging="403"/>
        <w:spacing w:after="0" w:line="283" w:lineRule="auto"/>
        <w:tabs>
          <w:tab w:leader="none" w:pos="106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3.03(b) and Section 9.04 not involving any transfer.</w:t>
      </w:r>
    </w:p>
    <w:p>
      <w:pPr>
        <w:spacing w:after="0" w:line="54" w:lineRule="exact"/>
        <w:rPr>
          <w:rFonts w:ascii="Times New Roman" w:cs="Times New Roman" w:eastAsia="Times New Roman" w:hAnsi="Times New Roman"/>
          <w:sz w:val="13"/>
          <w:szCs w:val="13"/>
          <w:color w:val="auto"/>
        </w:rPr>
      </w:pPr>
    </w:p>
    <w:p>
      <w:pPr>
        <w:ind w:left="1060" w:right="379" w:hanging="403"/>
        <w:spacing w:after="0" w:line="249" w:lineRule="auto"/>
        <w:tabs>
          <w:tab w:leader="none" w:pos="10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The provisions of this Section 2.05 are, with respect to any Global Security, subject to Section 2.11 hereof.</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9" w:right="1440" w:bottom="1440" w:gutter="0" w:footer="0" w:header="0"/>
        </w:sectPr>
      </w:pPr>
    </w:p>
    <w:bookmarkStart w:id="118" w:name="page119"/>
    <w:bookmarkEnd w:id="118"/>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2.06 Temporary Securities.</w:t>
      </w:r>
    </w:p>
    <w:p>
      <w:pPr>
        <w:spacing w:after="0" w:line="166" w:lineRule="exact"/>
        <w:rPr>
          <w:sz w:val="20"/>
          <w:szCs w:val="20"/>
          <w:color w:val="auto"/>
        </w:rPr>
      </w:pPr>
    </w:p>
    <w:p>
      <w:pPr>
        <w:ind w:left="340" w:right="379" w:firstLine="334"/>
        <w:spacing w:after="0" w:line="266" w:lineRule="auto"/>
        <w:rPr>
          <w:sz w:val="20"/>
          <w:szCs w:val="20"/>
          <w:color w:val="auto"/>
        </w:rPr>
      </w:pPr>
      <w:r>
        <w:rPr>
          <w:rFonts w:ascii="Times New Roman" w:cs="Times New Roman" w:eastAsia="Times New Roman" w:hAnsi="Times New Roman"/>
          <w:sz w:val="13"/>
          <w:szCs w:val="13"/>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2.07 Mutilated, Destroyed, Lost or Stolen Securities.</w:t>
      </w:r>
    </w:p>
    <w:p>
      <w:pPr>
        <w:spacing w:after="0" w:line="166" w:lineRule="exact"/>
        <w:rPr>
          <w:sz w:val="20"/>
          <w:szCs w:val="20"/>
          <w:color w:val="auto"/>
        </w:rPr>
      </w:pPr>
    </w:p>
    <w:p>
      <w:pPr>
        <w:ind w:left="340" w:right="359" w:firstLine="334"/>
        <w:spacing w:after="0" w:line="266" w:lineRule="auto"/>
        <w:rPr>
          <w:sz w:val="20"/>
          <w:szCs w:val="20"/>
          <w:color w:val="auto"/>
        </w:rPr>
      </w:pPr>
      <w:r>
        <w:rPr>
          <w:rFonts w:ascii="Times New Roman" w:cs="Times New Roman" w:eastAsia="Times New Roman" w:hAnsi="Times New Roman"/>
          <w:sz w:val="13"/>
          <w:szCs w:val="13"/>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38" w:lineRule="exact"/>
        <w:rPr>
          <w:sz w:val="20"/>
          <w:szCs w:val="20"/>
          <w:color w:val="auto"/>
        </w:rPr>
      </w:pPr>
    </w:p>
    <w:p>
      <w:pPr>
        <w:ind w:left="340" w:right="459" w:firstLine="334"/>
        <w:spacing w:after="0" w:line="247" w:lineRule="auto"/>
        <w:rPr>
          <w:sz w:val="20"/>
          <w:szCs w:val="20"/>
          <w:color w:val="auto"/>
        </w:rPr>
      </w:pPr>
      <w:r>
        <w:rPr>
          <w:rFonts w:ascii="Times New Roman" w:cs="Times New Roman" w:eastAsia="Times New Roman" w:hAnsi="Times New Roman"/>
          <w:sz w:val="14"/>
          <w:szCs w:val="14"/>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9" w:right="1440" w:bottom="1440" w:gutter="0" w:footer="0" w:header="0"/>
        </w:sectPr>
      </w:pPr>
    </w:p>
    <w:bookmarkStart w:id="119" w:name="page120"/>
    <w:bookmarkEnd w:id="119"/>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2.08 Cancellation.</w:t>
      </w:r>
    </w:p>
    <w:p>
      <w:pPr>
        <w:spacing w:after="0" w:line="166" w:lineRule="exact"/>
        <w:rPr>
          <w:sz w:val="20"/>
          <w:szCs w:val="20"/>
          <w:color w:val="auto"/>
        </w:rPr>
      </w:pPr>
    </w:p>
    <w:p>
      <w:pPr>
        <w:ind w:left="340" w:right="339" w:firstLine="334"/>
        <w:spacing w:after="0" w:line="247" w:lineRule="auto"/>
        <w:rPr>
          <w:sz w:val="20"/>
          <w:szCs w:val="20"/>
          <w:color w:val="auto"/>
        </w:rPr>
      </w:pPr>
      <w:r>
        <w:rPr>
          <w:rFonts w:ascii="Times New Roman" w:cs="Times New Roman" w:eastAsia="Times New Roman" w:hAnsi="Times New Roman"/>
          <w:sz w:val="14"/>
          <w:szCs w:val="14"/>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2.09 Benefits of Indenture.</w:t>
      </w:r>
    </w:p>
    <w:p>
      <w:pPr>
        <w:spacing w:after="0" w:line="166" w:lineRule="exact"/>
        <w:rPr>
          <w:sz w:val="20"/>
          <w:szCs w:val="20"/>
          <w:color w:val="auto"/>
        </w:rPr>
      </w:pPr>
    </w:p>
    <w:p>
      <w:pPr>
        <w:ind w:left="340" w:right="379" w:firstLine="334"/>
        <w:spacing w:after="0" w:line="251" w:lineRule="auto"/>
        <w:rPr>
          <w:sz w:val="20"/>
          <w:szCs w:val="20"/>
          <w:color w:val="auto"/>
        </w:rPr>
      </w:pPr>
      <w:r>
        <w:rPr>
          <w:rFonts w:ascii="Times New Roman" w:cs="Times New Roman" w:eastAsia="Times New Roman" w:hAnsi="Times New Roman"/>
          <w:sz w:val="14"/>
          <w:szCs w:val="14"/>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2.10 Authenticating Agent.</w:t>
      </w:r>
    </w:p>
    <w:p>
      <w:pPr>
        <w:spacing w:after="0" w:line="166" w:lineRule="exact"/>
        <w:rPr>
          <w:sz w:val="20"/>
          <w:szCs w:val="20"/>
          <w:color w:val="auto"/>
        </w:rPr>
      </w:pPr>
    </w:p>
    <w:p>
      <w:pPr>
        <w:ind w:left="340" w:right="359" w:firstLine="334"/>
        <w:spacing w:after="0" w:line="246" w:lineRule="auto"/>
        <w:rPr>
          <w:sz w:val="20"/>
          <w:szCs w:val="20"/>
          <w:color w:val="auto"/>
        </w:rPr>
      </w:pPr>
      <w:r>
        <w:rPr>
          <w:rFonts w:ascii="Times New Roman" w:cs="Times New Roman" w:eastAsia="Times New Roman" w:hAnsi="Times New Roman"/>
          <w:sz w:val="14"/>
          <w:szCs w:val="14"/>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52" w:lineRule="exact"/>
        <w:rPr>
          <w:sz w:val="20"/>
          <w:szCs w:val="20"/>
          <w:color w:val="auto"/>
        </w:rPr>
      </w:pPr>
    </w:p>
    <w:p>
      <w:pPr>
        <w:ind w:left="340" w:right="479" w:firstLine="334"/>
        <w:spacing w:after="0" w:line="248" w:lineRule="auto"/>
        <w:rPr>
          <w:sz w:val="20"/>
          <w:szCs w:val="20"/>
          <w:color w:val="auto"/>
        </w:rPr>
      </w:pPr>
      <w:r>
        <w:rPr>
          <w:rFonts w:ascii="Times New Roman" w:cs="Times New Roman" w:eastAsia="Times New Roman" w:hAnsi="Times New Roman"/>
          <w:sz w:val="14"/>
          <w:szCs w:val="14"/>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2.11 Global Securities</w:t>
      </w:r>
    </w:p>
    <w:p>
      <w:pPr>
        <w:spacing w:after="0" w:line="95" w:lineRule="exact"/>
        <w:rPr>
          <w:sz w:val="20"/>
          <w:szCs w:val="20"/>
          <w:color w:val="auto"/>
        </w:rPr>
      </w:pPr>
    </w:p>
    <w:p>
      <w:pPr>
        <w:ind w:left="1060" w:right="459" w:hanging="403"/>
        <w:spacing w:after="0" w:line="249" w:lineRule="auto"/>
        <w:tabs>
          <w:tab w:leader="none" w:pos="10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shall establish pursuant to Section 2.01 that some or all of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the Outstanding Securities of such series which are to be issued as a Global Security, (ii) shall be registered in the name of the Depositary or its nominee, (iii) shall be delivered by the Trustee to the Depositary or pursuant to the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9" w:right="1440" w:bottom="1440" w:gutter="0" w:footer="0" w:header="0"/>
        </w:sectPr>
      </w:pPr>
    </w:p>
    <w:bookmarkStart w:id="120" w:name="page121"/>
    <w:bookmarkEnd w:id="120"/>
    <w:p>
      <w:pPr>
        <w:ind w:left="1080" w:right="41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72" w:lineRule="exact"/>
        <w:rPr>
          <w:sz w:val="20"/>
          <w:szCs w:val="20"/>
          <w:color w:val="auto"/>
        </w:rPr>
      </w:pPr>
    </w:p>
    <w:p>
      <w:pPr>
        <w:ind w:left="1060" w:right="539" w:hanging="403"/>
        <w:spacing w:after="0" w:line="254" w:lineRule="auto"/>
        <w:tabs>
          <w:tab w:leader="none" w:pos="10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72" w:lineRule="exact"/>
        <w:rPr>
          <w:rFonts w:ascii="Times New Roman" w:cs="Times New Roman" w:eastAsia="Times New Roman" w:hAnsi="Times New Roman"/>
          <w:sz w:val="14"/>
          <w:szCs w:val="14"/>
          <w:color w:val="auto"/>
        </w:rPr>
      </w:pPr>
    </w:p>
    <w:p>
      <w:pPr>
        <w:ind w:left="1060" w:right="399" w:hanging="403"/>
        <w:spacing w:after="0" w:line="265" w:lineRule="auto"/>
        <w:tabs>
          <w:tab w:leader="none" w:pos="106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this Section 2.11 shall no longer be applicable to the Securities of such series and the Company will execute, and subject to Section 2.05,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2.05,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III</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REDEMPTION OF SECURITIES AND SINKING FUND PROVISIONS</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3.01 Redemption.</w:t>
      </w:r>
    </w:p>
    <w:p>
      <w:pPr>
        <w:spacing w:after="0" w:line="166" w:lineRule="exact"/>
        <w:rPr>
          <w:sz w:val="20"/>
          <w:szCs w:val="20"/>
          <w:color w:val="auto"/>
        </w:rPr>
      </w:pPr>
    </w:p>
    <w:p>
      <w:pPr>
        <w:ind w:left="340" w:right="559" w:firstLine="334"/>
        <w:spacing w:after="0" w:line="265" w:lineRule="auto"/>
        <w:rPr>
          <w:sz w:val="20"/>
          <w:szCs w:val="20"/>
          <w:color w:val="auto"/>
        </w:rPr>
      </w:pPr>
      <w:r>
        <w:rPr>
          <w:rFonts w:ascii="Times New Roman" w:cs="Times New Roman" w:eastAsia="Times New Roman" w:hAnsi="Times New Roman"/>
          <w:sz w:val="14"/>
          <w:szCs w:val="14"/>
          <w:color w:val="auto"/>
        </w:rPr>
        <w:t>The Company may redeem the Securities of any series issued hereunder on and after the dates and in accordance with the terms established for such series pursuant to Section 2.01 hereof.</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9" w:right="1440" w:bottom="1440" w:gutter="0" w:footer="0" w:header="0"/>
        </w:sectPr>
      </w:pPr>
    </w:p>
    <w:bookmarkStart w:id="121" w:name="page122"/>
    <w:bookmarkEnd w:id="121"/>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3.02 Notice of Redemption.</w:t>
      </w:r>
    </w:p>
    <w:p>
      <w:pPr>
        <w:spacing w:after="0" w:line="95" w:lineRule="exact"/>
        <w:rPr>
          <w:sz w:val="20"/>
          <w:szCs w:val="20"/>
          <w:color w:val="auto"/>
        </w:rPr>
      </w:pPr>
    </w:p>
    <w:p>
      <w:pPr>
        <w:ind w:left="1060" w:right="439" w:hanging="403"/>
        <w:spacing w:after="0" w:line="246" w:lineRule="auto"/>
        <w:tabs>
          <w:tab w:leader="none" w:pos="10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the Company shall desire to exercise such right to redeem all or, as the case may be, a portion of the Securities of any series in accordance with the right reserved so to do,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49" w:lineRule="exact"/>
        <w:rPr>
          <w:sz w:val="20"/>
          <w:szCs w:val="20"/>
          <w:color w:val="auto"/>
        </w:rPr>
      </w:pPr>
    </w:p>
    <w:p>
      <w:pPr>
        <w:ind w:left="340" w:right="359" w:firstLine="334"/>
        <w:spacing w:after="0" w:line="268" w:lineRule="auto"/>
        <w:rPr>
          <w:sz w:val="20"/>
          <w:szCs w:val="20"/>
          <w:color w:val="auto"/>
        </w:rPr>
      </w:pPr>
      <w:r>
        <w:rPr>
          <w:rFonts w:ascii="Times New Roman" w:cs="Times New Roman" w:eastAsia="Times New Roman" w:hAnsi="Times New Roman"/>
          <w:sz w:val="13"/>
          <w:szCs w:val="13"/>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to the holders of Securities of that series to be redeemed in whole or in part shall specify the particular Securities to be so redeemed. 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66" w:lineRule="exact"/>
        <w:rPr>
          <w:sz w:val="20"/>
          <w:szCs w:val="20"/>
          <w:color w:val="auto"/>
        </w:rPr>
      </w:pPr>
    </w:p>
    <w:p>
      <w:pPr>
        <w:ind w:left="1060" w:right="359" w:hanging="403"/>
        <w:spacing w:after="0" w:line="245" w:lineRule="auto"/>
        <w:tabs>
          <w:tab w:leader="none" w:pos="10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less than all the Securities of a series are to be redeemed, the Company shall give the Trustee at least 30 days’ notice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its President or any Vice President,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39" w:right="1440" w:bottom="1440" w:gutter="0" w:footer="0" w:header="0"/>
        </w:sectPr>
      </w:pPr>
    </w:p>
    <w:bookmarkStart w:id="122" w:name="page123"/>
    <w:bookmarkEnd w:id="122"/>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3.03 Payment Upon Redemption.</w:t>
      </w:r>
    </w:p>
    <w:p>
      <w:pPr>
        <w:spacing w:after="0" w:line="95" w:lineRule="exact"/>
        <w:rPr>
          <w:sz w:val="20"/>
          <w:szCs w:val="20"/>
          <w:color w:val="auto"/>
        </w:rPr>
      </w:pPr>
    </w:p>
    <w:p>
      <w:pPr>
        <w:ind w:left="1060" w:right="359" w:hanging="403"/>
        <w:spacing w:after="0" w:line="246" w:lineRule="auto"/>
        <w:tabs>
          <w:tab w:leader="none" w:pos="10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80" w:lineRule="exact"/>
        <w:rPr>
          <w:rFonts w:ascii="Times New Roman" w:cs="Times New Roman" w:eastAsia="Times New Roman" w:hAnsi="Times New Roman"/>
          <w:sz w:val="14"/>
          <w:szCs w:val="14"/>
          <w:color w:val="auto"/>
        </w:rPr>
      </w:pPr>
    </w:p>
    <w:p>
      <w:pPr>
        <w:ind w:left="1060" w:right="479" w:hanging="403"/>
        <w:spacing w:after="0" w:line="251" w:lineRule="auto"/>
        <w:tabs>
          <w:tab w:leader="none" w:pos="10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3.04 Sinking Fund.</w:t>
      </w:r>
    </w:p>
    <w:p>
      <w:pPr>
        <w:spacing w:after="0" w:line="166" w:lineRule="exact"/>
        <w:rPr>
          <w:sz w:val="20"/>
          <w:szCs w:val="20"/>
          <w:color w:val="auto"/>
        </w:rPr>
      </w:pPr>
    </w:p>
    <w:p>
      <w:pPr>
        <w:ind w:left="340" w:right="799" w:firstLine="334"/>
        <w:spacing w:after="0" w:line="265" w:lineRule="auto"/>
        <w:rPr>
          <w:sz w:val="20"/>
          <w:szCs w:val="20"/>
          <w:color w:val="auto"/>
        </w:rPr>
      </w:pPr>
      <w:r>
        <w:rPr>
          <w:rFonts w:ascii="Times New Roman" w:cs="Times New Roman" w:eastAsia="Times New Roman" w:hAnsi="Times New Roman"/>
          <w:sz w:val="14"/>
          <w:szCs w:val="14"/>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36" w:lineRule="exact"/>
        <w:rPr>
          <w:sz w:val="20"/>
          <w:szCs w:val="20"/>
          <w:color w:val="auto"/>
        </w:rPr>
      </w:pPr>
    </w:p>
    <w:p>
      <w:pPr>
        <w:ind w:left="340" w:right="359" w:firstLine="334"/>
        <w:spacing w:after="0" w:line="249" w:lineRule="auto"/>
        <w:rPr>
          <w:sz w:val="20"/>
          <w:szCs w:val="20"/>
          <w:color w:val="auto"/>
        </w:rPr>
      </w:pPr>
      <w:r>
        <w:rPr>
          <w:rFonts w:ascii="Times New Roman" w:cs="Times New Roman" w:eastAsia="Times New Roman" w:hAnsi="Times New Roman"/>
          <w:sz w:val="14"/>
          <w:szCs w:val="14"/>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3.05 Satisfaction of Sinking Fund Payments with Securities.</w:t>
      </w:r>
    </w:p>
    <w:p>
      <w:pPr>
        <w:spacing w:after="0" w:line="166" w:lineRule="exact"/>
        <w:rPr>
          <w:sz w:val="20"/>
          <w:szCs w:val="20"/>
          <w:color w:val="auto"/>
        </w:rPr>
      </w:pPr>
    </w:p>
    <w:p>
      <w:pPr>
        <w:ind w:left="340" w:right="399" w:firstLine="334"/>
        <w:spacing w:after="0" w:line="247" w:lineRule="auto"/>
        <w:rPr>
          <w:sz w:val="20"/>
          <w:szCs w:val="20"/>
          <w:color w:val="auto"/>
        </w:rPr>
      </w:pPr>
      <w:r>
        <w:rPr>
          <w:rFonts w:ascii="Times New Roman" w:cs="Times New Roman" w:eastAsia="Times New Roman" w:hAnsi="Times New Roman"/>
          <w:sz w:val="14"/>
          <w:szCs w:val="14"/>
          <w:color w:val="auto"/>
        </w:rPr>
        <w:t>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3.06 Redemption of Securities for Sinking Fund.</w:t>
      </w:r>
    </w:p>
    <w:p>
      <w:pPr>
        <w:spacing w:after="0" w:line="166" w:lineRule="exact"/>
        <w:rPr>
          <w:sz w:val="20"/>
          <w:szCs w:val="20"/>
          <w:color w:val="auto"/>
        </w:rPr>
      </w:pPr>
    </w:p>
    <w:p>
      <w:pPr>
        <w:ind w:left="340" w:right="419" w:firstLine="334"/>
        <w:spacing w:after="0" w:line="254" w:lineRule="auto"/>
        <w:rPr>
          <w:sz w:val="20"/>
          <w:szCs w:val="20"/>
          <w:color w:val="auto"/>
        </w:rPr>
      </w:pPr>
      <w:r>
        <w:rPr>
          <w:rFonts w:ascii="Times New Roman" w:cs="Times New Roman" w:eastAsia="Times New Roman" w:hAnsi="Times New Roman"/>
          <w:sz w:val="14"/>
          <w:szCs w:val="14"/>
          <w:color w:val="auto"/>
        </w:rPr>
        <w:t>Not less than 45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39" w:right="1440" w:bottom="1440" w:gutter="0" w:footer="0" w:header="0"/>
        </w:sectPr>
      </w:pPr>
    </w:p>
    <w:bookmarkStart w:id="123" w:name="page124"/>
    <w:bookmarkEnd w:id="123"/>
    <w:p>
      <w:pPr>
        <w:ind w:left="340" w:right="479"/>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31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ARTICLE IV</w:t>
      </w:r>
    </w:p>
    <w:p>
      <w:pPr>
        <w:spacing w:after="0" w:line="8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color w:val="auto"/>
        </w:rPr>
        <w:t>COVENANTS</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4.01 Payment of Principal, Premium and Interest.</w:t>
      </w:r>
    </w:p>
    <w:p>
      <w:pPr>
        <w:spacing w:after="0" w:line="166" w:lineRule="exact"/>
        <w:rPr>
          <w:sz w:val="20"/>
          <w:szCs w:val="20"/>
          <w:color w:val="auto"/>
        </w:rPr>
      </w:pPr>
    </w:p>
    <w:p>
      <w:pPr>
        <w:ind w:left="340" w:right="359" w:firstLine="334"/>
        <w:spacing w:after="0" w:line="265" w:lineRule="auto"/>
        <w:rPr>
          <w:sz w:val="20"/>
          <w:szCs w:val="20"/>
          <w:color w:val="auto"/>
        </w:rPr>
      </w:pPr>
      <w:r>
        <w:rPr>
          <w:rFonts w:ascii="Times New Roman" w:cs="Times New Roman" w:eastAsia="Times New Roman" w:hAnsi="Times New Roman"/>
          <w:sz w:val="14"/>
          <w:szCs w:val="14"/>
          <w:color w:val="auto"/>
        </w:rPr>
        <w:t>The Company will duly and punctually pay or cause to be paid the principal of (and premium, if any) and interest on the Securities of that series at the time and place and in the manner provided herein and established with respect to such Securities.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4.02 Maintenance of Office or Agency.</w:t>
      </w:r>
    </w:p>
    <w:p>
      <w:pPr>
        <w:spacing w:after="0" w:line="166" w:lineRule="exact"/>
        <w:rPr>
          <w:sz w:val="20"/>
          <w:szCs w:val="20"/>
          <w:color w:val="auto"/>
        </w:rPr>
      </w:pPr>
    </w:p>
    <w:p>
      <w:pPr>
        <w:ind w:left="340" w:right="419" w:firstLine="334"/>
        <w:spacing w:after="0" w:line="272" w:lineRule="auto"/>
        <w:rPr>
          <w:sz w:val="20"/>
          <w:szCs w:val="20"/>
          <w:color w:val="auto"/>
        </w:rPr>
      </w:pPr>
      <w:r>
        <w:rPr>
          <w:rFonts w:ascii="Times New Roman" w:cs="Times New Roman" w:eastAsia="Times New Roman" w:hAnsi="Times New Roman"/>
          <w:sz w:val="13"/>
          <w:szCs w:val="13"/>
          <w:color w:val="auto"/>
        </w:rPr>
        <w:t>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w:t>
      </w:r>
    </w:p>
    <w:p>
      <w:pPr>
        <w:ind w:left="340" w:right="359"/>
        <w:spacing w:after="0" w:line="244" w:lineRule="auto"/>
        <w:rPr>
          <w:sz w:val="20"/>
          <w:szCs w:val="20"/>
          <w:color w:val="auto"/>
        </w:rPr>
      </w:pPr>
      <w:r>
        <w:rPr>
          <w:rFonts w:ascii="Times New Roman" w:cs="Times New Roman" w:eastAsia="Times New Roman" w:hAnsi="Times New Roman"/>
          <w:sz w:val="14"/>
          <w:szCs w:val="14"/>
          <w:color w:val="auto"/>
        </w:rPr>
        <w:t>Section 4.02, where (i) Securities of that series may be presented or surrendered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its President or a Vice President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4.03 Paying Agents.</w:t>
      </w:r>
    </w:p>
    <w:p>
      <w:pPr>
        <w:spacing w:after="0" w:line="95" w:lineRule="exact"/>
        <w:rPr>
          <w:sz w:val="20"/>
          <w:szCs w:val="20"/>
          <w:color w:val="auto"/>
        </w:rPr>
      </w:pPr>
    </w:p>
    <w:p>
      <w:pPr>
        <w:ind w:left="1060" w:right="439" w:hanging="403"/>
        <w:spacing w:after="0" w:line="254" w:lineRule="auto"/>
        <w:tabs>
          <w:tab w:leader="none" w:pos="10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72" w:lineRule="exact"/>
        <w:rPr>
          <w:rFonts w:ascii="Times New Roman" w:cs="Times New Roman" w:eastAsia="Times New Roman" w:hAnsi="Times New Roman"/>
          <w:sz w:val="14"/>
          <w:szCs w:val="14"/>
          <w:color w:val="auto"/>
        </w:rPr>
      </w:pPr>
    </w:p>
    <w:p>
      <w:pPr>
        <w:ind w:left="1400" w:right="439" w:hanging="323"/>
        <w:spacing w:after="0" w:line="254" w:lineRule="auto"/>
        <w:tabs>
          <w:tab w:leader="none" w:pos="140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72" w:lineRule="exact"/>
        <w:rPr>
          <w:rFonts w:ascii="Times New Roman" w:cs="Times New Roman" w:eastAsia="Times New Roman" w:hAnsi="Times New Roman"/>
          <w:sz w:val="14"/>
          <w:szCs w:val="14"/>
          <w:color w:val="auto"/>
        </w:rPr>
      </w:pPr>
    </w:p>
    <w:p>
      <w:pPr>
        <w:ind w:left="1400" w:right="479" w:hanging="323"/>
        <w:spacing w:after="0" w:line="304" w:lineRule="auto"/>
        <w:tabs>
          <w:tab w:leader="none" w:pos="1400"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9" w:right="1440" w:bottom="1440" w:gutter="0" w:footer="0" w:header="0"/>
        </w:sectPr>
      </w:pPr>
    </w:p>
    <w:bookmarkStart w:id="124" w:name="page125"/>
    <w:bookmarkEnd w:id="124"/>
    <w:p>
      <w:pPr>
        <w:ind w:left="1400" w:right="559" w:hanging="323"/>
        <w:spacing w:after="0" w:line="265" w:lineRule="auto"/>
        <w:tabs>
          <w:tab w:leader="none" w:pos="140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that it will, at any time during the continuance of any failure referred to in the preceding paragraph (a)(2) above, upon the written request of the Trustee, forthwith pay to the Trustee all sums so held in trust by such paying agent; and</w:t>
      </w:r>
    </w:p>
    <w:p>
      <w:pPr>
        <w:spacing w:after="0" w:line="63" w:lineRule="exact"/>
        <w:rPr>
          <w:rFonts w:ascii="Times New Roman" w:cs="Times New Roman" w:eastAsia="Times New Roman" w:hAnsi="Times New Roman"/>
          <w:sz w:val="14"/>
          <w:szCs w:val="14"/>
          <w:color w:val="auto"/>
        </w:rPr>
      </w:pPr>
    </w:p>
    <w:p>
      <w:pPr>
        <w:ind w:left="1400" w:hanging="323"/>
        <w:spacing w:after="0"/>
        <w:tabs>
          <w:tab w:leader="none" w:pos="140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will perform all other duties of paying agent as set forth in this Indenture.</w:t>
      </w:r>
    </w:p>
    <w:p>
      <w:pPr>
        <w:spacing w:after="0" w:line="94" w:lineRule="exact"/>
        <w:rPr>
          <w:rFonts w:ascii="Times New Roman" w:cs="Times New Roman" w:eastAsia="Times New Roman" w:hAnsi="Times New Roman"/>
          <w:sz w:val="14"/>
          <w:szCs w:val="14"/>
          <w:color w:val="auto"/>
        </w:rPr>
      </w:pPr>
    </w:p>
    <w:p>
      <w:pPr>
        <w:ind w:left="1060" w:right="359" w:hanging="403"/>
        <w:spacing w:after="0" w:line="268" w:lineRule="auto"/>
        <w:tabs>
          <w:tab w:leader="none" w:pos="106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with monies held by all other paying agents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62" w:lineRule="exact"/>
        <w:rPr>
          <w:rFonts w:ascii="Times New Roman" w:cs="Times New Roman" w:eastAsia="Times New Roman" w:hAnsi="Times New Roman"/>
          <w:sz w:val="13"/>
          <w:szCs w:val="13"/>
          <w:color w:val="auto"/>
        </w:rPr>
      </w:pPr>
    </w:p>
    <w:p>
      <w:pPr>
        <w:ind w:left="1060" w:right="379" w:hanging="403"/>
        <w:spacing w:after="0" w:line="248" w:lineRule="auto"/>
        <w:tabs>
          <w:tab w:leader="none" w:pos="10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any paying agent to the Trustee, such paying agent shall be released from all further liability with respect to such money.</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4.04 Appointment to Fill Vacancy in Office of Trustee.</w:t>
      </w:r>
    </w:p>
    <w:p>
      <w:pPr>
        <w:spacing w:after="0" w:line="166" w:lineRule="exact"/>
        <w:rPr>
          <w:sz w:val="20"/>
          <w:szCs w:val="20"/>
          <w:color w:val="auto"/>
        </w:rPr>
      </w:pPr>
    </w:p>
    <w:p>
      <w:pPr>
        <w:ind w:left="340" w:right="719" w:firstLine="334"/>
        <w:spacing w:after="0" w:line="265" w:lineRule="auto"/>
        <w:rPr>
          <w:sz w:val="20"/>
          <w:szCs w:val="20"/>
          <w:color w:val="auto"/>
        </w:rPr>
      </w:pPr>
      <w:r>
        <w:rPr>
          <w:rFonts w:ascii="Times New Roman" w:cs="Times New Roman" w:eastAsia="Times New Roman" w:hAnsi="Times New Roman"/>
          <w:sz w:val="14"/>
          <w:szCs w:val="14"/>
          <w:color w:val="auto"/>
        </w:rPr>
        <w:t>The Company, whenever necessary to avoid or fill a vacancy in the office of Trustee, will appoint, in the manner provided in Section 7.10, a Trustee, so that there shall at all times be a Trustee hereunder.</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4.05 Compliance with Consolidation Provisions.</w:t>
      </w:r>
    </w:p>
    <w:p>
      <w:pPr>
        <w:spacing w:after="0" w:line="166" w:lineRule="exact"/>
        <w:rPr>
          <w:sz w:val="20"/>
          <w:szCs w:val="20"/>
          <w:color w:val="auto"/>
        </w:rPr>
      </w:pPr>
    </w:p>
    <w:p>
      <w:pPr>
        <w:ind w:left="340" w:right="459" w:firstLine="334"/>
        <w:spacing w:after="0" w:line="254" w:lineRule="auto"/>
        <w:rPr>
          <w:sz w:val="20"/>
          <w:szCs w:val="20"/>
          <w:color w:val="auto"/>
        </w:rPr>
      </w:pPr>
      <w:r>
        <w:rPr>
          <w:rFonts w:ascii="Times New Roman" w:cs="Times New Roman" w:eastAsia="Times New Roman" w:hAnsi="Times New Roman"/>
          <w:sz w:val="14"/>
          <w:szCs w:val="14"/>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company unless the provisions of Article X hereof are complied with.</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39" w:right="1440"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ARTICLE V</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SECURITYHOLDERS’ LISTS AND REPORTS BY THE COMPANY AND THE TRUSTEE</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5.01 Company to Furnish Trustee Names and Addresses of Securityholders.</w:t>
      </w:r>
    </w:p>
    <w:p>
      <w:pPr>
        <w:spacing w:after="0" w:line="166" w:lineRule="exact"/>
        <w:rPr>
          <w:sz w:val="20"/>
          <w:szCs w:val="20"/>
          <w:color w:val="auto"/>
        </w:rPr>
      </w:pPr>
    </w:p>
    <w:p>
      <w:pPr>
        <w:ind w:left="340" w:right="359" w:firstLine="334"/>
        <w:spacing w:after="0" w:line="247" w:lineRule="auto"/>
        <w:rPr>
          <w:sz w:val="20"/>
          <w:szCs w:val="20"/>
          <w:color w:val="auto"/>
        </w:rPr>
      </w:pPr>
      <w:r>
        <w:rPr>
          <w:rFonts w:ascii="Times New Roman" w:cs="Times New Roman" w:eastAsia="Times New Roman" w:hAnsi="Times New Roman"/>
          <w:sz w:val="14"/>
          <w:szCs w:val="14"/>
          <w:color w:val="auto"/>
        </w:rPr>
        <w:t>If the Company is not the Security Registrar, the Company will furnish or use reasonable efforts to cause to be furnished to the Trustee (a) on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5.02 Preservation of Information; Communications with Securityholders.</w:t>
      </w:r>
    </w:p>
    <w:p>
      <w:pPr>
        <w:spacing w:after="0" w:line="95" w:lineRule="exact"/>
        <w:rPr>
          <w:sz w:val="20"/>
          <w:szCs w:val="20"/>
          <w:color w:val="auto"/>
        </w:rPr>
      </w:pPr>
    </w:p>
    <w:p>
      <w:pPr>
        <w:ind w:left="1060" w:right="379" w:hanging="403"/>
        <w:spacing w:after="0" w:line="251" w:lineRule="auto"/>
        <w:tabs>
          <w:tab w:leader="none" w:pos="10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and shall otherwise comply with Section 312(a) of the Trust Indenture Act.</w:t>
      </w:r>
    </w:p>
    <w:p>
      <w:pPr>
        <w:spacing w:after="0" w:line="73" w:lineRule="exact"/>
        <w:rPr>
          <w:rFonts w:ascii="Times New Roman" w:cs="Times New Roman" w:eastAsia="Times New Roman" w:hAnsi="Times New Roman"/>
          <w:sz w:val="14"/>
          <w:szCs w:val="14"/>
          <w:color w:val="auto"/>
        </w:rPr>
      </w:pPr>
    </w:p>
    <w:p>
      <w:pPr>
        <w:ind w:left="1060" w:hanging="403"/>
        <w:spacing w:after="0"/>
        <w:tabs>
          <w:tab w:leader="none" w:pos="10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destroy any list furnished to it as provided in Section 5.01 upon receipt of a new list so furnished.</w:t>
      </w:r>
    </w:p>
    <w:p>
      <w:pPr>
        <w:spacing w:after="0" w:line="94" w:lineRule="exact"/>
        <w:rPr>
          <w:rFonts w:ascii="Times New Roman" w:cs="Times New Roman" w:eastAsia="Times New Roman" w:hAnsi="Times New Roman"/>
          <w:sz w:val="14"/>
          <w:szCs w:val="14"/>
          <w:color w:val="auto"/>
        </w:rPr>
      </w:pPr>
    </w:p>
    <w:p>
      <w:pPr>
        <w:ind w:left="1060" w:right="359" w:hanging="403"/>
        <w:spacing w:after="0" w:line="265" w:lineRule="auto"/>
        <w:tabs>
          <w:tab w:leader="none" w:pos="10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Securityholders may communicate as provided in Section 312(b) of the Trust Indenture Act with other Securityholders with respect to their rights under this Indenture or under the Securities.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5.03 Reports by the Company.</w:t>
      </w:r>
    </w:p>
    <w:p>
      <w:pPr>
        <w:spacing w:after="0" w:line="95" w:lineRule="exact"/>
        <w:rPr>
          <w:sz w:val="20"/>
          <w:szCs w:val="20"/>
          <w:color w:val="auto"/>
        </w:rPr>
      </w:pPr>
    </w:p>
    <w:p>
      <w:pPr>
        <w:ind w:left="1060" w:right="359" w:hanging="403"/>
        <w:spacing w:after="0" w:line="246" w:lineRule="auto"/>
        <w:tabs>
          <w:tab w:leader="none" w:pos="10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covenants and agrees to 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that the Company may be required to file with the Commission pursuant to Section 13 or Section 15(d) of the Exchange Act; or, if the Company is not required to file information, documents or reports pursuant to either of such sections, then to file with the Trustee and the Commission, in accordance with the rules and regulations prescribed from time to time by the Commission, such of the supplementary and periodic information, documents and reports that may be required pursuant to Section 13 of the Exchange Act, in respect of a security listed and registered on a national securities exchange as may be prescribed from time to time in such rules and regulations; provided, however, the Company shall not be required to deliver to the Trustee any materials for which the Company has sought and received confidential treatment by the Commission. The Company also shall comply with the other provisions of Section 314(a) of the Trust Indenture Act.</w:t>
      </w:r>
    </w:p>
    <w:p>
      <w:pPr>
        <w:spacing w:after="0" w:line="78" w:lineRule="exact"/>
        <w:rPr>
          <w:rFonts w:ascii="Times New Roman" w:cs="Times New Roman" w:eastAsia="Times New Roman" w:hAnsi="Times New Roman"/>
          <w:sz w:val="14"/>
          <w:szCs w:val="14"/>
          <w:color w:val="auto"/>
        </w:rPr>
      </w:pPr>
    </w:p>
    <w:p>
      <w:pPr>
        <w:ind w:left="1060" w:right="379" w:hanging="403"/>
        <w:spacing w:after="0" w:line="283" w:lineRule="auto"/>
        <w:tabs>
          <w:tab w:leader="none" w:pos="106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covenants and agrees to file with the Trustee and the Commission, in accordance with the rules and regulations prescribed from to time by the Commission, such additional information, documents and reports with respect to compliance by the Company with the conditions and covenants provided for in this Indenture as may be required from time to time by such rules and regulations.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39" w:right="1440" w:bottom="1440" w:gutter="0" w:footer="0" w:header="0"/>
        </w:sectPr>
      </w:pPr>
    </w:p>
    <w:bookmarkStart w:id="126" w:name="page127"/>
    <w:bookmarkEnd w:id="126"/>
    <w:p>
      <w:pPr>
        <w:ind w:left="1060" w:right="359" w:hanging="403"/>
        <w:spacing w:after="0" w:line="276" w:lineRule="auto"/>
        <w:tabs>
          <w:tab w:leader="none" w:pos="106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The Company covenants and agrees to transmit by mail, first class postage prepaid, or reputable over-night delivery service that provides for evidence of receipt, to the Securityholders, as their names and addresses appear upon the Security Register, within 30 days after the filing thereof with the Trustee, such summaries of any information, documents and reports required to be filed by the Company pursuant to subsections (a) and (b) of this Section as may be required by rules and regulations prescribed from time to time by the Commission.</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5.04 Reports by the Trustee.</w:t>
      </w:r>
    </w:p>
    <w:p>
      <w:pPr>
        <w:spacing w:after="0" w:line="95" w:lineRule="exact"/>
        <w:rPr>
          <w:sz w:val="20"/>
          <w:szCs w:val="20"/>
          <w:color w:val="auto"/>
        </w:rPr>
      </w:pPr>
    </w:p>
    <w:p>
      <w:pPr>
        <w:ind w:left="1060" w:right="499" w:hanging="403"/>
        <w:spacing w:after="0" w:line="254" w:lineRule="auto"/>
        <w:tabs>
          <w:tab w:leader="none" w:pos="10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transmit to holders as provided in Section 313 of the Trust Indenture Act such reports concerning the Trustee and its actions under this Indenture as may be required by Section 313 of the Trust Indenture Act at the times and in the manner provided by the Trust Indenture Act.</w:t>
      </w:r>
    </w:p>
    <w:p>
      <w:pPr>
        <w:spacing w:after="0" w:line="72" w:lineRule="exact"/>
        <w:rPr>
          <w:rFonts w:ascii="Times New Roman" w:cs="Times New Roman" w:eastAsia="Times New Roman" w:hAnsi="Times New Roman"/>
          <w:sz w:val="14"/>
          <w:szCs w:val="14"/>
          <w:color w:val="auto"/>
        </w:rPr>
      </w:pPr>
    </w:p>
    <w:p>
      <w:pPr>
        <w:jc w:val="both"/>
        <w:ind w:left="1060" w:right="439" w:hanging="403"/>
        <w:spacing w:after="0" w:line="254" w:lineRule="auto"/>
        <w:tabs>
          <w:tab w:leader="none" w:pos="10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each such report shall, at the time of such transmission to Securityholders, be filed by the Trustee with the Company, with each stock exchange upon which any Securities are listed (if so listed) and, if required by Section 313 of the Trust Indenture Act, also with the Commission. The Company agrees to notify the Trustee when any Securities become listed on any stock exchange.</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VI</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REMEDIES OF THE TRUSTEE AND SECURITYHOLDERS ON EVENT OF DEFAULT</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6.01 Events of Default.</w:t>
      </w:r>
    </w:p>
    <w:p>
      <w:pPr>
        <w:spacing w:after="0" w:line="95" w:lineRule="exact"/>
        <w:rPr>
          <w:sz w:val="20"/>
          <w:szCs w:val="20"/>
          <w:color w:val="auto"/>
        </w:rPr>
      </w:pPr>
    </w:p>
    <w:p>
      <w:pPr>
        <w:ind w:left="1060" w:right="479" w:hanging="403"/>
        <w:spacing w:after="0" w:line="265" w:lineRule="auto"/>
        <w:tabs>
          <w:tab w:leader="none" w:pos="10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Whenever used herein with respect to Securities of a particular series, “Event of Default” means any one or more of the following events that has occurred and is continuing:</w:t>
      </w:r>
    </w:p>
    <w:p>
      <w:pPr>
        <w:spacing w:after="0" w:line="63" w:lineRule="exact"/>
        <w:rPr>
          <w:rFonts w:ascii="Times New Roman" w:cs="Times New Roman" w:eastAsia="Times New Roman" w:hAnsi="Times New Roman"/>
          <w:sz w:val="14"/>
          <w:szCs w:val="14"/>
          <w:color w:val="auto"/>
        </w:rPr>
      </w:pPr>
    </w:p>
    <w:p>
      <w:pPr>
        <w:ind w:left="1400" w:right="399" w:hanging="323"/>
        <w:spacing w:after="0" w:line="251" w:lineRule="auto"/>
        <w:tabs>
          <w:tab w:leader="none" w:pos="140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defaults in the payment of any installment of interest upon any of the Securities of that series, as and when the same shall become due and payable, and continuance of such default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73" w:lineRule="exact"/>
        <w:rPr>
          <w:rFonts w:ascii="Times New Roman" w:cs="Times New Roman" w:eastAsia="Times New Roman" w:hAnsi="Times New Roman"/>
          <w:sz w:val="14"/>
          <w:szCs w:val="14"/>
          <w:color w:val="auto"/>
        </w:rPr>
      </w:pPr>
    </w:p>
    <w:p>
      <w:pPr>
        <w:ind w:left="1400" w:right="419" w:hanging="323"/>
        <w:spacing w:after="0" w:line="249" w:lineRule="auto"/>
        <w:tabs>
          <w:tab w:leader="none" w:pos="140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75" w:lineRule="exact"/>
        <w:rPr>
          <w:rFonts w:ascii="Times New Roman" w:cs="Times New Roman" w:eastAsia="Times New Roman" w:hAnsi="Times New Roman"/>
          <w:sz w:val="14"/>
          <w:szCs w:val="14"/>
          <w:color w:val="auto"/>
        </w:rPr>
      </w:pPr>
    </w:p>
    <w:p>
      <w:pPr>
        <w:ind w:left="1400" w:right="379" w:hanging="323"/>
        <w:spacing w:after="0" w:line="247" w:lineRule="auto"/>
        <w:tabs>
          <w:tab w:leader="none" w:pos="140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not less than a majority in principal amount of the Securities of that series at the time Outstanding;</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9" w:right="1440" w:bottom="1440" w:gutter="0" w:footer="0" w:header="0"/>
        </w:sectPr>
      </w:pPr>
    </w:p>
    <w:bookmarkStart w:id="127" w:name="page128"/>
    <w:bookmarkEnd w:id="127"/>
    <w:p>
      <w:pPr>
        <w:jc w:val="both"/>
        <w:ind w:left="1400" w:right="379" w:hanging="323"/>
        <w:spacing w:after="0" w:line="254" w:lineRule="auto"/>
        <w:tabs>
          <w:tab w:leader="none" w:pos="1400"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72" w:lineRule="exact"/>
        <w:rPr>
          <w:rFonts w:ascii="Times New Roman" w:cs="Times New Roman" w:eastAsia="Times New Roman" w:hAnsi="Times New Roman"/>
          <w:sz w:val="14"/>
          <w:szCs w:val="14"/>
          <w:color w:val="auto"/>
        </w:rPr>
      </w:pPr>
    </w:p>
    <w:p>
      <w:pPr>
        <w:ind w:left="1400" w:right="419" w:hanging="323"/>
        <w:spacing w:after="0" w:line="254" w:lineRule="auto"/>
        <w:tabs>
          <w:tab w:leader="none" w:pos="1400"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consecutive days.</w:t>
      </w:r>
    </w:p>
    <w:p>
      <w:pPr>
        <w:spacing w:after="0" w:line="72" w:lineRule="exact"/>
        <w:rPr>
          <w:rFonts w:ascii="Times New Roman" w:cs="Times New Roman" w:eastAsia="Times New Roman" w:hAnsi="Times New Roman"/>
          <w:sz w:val="14"/>
          <w:szCs w:val="14"/>
          <w:color w:val="auto"/>
        </w:rPr>
      </w:pPr>
    </w:p>
    <w:p>
      <w:pPr>
        <w:ind w:left="1060" w:right="419" w:hanging="403"/>
        <w:spacing w:after="0" w:line="271" w:lineRule="auto"/>
        <w:tabs>
          <w:tab w:leader="none" w:pos="106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each and every such case, unless the principal of all the Securities of that series shall have already become due and payable, either the Trustee or the holders of not less than a majority in aggregate principal amount of the Securities of that series then Outstanding hereunder, by notice in writing to the Company (and to the Trustee if given by such Securityholders), may declare the principal (or, if any Securities of that series are discount securities, that portion of the principal amount as may be specified in the terms of that series pursuant to Section 2.01(a)(16)) of (and premium, if any, on) and accrued and unpaid interest, if any, on all the Securities of that series to be due and payable immediately, and upon any such declaration the same shall become and shall be immediately due and payable.</w:t>
      </w:r>
    </w:p>
    <w:p>
      <w:pPr>
        <w:spacing w:after="0" w:line="61" w:lineRule="exact"/>
        <w:rPr>
          <w:rFonts w:ascii="Times New Roman" w:cs="Times New Roman" w:eastAsia="Times New Roman" w:hAnsi="Times New Roman"/>
          <w:sz w:val="13"/>
          <w:szCs w:val="13"/>
          <w:color w:val="auto"/>
        </w:rPr>
      </w:pPr>
    </w:p>
    <w:p>
      <w:pPr>
        <w:ind w:left="1060" w:right="339" w:hanging="403"/>
        <w:spacing w:after="0" w:line="266" w:lineRule="auto"/>
        <w:tabs>
          <w:tab w:leader="none" w:pos="106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any time after the principal of the Securities of that series shall have been so declared due and payable, and before a judgment or decree for the payment of the moneys due shall have been obtained or entered as hereinafter provided, the holders of a majority in aggregate principal amount of the Securities of that series then Outstanding hereunder (or, by action at a meeting of holders of the Securities of such series in accordance with Section 8.09, the holders of a majority in aggregate principal amount of the Securities of such series then Outstanding represented at such meeting),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and (ii) any and all Events of Default under this Indenture with respect to such series, other than the nonpayment of principal of (and premium, if any, on) and accrued and unpaid interest, if any, on Securities of that series that shall have become due solely because of such acceleration, shall have been remedied, cured or waived as provided in Section 6.06. No such rescission and annulment shall extend to or shall affect any subsequent default or impair any right consequent thereon.</w:t>
      </w:r>
    </w:p>
    <w:p>
      <w:pPr>
        <w:spacing w:after="0" w:line="70" w:lineRule="exact"/>
        <w:rPr>
          <w:rFonts w:ascii="Times New Roman" w:cs="Times New Roman" w:eastAsia="Times New Roman" w:hAnsi="Times New Roman"/>
          <w:sz w:val="13"/>
          <w:szCs w:val="13"/>
          <w:color w:val="auto"/>
        </w:rPr>
      </w:pPr>
    </w:p>
    <w:p>
      <w:pPr>
        <w:ind w:left="1060" w:right="399" w:hanging="403"/>
        <w:spacing w:after="0" w:line="249" w:lineRule="auto"/>
        <w:tabs>
          <w:tab w:leader="none" w:pos="10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39" w:right="1440" w:bottom="1440" w:gutter="0" w:footer="0" w:header="0"/>
        </w:sectPr>
      </w:pPr>
    </w:p>
    <w:bookmarkStart w:id="128" w:name="page129"/>
    <w:bookmarkEnd w:id="128"/>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6.02 Collection of Indebtedness and Suits for Enforcement by Trustee.</w:t>
      </w:r>
    </w:p>
    <w:p>
      <w:pPr>
        <w:spacing w:after="0" w:line="95" w:lineRule="exact"/>
        <w:rPr>
          <w:sz w:val="20"/>
          <w:szCs w:val="20"/>
          <w:color w:val="auto"/>
        </w:rPr>
      </w:pPr>
    </w:p>
    <w:p>
      <w:pPr>
        <w:ind w:left="1060" w:right="359" w:hanging="403"/>
        <w:spacing w:after="0" w:line="267" w:lineRule="auto"/>
        <w:tabs>
          <w:tab w:leader="none" w:pos="106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covenants that (1) in case it shall default in the payment of any installment of interest on any of the Securities of a series, or any payment required by any sinking or analogous fund established with respect to that series as and when the same shall have become due and payable, and such default shall have continued for a period of 90 Business Days, or (2)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65" w:lineRule="exact"/>
        <w:rPr>
          <w:rFonts w:ascii="Times New Roman" w:cs="Times New Roman" w:eastAsia="Times New Roman" w:hAnsi="Times New Roman"/>
          <w:sz w:val="13"/>
          <w:szCs w:val="13"/>
          <w:color w:val="auto"/>
        </w:rPr>
      </w:pPr>
    </w:p>
    <w:p>
      <w:pPr>
        <w:ind w:left="1060" w:right="399" w:hanging="403"/>
        <w:spacing w:after="0" w:line="273" w:lineRule="auto"/>
        <w:tabs>
          <w:tab w:leader="none" w:pos="106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out of the property of the Company or other obligor upon the Securities of that series, wherever situated.</w:t>
      </w:r>
    </w:p>
    <w:p>
      <w:pPr>
        <w:spacing w:after="0" w:line="60" w:lineRule="exact"/>
        <w:rPr>
          <w:rFonts w:ascii="Times New Roman" w:cs="Times New Roman" w:eastAsia="Times New Roman" w:hAnsi="Times New Roman"/>
          <w:sz w:val="13"/>
          <w:szCs w:val="13"/>
          <w:color w:val="auto"/>
        </w:rPr>
      </w:pPr>
    </w:p>
    <w:p>
      <w:pPr>
        <w:ind w:left="1060" w:right="419" w:hanging="403"/>
        <w:spacing w:after="0" w:line="267" w:lineRule="auto"/>
        <w:tabs>
          <w:tab w:leader="none" w:pos="106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case of any receivership, insolvency, liquidation, bankruptcy, reorganization, readjustment, arrangement, composition or judicial proceedings affected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65" w:lineRule="exact"/>
        <w:rPr>
          <w:rFonts w:ascii="Times New Roman" w:cs="Times New Roman" w:eastAsia="Times New Roman" w:hAnsi="Times New Roman"/>
          <w:sz w:val="13"/>
          <w:szCs w:val="13"/>
          <w:color w:val="auto"/>
        </w:rPr>
      </w:pPr>
    </w:p>
    <w:p>
      <w:pPr>
        <w:ind w:left="1060" w:right="619" w:hanging="403"/>
        <w:spacing w:after="0" w:line="304" w:lineRule="auto"/>
        <w:tabs>
          <w:tab w:leader="none" w:pos="106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9" w:right="1440" w:bottom="1440" w:gutter="0" w:footer="0" w:header="0"/>
        </w:sectPr>
      </w:pPr>
    </w:p>
    <w:bookmarkStart w:id="129" w:name="page130"/>
    <w:bookmarkEnd w:id="129"/>
    <w:p>
      <w:pPr>
        <w:ind w:left="1080" w:right="35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44" w:lineRule="exact"/>
        <w:rPr>
          <w:sz w:val="20"/>
          <w:szCs w:val="20"/>
          <w:color w:val="auto"/>
        </w:rPr>
      </w:pPr>
    </w:p>
    <w:p>
      <w:pPr>
        <w:jc w:val="both"/>
        <w:ind w:left="340" w:right="479" w:firstLine="334"/>
        <w:spacing w:after="0" w:line="276" w:lineRule="auto"/>
        <w:rPr>
          <w:sz w:val="20"/>
          <w:szCs w:val="20"/>
          <w:color w:val="auto"/>
        </w:rPr>
      </w:pPr>
      <w:r>
        <w:rPr>
          <w:rFonts w:ascii="Times New Roman" w:cs="Times New Roman" w:eastAsia="Times New Roman" w:hAnsi="Times New Roman"/>
          <w:sz w:val="13"/>
          <w:szCs w:val="13"/>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31" w:lineRule="exact"/>
        <w:rPr>
          <w:sz w:val="20"/>
          <w:szCs w:val="20"/>
          <w:color w:val="auto"/>
        </w:rPr>
      </w:pPr>
    </w:p>
    <w:p>
      <w:pPr>
        <w:ind w:left="340" w:right="539" w:firstLine="334"/>
        <w:spacing w:after="0" w:line="254" w:lineRule="auto"/>
        <w:rPr>
          <w:sz w:val="20"/>
          <w:szCs w:val="20"/>
          <w:color w:val="auto"/>
        </w:rPr>
      </w:pPr>
      <w:r>
        <w:rPr>
          <w:rFonts w:ascii="Times New Roman" w:cs="Times New Roman" w:eastAsia="Times New Roman" w:hAnsi="Times New Roman"/>
          <w:sz w:val="14"/>
          <w:szCs w:val="14"/>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6.03 Application of Moneys Collected.</w:t>
      </w:r>
    </w:p>
    <w:p>
      <w:pPr>
        <w:spacing w:after="0" w:line="166" w:lineRule="exact"/>
        <w:rPr>
          <w:sz w:val="20"/>
          <w:szCs w:val="20"/>
          <w:color w:val="auto"/>
        </w:rPr>
      </w:pPr>
    </w:p>
    <w:p>
      <w:pPr>
        <w:ind w:left="340" w:right="339" w:firstLine="334"/>
        <w:spacing w:after="0" w:line="283" w:lineRule="auto"/>
        <w:rPr>
          <w:sz w:val="20"/>
          <w:szCs w:val="20"/>
          <w:color w:val="auto"/>
        </w:rPr>
      </w:pPr>
      <w:r>
        <w:rPr>
          <w:rFonts w:ascii="Times New Roman" w:cs="Times New Roman" w:eastAsia="Times New Roman" w:hAnsi="Times New Roman"/>
          <w:sz w:val="13"/>
          <w:szCs w:val="13"/>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the payment, if only partially paid, and upon surrender thereof if fully paid:</w:t>
      </w:r>
    </w:p>
    <w:p>
      <w:pPr>
        <w:spacing w:after="0" w:line="54"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14"/>
          <w:szCs w:val="14"/>
          <w:color w:val="auto"/>
        </w:rPr>
        <w:t>FIRST:</w:t>
      </w:r>
      <w:r>
        <w:rPr>
          <w:sz w:val="20"/>
          <w:szCs w:val="20"/>
          <w:color w:val="auto"/>
        </w:rPr>
        <w:tab/>
      </w:r>
      <w:r>
        <w:rPr>
          <w:rFonts w:ascii="Times New Roman" w:cs="Times New Roman" w:eastAsia="Times New Roman" w:hAnsi="Times New Roman"/>
          <w:sz w:val="14"/>
          <w:szCs w:val="14"/>
          <w:color w:val="auto"/>
        </w:rPr>
        <w:t>To the payment of costs and expenses of collection and of all amounts payable to the Trustee under Section 7.06; and</w:t>
      </w:r>
    </w:p>
    <w:p>
      <w:pPr>
        <w:spacing w:after="0" w:line="85" w:lineRule="exact"/>
        <w:rPr>
          <w:sz w:val="20"/>
          <w:szCs w:val="20"/>
          <w:color w:val="auto"/>
        </w:rPr>
      </w:pPr>
    </w:p>
    <w:p>
      <w:pPr>
        <w:ind w:left="760" w:right="379" w:hanging="430"/>
        <w:spacing w:after="0" w:line="254" w:lineRule="auto"/>
        <w:tabs>
          <w:tab w:leader="none" w:pos="-2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6.04 Limitation on Suits.</w:t>
      </w:r>
    </w:p>
    <w:p>
      <w:pPr>
        <w:spacing w:after="0" w:line="166" w:lineRule="exact"/>
        <w:rPr>
          <w:sz w:val="20"/>
          <w:szCs w:val="20"/>
          <w:color w:val="auto"/>
        </w:rPr>
      </w:pPr>
    </w:p>
    <w:p>
      <w:pPr>
        <w:ind w:left="340" w:right="339" w:firstLine="334"/>
        <w:spacing w:after="0" w:line="266" w:lineRule="auto"/>
        <w:rPr>
          <w:sz w:val="20"/>
          <w:szCs w:val="20"/>
          <w:color w:val="auto"/>
        </w:rPr>
      </w:pPr>
      <w:r>
        <w:rPr>
          <w:rFonts w:ascii="Times New Roman" w:cs="Times New Roman" w:eastAsia="Times New Roman" w:hAnsi="Times New Roman"/>
          <w:sz w:val="13"/>
          <w:szCs w:val="13"/>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a majority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and (iv) the Trustee for 60 days after its receipt of such notice, request and offer of indemnity, shall have failed to institute any such action, suit or proceeding and (v) during such 60 day period, the holders of a majority in principal amount of the Securities of that series (or such amount as shall have acted at a meeting of the holders of Securities of such series pursuant to the provisions of this Indenture) do not give the Trustee a direction inconsistent with the request; provided, however, that no one or more of such holders may use this Indenture to prejudice the rights of another holder or to obtain preference or priority over another holder.</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39" w:right="1440" w:bottom="1440" w:gutter="0" w:footer="0" w:header="0"/>
        </w:sectPr>
      </w:pPr>
    </w:p>
    <w:bookmarkStart w:id="130" w:name="page131"/>
    <w:bookmarkEnd w:id="130"/>
    <w:p>
      <w:pPr>
        <w:ind w:left="340" w:right="359" w:firstLine="334"/>
        <w:spacing w:after="0" w:line="24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Notwithstanding anything contained herein to the contrary,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6.05 Rights and Remedies Cumulative; Delay or Omission Not Waiver.</w:t>
      </w:r>
    </w:p>
    <w:p>
      <w:pPr>
        <w:spacing w:after="0" w:line="95" w:lineRule="exact"/>
        <w:rPr>
          <w:sz w:val="20"/>
          <w:szCs w:val="20"/>
          <w:color w:val="auto"/>
        </w:rPr>
      </w:pPr>
    </w:p>
    <w:p>
      <w:pPr>
        <w:ind w:left="1060" w:right="439" w:hanging="403"/>
        <w:spacing w:after="0" w:line="251" w:lineRule="auto"/>
        <w:tabs>
          <w:tab w:leader="none" w:pos="10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73" w:lineRule="exact"/>
        <w:rPr>
          <w:rFonts w:ascii="Times New Roman" w:cs="Times New Roman" w:eastAsia="Times New Roman" w:hAnsi="Times New Roman"/>
          <w:sz w:val="14"/>
          <w:szCs w:val="14"/>
          <w:color w:val="auto"/>
        </w:rPr>
      </w:pPr>
    </w:p>
    <w:p>
      <w:pPr>
        <w:ind w:left="1060" w:right="379" w:hanging="403"/>
        <w:spacing w:after="0" w:line="249" w:lineRule="auto"/>
        <w:tabs>
          <w:tab w:leader="none" w:pos="10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on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6.06 Control by Securityholders.</w:t>
      </w:r>
    </w:p>
    <w:p>
      <w:pPr>
        <w:spacing w:after="0" w:line="166" w:lineRule="exact"/>
        <w:rPr>
          <w:sz w:val="20"/>
          <w:szCs w:val="20"/>
          <w:color w:val="auto"/>
        </w:rPr>
      </w:pPr>
    </w:p>
    <w:p>
      <w:pPr>
        <w:ind w:left="340" w:right="339" w:firstLine="334"/>
        <w:spacing w:after="0" w:line="267" w:lineRule="auto"/>
        <w:rPr>
          <w:sz w:val="20"/>
          <w:szCs w:val="20"/>
          <w:color w:val="auto"/>
        </w:rPr>
      </w:pPr>
      <w:r>
        <w:rPr>
          <w:rFonts w:ascii="Times New Roman" w:cs="Times New Roman" w:eastAsia="Times New Roman" w:hAnsi="Times New Roman"/>
          <w:sz w:val="13"/>
          <w:szCs w:val="13"/>
          <w:color w:val="auto"/>
        </w:rPr>
        <w:t>The holders of a majority in aggregate principal amount of the Securities of any series at the time Outstanding, determined in accordance with Section 8.01,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be unduly prejudicial to the rights of holders of Securities of any other series at the time Outstanding determined in accordance with Section 8.01. Subject to the provisions of Section 7.01, the Trustee shall have the right to decline to follow any such direction if the Trustee in good faith shall, by a Responsible Officer or Officers of the Trustee, determine that the proceeding so directed would involve the Trustee in personal liability. The holders either (a) through the written consent of not less than a majority in aggregate principal amount of the Securities of any series at the time Outstanding or (b) by action at a meeting of holders of the Securities of such series in accordance with Section 8.09, by the holders of a majority in aggregate principal amount of the Securities of such series then Outstanding represented at such meeting, may on behalf of the holders of all of the Securities of such series waive any past default in the performance of any of the covenants contained herein or established</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39" w:right="1440" w:bottom="1440" w:gutter="0" w:footer="0" w:header="0"/>
        </w:sectPr>
      </w:pPr>
    </w:p>
    <w:bookmarkStart w:id="131" w:name="page132"/>
    <w:bookmarkEnd w:id="131"/>
    <w:p>
      <w:pPr>
        <w:ind w:left="340" w:right="37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and except in respect a provision hereof which, under Section 9.02, cannot be modified or amended without the consent of the holders of each Outstanding Security affected; provided however that this Section shall not limit the right of holders of Securities of a series to rescind and annul any acceleration as set forth in Section 6.01.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The provisions which otherwise would be automatically deemed to be contained in this Indenture pursuant to Section (316)(a)(1) of the Trust Indenture Act are hereby expressly excluded from this Indenture, except to the extent such provisions are expressly included herein.</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6.07 Undertaking to Pay Costs.</w:t>
      </w:r>
    </w:p>
    <w:p>
      <w:pPr>
        <w:spacing w:after="0" w:line="166" w:lineRule="exact"/>
        <w:rPr>
          <w:sz w:val="20"/>
          <w:szCs w:val="20"/>
          <w:color w:val="auto"/>
        </w:rPr>
      </w:pPr>
    </w:p>
    <w:p>
      <w:pPr>
        <w:ind w:left="340" w:right="379" w:firstLine="334"/>
        <w:spacing w:after="0" w:line="268" w:lineRule="auto"/>
        <w:rPr>
          <w:sz w:val="20"/>
          <w:szCs w:val="20"/>
          <w:color w:val="auto"/>
        </w:rPr>
      </w:pPr>
      <w:r>
        <w:rPr>
          <w:rFonts w:ascii="Times New Roman" w:cs="Times New Roman" w:eastAsia="Times New Roman" w:hAnsi="Times New Roman"/>
          <w:sz w:val="13"/>
          <w:szCs w:val="13"/>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VII</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CONCERNING THE TRUSTEE</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7.01 Certain Duties and Responsibilities of Trustee.</w:t>
      </w:r>
    </w:p>
    <w:p>
      <w:pPr>
        <w:spacing w:after="0" w:line="95" w:lineRule="exact"/>
        <w:rPr>
          <w:sz w:val="20"/>
          <w:szCs w:val="20"/>
          <w:color w:val="auto"/>
        </w:rPr>
      </w:pPr>
    </w:p>
    <w:p>
      <w:pPr>
        <w:ind w:left="1060" w:right="339" w:hanging="403"/>
        <w:spacing w:after="0" w:line="247" w:lineRule="auto"/>
        <w:tabs>
          <w:tab w:leader="none" w:pos="10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39" w:right="1440" w:bottom="1440" w:gutter="0" w:footer="0" w:header="0"/>
        </w:sectPr>
      </w:pPr>
    </w:p>
    <w:bookmarkStart w:id="132" w:name="page133"/>
    <w:bookmarkEnd w:id="132"/>
    <w:p>
      <w:pPr>
        <w:ind w:left="1060" w:right="419" w:hanging="403"/>
        <w:spacing w:after="0" w:line="265" w:lineRule="auto"/>
        <w:tabs>
          <w:tab w:leader="none" w:pos="10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No provision of this Indenture shall be construed to relieve the Trustee from liability for its own negligent action, its own negligent failure to act, or its own willful misconduct, except that:</w:t>
      </w:r>
    </w:p>
    <w:p>
      <w:pPr>
        <w:spacing w:after="0" w:line="63" w:lineRule="exact"/>
        <w:rPr>
          <w:rFonts w:ascii="Times New Roman" w:cs="Times New Roman" w:eastAsia="Times New Roman" w:hAnsi="Times New Roman"/>
          <w:sz w:val="14"/>
          <w:szCs w:val="14"/>
          <w:color w:val="auto"/>
        </w:rPr>
      </w:pPr>
    </w:p>
    <w:p>
      <w:pPr>
        <w:ind w:left="1400" w:right="599" w:hanging="323"/>
        <w:spacing w:after="0" w:line="265" w:lineRule="auto"/>
        <w:tabs>
          <w:tab w:leader="none" w:pos="1400"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occurrence of an Event of Default with respect to the Securities of a series and after the curing or waiving of all such Events of Default with respect to that series that may have occurred:</w:t>
      </w:r>
    </w:p>
    <w:p>
      <w:pPr>
        <w:spacing w:after="0" w:line="63" w:lineRule="exact"/>
        <w:rPr>
          <w:rFonts w:ascii="Times New Roman" w:cs="Times New Roman" w:eastAsia="Times New Roman" w:hAnsi="Times New Roman"/>
          <w:sz w:val="14"/>
          <w:szCs w:val="14"/>
          <w:color w:val="auto"/>
        </w:rPr>
      </w:pPr>
    </w:p>
    <w:p>
      <w:pPr>
        <w:ind w:left="1820" w:right="359" w:hanging="406"/>
        <w:spacing w:after="0" w:line="251" w:lineRule="auto"/>
        <w:tabs>
          <w:tab w:leader="none" w:pos="1820" w:val="left"/>
        </w:tabs>
        <w:numPr>
          <w:ilvl w:val="2"/>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73" w:lineRule="exact"/>
        <w:rPr>
          <w:rFonts w:ascii="Times New Roman" w:cs="Times New Roman" w:eastAsia="Times New Roman" w:hAnsi="Times New Roman"/>
          <w:sz w:val="14"/>
          <w:szCs w:val="14"/>
          <w:color w:val="auto"/>
        </w:rPr>
      </w:pPr>
    </w:p>
    <w:p>
      <w:pPr>
        <w:ind w:left="1820" w:right="379" w:hanging="406"/>
        <w:spacing w:after="0" w:line="273" w:lineRule="auto"/>
        <w:tabs>
          <w:tab w:leader="none" w:pos="1820" w:val="left"/>
        </w:tabs>
        <w:numPr>
          <w:ilvl w:val="2"/>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p>
      <w:pPr>
        <w:spacing w:after="0" w:line="60" w:lineRule="exact"/>
        <w:rPr>
          <w:rFonts w:ascii="Times New Roman" w:cs="Times New Roman" w:eastAsia="Times New Roman" w:hAnsi="Times New Roman"/>
          <w:sz w:val="13"/>
          <w:szCs w:val="13"/>
          <w:color w:val="auto"/>
        </w:rPr>
      </w:pPr>
    </w:p>
    <w:p>
      <w:pPr>
        <w:ind w:left="1400" w:right="459" w:hanging="323"/>
        <w:spacing w:after="0" w:line="265" w:lineRule="auto"/>
        <w:tabs>
          <w:tab w:leader="none" w:pos="1400"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63" w:lineRule="exact"/>
        <w:rPr>
          <w:rFonts w:ascii="Times New Roman" w:cs="Times New Roman" w:eastAsia="Times New Roman" w:hAnsi="Times New Roman"/>
          <w:sz w:val="14"/>
          <w:szCs w:val="14"/>
          <w:color w:val="auto"/>
        </w:rPr>
      </w:pPr>
    </w:p>
    <w:p>
      <w:pPr>
        <w:ind w:left="1400" w:right="359" w:hanging="323"/>
        <w:spacing w:after="0" w:line="251" w:lineRule="auto"/>
        <w:tabs>
          <w:tab w:leader="none" w:pos="1400"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73" w:lineRule="exact"/>
        <w:rPr>
          <w:rFonts w:ascii="Times New Roman" w:cs="Times New Roman" w:eastAsia="Times New Roman" w:hAnsi="Times New Roman"/>
          <w:sz w:val="14"/>
          <w:szCs w:val="14"/>
          <w:color w:val="auto"/>
        </w:rPr>
      </w:pPr>
    </w:p>
    <w:p>
      <w:pPr>
        <w:ind w:left="1400" w:right="539" w:hanging="323"/>
        <w:spacing w:after="0" w:line="251" w:lineRule="auto"/>
        <w:tabs>
          <w:tab w:leader="none" w:pos="1400"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7.02 Certain Rights of Trustee.</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Except as otherwise provided in Section 7.01:</w:t>
      </w:r>
    </w:p>
    <w:p>
      <w:pPr>
        <w:spacing w:after="0" w:line="95" w:lineRule="exact"/>
        <w:rPr>
          <w:sz w:val="20"/>
          <w:szCs w:val="20"/>
          <w:color w:val="auto"/>
        </w:rPr>
      </w:pPr>
    </w:p>
    <w:p>
      <w:pPr>
        <w:jc w:val="both"/>
        <w:ind w:left="1060" w:right="619" w:hanging="403"/>
        <w:spacing w:after="0" w:line="254" w:lineRule="auto"/>
        <w:tabs>
          <w:tab w:leader="none" w:pos="10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39" w:right="1440" w:bottom="1440" w:gutter="0" w:footer="0" w:header="0"/>
        </w:sectPr>
      </w:pPr>
    </w:p>
    <w:bookmarkStart w:id="133" w:name="page134"/>
    <w:bookmarkEnd w:id="133"/>
    <w:p>
      <w:pPr>
        <w:ind w:left="1060" w:right="359" w:hanging="403"/>
        <w:spacing w:after="0" w:line="254" w:lineRule="auto"/>
        <w:tabs>
          <w:tab w:leader="none" w:pos="106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Any request, direction, order or demand of the Company mentioned herein shall be sufficiently evidenced by a Board Resolution or an instrument signed in the name of the Company, by the President or any Vice President and by the Secretary or an Assistant Secretary or the Treasurer or an Assistant Treasurer thereof (unless other evidence in respect thereof is specifically prescribed herein);</w:t>
      </w:r>
    </w:p>
    <w:p>
      <w:pPr>
        <w:spacing w:after="0" w:line="72" w:lineRule="exact"/>
        <w:rPr>
          <w:rFonts w:ascii="Times New Roman" w:cs="Times New Roman" w:eastAsia="Times New Roman" w:hAnsi="Times New Roman"/>
          <w:sz w:val="14"/>
          <w:szCs w:val="14"/>
          <w:color w:val="auto"/>
        </w:rPr>
      </w:pPr>
    </w:p>
    <w:p>
      <w:pPr>
        <w:ind w:left="1060" w:right="819" w:hanging="403"/>
        <w:spacing w:after="0" w:line="304" w:lineRule="auto"/>
        <w:tabs>
          <w:tab w:leader="none" w:pos="106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consult with counsel and the written advice of such counsel or any Opinion of Counsel shall be full and complete authorization and protection in respect of any action taken or suffered or omitted hereunder in good faith and in reliance thereon;</w:t>
      </w:r>
    </w:p>
    <w:p>
      <w:pPr>
        <w:spacing w:after="0" w:line="40" w:lineRule="exact"/>
        <w:rPr>
          <w:rFonts w:ascii="Times New Roman" w:cs="Times New Roman" w:eastAsia="Times New Roman" w:hAnsi="Times New Roman"/>
          <w:sz w:val="13"/>
          <w:szCs w:val="13"/>
          <w:color w:val="auto"/>
        </w:rPr>
      </w:pPr>
    </w:p>
    <w:p>
      <w:pPr>
        <w:ind w:left="1060" w:right="359" w:hanging="403"/>
        <w:spacing w:after="0" w:line="247" w:lineRule="auto"/>
        <w:tabs>
          <w:tab w:leader="none" w:pos="106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78" w:lineRule="exact"/>
        <w:rPr>
          <w:rFonts w:ascii="Times New Roman" w:cs="Times New Roman" w:eastAsia="Times New Roman" w:hAnsi="Times New Roman"/>
          <w:sz w:val="14"/>
          <w:szCs w:val="14"/>
          <w:color w:val="auto"/>
        </w:rPr>
      </w:pPr>
    </w:p>
    <w:p>
      <w:pPr>
        <w:ind w:left="1060" w:right="499" w:hanging="403"/>
        <w:spacing w:after="0" w:line="265" w:lineRule="auto"/>
        <w:tabs>
          <w:tab w:leader="none" w:pos="106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action taken or omitted to be taken by it in good faith and believed by it to be authorized or within the discretion or rights or powers conferred upon it by this Indenture;</w:t>
      </w:r>
    </w:p>
    <w:p>
      <w:pPr>
        <w:spacing w:after="0" w:line="63" w:lineRule="exact"/>
        <w:rPr>
          <w:rFonts w:ascii="Times New Roman" w:cs="Times New Roman" w:eastAsia="Times New Roman" w:hAnsi="Times New Roman"/>
          <w:sz w:val="14"/>
          <w:szCs w:val="14"/>
          <w:color w:val="auto"/>
        </w:rPr>
      </w:pPr>
    </w:p>
    <w:p>
      <w:pPr>
        <w:ind w:left="1060" w:right="399" w:hanging="403"/>
        <w:spacing w:after="0" w:line="247" w:lineRule="auto"/>
        <w:tabs>
          <w:tab w:leader="none" w:pos="106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p>
      <w:pPr>
        <w:spacing w:after="0" w:line="76" w:lineRule="exact"/>
        <w:rPr>
          <w:rFonts w:ascii="Times New Roman" w:cs="Times New Roman" w:eastAsia="Times New Roman" w:hAnsi="Times New Roman"/>
          <w:sz w:val="14"/>
          <w:szCs w:val="14"/>
          <w:color w:val="auto"/>
        </w:rPr>
      </w:pPr>
    </w:p>
    <w:p>
      <w:pPr>
        <w:ind w:left="1060" w:right="379" w:hanging="403"/>
        <w:spacing w:after="0" w:line="254" w:lineRule="auto"/>
        <w:tabs>
          <w:tab w:leader="none" w:pos="106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7.03 Trustee Not Responsible for Recitals or Issuance of Securities.</w:t>
      </w:r>
    </w:p>
    <w:p>
      <w:pPr>
        <w:spacing w:after="0" w:line="95" w:lineRule="exact"/>
        <w:rPr>
          <w:sz w:val="20"/>
          <w:szCs w:val="20"/>
          <w:color w:val="auto"/>
        </w:rPr>
      </w:pPr>
    </w:p>
    <w:p>
      <w:pPr>
        <w:ind w:left="1060" w:right="1019" w:hanging="403"/>
        <w:spacing w:after="0" w:line="265" w:lineRule="auto"/>
        <w:tabs>
          <w:tab w:leader="none" w:pos="10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recitals contained herein and in the Securities shall be taken as the statements of the Company, and the Trustee assumes no responsibility for the correctness of the same.</w:t>
      </w:r>
    </w:p>
    <w:p>
      <w:pPr>
        <w:spacing w:after="0" w:line="63" w:lineRule="exact"/>
        <w:rPr>
          <w:rFonts w:ascii="Times New Roman" w:cs="Times New Roman" w:eastAsia="Times New Roman" w:hAnsi="Times New Roman"/>
          <w:sz w:val="14"/>
          <w:szCs w:val="14"/>
          <w:color w:val="auto"/>
        </w:rPr>
      </w:pPr>
    </w:p>
    <w:p>
      <w:pPr>
        <w:ind w:left="1060" w:hanging="403"/>
        <w:spacing w:after="0"/>
        <w:tabs>
          <w:tab w:leader="none" w:pos="10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makes no representations as to the validity or sufficiency of this Indenture or of the Securities.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9" w:right="1440" w:bottom="1440" w:gutter="0" w:footer="0" w:header="0"/>
        </w:sectPr>
      </w:pPr>
    </w:p>
    <w:bookmarkStart w:id="134" w:name="page135"/>
    <w:bookmarkEnd w:id="134"/>
    <w:p>
      <w:pPr>
        <w:ind w:left="1060" w:right="679" w:hanging="403"/>
        <w:spacing w:after="0" w:line="283" w:lineRule="auto"/>
        <w:tabs>
          <w:tab w:leader="none" w:pos="106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7.04 May Hold Securities.</w:t>
      </w:r>
    </w:p>
    <w:p>
      <w:pPr>
        <w:spacing w:after="0" w:line="166" w:lineRule="exact"/>
        <w:rPr>
          <w:sz w:val="20"/>
          <w:szCs w:val="20"/>
          <w:color w:val="auto"/>
        </w:rPr>
      </w:pPr>
    </w:p>
    <w:p>
      <w:pPr>
        <w:ind w:left="340" w:right="399" w:firstLine="334"/>
        <w:spacing w:after="0" w:line="265" w:lineRule="auto"/>
        <w:rPr>
          <w:sz w:val="20"/>
          <w:szCs w:val="20"/>
          <w:color w:val="auto"/>
        </w:rPr>
      </w:pPr>
      <w:r>
        <w:rPr>
          <w:rFonts w:ascii="Times New Roman" w:cs="Times New Roman" w:eastAsia="Times New Roman" w:hAnsi="Times New Roman"/>
          <w:sz w:val="14"/>
          <w:szCs w:val="14"/>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7.05 Moneys Held in Trust.</w:t>
      </w:r>
    </w:p>
    <w:p>
      <w:pPr>
        <w:spacing w:after="0" w:line="166" w:lineRule="exact"/>
        <w:rPr>
          <w:sz w:val="20"/>
          <w:szCs w:val="20"/>
          <w:color w:val="auto"/>
        </w:rPr>
      </w:pPr>
    </w:p>
    <w:p>
      <w:pPr>
        <w:ind w:left="340" w:right="419" w:firstLine="334"/>
        <w:spacing w:after="0" w:line="254" w:lineRule="auto"/>
        <w:rPr>
          <w:sz w:val="20"/>
          <w:szCs w:val="20"/>
          <w:color w:val="auto"/>
        </w:rPr>
      </w:pPr>
      <w:r>
        <w:rPr>
          <w:rFonts w:ascii="Times New Roman" w:cs="Times New Roman" w:eastAsia="Times New Roman" w:hAnsi="Times New Roman"/>
          <w:sz w:val="14"/>
          <w:szCs w:val="14"/>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7.06 Compensation and Reimbursement.</w:t>
      </w:r>
    </w:p>
    <w:p>
      <w:pPr>
        <w:spacing w:after="0" w:line="95" w:lineRule="exact"/>
        <w:rPr>
          <w:sz w:val="20"/>
          <w:szCs w:val="20"/>
          <w:color w:val="auto"/>
        </w:rPr>
      </w:pPr>
    </w:p>
    <w:p>
      <w:pPr>
        <w:ind w:left="1060" w:right="359" w:hanging="403"/>
        <w:spacing w:after="0" w:line="246" w:lineRule="auto"/>
        <w:tabs>
          <w:tab w:leader="none" w:pos="10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costs and expenses of defending itself against any claim of liability in the premises.</w:t>
      </w:r>
    </w:p>
    <w:p>
      <w:pPr>
        <w:spacing w:after="0" w:line="77" w:lineRule="exact"/>
        <w:rPr>
          <w:rFonts w:ascii="Times New Roman" w:cs="Times New Roman" w:eastAsia="Times New Roman" w:hAnsi="Times New Roman"/>
          <w:sz w:val="14"/>
          <w:szCs w:val="14"/>
          <w:color w:val="auto"/>
        </w:rPr>
      </w:pPr>
    </w:p>
    <w:p>
      <w:pPr>
        <w:ind w:left="1060" w:right="359" w:hanging="403"/>
        <w:spacing w:after="0" w:line="251" w:lineRule="auto"/>
        <w:tabs>
          <w:tab w:leader="none" w:pos="10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obligations of the Company under this Section to compensate and indemnify the Trustee and to pay or reimburse the Trustee for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7.07 Reliance on Officers’ Certificate.</w:t>
      </w:r>
    </w:p>
    <w:p>
      <w:pPr>
        <w:spacing w:after="0" w:line="166" w:lineRule="exact"/>
        <w:rPr>
          <w:sz w:val="20"/>
          <w:szCs w:val="20"/>
          <w:color w:val="auto"/>
        </w:rPr>
      </w:pPr>
    </w:p>
    <w:p>
      <w:pPr>
        <w:ind w:left="340" w:right="419" w:firstLine="334"/>
        <w:spacing w:after="0" w:line="248" w:lineRule="auto"/>
        <w:rPr>
          <w:sz w:val="20"/>
          <w:szCs w:val="20"/>
          <w:color w:val="auto"/>
        </w:rPr>
      </w:pPr>
      <w:r>
        <w:rPr>
          <w:rFonts w:ascii="Times New Roman" w:cs="Times New Roman" w:eastAsia="Times New Roman" w:hAnsi="Times New Roman"/>
          <w:sz w:val="14"/>
          <w:szCs w:val="14"/>
          <w:color w:val="auto"/>
        </w:rPr>
        <w:t>Except as otherwise provided in Section 7.01, whenever in the administration of the provisions of this Indenture the Trustee shall deem it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39" w:right="1440" w:bottom="1440" w:gutter="0" w:footer="0" w:header="0"/>
        </w:sectPr>
      </w:pPr>
    </w:p>
    <w:bookmarkStart w:id="135" w:name="page136"/>
    <w:bookmarkEnd w:id="135"/>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7.08 Disqualification; Conflicting Interests.</w:t>
      </w:r>
    </w:p>
    <w:p>
      <w:pPr>
        <w:spacing w:after="0" w:line="166" w:lineRule="exact"/>
        <w:rPr>
          <w:sz w:val="20"/>
          <w:szCs w:val="20"/>
          <w:color w:val="auto"/>
        </w:rPr>
      </w:pPr>
    </w:p>
    <w:p>
      <w:pPr>
        <w:ind w:left="340" w:right="499" w:firstLine="334"/>
        <w:spacing w:after="0" w:line="265" w:lineRule="auto"/>
        <w:rPr>
          <w:sz w:val="20"/>
          <w:szCs w:val="20"/>
          <w:color w:val="auto"/>
        </w:rPr>
      </w:pPr>
      <w:r>
        <w:rPr>
          <w:rFonts w:ascii="Times New Roman" w:cs="Times New Roman" w:eastAsia="Times New Roman" w:hAnsi="Times New Roman"/>
          <w:sz w:val="14"/>
          <w:szCs w:val="14"/>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7.09 Corporate Trustee Required; Eligibility.</w:t>
      </w:r>
    </w:p>
    <w:p>
      <w:pPr>
        <w:spacing w:after="0" w:line="166" w:lineRule="exact"/>
        <w:rPr>
          <w:sz w:val="20"/>
          <w:szCs w:val="20"/>
          <w:color w:val="auto"/>
        </w:rPr>
      </w:pPr>
    </w:p>
    <w:p>
      <w:pPr>
        <w:ind w:left="340" w:right="379" w:firstLine="334"/>
        <w:spacing w:after="0" w:line="268" w:lineRule="auto"/>
        <w:rPr>
          <w:sz w:val="20"/>
          <w:szCs w:val="20"/>
          <w:color w:val="auto"/>
        </w:rPr>
      </w:pPr>
      <w:r>
        <w:rPr>
          <w:rFonts w:ascii="Times New Roman" w:cs="Times New Roman" w:eastAsia="Times New Roman" w:hAnsi="Times New Roman"/>
          <w:sz w:val="13"/>
          <w:szCs w:val="13"/>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50 million U.S. dollars ($50,000,000), and subject to supervision or examination by Federal, State, Territorial, or District of Columbia authority.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7.10 Resignation and Removal; Appointment of Successor.</w:t>
      </w:r>
    </w:p>
    <w:p>
      <w:pPr>
        <w:spacing w:after="0" w:line="95" w:lineRule="exact"/>
        <w:rPr>
          <w:sz w:val="20"/>
          <w:szCs w:val="20"/>
          <w:color w:val="auto"/>
        </w:rPr>
      </w:pPr>
    </w:p>
    <w:p>
      <w:pPr>
        <w:ind w:left="1060" w:right="379" w:hanging="403"/>
        <w:spacing w:after="0" w:line="267" w:lineRule="auto"/>
        <w:tabs>
          <w:tab w:leader="none" w:pos="106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65" w:lineRule="exact"/>
        <w:rPr>
          <w:rFonts w:ascii="Times New Roman" w:cs="Times New Roman" w:eastAsia="Times New Roman" w:hAnsi="Times New Roman"/>
          <w:sz w:val="13"/>
          <w:szCs w:val="13"/>
          <w:color w:val="auto"/>
        </w:rPr>
      </w:pPr>
    </w:p>
    <w:p>
      <w:pPr>
        <w:ind w:left="1060" w:hanging="403"/>
        <w:spacing w:after="0"/>
        <w:tabs>
          <w:tab w:leader="none" w:pos="10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at any time any one of the following shall occur:</w:t>
      </w:r>
    </w:p>
    <w:p>
      <w:pPr>
        <w:spacing w:after="0" w:line="94" w:lineRule="exact"/>
        <w:rPr>
          <w:rFonts w:ascii="Times New Roman" w:cs="Times New Roman" w:eastAsia="Times New Roman" w:hAnsi="Times New Roman"/>
          <w:sz w:val="14"/>
          <w:szCs w:val="14"/>
          <w:color w:val="auto"/>
        </w:rPr>
      </w:pPr>
    </w:p>
    <w:p>
      <w:pPr>
        <w:ind w:left="1400" w:right="899" w:hanging="323"/>
        <w:spacing w:after="0" w:line="265" w:lineRule="auto"/>
        <w:tabs>
          <w:tab w:leader="none" w:pos="1400"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39" w:right="1440" w:bottom="1440" w:gutter="0" w:footer="0" w:header="0"/>
        </w:sectPr>
      </w:pPr>
    </w:p>
    <w:bookmarkStart w:id="136" w:name="page137"/>
    <w:bookmarkEnd w:id="136"/>
    <w:p>
      <w:pPr>
        <w:ind w:left="1400" w:right="539" w:hanging="323"/>
        <w:spacing w:after="0" w:line="265" w:lineRule="auto"/>
        <w:tabs>
          <w:tab w:leader="none" w:pos="140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the Trustee shall cease to be eligible in accordance with the provisions of Section 7.09 and shall fail to resign after written request therefor by the Company or by any such Securityholder; or</w:t>
      </w:r>
    </w:p>
    <w:p>
      <w:pPr>
        <w:spacing w:after="0" w:line="63" w:lineRule="exact"/>
        <w:rPr>
          <w:rFonts w:ascii="Times New Roman" w:cs="Times New Roman" w:eastAsia="Times New Roman" w:hAnsi="Times New Roman"/>
          <w:sz w:val="14"/>
          <w:szCs w:val="14"/>
          <w:color w:val="auto"/>
        </w:rPr>
      </w:pPr>
    </w:p>
    <w:p>
      <w:pPr>
        <w:ind w:left="1400" w:right="339" w:hanging="323"/>
        <w:spacing w:after="0" w:line="246" w:lineRule="auto"/>
        <w:tabs>
          <w:tab w:leader="none" w:pos="140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unless the Trustee’s duty to resign is stayed as provided herein,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78" w:lineRule="exact"/>
        <w:rPr>
          <w:rFonts w:ascii="Times New Roman" w:cs="Times New Roman" w:eastAsia="Times New Roman" w:hAnsi="Times New Roman"/>
          <w:sz w:val="14"/>
          <w:szCs w:val="14"/>
          <w:color w:val="auto"/>
        </w:rPr>
      </w:pPr>
    </w:p>
    <w:p>
      <w:pPr>
        <w:ind w:left="1060" w:right="399" w:hanging="403"/>
        <w:spacing w:after="0" w:line="254" w:lineRule="auto"/>
        <w:tabs>
          <w:tab w:leader="none" w:pos="10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72" w:lineRule="exact"/>
        <w:rPr>
          <w:rFonts w:ascii="Times New Roman" w:cs="Times New Roman" w:eastAsia="Times New Roman" w:hAnsi="Times New Roman"/>
          <w:sz w:val="14"/>
          <w:szCs w:val="14"/>
          <w:color w:val="auto"/>
        </w:rPr>
      </w:pPr>
    </w:p>
    <w:p>
      <w:pPr>
        <w:ind w:left="1060" w:right="439" w:hanging="403"/>
        <w:spacing w:after="0" w:line="254" w:lineRule="auto"/>
        <w:tabs>
          <w:tab w:leader="none" w:pos="10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72" w:lineRule="exact"/>
        <w:rPr>
          <w:rFonts w:ascii="Times New Roman" w:cs="Times New Roman" w:eastAsia="Times New Roman" w:hAnsi="Times New Roman"/>
          <w:sz w:val="14"/>
          <w:szCs w:val="14"/>
          <w:color w:val="auto"/>
        </w:rPr>
      </w:pPr>
    </w:p>
    <w:p>
      <w:pPr>
        <w:ind w:left="1060" w:right="619" w:hanging="403"/>
        <w:spacing w:after="0" w:line="265" w:lineRule="auto"/>
        <w:tabs>
          <w:tab w:leader="none" w:pos="10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7.11 Acceptance of Appointment By Successor.</w:t>
      </w:r>
    </w:p>
    <w:p>
      <w:pPr>
        <w:spacing w:after="0" w:line="95" w:lineRule="exact"/>
        <w:rPr>
          <w:sz w:val="20"/>
          <w:szCs w:val="20"/>
          <w:color w:val="auto"/>
        </w:rPr>
      </w:pPr>
    </w:p>
    <w:p>
      <w:pPr>
        <w:ind w:left="1060" w:right="359" w:hanging="403"/>
        <w:spacing w:after="0" w:line="247" w:lineRule="auto"/>
        <w:tabs>
          <w:tab w:leader="none" w:pos="10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78" w:lineRule="exact"/>
        <w:rPr>
          <w:rFonts w:ascii="Times New Roman" w:cs="Times New Roman" w:eastAsia="Times New Roman" w:hAnsi="Times New Roman"/>
          <w:sz w:val="14"/>
          <w:szCs w:val="14"/>
          <w:color w:val="auto"/>
        </w:rPr>
      </w:pPr>
    </w:p>
    <w:p>
      <w:pPr>
        <w:ind w:left="1060" w:right="439" w:hanging="403"/>
        <w:spacing w:after="0" w:line="254" w:lineRule="auto"/>
        <w:tabs>
          <w:tab w:leader="none" w:pos="10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39" w:right="1440" w:bottom="1440" w:gutter="0" w:footer="0" w:header="0"/>
        </w:sectPr>
      </w:pPr>
    </w:p>
    <w:bookmarkStart w:id="137" w:name="page138"/>
    <w:bookmarkEnd w:id="137"/>
    <w:p>
      <w:pPr>
        <w:ind w:left="1080" w:right="359"/>
        <w:spacing w:after="0" w:line="24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80" w:lineRule="exact"/>
        <w:rPr>
          <w:sz w:val="20"/>
          <w:szCs w:val="20"/>
          <w:color w:val="auto"/>
        </w:rPr>
      </w:pPr>
    </w:p>
    <w:p>
      <w:pPr>
        <w:ind w:left="1060" w:right="359" w:hanging="403"/>
        <w:spacing w:after="0" w:line="304" w:lineRule="auto"/>
        <w:tabs>
          <w:tab w:leader="none" w:pos="106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40" w:lineRule="exact"/>
        <w:rPr>
          <w:rFonts w:ascii="Times New Roman" w:cs="Times New Roman" w:eastAsia="Times New Roman" w:hAnsi="Times New Roman"/>
          <w:sz w:val="13"/>
          <w:szCs w:val="13"/>
          <w:color w:val="auto"/>
        </w:rPr>
      </w:pPr>
    </w:p>
    <w:p>
      <w:pPr>
        <w:ind w:left="1060" w:right="339" w:hanging="403"/>
        <w:spacing w:after="0" w:line="265" w:lineRule="auto"/>
        <w:tabs>
          <w:tab w:leader="none" w:pos="10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successor trustee shall accept its appointment unless at the time of such acceptance such successor trustee shall be qualified and eligible under this Article.</w:t>
      </w:r>
    </w:p>
    <w:p>
      <w:pPr>
        <w:spacing w:after="0" w:line="63" w:lineRule="exact"/>
        <w:rPr>
          <w:rFonts w:ascii="Times New Roman" w:cs="Times New Roman" w:eastAsia="Times New Roman" w:hAnsi="Times New Roman"/>
          <w:sz w:val="14"/>
          <w:szCs w:val="14"/>
          <w:color w:val="auto"/>
        </w:rPr>
      </w:pPr>
    </w:p>
    <w:p>
      <w:pPr>
        <w:ind w:left="1060" w:right="399" w:hanging="403"/>
        <w:spacing w:after="0" w:line="251" w:lineRule="auto"/>
        <w:tabs>
          <w:tab w:leader="none" w:pos="10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7.12 Merger, Conversion, Consolidation or Succession to Business.</w:t>
      </w:r>
    </w:p>
    <w:p>
      <w:pPr>
        <w:spacing w:after="0" w:line="166" w:lineRule="exact"/>
        <w:rPr>
          <w:sz w:val="20"/>
          <w:szCs w:val="20"/>
          <w:color w:val="auto"/>
        </w:rPr>
      </w:pPr>
    </w:p>
    <w:p>
      <w:pPr>
        <w:ind w:left="340" w:right="419" w:firstLine="334"/>
        <w:spacing w:after="0" w:line="247" w:lineRule="auto"/>
        <w:rPr>
          <w:sz w:val="20"/>
          <w:szCs w:val="20"/>
          <w:color w:val="auto"/>
        </w:rPr>
      </w:pPr>
      <w:r>
        <w:rPr>
          <w:rFonts w:ascii="Times New Roman" w:cs="Times New Roman" w:eastAsia="Times New Roman" w:hAnsi="Times New Roman"/>
          <w:sz w:val="14"/>
          <w:szCs w:val="14"/>
          <w:color w:val="auto"/>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39" w:right="1440" w:bottom="1440" w:gutter="0" w:footer="0" w:header="0"/>
        </w:sectPr>
      </w:pPr>
    </w:p>
    <w:bookmarkStart w:id="138" w:name="page139"/>
    <w:bookmarkEnd w:id="138"/>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7.13 Preferential Collection of Claims Against the Company.</w:t>
      </w:r>
    </w:p>
    <w:p>
      <w:pPr>
        <w:spacing w:after="0" w:line="166" w:lineRule="exact"/>
        <w:rPr>
          <w:sz w:val="20"/>
          <w:szCs w:val="20"/>
          <w:color w:val="auto"/>
        </w:rPr>
      </w:pPr>
    </w:p>
    <w:p>
      <w:pPr>
        <w:jc w:val="both"/>
        <w:ind w:left="340" w:right="559" w:firstLine="334"/>
        <w:spacing w:after="0" w:line="254" w:lineRule="auto"/>
        <w:rPr>
          <w:sz w:val="20"/>
          <w:szCs w:val="20"/>
          <w:color w:val="auto"/>
        </w:rPr>
      </w:pPr>
      <w:r>
        <w:rPr>
          <w:rFonts w:ascii="Times New Roman" w:cs="Times New Roman" w:eastAsia="Times New Roman" w:hAnsi="Times New Roman"/>
          <w:sz w:val="14"/>
          <w:szCs w:val="14"/>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VIII</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CONCERNING THE SECURITYHOLDERS</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8.01 Evidence of Action by Securityholders.</w:t>
      </w:r>
    </w:p>
    <w:p>
      <w:pPr>
        <w:spacing w:after="0" w:line="166" w:lineRule="exact"/>
        <w:rPr>
          <w:sz w:val="20"/>
          <w:szCs w:val="20"/>
          <w:color w:val="auto"/>
        </w:rPr>
      </w:pPr>
    </w:p>
    <w:p>
      <w:pPr>
        <w:ind w:left="340" w:right="379" w:firstLine="334"/>
        <w:spacing w:after="0" w:line="249" w:lineRule="auto"/>
        <w:rPr>
          <w:sz w:val="20"/>
          <w:szCs w:val="20"/>
          <w:color w:val="auto"/>
        </w:rPr>
      </w:pPr>
      <w:r>
        <w:rPr>
          <w:rFonts w:ascii="Times New Roman" w:cs="Times New Roman" w:eastAsia="Times New Roman" w:hAnsi="Times New Roman"/>
          <w:sz w:val="14"/>
          <w:szCs w:val="14"/>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47" w:lineRule="exact"/>
        <w:rPr>
          <w:sz w:val="20"/>
          <w:szCs w:val="20"/>
          <w:color w:val="auto"/>
        </w:rPr>
      </w:pPr>
    </w:p>
    <w:p>
      <w:pPr>
        <w:ind w:left="340" w:right="399" w:firstLine="334"/>
        <w:spacing w:after="0" w:line="246" w:lineRule="auto"/>
        <w:rPr>
          <w:sz w:val="20"/>
          <w:szCs w:val="20"/>
          <w:color w:val="auto"/>
        </w:rPr>
      </w:pPr>
      <w:r>
        <w:rPr>
          <w:rFonts w:ascii="Times New Roman" w:cs="Times New Roman" w:eastAsia="Times New Roman" w:hAnsi="Times New Roman"/>
          <w:sz w:val="14"/>
          <w:szCs w:val="14"/>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8.02 Proof of Execution by Securityholders.</w:t>
      </w:r>
    </w:p>
    <w:p>
      <w:pPr>
        <w:spacing w:after="0" w:line="166" w:lineRule="exact"/>
        <w:rPr>
          <w:sz w:val="20"/>
          <w:szCs w:val="20"/>
          <w:color w:val="auto"/>
        </w:rPr>
      </w:pPr>
    </w:p>
    <w:p>
      <w:pPr>
        <w:ind w:left="340" w:right="359" w:firstLine="334"/>
        <w:spacing w:after="0" w:line="304" w:lineRule="auto"/>
        <w:rPr>
          <w:sz w:val="20"/>
          <w:szCs w:val="20"/>
          <w:color w:val="auto"/>
        </w:rPr>
      </w:pPr>
      <w:r>
        <w:rPr>
          <w:rFonts w:ascii="Times New Roman" w:cs="Times New Roman" w:eastAsia="Times New Roman" w:hAnsi="Times New Roman"/>
          <w:sz w:val="13"/>
          <w:szCs w:val="13"/>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41" w:lineRule="exact"/>
        <w:rPr>
          <w:sz w:val="20"/>
          <w:szCs w:val="20"/>
          <w:color w:val="auto"/>
        </w:rPr>
      </w:pPr>
    </w:p>
    <w:p>
      <w:pPr>
        <w:ind w:left="1060" w:right="779" w:hanging="403"/>
        <w:spacing w:after="0" w:line="265" w:lineRule="auto"/>
        <w:tabs>
          <w:tab w:leader="none" w:pos="106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and date of the execution by any such Person of any instrument may be proved in any reasonable manner acceptable to the Trustee.</w:t>
      </w:r>
    </w:p>
    <w:p>
      <w:pPr>
        <w:spacing w:after="0" w:line="63" w:lineRule="exact"/>
        <w:rPr>
          <w:rFonts w:ascii="Times New Roman" w:cs="Times New Roman" w:eastAsia="Times New Roman" w:hAnsi="Times New Roman"/>
          <w:sz w:val="14"/>
          <w:szCs w:val="14"/>
          <w:color w:val="auto"/>
        </w:rPr>
      </w:pPr>
    </w:p>
    <w:p>
      <w:pPr>
        <w:ind w:left="4440" w:right="379" w:hanging="3783"/>
        <w:spacing w:after="0" w:line="433" w:lineRule="auto"/>
        <w:tabs>
          <w:tab w:leader="none" w:pos="1071"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ownership of Securities shall be proved by the Security Register of such Securities or by a certificate of the Security Registrar thereof. 30</w:t>
      </w:r>
    </w:p>
    <w:p>
      <w:pPr>
        <w:sectPr>
          <w:pgSz w:w="11900" w:h="16838" w:orient="portrait"/>
          <w:cols w:equalWidth="0" w:num="1">
            <w:col w:w="9019"/>
          </w:cols>
          <w:pgMar w:left="1440" w:top="239" w:right="1440" w:bottom="1440" w:gutter="0" w:footer="0" w:header="0"/>
        </w:sectPr>
      </w:pPr>
    </w:p>
    <w:bookmarkStart w:id="139" w:name="page140"/>
    <w:bookmarkEnd w:id="139"/>
    <w:p>
      <w:pPr>
        <w:ind w:left="340" w:right="1779" w:firstLine="317"/>
        <w:spacing w:after="0" w:line="488" w:lineRule="auto"/>
        <w:tabs>
          <w:tab w:leader="none" w:pos="1077"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The Trustee may require such additional proof of any matter referred to in this Section as it shall deem necessary. SECTION 8.03 Who May be Deemed Owners.</w:t>
      </w:r>
    </w:p>
    <w:p>
      <w:pPr>
        <w:ind w:left="340" w:right="439" w:firstLine="334"/>
        <w:spacing w:after="0" w:line="248" w:lineRule="auto"/>
        <w:rPr>
          <w:sz w:val="20"/>
          <w:szCs w:val="20"/>
          <w:color w:val="auto"/>
        </w:rPr>
      </w:pPr>
      <w:r>
        <w:rPr>
          <w:rFonts w:ascii="Times New Roman" w:cs="Times New Roman" w:eastAsia="Times New Roman" w:hAnsi="Times New Roman"/>
          <w:sz w:val="14"/>
          <w:szCs w:val="14"/>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8.04 Certain Securities Owned by Company Disregarded.</w:t>
      </w:r>
    </w:p>
    <w:p>
      <w:pPr>
        <w:spacing w:after="0" w:line="166" w:lineRule="exact"/>
        <w:rPr>
          <w:sz w:val="20"/>
          <w:szCs w:val="20"/>
          <w:color w:val="auto"/>
        </w:rPr>
      </w:pPr>
    </w:p>
    <w:p>
      <w:pPr>
        <w:ind w:left="340" w:right="359" w:firstLine="334"/>
        <w:spacing w:after="0" w:line="268" w:lineRule="auto"/>
        <w:rPr>
          <w:sz w:val="20"/>
          <w:szCs w:val="20"/>
          <w:color w:val="auto"/>
        </w:rPr>
      </w:pPr>
      <w:r>
        <w:rPr>
          <w:rFonts w:ascii="Times New Roman" w:cs="Times New Roman" w:eastAsia="Times New Roman" w:hAnsi="Times New Roman"/>
          <w:sz w:val="13"/>
          <w:szCs w:val="13"/>
          <w:color w:val="auto"/>
        </w:rPr>
        <w:t>In determining whether the holders of the requisite aggregate principal amount of Securities of a particular series have concurred in any direction, consent of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8.05 Actions Binding on Future Securityholders.</w:t>
      </w:r>
    </w:p>
    <w:p>
      <w:pPr>
        <w:spacing w:after="0" w:line="166" w:lineRule="exact"/>
        <w:rPr>
          <w:sz w:val="20"/>
          <w:szCs w:val="20"/>
          <w:color w:val="auto"/>
        </w:rPr>
      </w:pPr>
    </w:p>
    <w:p>
      <w:pPr>
        <w:ind w:left="340" w:right="399" w:firstLine="334"/>
        <w:spacing w:after="0" w:line="246" w:lineRule="auto"/>
        <w:rPr>
          <w:sz w:val="20"/>
          <w:szCs w:val="20"/>
          <w:color w:val="auto"/>
        </w:rPr>
      </w:pPr>
      <w:r>
        <w:rPr>
          <w:rFonts w:ascii="Times New Roman" w:cs="Times New Roman" w:eastAsia="Times New Roman" w:hAnsi="Times New Roman"/>
          <w:sz w:val="14"/>
          <w:szCs w:val="14"/>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39" w:right="1440" w:bottom="1440" w:gutter="0" w:footer="0" w:header="0"/>
        </w:sectPr>
      </w:pPr>
    </w:p>
    <w:bookmarkStart w:id="140" w:name="page141"/>
    <w:bookmarkEnd w:id="140"/>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8.06 Purposes for Which Meetings May Be Called.</w:t>
      </w:r>
    </w:p>
    <w:p>
      <w:pPr>
        <w:spacing w:after="0" w:line="166" w:lineRule="exact"/>
        <w:rPr>
          <w:sz w:val="20"/>
          <w:szCs w:val="20"/>
          <w:color w:val="auto"/>
        </w:rPr>
      </w:pPr>
    </w:p>
    <w:p>
      <w:pPr>
        <w:ind w:left="340" w:right="399" w:firstLine="334"/>
        <w:spacing w:after="0" w:line="254" w:lineRule="auto"/>
        <w:rPr>
          <w:sz w:val="20"/>
          <w:szCs w:val="20"/>
          <w:color w:val="auto"/>
        </w:rPr>
      </w:pPr>
      <w:r>
        <w:rPr>
          <w:rFonts w:ascii="Times New Roman" w:cs="Times New Roman" w:eastAsia="Times New Roman" w:hAnsi="Times New Roman"/>
          <w:sz w:val="14"/>
          <w:szCs w:val="14"/>
          <w:color w:val="auto"/>
        </w:rPr>
        <w:t>A meeting of holders of any series of Securities may be called at any time and from time to time pursuant to this Article to make, give or take any request, demand, authorization, direction, notice, consent, waiver or other action provided by this Indenture to be made, given or taken by holders of such series of Securities.</w:t>
      </w:r>
    </w:p>
    <w:p>
      <w:pPr>
        <w:spacing w:after="0" w:line="144" w:lineRule="exact"/>
        <w:rPr>
          <w:sz w:val="20"/>
          <w:szCs w:val="20"/>
          <w:color w:val="auto"/>
        </w:rPr>
      </w:pPr>
    </w:p>
    <w:p>
      <w:pPr>
        <w:ind w:left="340" w:right="439" w:firstLine="334"/>
        <w:spacing w:after="0" w:line="265" w:lineRule="auto"/>
        <w:rPr>
          <w:sz w:val="20"/>
          <w:szCs w:val="20"/>
          <w:color w:val="auto"/>
        </w:rPr>
      </w:pPr>
      <w:r>
        <w:rPr>
          <w:rFonts w:ascii="Times New Roman" w:cs="Times New Roman" w:eastAsia="Times New Roman" w:hAnsi="Times New Roman"/>
          <w:sz w:val="14"/>
          <w:szCs w:val="14"/>
          <w:color w:val="auto"/>
        </w:rPr>
        <w:t>Notwithstanding anything contained in this Article VIII, the Trustee may, during the pendency of a Default or an Event of Default, call a meeting of holders of any series of Securities in accordance with its standard practices.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8.07 Call Notice and Place of Meetings.</w:t>
      </w:r>
    </w:p>
    <w:p>
      <w:pPr>
        <w:spacing w:after="0" w:line="95" w:lineRule="exact"/>
        <w:rPr>
          <w:sz w:val="20"/>
          <w:szCs w:val="20"/>
          <w:color w:val="auto"/>
        </w:rPr>
      </w:pPr>
    </w:p>
    <w:p>
      <w:pPr>
        <w:ind w:left="1060" w:right="399" w:hanging="403"/>
        <w:spacing w:after="0" w:line="248" w:lineRule="auto"/>
        <w:tabs>
          <w:tab w:leader="none" w:pos="106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at any time call a meeting of holders of any series of Securities for any purpose specified in Section 8.06 hereof, to be held at such time and at such place in The City of New York or Boston, Massachusetts. Notice of every meeting of holders of any series of Securities, setting forth the time and the place of such meeting, in general terms the action proposed to be taken at such meeting and the percentage of the principal amount of the Outstanding Securities of such series which shall constitute a quorum at such meeting, shall be given, in the manner provided in Section 13.04 hereof, not less than 21 nor more than 180 days prior to the date fixed for the meeting to holders of Outstanding Securities of such series.</w:t>
      </w:r>
    </w:p>
    <w:p>
      <w:pPr>
        <w:spacing w:after="0" w:line="76" w:lineRule="exact"/>
        <w:rPr>
          <w:rFonts w:ascii="Times New Roman" w:cs="Times New Roman" w:eastAsia="Times New Roman" w:hAnsi="Times New Roman"/>
          <w:sz w:val="14"/>
          <w:szCs w:val="14"/>
          <w:color w:val="auto"/>
        </w:rPr>
      </w:pPr>
    </w:p>
    <w:p>
      <w:pPr>
        <w:ind w:left="1060" w:right="379" w:hanging="403"/>
        <w:spacing w:after="0" w:line="247" w:lineRule="auto"/>
        <w:tabs>
          <w:tab w:leader="none" w:pos="106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8.06 hereof,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specified, as the case may be, may determine the time and the place in The City of New York or Boston, Massachusetts for such meeting and may call such meeting for such purposes by giving notice thereof as provided in paragraph (a) of this Section.</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8.08 Persons Entitled To Vote at Meetings.</w:t>
      </w:r>
    </w:p>
    <w:p>
      <w:pPr>
        <w:spacing w:after="0" w:line="166" w:lineRule="exact"/>
        <w:rPr>
          <w:sz w:val="20"/>
          <w:szCs w:val="20"/>
          <w:color w:val="auto"/>
        </w:rPr>
      </w:pPr>
    </w:p>
    <w:p>
      <w:pPr>
        <w:jc w:val="both"/>
        <w:ind w:left="340" w:right="379" w:firstLine="334"/>
        <w:spacing w:after="0" w:line="276" w:lineRule="auto"/>
        <w:rPr>
          <w:sz w:val="20"/>
          <w:szCs w:val="20"/>
          <w:color w:val="auto"/>
        </w:rPr>
      </w:pPr>
      <w:r>
        <w:rPr>
          <w:rFonts w:ascii="Times New Roman" w:cs="Times New Roman" w:eastAsia="Times New Roman" w:hAnsi="Times New Roman"/>
          <w:sz w:val="13"/>
          <w:szCs w:val="13"/>
          <w:color w:val="auto"/>
        </w:rPr>
        <w:t>To be entitled to vote at any meeting of holders of Securities of a given series, a Person shall be (a) a holder of one or more Outstanding Securities of such series or (b) a Person appointed by an instrument in writing as proxy for a holder or holders of one or more Outstanding Securities of such series by such holder or holders. The only Persons who shall be entitled to be present or to speak at any meeting of holders shall be the Persons entitled to vote at such meeting and their counsel, any representatives of the Trustee and its counsel and any representatives of the Company and its counsel.</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8.09 Quorum; Action.</w:t>
      </w:r>
    </w:p>
    <w:p>
      <w:pPr>
        <w:spacing w:after="0" w:line="166" w:lineRule="exact"/>
        <w:rPr>
          <w:sz w:val="20"/>
          <w:szCs w:val="20"/>
          <w:color w:val="auto"/>
        </w:rPr>
      </w:pPr>
    </w:p>
    <w:p>
      <w:pPr>
        <w:ind w:left="340" w:right="339" w:firstLine="334"/>
        <w:spacing w:after="0" w:line="247" w:lineRule="auto"/>
        <w:rPr>
          <w:sz w:val="20"/>
          <w:szCs w:val="20"/>
          <w:color w:val="auto"/>
        </w:rPr>
      </w:pPr>
      <w:r>
        <w:rPr>
          <w:rFonts w:ascii="Times New Roman" w:cs="Times New Roman" w:eastAsia="Times New Roman" w:hAnsi="Times New Roman"/>
          <w:sz w:val="14"/>
          <w:szCs w:val="14"/>
          <w:color w:val="auto"/>
        </w:rPr>
        <w:t>The Persons entitled to vote a majority in aggregate principal amount of the Outstanding Securities of a given series shall constitute a quorum with respect to a meeting of holders of Outstanding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8.07(a) hereof, except that such notice need be given only once and not less than five days prior to the date on which the meeting is scheduled to be reconvened.</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39" w:right="1440" w:bottom="1440" w:gutter="0" w:footer="0" w:header="0"/>
        </w:sectPr>
      </w:pPr>
    </w:p>
    <w:bookmarkStart w:id="141" w:name="page142"/>
    <w:bookmarkEnd w:id="141"/>
    <w:p>
      <w:pPr>
        <w:ind w:left="340" w:right="479" w:firstLine="334"/>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At a meeting or an adjourned meeting duly reconvened and at which a quorum is present as aforesaid, any resolution and all matters (except as limited by the proviso to the first paragraph of Section 9.02 hereof) shall be effectively passed and decided if passed or decided by the Persons entitled to vote not less than a majority in aggregate principal amount of Outstanding Securities of a series represented and voting at such meeting with respect to a meeting of holders of Outstanding Securities of such series.</w:t>
      </w:r>
    </w:p>
    <w:p>
      <w:pPr>
        <w:spacing w:after="0" w:line="145" w:lineRule="exact"/>
        <w:rPr>
          <w:sz w:val="20"/>
          <w:szCs w:val="20"/>
          <w:color w:val="auto"/>
        </w:rPr>
      </w:pPr>
    </w:p>
    <w:p>
      <w:pPr>
        <w:ind w:left="340" w:right="459" w:firstLine="334"/>
        <w:spacing w:after="0" w:line="265" w:lineRule="auto"/>
        <w:rPr>
          <w:sz w:val="20"/>
          <w:szCs w:val="20"/>
          <w:color w:val="auto"/>
        </w:rPr>
      </w:pPr>
      <w:r>
        <w:rPr>
          <w:rFonts w:ascii="Times New Roman" w:cs="Times New Roman" w:eastAsia="Times New Roman" w:hAnsi="Times New Roman"/>
          <w:sz w:val="14"/>
          <w:szCs w:val="14"/>
          <w:color w:val="auto"/>
        </w:rPr>
        <w:t>Any resolution passed or decisions taken at any meeting of holders of Securities duly held in accordance with this Section shall be binding on all the holders of Securities of such series, whether or not present or represented at the meeting.</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8.10 Determination of Voting Rights; Conduct and Adjournment of Meetings.</w:t>
      </w:r>
    </w:p>
    <w:p>
      <w:pPr>
        <w:spacing w:after="0" w:line="95" w:lineRule="exact"/>
        <w:rPr>
          <w:sz w:val="20"/>
          <w:szCs w:val="20"/>
          <w:color w:val="auto"/>
        </w:rPr>
      </w:pPr>
    </w:p>
    <w:p>
      <w:pPr>
        <w:ind w:left="1060" w:right="499" w:hanging="403"/>
        <w:spacing w:after="0" w:line="251" w:lineRule="auto"/>
        <w:tabs>
          <w:tab w:leader="none" w:pos="10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provisions of this Indenture, the Trustee may make such reasonable regulations as it may deem advisable for any meeting of holders of Securities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p>
      <w:pPr>
        <w:spacing w:after="0" w:line="73" w:lineRule="exact"/>
        <w:rPr>
          <w:rFonts w:ascii="Times New Roman" w:cs="Times New Roman" w:eastAsia="Times New Roman" w:hAnsi="Times New Roman"/>
          <w:sz w:val="14"/>
          <w:szCs w:val="14"/>
          <w:color w:val="auto"/>
        </w:rPr>
      </w:pPr>
    </w:p>
    <w:p>
      <w:pPr>
        <w:ind w:left="1060" w:right="339" w:hanging="403"/>
        <w:spacing w:after="0" w:line="249" w:lineRule="auto"/>
        <w:tabs>
          <w:tab w:leader="none" w:pos="10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by an instrument in writing, appoint a temporary chairman (which may be the Trustee) of the meeting, unless the meeting shall have been called by the Company or by holders of Securities of a given series as provided in Section 8.07(b) hereof, in which case the Company or the holders of Securities of such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75" w:lineRule="exact"/>
        <w:rPr>
          <w:rFonts w:ascii="Times New Roman" w:cs="Times New Roman" w:eastAsia="Times New Roman" w:hAnsi="Times New Roman"/>
          <w:sz w:val="14"/>
          <w:szCs w:val="14"/>
          <w:color w:val="auto"/>
        </w:rPr>
      </w:pPr>
    </w:p>
    <w:p>
      <w:pPr>
        <w:ind w:left="1060" w:right="379" w:hanging="403"/>
        <w:spacing w:after="0" w:line="276" w:lineRule="auto"/>
        <w:tabs>
          <w:tab w:leader="none" w:pos="106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any meeting, each holder of a Security of the series in respect of which such meeting is being held or proxy shall be entitled to one vote for each $1,000 principal amount of Securities of such series held or represented by him; provided, however, that no vote shall be cast or counted at any meeting in respect of any Security of such series challenged as not Outstanding and ruled by the chairman of the meeting to be not Outstanding. The chairman of the meeting shall have no right to vote, except as a holder of a Security of such series or proxy.</w:t>
      </w:r>
    </w:p>
    <w:p>
      <w:pPr>
        <w:spacing w:after="0" w:line="59" w:lineRule="exact"/>
        <w:rPr>
          <w:rFonts w:ascii="Times New Roman" w:cs="Times New Roman" w:eastAsia="Times New Roman" w:hAnsi="Times New Roman"/>
          <w:sz w:val="13"/>
          <w:szCs w:val="13"/>
          <w:color w:val="auto"/>
        </w:rPr>
      </w:pPr>
    </w:p>
    <w:p>
      <w:pPr>
        <w:ind w:left="1060" w:right="379" w:hanging="403"/>
        <w:spacing w:after="0" w:line="254" w:lineRule="auto"/>
        <w:tabs>
          <w:tab w:leader="none" w:pos="10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meeting of holders of Securities duly called pursuant to Section 8.07 hereof at which a quorum is present may be adjourned from time to time by Persons entitled to vote a majority in principal amount of the Outstanding Securities of the series in respect of which such meeting is being held represented at the meeting, and the meeting may be held as so adjourned without further notice.</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8.11 Counting Votes and Recording Action of Meetings.</w:t>
      </w:r>
    </w:p>
    <w:p>
      <w:pPr>
        <w:spacing w:after="0" w:line="166" w:lineRule="exact"/>
        <w:rPr>
          <w:sz w:val="20"/>
          <w:szCs w:val="20"/>
          <w:color w:val="auto"/>
        </w:rPr>
      </w:pPr>
    </w:p>
    <w:p>
      <w:pPr>
        <w:ind w:left="340" w:right="419" w:firstLine="334"/>
        <w:spacing w:after="0" w:line="254" w:lineRule="auto"/>
        <w:rPr>
          <w:sz w:val="20"/>
          <w:szCs w:val="20"/>
          <w:color w:val="auto"/>
        </w:rPr>
      </w:pPr>
      <w:r>
        <w:rPr>
          <w:rFonts w:ascii="Times New Roman" w:cs="Times New Roman" w:eastAsia="Times New Roman" w:hAnsi="Times New Roman"/>
          <w:sz w:val="14"/>
          <w:szCs w:val="14"/>
          <w:color w:val="auto"/>
        </w:rPr>
        <w:t>The vote upon any resolution submitted to any meeting of holders of Securities of a given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39" w:right="1440" w:bottom="1440" w:gutter="0" w:footer="0" w:header="0"/>
        </w:sectPr>
      </w:pPr>
    </w:p>
    <w:bookmarkStart w:id="142" w:name="page143"/>
    <w:bookmarkEnd w:id="142"/>
    <w:p>
      <w:pPr>
        <w:ind w:left="340" w:right="419"/>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such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8.07 hereof and, if applicable, Section 8.09 hereof.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IX</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SUPPLEMENTAL INDENTURES</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9.01 Supplemental Indentures Without the Consent of Securityholders.</w:t>
      </w:r>
    </w:p>
    <w:p>
      <w:pPr>
        <w:spacing w:after="0" w:line="166" w:lineRule="exact"/>
        <w:rPr>
          <w:sz w:val="20"/>
          <w:szCs w:val="20"/>
          <w:color w:val="auto"/>
        </w:rPr>
      </w:pPr>
    </w:p>
    <w:p>
      <w:pPr>
        <w:ind w:left="340" w:right="419" w:firstLine="334"/>
        <w:spacing w:after="0" w:line="254" w:lineRule="auto"/>
        <w:rPr>
          <w:sz w:val="20"/>
          <w:szCs w:val="20"/>
          <w:color w:val="auto"/>
        </w:rPr>
      </w:pPr>
      <w:r>
        <w:rPr>
          <w:rFonts w:ascii="Times New Roman" w:cs="Times New Roman" w:eastAsia="Times New Roman" w:hAnsi="Times New Roman"/>
          <w:sz w:val="14"/>
          <w:szCs w:val="14"/>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72" w:lineRule="exact"/>
        <w:rPr>
          <w:sz w:val="20"/>
          <w:szCs w:val="20"/>
          <w:color w:val="auto"/>
        </w:rPr>
      </w:pPr>
    </w:p>
    <w:p>
      <w:pPr>
        <w:ind w:left="1060" w:right="359" w:hanging="403"/>
        <w:spacing w:after="0" w:line="254" w:lineRule="auto"/>
        <w:tabs>
          <w:tab w:leader="none" w:pos="10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 any ambiguity, correct or supplement any provision herein which may be inconsistent with any other provision herein or which is otherwise defective, or make any other provisions with respect to matters or questions arising under this Indenture which the Company and the Trustee may deem necessary or desirable and which shall not be inconsistent with the provisions of this Indenture;</w:t>
      </w:r>
    </w:p>
    <w:p>
      <w:pPr>
        <w:spacing w:after="0" w:line="72" w:lineRule="exact"/>
        <w:rPr>
          <w:rFonts w:ascii="Times New Roman" w:cs="Times New Roman" w:eastAsia="Times New Roman" w:hAnsi="Times New Roman"/>
          <w:sz w:val="14"/>
          <w:szCs w:val="14"/>
          <w:color w:val="auto"/>
        </w:rPr>
      </w:pPr>
    </w:p>
    <w:p>
      <w:pPr>
        <w:ind w:left="1060" w:hanging="403"/>
        <w:spacing w:after="0"/>
        <w:tabs>
          <w:tab w:leader="none" w:pos="10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Article X;</w:t>
      </w:r>
    </w:p>
    <w:p>
      <w:pPr>
        <w:spacing w:after="0" w:line="94" w:lineRule="exact"/>
        <w:rPr>
          <w:rFonts w:ascii="Times New Roman" w:cs="Times New Roman" w:eastAsia="Times New Roman" w:hAnsi="Times New Roman"/>
          <w:sz w:val="14"/>
          <w:szCs w:val="14"/>
          <w:color w:val="auto"/>
        </w:rPr>
      </w:pPr>
    </w:p>
    <w:p>
      <w:pPr>
        <w:ind w:left="1060" w:hanging="403"/>
        <w:spacing w:after="0"/>
        <w:tabs>
          <w:tab w:leader="none" w:pos="10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94" w:lineRule="exact"/>
        <w:rPr>
          <w:rFonts w:ascii="Times New Roman" w:cs="Times New Roman" w:eastAsia="Times New Roman" w:hAnsi="Times New Roman"/>
          <w:sz w:val="14"/>
          <w:szCs w:val="14"/>
          <w:color w:val="auto"/>
        </w:rPr>
      </w:pPr>
    </w:p>
    <w:p>
      <w:pPr>
        <w:ind w:left="1060" w:right="379" w:hanging="403"/>
        <w:spacing w:after="0" w:line="254" w:lineRule="auto"/>
        <w:tabs>
          <w:tab w:leader="none" w:pos="10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p>
      <w:pPr>
        <w:spacing w:after="0" w:line="72" w:lineRule="exact"/>
        <w:rPr>
          <w:rFonts w:ascii="Times New Roman" w:cs="Times New Roman" w:eastAsia="Times New Roman" w:hAnsi="Times New Roman"/>
          <w:sz w:val="14"/>
          <w:szCs w:val="14"/>
          <w:color w:val="auto"/>
        </w:rPr>
      </w:pPr>
    </w:p>
    <w:p>
      <w:pPr>
        <w:ind w:left="1060" w:right="899" w:hanging="403"/>
        <w:spacing w:after="0" w:line="265" w:lineRule="auto"/>
        <w:tabs>
          <w:tab w:leader="none" w:pos="10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delete from, or revise the conditions, limitations, and restrictions on the authorized amount, terms, or purposes of issue, authentication, and delivery of Securities, as herein set forth;</w:t>
      </w:r>
    </w:p>
    <w:p>
      <w:pPr>
        <w:spacing w:after="0" w:line="63" w:lineRule="exact"/>
        <w:rPr>
          <w:rFonts w:ascii="Times New Roman" w:cs="Times New Roman" w:eastAsia="Times New Roman" w:hAnsi="Times New Roman"/>
          <w:sz w:val="14"/>
          <w:szCs w:val="14"/>
          <w:color w:val="auto"/>
        </w:rPr>
      </w:pPr>
    </w:p>
    <w:p>
      <w:pPr>
        <w:ind w:left="1060" w:hanging="403"/>
        <w:spacing w:after="0"/>
        <w:tabs>
          <w:tab w:leader="none" w:pos="10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any Securityholder in any material respect;</w:t>
      </w:r>
    </w:p>
    <w:p>
      <w:pPr>
        <w:spacing w:after="0" w:line="94" w:lineRule="exact"/>
        <w:rPr>
          <w:rFonts w:ascii="Times New Roman" w:cs="Times New Roman" w:eastAsia="Times New Roman" w:hAnsi="Times New Roman"/>
          <w:sz w:val="14"/>
          <w:szCs w:val="14"/>
          <w:color w:val="auto"/>
        </w:rPr>
      </w:pPr>
    </w:p>
    <w:p>
      <w:pPr>
        <w:jc w:val="both"/>
        <w:ind w:left="1060" w:right="379" w:hanging="403"/>
        <w:spacing w:after="0" w:line="254" w:lineRule="auto"/>
        <w:tabs>
          <w:tab w:leader="none" w:pos="10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or</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39" w:right="1440" w:bottom="1440" w:gutter="0" w:footer="0" w:header="0"/>
        </w:sectPr>
      </w:pPr>
    </w:p>
    <w:bookmarkStart w:id="143" w:name="page144"/>
    <w:bookmarkEnd w:id="143"/>
    <w:p>
      <w:pPr>
        <w:ind w:left="1060" w:right="359" w:hanging="403"/>
        <w:spacing w:after="0" w:line="265" w:lineRule="auto"/>
        <w:tabs>
          <w:tab w:leader="none" w:pos="106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comply with the requirements of the Commission in order to effect or maintain the qualification of this Indenture under the Trust Indenture Act.</w:t>
      </w:r>
    </w:p>
    <w:p>
      <w:pPr>
        <w:spacing w:after="0" w:line="136" w:lineRule="exact"/>
        <w:rPr>
          <w:sz w:val="20"/>
          <w:szCs w:val="20"/>
          <w:color w:val="auto"/>
        </w:rPr>
      </w:pPr>
    </w:p>
    <w:p>
      <w:pPr>
        <w:ind w:left="340" w:right="819" w:firstLine="334"/>
        <w:spacing w:after="0" w:line="254" w:lineRule="auto"/>
        <w:rPr>
          <w:sz w:val="20"/>
          <w:szCs w:val="20"/>
          <w:color w:val="auto"/>
        </w:rPr>
      </w:pPr>
      <w:r>
        <w:rPr>
          <w:rFonts w:ascii="Times New Roman" w:cs="Times New Roman" w:eastAsia="Times New Roman" w:hAnsi="Times New Roman"/>
          <w:sz w:val="14"/>
          <w:szCs w:val="14"/>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44" w:lineRule="exact"/>
        <w:rPr>
          <w:sz w:val="20"/>
          <w:szCs w:val="20"/>
          <w:color w:val="auto"/>
        </w:rPr>
      </w:pPr>
    </w:p>
    <w:p>
      <w:pPr>
        <w:ind w:left="340" w:right="399" w:firstLine="334"/>
        <w:spacing w:after="0" w:line="265" w:lineRule="auto"/>
        <w:rPr>
          <w:sz w:val="20"/>
          <w:szCs w:val="20"/>
          <w:color w:val="auto"/>
        </w:rPr>
      </w:pPr>
      <w:r>
        <w:rPr>
          <w:rFonts w:ascii="Times New Roman" w:cs="Times New Roman" w:eastAsia="Times New Roman" w:hAnsi="Times New Roman"/>
          <w:sz w:val="14"/>
          <w:szCs w:val="14"/>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9.02 Supplemental Indentures With Consent of Securityholders.</w:t>
      </w:r>
    </w:p>
    <w:p>
      <w:pPr>
        <w:spacing w:after="0" w:line="166" w:lineRule="exact"/>
        <w:rPr>
          <w:sz w:val="20"/>
          <w:szCs w:val="20"/>
          <w:color w:val="auto"/>
        </w:rPr>
      </w:pPr>
    </w:p>
    <w:p>
      <w:pPr>
        <w:ind w:left="340" w:right="379" w:firstLine="334"/>
        <w:spacing w:after="0" w:line="266" w:lineRule="auto"/>
        <w:rPr>
          <w:sz w:val="20"/>
          <w:szCs w:val="20"/>
          <w:color w:val="auto"/>
        </w:rPr>
      </w:pPr>
      <w:r>
        <w:rPr>
          <w:rFonts w:ascii="Times New Roman" w:cs="Times New Roman" w:eastAsia="Times New Roman" w:hAnsi="Times New Roman"/>
          <w:sz w:val="13"/>
          <w:szCs w:val="13"/>
          <w:color w:val="auto"/>
        </w:rPr>
        <w:t>With the written consent of the holders of at least a majority in aggregate principal amount of the Outstanding Securities of any series or by action at a meeting of holders of the Securities of such series in accordance with Section 8.09, by the holders of a majority in aggregate principal amount of the Securities of such series then Outstanding represented at such meeting, the Company, when authorized by Board Resolutions,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(i) extend the fixed maturity of any Securities of any series, or reduce the principal amount thereof, or reduce the rate or extend the time of payment of interest thereon, or reduce any premium payable upon the redemption thereof, (ii) reduce the aforesaid percentage of Securities, the holders of which are required to consent to any such supplemental indenture, or any consent or waiver, (iii) reduce the principal amount of discount securities payable upon acceleration of the maturity of any Securities of any series or (iv) make the principal of or premium or interest on any Security of a series payable in currency or currency units other than that stated in the Securities of such series.</w:t>
      </w:r>
    </w:p>
    <w:p>
      <w:pPr>
        <w:spacing w:after="0" w:line="140" w:lineRule="exact"/>
        <w:rPr>
          <w:sz w:val="20"/>
          <w:szCs w:val="20"/>
          <w:color w:val="auto"/>
        </w:rPr>
      </w:pPr>
    </w:p>
    <w:p>
      <w:pPr>
        <w:ind w:left="340" w:right="499" w:firstLine="334"/>
        <w:spacing w:after="0" w:line="265" w:lineRule="auto"/>
        <w:rPr>
          <w:sz w:val="20"/>
          <w:szCs w:val="20"/>
          <w:color w:val="auto"/>
        </w:rPr>
      </w:pPr>
      <w:r>
        <w:rPr>
          <w:rFonts w:ascii="Times New Roman" w:cs="Times New Roman" w:eastAsia="Times New Roman" w:hAnsi="Times New Roman"/>
          <w:sz w:val="14"/>
          <w:szCs w:val="14"/>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9.03 Effect of Supplemental Indentures.</w:t>
      </w:r>
    </w:p>
    <w:p>
      <w:pPr>
        <w:spacing w:after="0" w:line="166" w:lineRule="exact"/>
        <w:rPr>
          <w:sz w:val="20"/>
          <w:szCs w:val="20"/>
          <w:color w:val="auto"/>
        </w:rPr>
      </w:pPr>
    </w:p>
    <w:p>
      <w:pPr>
        <w:ind w:left="340" w:right="399" w:firstLine="334"/>
        <w:spacing w:after="0" w:line="273" w:lineRule="auto"/>
        <w:rPr>
          <w:sz w:val="20"/>
          <w:szCs w:val="20"/>
          <w:color w:val="auto"/>
        </w:rPr>
      </w:pPr>
      <w:r>
        <w:rPr>
          <w:rFonts w:ascii="Times New Roman" w:cs="Times New Roman" w:eastAsia="Times New Roman" w:hAnsi="Times New Roman"/>
          <w:sz w:val="13"/>
          <w:szCs w:val="13"/>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39" w:right="1440" w:bottom="1440" w:gutter="0" w:footer="0" w:header="0"/>
        </w:sectPr>
      </w:pPr>
    </w:p>
    <w:bookmarkStart w:id="144" w:name="page145"/>
    <w:bookmarkEnd w:id="144"/>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9.04 Securities Affected by Supplemental Indentures.</w:t>
      </w:r>
    </w:p>
    <w:p>
      <w:pPr>
        <w:spacing w:after="0" w:line="166" w:lineRule="exact"/>
        <w:rPr>
          <w:sz w:val="20"/>
          <w:szCs w:val="20"/>
          <w:color w:val="auto"/>
        </w:rPr>
      </w:pPr>
    </w:p>
    <w:p>
      <w:pPr>
        <w:ind w:left="340" w:right="379" w:firstLine="334"/>
        <w:spacing w:after="0" w:line="248" w:lineRule="auto"/>
        <w:rPr>
          <w:sz w:val="20"/>
          <w:szCs w:val="20"/>
          <w:color w:val="auto"/>
        </w:rPr>
      </w:pPr>
      <w:r>
        <w:rPr>
          <w:rFonts w:ascii="Times New Roman" w:cs="Times New Roman" w:eastAsia="Times New Roman" w:hAnsi="Times New Roman"/>
          <w:sz w:val="14"/>
          <w:szCs w:val="14"/>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exchange upon which such series may be listed, as to any matter provided for in such supplemental indenture. If the Company shall so determine, new Securities of that series so modified as to conform, in the opinion of the Board of Directors of the Company, to any modification of this Indenture contained in any such supplemental indenture may be prepared by the Company, authenticated by the Trustee and delivered in exchange for the Securities of that series then Outstanding.</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9.05 Execution of Supplemental Indentures.</w:t>
      </w:r>
    </w:p>
    <w:p>
      <w:pPr>
        <w:spacing w:after="0" w:line="166" w:lineRule="exact"/>
        <w:rPr>
          <w:sz w:val="20"/>
          <w:szCs w:val="20"/>
          <w:color w:val="auto"/>
        </w:rPr>
      </w:pPr>
    </w:p>
    <w:p>
      <w:pPr>
        <w:ind w:left="340" w:right="359" w:firstLine="334"/>
        <w:spacing w:after="0" w:line="247" w:lineRule="auto"/>
        <w:rPr>
          <w:sz w:val="20"/>
          <w:szCs w:val="20"/>
          <w:color w:val="auto"/>
        </w:rPr>
      </w:pPr>
      <w:r>
        <w:rPr>
          <w:rFonts w:ascii="Times New Roman" w:cs="Times New Roman" w:eastAsia="Times New Roman" w:hAnsi="Times New Roman"/>
          <w:sz w:val="14"/>
          <w:szCs w:val="14"/>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may receive an Opinion of Counsel as conclusive evidence that any supplemental indenture executed pursuant to this Article is authorized or permitted by, and conforms to, the terms of this Article and that it is proper for the Trustee under the provisions of this Article to join in the execution thereof; provided, however, that such Opinion of Counsel need not be provided in connection with the execution of a supplemental indenture that establishes the terms of a series of Securities pursuant to Section 2.01 hereof.</w:t>
      </w:r>
    </w:p>
    <w:p>
      <w:pPr>
        <w:spacing w:after="0" w:line="148" w:lineRule="exact"/>
        <w:rPr>
          <w:sz w:val="20"/>
          <w:szCs w:val="20"/>
          <w:color w:val="auto"/>
        </w:rPr>
      </w:pPr>
    </w:p>
    <w:p>
      <w:pPr>
        <w:ind w:left="340" w:right="359" w:firstLine="334"/>
        <w:spacing w:after="0" w:line="251" w:lineRule="auto"/>
        <w:rPr>
          <w:sz w:val="20"/>
          <w:szCs w:val="20"/>
          <w:color w:val="auto"/>
        </w:rPr>
      </w:pPr>
      <w:r>
        <w:rPr>
          <w:rFonts w:ascii="Times New Roman" w:cs="Times New Roman" w:eastAsia="Times New Roman" w:hAnsi="Times New Roman"/>
          <w:sz w:val="14"/>
          <w:szCs w:val="14"/>
          <w:color w:val="auto"/>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X</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SUCCESSOR ENTITY</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10.01 Company May Consolidate, Etc.</w:t>
      </w:r>
    </w:p>
    <w:p>
      <w:pPr>
        <w:spacing w:after="0" w:line="166" w:lineRule="exact"/>
        <w:rPr>
          <w:sz w:val="20"/>
          <w:szCs w:val="20"/>
          <w:color w:val="auto"/>
        </w:rPr>
      </w:pPr>
    </w:p>
    <w:p>
      <w:pPr>
        <w:ind w:left="340" w:right="359" w:firstLine="334"/>
        <w:spacing w:after="0" w:line="266" w:lineRule="auto"/>
        <w:rPr>
          <w:sz w:val="20"/>
          <w:szCs w:val="20"/>
          <w:color w:val="auto"/>
        </w:rPr>
      </w:pPr>
      <w:r>
        <w:rPr>
          <w:rFonts w:ascii="Times New Roman" w:cs="Times New Roman" w:eastAsia="Times New Roman" w:hAnsi="Times New Roman"/>
          <w:sz w:val="13"/>
          <w:szCs w:val="13"/>
          <w:color w:val="auto"/>
        </w:rPr>
        <w:t>Nothing contained in this Indenture or in any of the Securities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satisfactory in form to the Trustee executed and delivered to the Trustee by the entity formed by such consolidation, or into which the Company shall have been merged, or by the entity which shall have acquired such property.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39" w:right="1440" w:bottom="1440" w:gutter="0" w:footer="0" w:header="0"/>
        </w:sectPr>
      </w:pPr>
    </w:p>
    <w:bookmarkStart w:id="145" w:name="page146"/>
    <w:bookmarkEnd w:id="145"/>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10.02 Successor Entity Substituted.</w:t>
      </w:r>
    </w:p>
    <w:p>
      <w:pPr>
        <w:spacing w:after="0" w:line="95" w:lineRule="exact"/>
        <w:rPr>
          <w:sz w:val="20"/>
          <w:szCs w:val="20"/>
          <w:color w:val="auto"/>
        </w:rPr>
      </w:pPr>
    </w:p>
    <w:p>
      <w:pPr>
        <w:ind w:left="1060" w:right="439" w:hanging="403"/>
        <w:spacing w:after="0" w:line="247" w:lineRule="auto"/>
        <w:tabs>
          <w:tab w:leader="none" w:pos="10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of any such consolidation, merger, sale, conveyance, transfer or other disposition and upon the assumption by the successor entity by supplemental indenture, executed and delivered to the Trustee and satisfactory in form to the Trustee, of the due and punctual payment of the principal of, premium, if any, and interest on all of the Securities of all series Outstanding and the due and punctual performance of all of the covenants and conditions of this Indenture or established with respect to each series of the Securities pursuant to Section 2.01 to be performed by the Company with respect to each series,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78" w:lineRule="exact"/>
        <w:rPr>
          <w:rFonts w:ascii="Times New Roman" w:cs="Times New Roman" w:eastAsia="Times New Roman" w:hAnsi="Times New Roman"/>
          <w:sz w:val="14"/>
          <w:szCs w:val="14"/>
          <w:color w:val="auto"/>
        </w:rPr>
      </w:pPr>
    </w:p>
    <w:p>
      <w:pPr>
        <w:ind w:left="1060" w:right="399" w:hanging="403"/>
        <w:spacing w:after="0" w:line="265" w:lineRule="auto"/>
        <w:tabs>
          <w:tab w:leader="none" w:pos="10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63" w:lineRule="exact"/>
        <w:rPr>
          <w:rFonts w:ascii="Times New Roman" w:cs="Times New Roman" w:eastAsia="Times New Roman" w:hAnsi="Times New Roman"/>
          <w:sz w:val="14"/>
          <w:szCs w:val="14"/>
          <w:color w:val="auto"/>
        </w:rPr>
      </w:pPr>
    </w:p>
    <w:p>
      <w:pPr>
        <w:jc w:val="both"/>
        <w:ind w:left="1060" w:right="499" w:hanging="403"/>
        <w:spacing w:after="0" w:line="254" w:lineRule="auto"/>
        <w:tabs>
          <w:tab w:leader="none" w:pos="10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10.03 Evidence of Consolidation, Etc. to Trustee.</w:t>
      </w:r>
    </w:p>
    <w:p>
      <w:pPr>
        <w:spacing w:after="0" w:line="166" w:lineRule="exact"/>
        <w:rPr>
          <w:sz w:val="20"/>
          <w:szCs w:val="20"/>
          <w:color w:val="auto"/>
        </w:rPr>
      </w:pPr>
    </w:p>
    <w:p>
      <w:pPr>
        <w:ind w:left="340" w:right="599" w:firstLine="334"/>
        <w:spacing w:after="0" w:line="265" w:lineRule="auto"/>
        <w:rPr>
          <w:sz w:val="20"/>
          <w:szCs w:val="20"/>
          <w:color w:val="auto"/>
        </w:rPr>
      </w:pPr>
      <w:r>
        <w:rPr>
          <w:rFonts w:ascii="Times New Roman" w:cs="Times New Roman" w:eastAsia="Times New Roman" w:hAnsi="Times New Roman"/>
          <w:sz w:val="14"/>
          <w:szCs w:val="14"/>
          <w:color w:val="auto"/>
        </w:rPr>
        <w:t>The Trustee, subject to the provisions of Section 7.01, may receive an Opinion of Counsel as conclusive evidence that any such consolidation, merger, sale, conveyance, transfer or other disposition, and any such assumption, comply with the provisions of this Article.</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XI</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SATISFACTION AND DISCHARGE</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11.01 Satisfaction and Discharge of Indenture.</w:t>
      </w:r>
    </w:p>
    <w:p>
      <w:pPr>
        <w:spacing w:after="0" w:line="166" w:lineRule="exact"/>
        <w:rPr>
          <w:sz w:val="20"/>
          <w:szCs w:val="20"/>
          <w:color w:val="auto"/>
        </w:rPr>
      </w:pPr>
    </w:p>
    <w:p>
      <w:pPr>
        <w:ind w:left="340" w:right="359" w:firstLine="334"/>
        <w:spacing w:after="0" w:line="265" w:lineRule="auto"/>
        <w:rPr>
          <w:sz w:val="20"/>
          <w:szCs w:val="20"/>
          <w:color w:val="auto"/>
        </w:rPr>
      </w:pPr>
      <w:r>
        <w:rPr>
          <w:rFonts w:ascii="Times New Roman" w:cs="Times New Roman" w:eastAsia="Times New Roman" w:hAnsi="Times New Roman"/>
          <w:sz w:val="13"/>
          <w:szCs w:val="13"/>
          <w:color w:val="auto"/>
        </w:rPr>
        <w:t>If at any time: (a) the Company shall have delivered to the Trustee for cancellation all Securities of a series theretofore authenticated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sufficient or a combination thereof, sufficient (assuming that no tax liability will be imposed on the Trustee)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11.05 and 12.01,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39" w:right="1440" w:bottom="1440" w:gutter="0" w:footer="0" w:header="0"/>
        </w:sectPr>
      </w:pPr>
    </w:p>
    <w:bookmarkStart w:id="146" w:name="page147"/>
    <w:bookmarkEnd w:id="146"/>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11.02 Discharge of Obligations.</w:t>
      </w:r>
    </w:p>
    <w:p>
      <w:pPr>
        <w:spacing w:after="0" w:line="166" w:lineRule="exact"/>
        <w:rPr>
          <w:sz w:val="20"/>
          <w:szCs w:val="20"/>
          <w:color w:val="auto"/>
        </w:rPr>
      </w:pPr>
    </w:p>
    <w:p>
      <w:pPr>
        <w:ind w:left="340" w:right="399" w:firstLine="334"/>
        <w:spacing w:after="0" w:line="268" w:lineRule="auto"/>
        <w:rPr>
          <w:sz w:val="20"/>
          <w:szCs w:val="20"/>
          <w:color w:val="auto"/>
        </w:rPr>
      </w:pPr>
      <w:r>
        <w:rPr>
          <w:rFonts w:ascii="Times New Roman" w:cs="Times New Roman" w:eastAsia="Times New Roman" w:hAnsi="Times New Roman"/>
          <w:sz w:val="13"/>
          <w:szCs w:val="13"/>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 thereafter, Sections 7.06 and 11.05 shall survive.</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11.03 Deposited Moneys to be Held in Trust.</w:t>
      </w:r>
    </w:p>
    <w:p>
      <w:pPr>
        <w:spacing w:after="0" w:line="166" w:lineRule="exact"/>
        <w:rPr>
          <w:sz w:val="20"/>
          <w:szCs w:val="20"/>
          <w:color w:val="auto"/>
        </w:rPr>
      </w:pPr>
    </w:p>
    <w:p>
      <w:pPr>
        <w:ind w:left="340" w:right="379" w:firstLine="334"/>
        <w:spacing w:after="0" w:line="251" w:lineRule="auto"/>
        <w:rPr>
          <w:sz w:val="20"/>
          <w:szCs w:val="20"/>
          <w:color w:val="auto"/>
        </w:rPr>
      </w:pPr>
      <w:r>
        <w:rPr>
          <w:rFonts w:ascii="Times New Roman" w:cs="Times New Roman" w:eastAsia="Times New Roman" w:hAnsi="Times New Roman"/>
          <w:sz w:val="14"/>
          <w:szCs w:val="14"/>
          <w:color w:val="auto"/>
        </w:rPr>
        <w:t>Subject to Section 11.05, 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11.04 Payment of Moneys Held by Paying Agents.</w:t>
      </w:r>
    </w:p>
    <w:p>
      <w:pPr>
        <w:spacing w:after="0" w:line="166" w:lineRule="exact"/>
        <w:rPr>
          <w:sz w:val="20"/>
          <w:szCs w:val="20"/>
          <w:color w:val="auto"/>
        </w:rPr>
      </w:pPr>
    </w:p>
    <w:p>
      <w:pPr>
        <w:jc w:val="both"/>
        <w:ind w:left="340" w:right="479" w:firstLine="334"/>
        <w:spacing w:after="0" w:line="254" w:lineRule="auto"/>
        <w:rPr>
          <w:sz w:val="20"/>
          <w:szCs w:val="20"/>
          <w:color w:val="auto"/>
        </w:rPr>
      </w:pPr>
      <w:r>
        <w:rPr>
          <w:rFonts w:ascii="Times New Roman" w:cs="Times New Roman" w:eastAsia="Times New Roman" w:hAnsi="Times New Roman"/>
          <w:sz w:val="14"/>
          <w:szCs w:val="14"/>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11.05 Repayment to Company.</w:t>
      </w:r>
    </w:p>
    <w:p>
      <w:pPr>
        <w:spacing w:after="0" w:line="166" w:lineRule="exact"/>
        <w:rPr>
          <w:sz w:val="20"/>
          <w:szCs w:val="20"/>
          <w:color w:val="auto"/>
        </w:rPr>
      </w:pPr>
    </w:p>
    <w:p>
      <w:pPr>
        <w:ind w:left="340" w:right="339" w:firstLine="334"/>
        <w:spacing w:after="0" w:line="269" w:lineRule="auto"/>
        <w:rPr>
          <w:sz w:val="20"/>
          <w:szCs w:val="20"/>
          <w:color w:val="auto"/>
        </w:rPr>
      </w:pPr>
      <w:r>
        <w:rPr>
          <w:rFonts w:ascii="Times New Roman" w:cs="Times New Roman" w:eastAsia="Times New Roman" w:hAnsi="Times New Roman"/>
          <w:sz w:val="13"/>
          <w:szCs w:val="13"/>
          <w:color w:val="auto"/>
        </w:rPr>
        <w:t>Any moneys or Governmental Obligations deposited with any paying agent or the Trustee, or then held by the Company, in trust for payment of principal of or premium or interest on the Securities of a particular series that are not applied but remain unclaimed by the holders of such Securities for two years after the date upon which the principal of (and premium, if any) or interest on such Securities shall have respectively become due and payable, shall be repaid to the Company or (if then held by the Company) shall be discharged from such trust in each case, promptly after the end of any such two-year period or, at the request of the Company, on a later date specified by the Company; and thereupon the paying agent and the Trustee shall be released from all further liability with respect to such moneys or Governmental Obligations, and the holder of any of the Securities entitled to receive such payment shall thereafter, as an unsecured general creditor, look only to the Company for the payment thereof.</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39" w:right="1440" w:bottom="1440" w:gutter="0" w:footer="0" w:header="0"/>
        </w:sectPr>
      </w:pPr>
    </w:p>
    <w:bookmarkStart w:id="147" w:name="page148"/>
    <w:bookmarkEnd w:id="147"/>
    <w:p>
      <w:pPr>
        <w:ind w:left="41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ARTICLE XII</w:t>
      </w:r>
    </w:p>
    <w:p>
      <w:pPr>
        <w:spacing w:after="0" w:line="8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4"/>
          <w:szCs w:val="14"/>
          <w:color w:val="auto"/>
        </w:rPr>
        <w:t>IMMUNITY OF INCORPORATORS, STOCKHOLDERS,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OFFICERS AND DIRECTORS</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12.01 No Recourse.</w:t>
      </w:r>
    </w:p>
    <w:p>
      <w:pPr>
        <w:spacing w:after="0" w:line="166" w:lineRule="exact"/>
        <w:rPr>
          <w:sz w:val="20"/>
          <w:szCs w:val="20"/>
          <w:color w:val="auto"/>
        </w:rPr>
      </w:pPr>
    </w:p>
    <w:p>
      <w:pPr>
        <w:ind w:left="340" w:right="339" w:firstLine="334"/>
        <w:spacing w:after="0" w:line="245" w:lineRule="auto"/>
        <w:rPr>
          <w:sz w:val="20"/>
          <w:szCs w:val="20"/>
          <w:color w:val="auto"/>
        </w:rPr>
      </w:pPr>
      <w:r>
        <w:rPr>
          <w:rFonts w:ascii="Times New Roman" w:cs="Times New Roman" w:eastAsia="Times New Roman" w:hAnsi="Times New Roman"/>
          <w:sz w:val="14"/>
          <w:szCs w:val="14"/>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XIII</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MISCELLANEOUS PROVISIONS</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13.01 Effect on Successors and Assigns.</w:t>
      </w:r>
    </w:p>
    <w:p>
      <w:pPr>
        <w:spacing w:after="0" w:line="166" w:lineRule="exact"/>
        <w:rPr>
          <w:sz w:val="20"/>
          <w:szCs w:val="20"/>
          <w:color w:val="auto"/>
        </w:rPr>
      </w:pPr>
    </w:p>
    <w:p>
      <w:pPr>
        <w:ind w:left="340" w:right="419" w:firstLine="334"/>
        <w:spacing w:after="0" w:line="265" w:lineRule="auto"/>
        <w:rPr>
          <w:sz w:val="20"/>
          <w:szCs w:val="20"/>
          <w:color w:val="auto"/>
        </w:rPr>
      </w:pPr>
      <w:r>
        <w:rPr>
          <w:rFonts w:ascii="Times New Roman" w:cs="Times New Roman" w:eastAsia="Times New Roman" w:hAnsi="Times New Roman"/>
          <w:sz w:val="14"/>
          <w:szCs w:val="14"/>
          <w:color w:val="auto"/>
        </w:rPr>
        <w:t>All the covenants, stipulations, promises and agreements in this Indenture contained by or on behalf of the Company shall bind its successors and assigns, whether so expressed or not.</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13.02 Actions by Successor.</w:t>
      </w:r>
    </w:p>
    <w:p>
      <w:pPr>
        <w:spacing w:after="0" w:line="166" w:lineRule="exact"/>
        <w:rPr>
          <w:sz w:val="20"/>
          <w:szCs w:val="20"/>
          <w:color w:val="auto"/>
        </w:rPr>
      </w:pPr>
    </w:p>
    <w:p>
      <w:pPr>
        <w:jc w:val="both"/>
        <w:ind w:left="340" w:right="379" w:firstLine="334"/>
        <w:spacing w:after="0" w:line="254" w:lineRule="auto"/>
        <w:rPr>
          <w:sz w:val="20"/>
          <w:szCs w:val="20"/>
          <w:color w:val="auto"/>
        </w:rPr>
      </w:pPr>
      <w:r>
        <w:rPr>
          <w:rFonts w:ascii="Times New Roman" w:cs="Times New Roman" w:eastAsia="Times New Roman" w:hAnsi="Times New Roman"/>
          <w:sz w:val="14"/>
          <w:szCs w:val="14"/>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13.03 Surrender of Company Powers.</w:t>
      </w:r>
    </w:p>
    <w:p>
      <w:pPr>
        <w:spacing w:after="0" w:line="166" w:lineRule="exact"/>
        <w:rPr>
          <w:sz w:val="20"/>
          <w:szCs w:val="20"/>
          <w:color w:val="auto"/>
        </w:rPr>
      </w:pPr>
    </w:p>
    <w:p>
      <w:pPr>
        <w:jc w:val="both"/>
        <w:ind w:left="340" w:right="399" w:firstLine="334"/>
        <w:spacing w:after="0" w:line="304" w:lineRule="auto"/>
        <w:rPr>
          <w:sz w:val="20"/>
          <w:szCs w:val="20"/>
          <w:color w:val="auto"/>
        </w:rPr>
      </w:pPr>
      <w:r>
        <w:rPr>
          <w:rFonts w:ascii="Times New Roman" w:cs="Times New Roman" w:eastAsia="Times New Roman" w:hAnsi="Times New Roman"/>
          <w:sz w:val="13"/>
          <w:szCs w:val="13"/>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39" w:right="1440" w:bottom="1440" w:gutter="0" w:footer="0" w:header="0"/>
        </w:sectPr>
      </w:pPr>
    </w:p>
    <w:bookmarkStart w:id="148" w:name="page149"/>
    <w:bookmarkEnd w:id="148"/>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13.04 Notices.</w:t>
      </w:r>
    </w:p>
    <w:p>
      <w:pPr>
        <w:spacing w:after="0" w:line="166" w:lineRule="exact"/>
        <w:rPr>
          <w:sz w:val="20"/>
          <w:szCs w:val="20"/>
          <w:color w:val="auto"/>
        </w:rPr>
      </w:pPr>
    </w:p>
    <w:p>
      <w:pPr>
        <w:ind w:left="340" w:right="339" w:firstLine="334"/>
        <w:spacing w:after="0" w:line="247" w:lineRule="auto"/>
        <w:rPr>
          <w:sz w:val="20"/>
          <w:szCs w:val="20"/>
          <w:color w:val="auto"/>
        </w:rPr>
      </w:pPr>
      <w:r>
        <w:rPr>
          <w:rFonts w:ascii="Times New Roman" w:cs="Times New Roman" w:eastAsia="Times New Roman" w:hAnsi="Times New Roman"/>
          <w:sz w:val="14"/>
          <w:szCs w:val="14"/>
          <w:color w:val="auto"/>
        </w:rPr>
        <w:t>Except as otherwise expressly provided herein any notice or demand that by any provision of this Indenture is required or permitted to be given or served by the Trustee or by the holders of Securities to or on the Company may be given or served by being deposited first class postage prepaid in a post-office letterbox addressed (until another address is filed in writing by the Company with the Trustee), as follows: ProKidney Corp., Attn: James Coulston, CFO, 2000 Frontis Plaza Blvd., Suite 250, Winston-Salem, North Carolina 27103. Any notice, election, request or demand by the Company or any Securityholder to or upon the Trustee shall be deemed to have been sufficiently given or made, for all purposes, if given or made in writing at the Corporate Trust Office of the Trustee. Any notice or communication to a holder shall be mailed by first-class mail to his address shown on the Security Register kept by the Security Registrar.</w:t>
      </w:r>
    </w:p>
    <w:p>
      <w:pPr>
        <w:spacing w:after="0" w:line="150" w:lineRule="exact"/>
        <w:rPr>
          <w:sz w:val="20"/>
          <w:szCs w:val="20"/>
          <w:color w:val="auto"/>
        </w:rPr>
      </w:pPr>
    </w:p>
    <w:p>
      <w:pPr>
        <w:ind w:left="340" w:right="399" w:firstLine="334"/>
        <w:spacing w:after="0" w:line="249" w:lineRule="auto"/>
        <w:rPr>
          <w:sz w:val="20"/>
          <w:szCs w:val="20"/>
          <w:color w:val="auto"/>
        </w:rPr>
      </w:pPr>
      <w:r>
        <w:rPr>
          <w:rFonts w:ascii="Times New Roman" w:cs="Times New Roman" w:eastAsia="Times New Roman" w:hAnsi="Times New Roman"/>
          <w:sz w:val="14"/>
          <w:szCs w:val="14"/>
          <w:color w:val="auto"/>
        </w:rPr>
        <w:t>Failure to mail a notice or communication to a holder or any defect in such notice or communication shall not affect its sufficiency with respect to other holders. If a notice or communication is mailed or sent in the manner provided above within the time prescribed, it is duly given as of the date it is mailed, whether or not the addressee receives it, except that notice to the Trustee or the Company shall only be effective upon receipt thereof by the Trustee or the Company, respectively. If the Company mails a notice or communication to holders of Securities, it shall mail a copy to the Trustee at the same time.</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13.05 Governing Law.</w:t>
      </w:r>
    </w:p>
    <w:p>
      <w:pPr>
        <w:spacing w:after="0" w:line="166" w:lineRule="exact"/>
        <w:rPr>
          <w:sz w:val="20"/>
          <w:szCs w:val="20"/>
          <w:color w:val="auto"/>
        </w:rPr>
      </w:pPr>
    </w:p>
    <w:p>
      <w:pPr>
        <w:ind w:left="340" w:right="619" w:firstLine="334"/>
        <w:spacing w:after="0" w:line="265" w:lineRule="auto"/>
        <w:rPr>
          <w:sz w:val="20"/>
          <w:szCs w:val="20"/>
          <w:color w:val="auto"/>
        </w:rPr>
      </w:pPr>
      <w:r>
        <w:rPr>
          <w:rFonts w:ascii="Times New Roman" w:cs="Times New Roman" w:eastAsia="Times New Roman" w:hAnsi="Times New Roman"/>
          <w:sz w:val="14"/>
          <w:szCs w:val="14"/>
          <w:color w:val="auto"/>
        </w:rPr>
        <w:t>This Indenture and each Security shall be deemed to be a contract made under the internal laws of the State of New York, and for all purposes shall be construed in accordance with the laws of said State.</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13.06 Treatment of Securities as Debt.</w:t>
      </w:r>
    </w:p>
    <w:p>
      <w:pPr>
        <w:spacing w:after="0" w:line="166" w:lineRule="exact"/>
        <w:rPr>
          <w:sz w:val="20"/>
          <w:szCs w:val="20"/>
          <w:color w:val="auto"/>
        </w:rPr>
      </w:pPr>
    </w:p>
    <w:p>
      <w:pPr>
        <w:ind w:left="340" w:right="399" w:firstLine="334"/>
        <w:spacing w:after="0" w:line="265" w:lineRule="auto"/>
        <w:rPr>
          <w:sz w:val="20"/>
          <w:szCs w:val="20"/>
          <w:color w:val="auto"/>
        </w:rPr>
      </w:pPr>
      <w:r>
        <w:rPr>
          <w:rFonts w:ascii="Times New Roman" w:cs="Times New Roman" w:eastAsia="Times New Roman" w:hAnsi="Times New Roman"/>
          <w:sz w:val="14"/>
          <w:szCs w:val="14"/>
          <w:color w:val="auto"/>
        </w:rPr>
        <w:t>It is intended that the Securities will be treated as indebtedness and not as equity for federal income tax purposes. The provisions of this Indenture shall be interpreted to further this intention.</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13.07 Compliance Certificates and Opinions.</w:t>
      </w:r>
    </w:p>
    <w:p>
      <w:pPr>
        <w:spacing w:after="0" w:line="95" w:lineRule="exact"/>
        <w:rPr>
          <w:sz w:val="20"/>
          <w:szCs w:val="20"/>
          <w:color w:val="auto"/>
        </w:rPr>
      </w:pPr>
    </w:p>
    <w:p>
      <w:pPr>
        <w:ind w:left="1060" w:right="399" w:hanging="403"/>
        <w:spacing w:after="0" w:line="248" w:lineRule="auto"/>
        <w:tabs>
          <w:tab w:leader="none" w:pos="10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76" w:lineRule="exact"/>
        <w:rPr>
          <w:rFonts w:ascii="Times New Roman" w:cs="Times New Roman" w:eastAsia="Times New Roman" w:hAnsi="Times New Roman"/>
          <w:sz w:val="14"/>
          <w:szCs w:val="14"/>
          <w:color w:val="auto"/>
        </w:rPr>
      </w:pPr>
    </w:p>
    <w:p>
      <w:pPr>
        <w:ind w:left="1060" w:right="379" w:hanging="403"/>
        <w:spacing w:after="0" w:line="271" w:lineRule="auto"/>
        <w:tabs>
          <w:tab w:leader="none" w:pos="106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certificate or opinion provided for in this Indenture and delivered to the Trustee with respect to compliance with a condition or covenant in this Indenture shall include (1) a statement that the Person making such certificate or opinion has read such covenant or condition; (2) a brief statement as to the nature and scope of the examination or investigation upon which the statements or opinions contained in such certificate or opinion are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39" w:right="1440" w:bottom="1440" w:gutter="0" w:footer="0" w:header="0"/>
        </w:sectPr>
      </w:pPr>
    </w:p>
    <w:bookmarkStart w:id="149" w:name="page150"/>
    <w:bookmarkEnd w:id="149"/>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13.08 Payments on Business Days.</w:t>
      </w:r>
    </w:p>
    <w:p>
      <w:pPr>
        <w:spacing w:after="0" w:line="166" w:lineRule="exact"/>
        <w:rPr>
          <w:sz w:val="20"/>
          <w:szCs w:val="20"/>
          <w:color w:val="auto"/>
        </w:rPr>
      </w:pPr>
    </w:p>
    <w:p>
      <w:pPr>
        <w:ind w:left="340" w:right="439" w:firstLine="334"/>
        <w:spacing w:after="0" w:line="249" w:lineRule="auto"/>
        <w:rPr>
          <w:sz w:val="20"/>
          <w:szCs w:val="20"/>
          <w:color w:val="auto"/>
        </w:rPr>
      </w:pPr>
      <w:r>
        <w:rPr>
          <w:rFonts w:ascii="Times New Roman" w:cs="Times New Roman" w:eastAsia="Times New Roman" w:hAnsi="Times New Roman"/>
          <w:sz w:val="14"/>
          <w:szCs w:val="14"/>
          <w:color w:val="auto"/>
        </w:rPr>
        <w:t>Except as provided pursuant to Section 2.01 pursuant to a Board Resolution, and as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13.09 Conflict with Trust Indenture Act.</w:t>
      </w:r>
    </w:p>
    <w:p>
      <w:pPr>
        <w:spacing w:after="0" w:line="166" w:lineRule="exact"/>
        <w:rPr>
          <w:sz w:val="20"/>
          <w:szCs w:val="20"/>
          <w:color w:val="auto"/>
        </w:rPr>
      </w:pPr>
    </w:p>
    <w:p>
      <w:pPr>
        <w:ind w:left="340" w:right="479" w:firstLine="334"/>
        <w:spacing w:after="0" w:line="265" w:lineRule="auto"/>
        <w:rPr>
          <w:sz w:val="20"/>
          <w:szCs w:val="20"/>
          <w:color w:val="auto"/>
        </w:rPr>
      </w:pPr>
      <w:r>
        <w:rPr>
          <w:rFonts w:ascii="Times New Roman" w:cs="Times New Roman" w:eastAsia="Times New Roman" w:hAnsi="Times New Roman"/>
          <w:sz w:val="14"/>
          <w:szCs w:val="14"/>
          <w:color w:val="auto"/>
        </w:rPr>
        <w:t>If and to the extent that any provision of this Indenture limits, qualifies or conflicts with the duties imposed by Sections 310 to 317, inclusive, of the Trust Indenture Act, such imposed duties shall control.</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13.10 Counterparts.</w:t>
      </w:r>
    </w:p>
    <w:p>
      <w:pPr>
        <w:spacing w:after="0" w:line="166" w:lineRule="exact"/>
        <w:rPr>
          <w:sz w:val="20"/>
          <w:szCs w:val="20"/>
          <w:color w:val="auto"/>
        </w:rPr>
      </w:pPr>
    </w:p>
    <w:p>
      <w:pPr>
        <w:ind w:left="340" w:right="459" w:firstLine="334"/>
        <w:spacing w:after="0" w:line="265" w:lineRule="auto"/>
        <w:rPr>
          <w:sz w:val="20"/>
          <w:szCs w:val="20"/>
          <w:color w:val="auto"/>
        </w:rPr>
      </w:pPr>
      <w:r>
        <w:rPr>
          <w:rFonts w:ascii="Times New Roman" w:cs="Times New Roman" w:eastAsia="Times New Roman" w:hAnsi="Times New Roman"/>
          <w:sz w:val="14"/>
          <w:szCs w:val="14"/>
          <w:color w:val="auto"/>
        </w:rPr>
        <w:t>This Indenture may be executed in any number of counterparts, each of which shall be an original, but such counterparts shall together constitute but one and the same instrument.</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13.11 Separability.</w:t>
      </w:r>
    </w:p>
    <w:p>
      <w:pPr>
        <w:spacing w:after="0" w:line="166" w:lineRule="exact"/>
        <w:rPr>
          <w:sz w:val="20"/>
          <w:szCs w:val="20"/>
          <w:color w:val="auto"/>
        </w:rPr>
      </w:pPr>
    </w:p>
    <w:p>
      <w:pPr>
        <w:jc w:val="both"/>
        <w:ind w:left="340" w:right="539" w:firstLine="334"/>
        <w:spacing w:after="0" w:line="251" w:lineRule="auto"/>
        <w:rPr>
          <w:sz w:val="20"/>
          <w:szCs w:val="20"/>
          <w:color w:val="auto"/>
        </w:rPr>
      </w:pPr>
      <w:r>
        <w:rPr>
          <w:rFonts w:ascii="Times New Roman" w:cs="Times New Roman" w:eastAsia="Times New Roman" w:hAnsi="Times New Roman"/>
          <w:sz w:val="14"/>
          <w:szCs w:val="14"/>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SECTION 13.12 Assignment.</w:t>
      </w:r>
    </w:p>
    <w:p>
      <w:pPr>
        <w:spacing w:after="0" w:line="166" w:lineRule="exact"/>
        <w:rPr>
          <w:sz w:val="20"/>
          <w:szCs w:val="20"/>
          <w:color w:val="auto"/>
        </w:rPr>
      </w:pPr>
    </w:p>
    <w:p>
      <w:pPr>
        <w:ind w:left="340" w:right="439" w:firstLine="334"/>
        <w:spacing w:after="0" w:line="251" w:lineRule="auto"/>
        <w:rPr>
          <w:sz w:val="20"/>
          <w:szCs w:val="20"/>
          <w:color w:val="auto"/>
        </w:rPr>
      </w:pPr>
      <w:r>
        <w:rPr>
          <w:rFonts w:ascii="Times New Roman" w:cs="Times New Roman" w:eastAsia="Times New Roman" w:hAnsi="Times New Roman"/>
          <w:sz w:val="14"/>
          <w:szCs w:val="14"/>
          <w:color w:val="auto"/>
        </w:rPr>
        <w:t>The Company will have the right at all times to assign any of its rights or obligations under this Indenture to a direct or indirect wholly-owned Subsidiary of the Company, provided that, in the event of any such assignment, the Company, will remain liable for all such obligations. Subject to the foregoing, this Indenture is binding upon and inures to the benefit of the parties thereto and their respective successors and assigns. This Indenture may not otherwise be assigned by the parties thereto.</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39" w:right="1440" w:bottom="1440" w:gutter="0" w:footer="0" w:header="0"/>
        </w:sectPr>
      </w:pPr>
    </w:p>
    <w:bookmarkStart w:id="150" w:name="page151"/>
    <w:bookmarkEnd w:id="150"/>
    <w:p>
      <w:pPr>
        <w:ind w:left="66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IN WITNESS WHEREOF, the parties hereto have caused this Indenture to be duly executed all as of the day and year first above written.</w:t>
      </w:r>
    </w:p>
    <w:p>
      <w:pPr>
        <w:spacing w:after="0" w:line="19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PROKIDNEY CORP.</w:t>
      </w:r>
    </w:p>
    <w:p>
      <w:pPr>
        <w:spacing w:after="0" w:line="16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By:</w:t>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-100965</wp:posOffset>
            </wp:positionV>
            <wp:extent cx="196850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1968500" cy="635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4"/>
          <w:szCs w:val="14"/>
          <w:color w:val="auto"/>
        </w:rPr>
        <w:t>Title:</w:t>
      </w:r>
    </w:p>
    <w:p>
      <w:pPr>
        <w:spacing w:after="0" w:line="3" w:lineRule="exact"/>
        <w:rPr>
          <w:sz w:val="20"/>
          <w:szCs w:val="20"/>
          <w:color w:val="auto"/>
        </w:rPr>
      </w:pPr>
    </w:p>
    <w:p>
      <w:pPr>
        <w:ind w:left="5340"/>
        <w:spacing w:after="0"/>
        <w:tabs>
          <w:tab w:leader="none" w:pos="6760" w:val="left"/>
        </w:tabs>
        <w:rPr>
          <w:sz w:val="20"/>
          <w:szCs w:val="20"/>
          <w:color w:val="auto"/>
        </w:rPr>
      </w:pPr>
      <w:r>
        <w:rPr>
          <w:rFonts w:ascii="Times New Roman" w:cs="Times New Roman" w:eastAsia="Times New Roman" w:hAnsi="Times New Roman"/>
          <w:sz w:val="14"/>
          <w:szCs w:val="14"/>
          <w:color w:val="auto"/>
        </w:rPr>
        <w:t xml:space="preserve">[                            </w:t>
      </w:r>
      <w:r>
        <w:rPr>
          <w:sz w:val="20"/>
          <w:szCs w:val="20"/>
          <w:color w:val="auto"/>
        </w:rPr>
        <w:tab/>
      </w:r>
      <w:r>
        <w:rPr>
          <w:rFonts w:ascii="Times New Roman" w:cs="Times New Roman" w:eastAsia="Times New Roman" w:hAnsi="Times New Roman"/>
          <w:sz w:val="13"/>
          <w:szCs w:val="13"/>
          <w:color w:val="auto"/>
        </w:rPr>
        <w:t>],</w:t>
      </w:r>
    </w:p>
    <w:p>
      <w:pPr>
        <w:spacing w:after="0" w:line="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As Trustee</w:t>
      </w:r>
    </w:p>
    <w:p>
      <w:pPr>
        <w:spacing w:after="0" w:line="15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By:</w:t>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-100965</wp:posOffset>
            </wp:positionV>
            <wp:extent cx="196850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4">
                      <a:extLst>
                        <a:ext uri="{28A0092B-C50C-407E-A947-70E740481C1C}"/>
                      </a:extLst>
                    </a:blip>
                    <a:srcRect/>
                    <a:stretch>
                      <a:fillRect/>
                    </a:stretch>
                  </pic:blipFill>
                  <pic:spPr bwMode="auto">
                    <a:xfrm>
                      <a:off x="0" y="0"/>
                      <a:ext cx="1968500" cy="635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4"/>
          <w:szCs w:val="14"/>
          <w:color w:val="auto"/>
        </w:rPr>
        <w:t>Title:</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239" w:right="1440" w:bottom="1440" w:gutter="0" w:footer="0" w:header="0"/>
        </w:sectPr>
      </w:pPr>
    </w:p>
    <w:bookmarkStart w:id="151" w:name="page152"/>
    <w:bookmarkEnd w:id="151"/>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Exhibit 4.4</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PROKIDNEY CORP.</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Issuer</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[               ] Trustee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Dated as of [               ]</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Subordinated Debt Securities</w:t>
      </w:r>
    </w:p>
    <w:p>
      <w:pPr>
        <w:sectPr>
          <w:pgSz w:w="11900" w:h="16838" w:orient="portrait"/>
          <w:cols w:equalWidth="0" w:num="1">
            <w:col w:w="9019"/>
          </w:cols>
          <w:pgMar w:left="1440" w:top="123" w:right="1440" w:bottom="1440" w:gutter="0" w:footer="0" w:header="0"/>
        </w:sectPr>
      </w:pPr>
    </w:p>
    <w:bookmarkStart w:id="152" w:name="page153"/>
    <w:bookmarkEnd w:id="15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r>
        <w:rPr>
          <w:rFonts w:ascii="Times New Roman" w:cs="Times New Roman" w:eastAsia="Times New Roman" w:hAnsi="Times New Roman"/>
          <w:sz w:val="20"/>
          <w:szCs w:val="20"/>
          <w:b w:val="1"/>
          <w:bCs w:val="1"/>
          <w:color w:val="auto"/>
          <w:vertAlign w:val="superscript"/>
        </w:rPr>
        <w:t>1</w:t>
      </w:r>
    </w:p>
    <w:p>
      <w:pPr>
        <w:spacing w:after="0" w:line="116" w:lineRule="exact"/>
        <w:rPr>
          <w:sz w:val="20"/>
          <w:szCs w:val="20"/>
          <w:color w:val="auto"/>
        </w:rPr>
      </w:pPr>
    </w:p>
    <w:tbl>
      <w:tblPr>
        <w:tblLayout w:type="fixed"/>
        <w:tblInd w:w="340" w:type="dxa"/>
        <w:tblCellMar>
          <w:top w:w="0" w:type="dxa"/>
          <w:left w:w="0" w:type="dxa"/>
          <w:bottom w:w="0" w:type="dxa"/>
          <w:right w:w="0" w:type="dxa"/>
        </w:tblCellMar>
      </w:tblPr>
      <w:tr>
        <w:trPr>
          <w:trHeight w:val="143"/>
        </w:trPr>
        <w:tc>
          <w:tcPr>
            <w:tcW w:w="114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33"/>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 DEFINITIONS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46"/>
        </w:trPr>
        <w:tc>
          <w:tcPr>
            <w:tcW w:w="114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8"/>
              </w:rPr>
              <w:t>SECTION 1.01</w:t>
            </w:r>
          </w:p>
        </w:tc>
        <w:tc>
          <w:tcPr>
            <w:tcW w:w="6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Definitions of Terms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46"/>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 ISSUE, DESCRIPTION, TERMS, EXECUTION, REGISTRATION AND EXCHANGE OF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34"/>
        </w:trPr>
        <w:tc>
          <w:tcPr>
            <w:tcW w:w="7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SECTION 2.01 Designation and Terms of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64"/>
        </w:trPr>
        <w:tc>
          <w:tcPr>
            <w:tcW w:w="7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SECTION 2.02 Form of Securities and Trustee’s Certificate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4"/>
        </w:trPr>
        <w:tc>
          <w:tcPr>
            <w:tcW w:w="7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SECTION 2.03 Denominations: Provisions for Payment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4"/>
        </w:trPr>
        <w:tc>
          <w:tcPr>
            <w:tcW w:w="7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SECTION 2.04 Execution and Authentications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4"/>
        </w:trPr>
        <w:tc>
          <w:tcPr>
            <w:tcW w:w="7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SECTION 2.05 Registration of Transfer and Exchange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64"/>
        </w:trPr>
        <w:tc>
          <w:tcPr>
            <w:tcW w:w="114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8"/>
              </w:rPr>
              <w:t>SECTION 2.06</w:t>
            </w:r>
          </w:p>
        </w:tc>
        <w:tc>
          <w:tcPr>
            <w:tcW w:w="6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Temporary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4"/>
        </w:trPr>
        <w:tc>
          <w:tcPr>
            <w:tcW w:w="7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SECTION 2.07 Mutilated, Destroyed, Lost or Stolen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4"/>
        </w:trPr>
        <w:tc>
          <w:tcPr>
            <w:tcW w:w="114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8"/>
              </w:rPr>
              <w:t>SECTION 2.08</w:t>
            </w:r>
          </w:p>
        </w:tc>
        <w:tc>
          <w:tcPr>
            <w:tcW w:w="6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Cancellation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4"/>
        </w:trPr>
        <w:tc>
          <w:tcPr>
            <w:tcW w:w="7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SECTION 2.09 Benefits of Indenture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4"/>
        </w:trPr>
        <w:tc>
          <w:tcPr>
            <w:tcW w:w="114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8"/>
              </w:rPr>
              <w:t>SECTION 2.10</w:t>
            </w:r>
          </w:p>
        </w:tc>
        <w:tc>
          <w:tcPr>
            <w:tcW w:w="6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Authenticating Agent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6"/>
        </w:trPr>
        <w:tc>
          <w:tcPr>
            <w:tcW w:w="114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8"/>
              </w:rPr>
              <w:t>SECTION 2.11</w:t>
            </w:r>
          </w:p>
        </w:tc>
        <w:tc>
          <w:tcPr>
            <w:tcW w:w="6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Global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46"/>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III REDEMPTION OF SECURITIES AND SINKING FUND PROVISIONS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34"/>
        </w:trPr>
        <w:tc>
          <w:tcPr>
            <w:tcW w:w="7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SECTION 3.01 Redemption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4"/>
        </w:trPr>
        <w:tc>
          <w:tcPr>
            <w:tcW w:w="114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8"/>
              </w:rPr>
              <w:t>SECTION 3.02</w:t>
            </w:r>
          </w:p>
        </w:tc>
        <w:tc>
          <w:tcPr>
            <w:tcW w:w="6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Notice of Redemption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4"/>
        </w:trPr>
        <w:tc>
          <w:tcPr>
            <w:tcW w:w="7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SECTION 3.03 Payment Upon Redemption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4"/>
        </w:trPr>
        <w:tc>
          <w:tcPr>
            <w:tcW w:w="7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SECTION 3.04 Sinking Fund</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4"/>
        </w:trPr>
        <w:tc>
          <w:tcPr>
            <w:tcW w:w="7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SECTION 3.05 Satisfaction of Sinking Fund Payments with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6"/>
        </w:trPr>
        <w:tc>
          <w:tcPr>
            <w:tcW w:w="7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SECTION 3.06 Redemption of Securities for Sinking Fund</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46"/>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IV COVENANTS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34"/>
        </w:trPr>
        <w:tc>
          <w:tcPr>
            <w:tcW w:w="7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SECTION 4.01 Payment of Principal, Premium and Interest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4"/>
        </w:trPr>
        <w:tc>
          <w:tcPr>
            <w:tcW w:w="114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8"/>
              </w:rPr>
              <w:t>SECTION 4.02</w:t>
            </w:r>
          </w:p>
        </w:tc>
        <w:tc>
          <w:tcPr>
            <w:tcW w:w="6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Maintenance of Office or Agency</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4"/>
        </w:trPr>
        <w:tc>
          <w:tcPr>
            <w:tcW w:w="114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8"/>
              </w:rPr>
              <w:t>SECTION 4.03</w:t>
            </w:r>
          </w:p>
        </w:tc>
        <w:tc>
          <w:tcPr>
            <w:tcW w:w="6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Paying Agents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4"/>
        </w:trPr>
        <w:tc>
          <w:tcPr>
            <w:tcW w:w="7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SECTION 4.04 Appointment to Fill Vacancy in Office of Trustee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6"/>
        </w:trPr>
        <w:tc>
          <w:tcPr>
            <w:tcW w:w="7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SECTION 4.05 Compliance with Consolidation Provisions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46"/>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 SECURITYHOLDERS’ LISTS AND REPORTS BY THE COMPANY AND THE TRUSTEE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34"/>
        </w:trPr>
        <w:tc>
          <w:tcPr>
            <w:tcW w:w="7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SECTION 5.01 Company to Furnish Trustee Names and Addresses of Securityholders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4"/>
        </w:trPr>
        <w:tc>
          <w:tcPr>
            <w:tcW w:w="7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SECTION 5.02 Preservation of Information; Communications with Securityholders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4"/>
        </w:trPr>
        <w:tc>
          <w:tcPr>
            <w:tcW w:w="7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SECTION 5.03 Reports by the Company</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76"/>
        </w:trPr>
        <w:tc>
          <w:tcPr>
            <w:tcW w:w="114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8"/>
              </w:rPr>
              <w:t>SECTION 5.04</w:t>
            </w:r>
          </w:p>
        </w:tc>
        <w:tc>
          <w:tcPr>
            <w:tcW w:w="6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Reports by the Trustee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46"/>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 REMEDIES OF THE TRUSTEE AND SECURITYHOLDERS ON EVENT OF DEFAULT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34"/>
        </w:trPr>
        <w:tc>
          <w:tcPr>
            <w:tcW w:w="114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8"/>
              </w:rPr>
              <w:t>SECTION 6.01</w:t>
            </w:r>
          </w:p>
        </w:tc>
        <w:tc>
          <w:tcPr>
            <w:tcW w:w="6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Events of Default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4"/>
        </w:trPr>
        <w:tc>
          <w:tcPr>
            <w:tcW w:w="7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SECTION 6.02 Collection of Indebtedness and Suits for Enforcement by Trustee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76"/>
        </w:trPr>
        <w:tc>
          <w:tcPr>
            <w:tcW w:w="114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8"/>
              </w:rPr>
              <w:t>SECTION 6.03</w:t>
            </w:r>
          </w:p>
        </w:tc>
        <w:tc>
          <w:tcPr>
            <w:tcW w:w="6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Application of Moneys Collected</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71755</wp:posOffset>
            </wp:positionV>
            <wp:extent cx="578485"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6">
                      <a:extLst>
                        <a:ext uri="{28A0092B-C50C-407E-A947-70E740481C1C}"/>
                      </a:extLst>
                    </a:blip>
                    <a:srcRect/>
                    <a:stretch>
                      <a:fillRect/>
                    </a:stretch>
                  </pic:blipFill>
                  <pic:spPr bwMode="auto">
                    <a:xfrm>
                      <a:off x="0" y="0"/>
                      <a:ext cx="578485" cy="6350"/>
                    </a:xfrm>
                    <a:prstGeom prst="rect">
                      <a:avLst/>
                    </a:prstGeom>
                    <a:noFill/>
                  </pic:spPr>
                </pic:pic>
              </a:graphicData>
            </a:graphic>
          </wp:anchor>
        </w:drawing>
      </w:r>
    </w:p>
    <w:p>
      <w:pPr>
        <w:spacing w:after="0" w:line="111" w:lineRule="exact"/>
        <w:rPr>
          <w:sz w:val="20"/>
          <w:szCs w:val="20"/>
          <w:color w:val="auto"/>
        </w:rPr>
      </w:pPr>
    </w:p>
    <w:p>
      <w:pPr>
        <w:ind w:left="660" w:right="899" w:hanging="330"/>
        <w:spacing w:after="0" w:line="208" w:lineRule="auto"/>
        <w:tabs>
          <w:tab w:leader="none" w:pos="660" w:val="left"/>
        </w:tabs>
        <w:numPr>
          <w:ilvl w:val="0"/>
          <w:numId w:val="10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This Table of Contents does not constitute part of the Indenture and shall not have any bearing on the interpretation of any of its terms or provisions.</w:t>
      </w:r>
    </w:p>
    <w:p>
      <w:pPr>
        <w:spacing w:after="0" w:line="101" w:lineRule="exact"/>
        <w:rPr>
          <w:rFonts w:ascii="Times New Roman" w:cs="Times New Roman" w:eastAsia="Times New Roman" w:hAnsi="Times New Roman"/>
          <w:sz w:val="20"/>
          <w:szCs w:val="20"/>
          <w:color w:val="auto"/>
          <w:vertAlign w:val="superscript"/>
        </w:rPr>
      </w:pPr>
    </w:p>
    <w:p>
      <w:pPr>
        <w:ind w:left="4480" w:hanging="74"/>
        <w:spacing w:after="0"/>
        <w:tabs>
          <w:tab w:leader="none" w:pos="4480"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w:t>
      </w:r>
    </w:p>
    <w:p>
      <w:pPr>
        <w:sectPr>
          <w:pgSz w:w="11900" w:h="16838" w:orient="portrait"/>
          <w:cols w:equalWidth="0" w:num="1">
            <w:col w:w="9019"/>
          </w:cols>
          <w:pgMar w:left="1440" w:top="235" w:right="1440" w:bottom="1440" w:gutter="0" w:footer="0" w:header="0"/>
        </w:sectPr>
      </w:pPr>
    </w:p>
    <w:bookmarkStart w:id="153" w:name="page154"/>
    <w:bookmarkEnd w:id="153"/>
    <w:tbl>
      <w:tblPr>
        <w:tblLayout w:type="fixed"/>
        <w:tblInd w:w="340" w:type="dxa"/>
        <w:tblCellMar>
          <w:top w:w="0" w:type="dxa"/>
          <w:left w:w="0" w:type="dxa"/>
          <w:bottom w:w="0" w:type="dxa"/>
          <w:right w:w="0" w:type="dxa"/>
        </w:tblCellMar>
      </w:tblP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6.04</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Limitation on Suits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6.05</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Rights and Remedies Cumulative; Delay or Omission Not Waiver</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6.06</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Control by Securityholders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76"/>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6.07</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Undertaking to Pay Costs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46"/>
        </w:trPr>
        <w:tc>
          <w:tcPr>
            <w:tcW w:w="6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 CONCERNING THE TRUSTEE</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3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7.01</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Certain Duties and Responsibilities of Trustee</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7.02</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Certain Rights of Trustee</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7.03</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Trustee Not Responsible for Recitals or Issuance of Securities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7.04</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May Hold Securities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7.05</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Moneys Held in Trust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7.06</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Compensation and Reimbursement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7.07</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Reliance on Officers’ Certificate</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7.08</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Disqualification; Conflicting Interests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7.09</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Corporate Trustee Required; Eligibility</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7.10</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Resignation and Removal; Appointment of Successor</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7.11</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Acceptance of Appointment By Successor</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7.12</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Merger, Conversion, Consolidation or Succession to Business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76"/>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7.13</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Preferential Collection of Claims Against the Company</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46"/>
        </w:trPr>
        <w:tc>
          <w:tcPr>
            <w:tcW w:w="6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VIII CONCERNING THE SECURITYHOLDERS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3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8.01</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Evidence of Action by Securityholders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8.02</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Proof of Execution by Securityholders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8.03</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Who May be Deemed Owners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8.04</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Certain Securities Owned by Company Disregarded</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8.05</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Actions Binding on Future Securityholders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8.06</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Purposes for Which Meetings May Be Called</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8.07</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Call Notice and Place of Meetings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8.08</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Persons Entitled To Vote at Meetings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8.09</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Quorum; Action</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8.10</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Determination of Voting Rights; Conduct and Adjournment of Meetings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76"/>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8.11</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Counting Votes and Recording Action of Meetings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46"/>
        </w:trPr>
        <w:tc>
          <w:tcPr>
            <w:tcW w:w="6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IX SUPPLEMENTAL INDENTURES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3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9.01</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Supplemental Indentures Without the Consent of Securityholders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9.02</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Supplemental Indentures With Consent of Securityholders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9.03</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Effect of Supplemental Indentures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9.04</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Securities Affected by Supplemental Indentures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76"/>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9.05</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Execution of Supplemental Indentures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46"/>
        </w:trPr>
        <w:tc>
          <w:tcPr>
            <w:tcW w:w="6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 SUCCESSOR ENTITY</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3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10.01</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Company May Consolidate, Etc.</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10.02</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Successor Entity Substituted</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76"/>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10.03</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Evidence of Consolidation, Etc. to Trustee</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46"/>
        </w:trPr>
        <w:tc>
          <w:tcPr>
            <w:tcW w:w="6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XI SATISFACTION AND DISCHARGE</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3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11.01</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Satisfaction and Discharge of Indenture</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11.02</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Discharge of Obligations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11.03</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Deposited Moneys to be Held in Trust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11.04</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Payment of Moneys Held by Paying Agents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76"/>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11.05</w:t>
            </w:r>
          </w:p>
        </w:tc>
        <w:tc>
          <w:tcPr>
            <w:tcW w:w="5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Repayment to Company</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7">
                      <a:extLst>
                        <a:ext uri="{28A0092B-C50C-407E-A947-70E740481C1C}"/>
                      </a:extLst>
                    </a:blip>
                    <a:srcRect/>
                    <a:stretch>
                      <a:fillRect/>
                    </a:stretch>
                  </pic:blipFill>
                  <pic:spPr bwMode="auto">
                    <a:xfrm>
                      <a:off x="0" y="0"/>
                      <a:ext cx="7204075"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 ii -</w:t>
      </w:r>
    </w:p>
    <w:p>
      <w:pPr>
        <w:sectPr>
          <w:pgSz w:w="11900" w:h="16838" w:orient="portrait"/>
          <w:cols w:equalWidth="0" w:num="1">
            <w:col w:w="9019"/>
          </w:cols>
          <w:pgMar w:left="1440" w:top="239" w:right="1440" w:bottom="1440" w:gutter="0" w:footer="0" w:header="0"/>
        </w:sectPr>
      </w:pPr>
    </w:p>
    <w:bookmarkStart w:id="154" w:name="page155"/>
    <w:bookmarkEnd w:id="154"/>
    <w:tbl>
      <w:tblPr>
        <w:tblLayout w:type="fixed"/>
        <w:tblInd w:w="340" w:type="dxa"/>
        <w:tblCellMar>
          <w:top w:w="0" w:type="dxa"/>
          <w:left w:w="0" w:type="dxa"/>
          <w:bottom w:w="0" w:type="dxa"/>
          <w:right w:w="0" w:type="dxa"/>
        </w:tblCellMar>
      </w:tblPr>
      <w:tr>
        <w:trPr>
          <w:trHeight w:val="176"/>
        </w:trPr>
        <w:tc>
          <w:tcPr>
            <w:tcW w:w="7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XII IMMUNITY OF INCORPORATORS, STOCKHOLDERS, OFFICERS AND DIRECTORS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46"/>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12.01</w:t>
            </w:r>
          </w:p>
        </w:tc>
        <w:tc>
          <w:tcPr>
            <w:tcW w:w="57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 Recourse</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46"/>
        </w:trPr>
        <w:tc>
          <w:tcPr>
            <w:tcW w:w="7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XIII MISCELLANEOUS PROVISIONS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34"/>
        </w:trPr>
        <w:tc>
          <w:tcPr>
            <w:tcW w:w="70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SECTION 13.01  Effect on Successors and Assigns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4"/>
        </w:trPr>
        <w:tc>
          <w:tcPr>
            <w:tcW w:w="70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SECTION 13.02  Actions by Successor</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4"/>
        </w:trPr>
        <w:tc>
          <w:tcPr>
            <w:tcW w:w="70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SECTION 13.03  Surrender of Company Powers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13.04</w:t>
            </w:r>
          </w:p>
        </w:tc>
        <w:tc>
          <w:tcPr>
            <w:tcW w:w="57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Notices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13.05</w:t>
            </w:r>
          </w:p>
        </w:tc>
        <w:tc>
          <w:tcPr>
            <w:tcW w:w="57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Governing Law</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4"/>
        </w:trPr>
        <w:tc>
          <w:tcPr>
            <w:tcW w:w="70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SECTION 13.06  Treatment of Securities as Debt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4"/>
        </w:trPr>
        <w:tc>
          <w:tcPr>
            <w:tcW w:w="70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SECTION 13.07  Compliance Certificates and Opinions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4"/>
        </w:trPr>
        <w:tc>
          <w:tcPr>
            <w:tcW w:w="70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SECTION 13.08  Payments on Business Days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64"/>
        </w:trPr>
        <w:tc>
          <w:tcPr>
            <w:tcW w:w="70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SECTION 13.09  Conflict with Trust Indenture Act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13.10</w:t>
            </w:r>
          </w:p>
        </w:tc>
        <w:tc>
          <w:tcPr>
            <w:tcW w:w="57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Counterparts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64"/>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13.11</w:t>
            </w:r>
          </w:p>
        </w:tc>
        <w:tc>
          <w:tcPr>
            <w:tcW w:w="57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Separability</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76"/>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13.12</w:t>
            </w:r>
          </w:p>
        </w:tc>
        <w:tc>
          <w:tcPr>
            <w:tcW w:w="57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Assignment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46"/>
        </w:trPr>
        <w:tc>
          <w:tcPr>
            <w:tcW w:w="7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XIV SUBORDINATION OF SECURITIES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46"/>
        </w:trPr>
        <w:tc>
          <w:tcPr>
            <w:tcW w:w="1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14.01</w:t>
            </w:r>
          </w:p>
        </w:tc>
        <w:tc>
          <w:tcPr>
            <w:tcW w:w="57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Subordination Terms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bl>
    <w:p>
      <w:pPr>
        <w:spacing w:after="0" w:line="3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7204075"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 iii -</w:t>
      </w:r>
    </w:p>
    <w:p>
      <w:pPr>
        <w:sectPr>
          <w:pgSz w:w="11900" w:h="16838" w:orient="portrait"/>
          <w:cols w:equalWidth="0" w:num="1">
            <w:col w:w="9019"/>
          </w:cols>
          <w:pgMar w:left="1440" w:top="321" w:right="1440" w:bottom="1440" w:gutter="0" w:footer="0" w:header="0"/>
        </w:sectPr>
      </w:pPr>
    </w:p>
    <w:bookmarkStart w:id="155" w:name="page156"/>
    <w:bookmarkEnd w:id="155"/>
    <w:p>
      <w:pPr>
        <w:ind w:left="340" w:right="519" w:firstLine="334"/>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INDENTURE, dated as of [        ], by and between ProKidney Corp., a Delaware corporation (the “Company”), and [        ], as trustee (the “Trustee”):</w:t>
      </w:r>
    </w:p>
    <w:p>
      <w:pPr>
        <w:spacing w:after="0" w:line="54" w:lineRule="exact"/>
        <w:rPr>
          <w:sz w:val="20"/>
          <w:szCs w:val="20"/>
          <w:color w:val="auto"/>
        </w:rPr>
      </w:pPr>
    </w:p>
    <w:p>
      <w:pPr>
        <w:ind w:left="340" w:right="339" w:firstLine="334"/>
        <w:spacing w:after="0" w:line="283" w:lineRule="auto"/>
        <w:rPr>
          <w:sz w:val="20"/>
          <w:szCs w:val="20"/>
          <w:color w:val="auto"/>
        </w:rPr>
      </w:pPr>
      <w:r>
        <w:rPr>
          <w:rFonts w:ascii="Times New Roman" w:cs="Times New Roman" w:eastAsia="Times New Roman" w:hAnsi="Times New Roman"/>
          <w:sz w:val="13"/>
          <w:szCs w:val="13"/>
          <w:color w:val="auto"/>
        </w:rPr>
        <w:t>WHEREAS, for its lawful corporate purposes, the Company has duly authorized the execution and delivery of this Indenture to provide for the issuance of subordinated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26" w:lineRule="exact"/>
        <w:rPr>
          <w:sz w:val="20"/>
          <w:szCs w:val="20"/>
          <w:color w:val="auto"/>
        </w:rPr>
      </w:pPr>
    </w:p>
    <w:p>
      <w:pPr>
        <w:ind w:left="340" w:right="519" w:firstLine="334"/>
        <w:spacing w:after="0" w:line="265" w:lineRule="auto"/>
        <w:rPr>
          <w:sz w:val="20"/>
          <w:szCs w:val="20"/>
          <w:color w:val="auto"/>
        </w:rPr>
      </w:pPr>
      <w:r>
        <w:rPr>
          <w:rFonts w:ascii="Times New Roman" w:cs="Times New Roman" w:eastAsia="Times New Roman" w:hAnsi="Times New Roman"/>
          <w:sz w:val="14"/>
          <w:szCs w:val="14"/>
          <w:color w:val="auto"/>
        </w:rPr>
        <w:t>WHEREAS, to provide the terms and conditions upon which the Securities are to be authenticated, issued and delivered, the Company has duly authorized the execution of this Indenture; and</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WHEREAS, all things necessary to make this Indenture a valid agreement of the Company, in accordance with its terms, have been done.</w:t>
      </w:r>
    </w:p>
    <w:p>
      <w:pPr>
        <w:spacing w:after="0" w:line="166" w:lineRule="exact"/>
        <w:rPr>
          <w:sz w:val="20"/>
          <w:szCs w:val="20"/>
          <w:color w:val="auto"/>
        </w:rPr>
      </w:pPr>
    </w:p>
    <w:p>
      <w:pPr>
        <w:ind w:left="340" w:right="599" w:firstLine="334"/>
        <w:spacing w:after="0" w:line="265" w:lineRule="auto"/>
        <w:rPr>
          <w:sz w:val="20"/>
          <w:szCs w:val="20"/>
          <w:color w:val="auto"/>
        </w:rPr>
      </w:pPr>
      <w:r>
        <w:rPr>
          <w:rFonts w:ascii="Times New Roman" w:cs="Times New Roman" w:eastAsia="Times New Roman" w:hAnsi="Times New Roman"/>
          <w:sz w:val="14"/>
          <w:szCs w:val="14"/>
          <w:color w:val="auto"/>
        </w:rPr>
        <w:t>NOW, THEREFORE, in consideration of the premises and the purchase of the Securities by the holders thereof, it is mutually covenanted and agreed as follows for the equal and ratable benefit of the holders of Securities:</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I</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DEFINITIONS</w:t>
      </w:r>
    </w:p>
    <w:p>
      <w:pPr>
        <w:spacing w:after="0" w:line="1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1.01 Definitions of Terms.</w:t>
      </w:r>
    </w:p>
    <w:p>
      <w:pPr>
        <w:spacing w:after="0" w:line="166" w:lineRule="exact"/>
        <w:rPr>
          <w:sz w:val="20"/>
          <w:szCs w:val="20"/>
          <w:color w:val="auto"/>
        </w:rPr>
      </w:pPr>
    </w:p>
    <w:p>
      <w:pPr>
        <w:ind w:left="340" w:right="379" w:firstLine="334"/>
        <w:spacing w:after="0" w:line="248" w:lineRule="auto"/>
        <w:rPr>
          <w:sz w:val="20"/>
          <w:szCs w:val="20"/>
          <w:color w:val="auto"/>
        </w:rPr>
      </w:pPr>
      <w:r>
        <w:rPr>
          <w:rFonts w:ascii="Times New Roman" w:cs="Times New Roman" w:eastAsia="Times New Roman" w:hAnsi="Times New Roman"/>
          <w:sz w:val="14"/>
          <w:szCs w:val="14"/>
          <w:color w:val="auto"/>
        </w:rPr>
        <w:t>The terms defined in this Section (except as in this Indenture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otherwise expressly provided or unless the context otherwise requires), shall have the meanings assigned to such terms in said Trust Indenture Act and in said Securities Act as in force at the date of the execution of this instrument.</w:t>
      </w:r>
    </w:p>
    <w:p>
      <w:pPr>
        <w:spacing w:after="0" w:line="148" w:lineRule="exact"/>
        <w:rPr>
          <w:sz w:val="20"/>
          <w:szCs w:val="20"/>
          <w:color w:val="auto"/>
        </w:rPr>
      </w:pPr>
    </w:p>
    <w:p>
      <w:pPr>
        <w:ind w:left="340" w:right="619" w:firstLine="334"/>
        <w:spacing w:after="0" w:line="265" w:lineRule="auto"/>
        <w:rPr>
          <w:sz w:val="20"/>
          <w:szCs w:val="20"/>
          <w:color w:val="auto"/>
        </w:rPr>
      </w:pPr>
      <w:r>
        <w:rPr>
          <w:rFonts w:ascii="Times New Roman" w:cs="Times New Roman" w:eastAsia="Times New Roman" w:hAnsi="Times New Roman"/>
          <w:sz w:val="14"/>
          <w:szCs w:val="14"/>
          <w:color w:val="auto"/>
        </w:rPr>
        <w:t>“Authenticating Agent” means an authenticating agent with respect to all or any of the series of Securities appointed with respect to all or any series of the Securities by the Trustee pursuant to Section 2.10.</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“Bankruptcy Law” means Title 11, U.S. Code, or any similar U.S. federal or state law for the relief of debtors.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“Board of Directors” means the Board of Directors of the Company or any duly authorized committee of such Board.</w:t>
      </w:r>
    </w:p>
    <w:p>
      <w:pPr>
        <w:spacing w:after="0" w:line="166" w:lineRule="exact"/>
        <w:rPr>
          <w:sz w:val="20"/>
          <w:szCs w:val="20"/>
          <w:color w:val="auto"/>
        </w:rPr>
      </w:pPr>
    </w:p>
    <w:p>
      <w:pPr>
        <w:ind w:left="340" w:right="499" w:firstLine="334"/>
        <w:spacing w:after="0" w:line="265" w:lineRule="auto"/>
        <w:rPr>
          <w:sz w:val="20"/>
          <w:szCs w:val="20"/>
          <w:color w:val="auto"/>
        </w:rPr>
      </w:pPr>
      <w:r>
        <w:rPr>
          <w:rFonts w:ascii="Times New Roman" w:cs="Times New Roman" w:eastAsia="Times New Roman" w:hAnsi="Times New Roman"/>
          <w:sz w:val="14"/>
          <w:szCs w:val="14"/>
          <w:color w:val="auto"/>
        </w:rPr>
        <w:t>“Board Resolution” means a copy of a resolution certified by the Secretary or an Assistant Secretary of the Company to have been duly adopted by the Board of Directors and to be in full force and effect on the date of such certification.</w:t>
      </w:r>
    </w:p>
    <w:p>
      <w:pPr>
        <w:spacing w:after="0" w:line="136" w:lineRule="exact"/>
        <w:rPr>
          <w:sz w:val="20"/>
          <w:szCs w:val="20"/>
          <w:color w:val="auto"/>
        </w:rPr>
      </w:pPr>
    </w:p>
    <w:p>
      <w:pPr>
        <w:ind w:left="340" w:right="639" w:firstLine="334"/>
        <w:spacing w:after="0" w:line="265" w:lineRule="auto"/>
        <w:rPr>
          <w:sz w:val="20"/>
          <w:szCs w:val="20"/>
          <w:color w:val="auto"/>
        </w:rPr>
      </w:pPr>
      <w:r>
        <w:rPr>
          <w:rFonts w:ascii="Times New Roman" w:cs="Times New Roman" w:eastAsia="Times New Roman" w:hAnsi="Times New Roman"/>
          <w:sz w:val="14"/>
          <w:szCs w:val="14"/>
          <w:color w:val="auto"/>
        </w:rPr>
        <w:t>“Business Day” means, with respect to any series of Securities, any day other than a day on which Federal or State banking institutions in the Borough of Manhattan, the City and State of New York, are authorized or obligated by law, executive order or regulation to close.</w:t>
      </w:r>
    </w:p>
    <w:p>
      <w:pPr>
        <w:sectPr>
          <w:pgSz w:w="11900" w:h="16838" w:orient="portrait"/>
          <w:cols w:equalWidth="0" w:num="1">
            <w:col w:w="9019"/>
          </w:cols>
          <w:pgMar w:left="1440" w:top="239" w:right="1440" w:bottom="1440" w:gutter="0" w:footer="0" w:header="0"/>
        </w:sectPr>
      </w:pPr>
    </w:p>
    <w:bookmarkStart w:id="156" w:name="page157"/>
    <w:bookmarkEnd w:id="156"/>
    <w:p>
      <w:pPr>
        <w:ind w:left="340" w:right="899" w:firstLine="334"/>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“Certificate” means a certificate signed by the chief executive officer, the chief financial officer or the principal accounting officer of the Company. The Certificate need not comply with the provisions of Section 13.07.</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“Commission” means the Securities and Exchange Commission.</w:t>
      </w:r>
    </w:p>
    <w:p>
      <w:pPr>
        <w:spacing w:after="0" w:line="166" w:lineRule="exact"/>
        <w:rPr>
          <w:sz w:val="20"/>
          <w:szCs w:val="20"/>
          <w:color w:val="auto"/>
        </w:rPr>
      </w:pPr>
    </w:p>
    <w:p>
      <w:pPr>
        <w:ind w:left="340" w:right="679" w:firstLine="334"/>
        <w:spacing w:after="0" w:line="265" w:lineRule="auto"/>
        <w:rPr>
          <w:sz w:val="20"/>
          <w:szCs w:val="20"/>
          <w:color w:val="auto"/>
        </w:rPr>
      </w:pPr>
      <w:r>
        <w:rPr>
          <w:rFonts w:ascii="Times New Roman" w:cs="Times New Roman" w:eastAsia="Times New Roman" w:hAnsi="Times New Roman"/>
          <w:sz w:val="14"/>
          <w:szCs w:val="14"/>
          <w:color w:val="auto"/>
        </w:rPr>
        <w:t>“Company” means the corporation named as the “Company” in the first paragraph of this instrument until a successor corporation shall have become such pursuant to the applicable provisions of this Indenture, and thereafter “Company” shall mean such successor corporation.</w:t>
      </w:r>
    </w:p>
    <w:p>
      <w:pPr>
        <w:spacing w:after="0" w:line="136" w:lineRule="exact"/>
        <w:rPr>
          <w:sz w:val="20"/>
          <w:szCs w:val="20"/>
          <w:color w:val="auto"/>
        </w:rPr>
      </w:pPr>
    </w:p>
    <w:p>
      <w:pPr>
        <w:ind w:left="340" w:right="739" w:firstLine="334"/>
        <w:spacing w:after="0" w:line="254" w:lineRule="auto"/>
        <w:rPr>
          <w:sz w:val="20"/>
          <w:szCs w:val="20"/>
          <w:color w:val="auto"/>
        </w:rPr>
      </w:pPr>
      <w:r>
        <w:rPr>
          <w:rFonts w:ascii="Times New Roman" w:cs="Times New Roman" w:eastAsia="Times New Roman" w:hAnsi="Times New Roman"/>
          <w:sz w:val="14"/>
          <w:szCs w:val="14"/>
          <w:color w:val="auto"/>
        </w:rPr>
        <w:t>“Corporate Trust Office” means the office of the Trustee at which, at any particular time, its corporate trust business shall be principally administered, which office at the date hereof is located at [        ], except that whenever a provision herein refers to an office or agency of the Trustee in the Borough of Manhattan, the City and State of New York, such office is located, at the date hereof, at [        ].</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“Custodian” means any receiver, trustee, assignee, liquidator, or similar official under any Bankruptcy Law.</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“Default” means an event which is, or after notice or lapse of time, or both, would constitute an Event of Default.</w:t>
      </w:r>
    </w:p>
    <w:p>
      <w:pPr>
        <w:spacing w:after="0" w:line="166" w:lineRule="exact"/>
        <w:rPr>
          <w:sz w:val="20"/>
          <w:szCs w:val="20"/>
          <w:color w:val="auto"/>
        </w:rPr>
      </w:pPr>
    </w:p>
    <w:p>
      <w:pPr>
        <w:ind w:left="340" w:right="419" w:firstLine="334"/>
        <w:spacing w:after="0" w:line="251" w:lineRule="auto"/>
        <w:rPr>
          <w:sz w:val="20"/>
          <w:szCs w:val="20"/>
          <w:color w:val="auto"/>
        </w:rPr>
      </w:pPr>
      <w:r>
        <w:rPr>
          <w:rFonts w:ascii="Times New Roman" w:cs="Times New Roman" w:eastAsia="Times New Roman" w:hAnsi="Times New Roman"/>
          <w:sz w:val="14"/>
          <w:szCs w:val="14"/>
          <w:color w:val="auto"/>
        </w:rPr>
        <w:t>“Depositary” means, with respect to Securities of any series, for which the Company shall determine that such Securities will be issued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2.01 or Section 2.11.</w:t>
      </w:r>
    </w:p>
    <w:p>
      <w:pPr>
        <w:spacing w:after="0" w:line="145" w:lineRule="exact"/>
        <w:rPr>
          <w:sz w:val="20"/>
          <w:szCs w:val="20"/>
          <w:color w:val="auto"/>
        </w:rPr>
      </w:pPr>
    </w:p>
    <w:p>
      <w:pPr>
        <w:ind w:left="340" w:right="419" w:firstLine="334"/>
        <w:spacing w:after="0" w:line="265" w:lineRule="auto"/>
        <w:rPr>
          <w:sz w:val="20"/>
          <w:szCs w:val="20"/>
          <w:color w:val="auto"/>
        </w:rPr>
      </w:pPr>
      <w:r>
        <w:rPr>
          <w:rFonts w:ascii="Times New Roman" w:cs="Times New Roman" w:eastAsia="Times New Roman" w:hAnsi="Times New Roman"/>
          <w:sz w:val="14"/>
          <w:szCs w:val="14"/>
          <w:color w:val="auto"/>
        </w:rPr>
        <w:t>“Event of Default” means, with respect to Securities of a particular series, any event specified in Section 6.01, continued for the period of time, if any, therein designated.</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“Exchange Act” means the Securities Exchange Act of 1934, as amended.</w:t>
      </w:r>
    </w:p>
    <w:p>
      <w:pPr>
        <w:spacing w:after="0" w:line="166" w:lineRule="exact"/>
        <w:rPr>
          <w:sz w:val="20"/>
          <w:szCs w:val="20"/>
          <w:color w:val="auto"/>
        </w:rPr>
      </w:pPr>
    </w:p>
    <w:p>
      <w:pPr>
        <w:ind w:left="340" w:right="479" w:firstLine="334"/>
        <w:spacing w:after="0" w:line="254" w:lineRule="auto"/>
        <w:rPr>
          <w:sz w:val="20"/>
          <w:szCs w:val="20"/>
          <w:color w:val="auto"/>
        </w:rPr>
      </w:pPr>
      <w:r>
        <w:rPr>
          <w:rFonts w:ascii="Times New Roman" w:cs="Times New Roman" w:eastAsia="Times New Roman" w:hAnsi="Times New Roman"/>
          <w:sz w:val="14"/>
          <w:szCs w:val="14"/>
          <w:color w:val="auto"/>
        </w:rPr>
        <w:t>“Global Security” means, with respect to any series of Securities, a Security executed by the Company and delivered by the Trustee to the Depositary or pursuant to the Depositary’s instruction, all in accordance with this Indenture, which shall be registered in the name of the Depositary or its nominee.</w:t>
      </w:r>
    </w:p>
    <w:p>
      <w:pPr>
        <w:spacing w:after="0" w:line="144" w:lineRule="exact"/>
        <w:rPr>
          <w:sz w:val="20"/>
          <w:szCs w:val="20"/>
          <w:color w:val="auto"/>
        </w:rPr>
      </w:pPr>
    </w:p>
    <w:p>
      <w:pPr>
        <w:ind w:left="340" w:right="359" w:firstLine="334"/>
        <w:spacing w:after="0" w:line="246" w:lineRule="auto"/>
        <w:rPr>
          <w:sz w:val="20"/>
          <w:szCs w:val="20"/>
          <w:color w:val="auto"/>
        </w:rPr>
      </w:pPr>
      <w:r>
        <w:rPr>
          <w:rFonts w:ascii="Times New Roman" w:cs="Times New Roman" w:eastAsia="Times New Roman" w:hAnsi="Times New Roman"/>
          <w:sz w:val="14"/>
          <w:szCs w:val="14"/>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non-callable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52" w:lineRule="exact"/>
        <w:rPr>
          <w:sz w:val="20"/>
          <w:szCs w:val="20"/>
          <w:color w:val="auto"/>
        </w:rPr>
      </w:pPr>
    </w:p>
    <w:p>
      <w:pPr>
        <w:ind w:left="340" w:right="399" w:firstLine="334"/>
        <w:spacing w:after="0" w:line="265" w:lineRule="auto"/>
        <w:rPr>
          <w:sz w:val="20"/>
          <w:szCs w:val="20"/>
          <w:color w:val="auto"/>
        </w:rPr>
      </w:pPr>
      <w:r>
        <w:rPr>
          <w:rFonts w:ascii="Times New Roman" w:cs="Times New Roman" w:eastAsia="Times New Roman" w:hAnsi="Times New Roman"/>
          <w:sz w:val="14"/>
          <w:szCs w:val="14"/>
          <w:color w:val="auto"/>
        </w:rPr>
        <w:t>“herein,” “hereof” and “hereunder,” and other words of similar import, refer to this Indenture as a whole and not to any particular Article, Section or other subdivision.</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9" w:right="1440" w:bottom="1440" w:gutter="0" w:footer="0" w:header="0"/>
        </w:sectPr>
      </w:pPr>
    </w:p>
    <w:bookmarkStart w:id="157" w:name="page158"/>
    <w:bookmarkEnd w:id="157"/>
    <w:p>
      <w:pPr>
        <w:ind w:left="340" w:right="499" w:firstLine="334"/>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“Indenture” means this instrument as originally executed or as it may from time to time be supplemented or amended by one or more indentures supplemental hereto entered into in accordance with the terms hereof.</w:t>
      </w:r>
    </w:p>
    <w:p>
      <w:pPr>
        <w:spacing w:after="0" w:line="136" w:lineRule="exact"/>
        <w:rPr>
          <w:sz w:val="20"/>
          <w:szCs w:val="20"/>
          <w:color w:val="auto"/>
        </w:rPr>
      </w:pPr>
    </w:p>
    <w:p>
      <w:pPr>
        <w:jc w:val="both"/>
        <w:ind w:left="340" w:right="359" w:firstLine="334"/>
        <w:spacing w:after="0" w:line="254" w:lineRule="auto"/>
        <w:rPr>
          <w:sz w:val="20"/>
          <w:szCs w:val="20"/>
          <w:color w:val="auto"/>
        </w:rPr>
      </w:pPr>
      <w:r>
        <w:rPr>
          <w:rFonts w:ascii="Times New Roman" w:cs="Times New Roman" w:eastAsia="Times New Roman" w:hAnsi="Times New Roman"/>
          <w:sz w:val="14"/>
          <w:szCs w:val="14"/>
          <w:color w:val="auto"/>
        </w:rPr>
        <w:t>“Interest Payment Date,”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44" w:lineRule="exact"/>
        <w:rPr>
          <w:sz w:val="20"/>
          <w:szCs w:val="20"/>
          <w:color w:val="auto"/>
        </w:rPr>
      </w:pPr>
    </w:p>
    <w:p>
      <w:pPr>
        <w:ind w:left="340" w:right="359" w:firstLine="334"/>
        <w:spacing w:after="0" w:line="251" w:lineRule="auto"/>
        <w:rPr>
          <w:sz w:val="20"/>
          <w:szCs w:val="20"/>
          <w:color w:val="auto"/>
        </w:rPr>
      </w:pPr>
      <w:r>
        <w:rPr>
          <w:rFonts w:ascii="Times New Roman" w:cs="Times New Roman" w:eastAsia="Times New Roman" w:hAnsi="Times New Roman"/>
          <w:sz w:val="14"/>
          <w:szCs w:val="14"/>
          <w:color w:val="auto"/>
        </w:rPr>
        <w:t>“Officers’ Certificate” means a certificate signed by a director or the President or a Senior Vice President and by the Chief Financial Officer, Vice President of Finance, the Treasurer or an Assistant Treasurer or the Controller or an Assistant Controller or the Secretary or an Assistant Secretary of the Company that is delivered to the Trustee in accordance with the terms hereof. Certificate shall include the statements provided for in Section 13.07, if and to the extent required by the provisions thereof.</w:t>
      </w:r>
    </w:p>
    <w:p>
      <w:pPr>
        <w:spacing w:after="0" w:line="145" w:lineRule="exact"/>
        <w:rPr>
          <w:sz w:val="20"/>
          <w:szCs w:val="20"/>
          <w:color w:val="auto"/>
        </w:rPr>
      </w:pPr>
    </w:p>
    <w:p>
      <w:pPr>
        <w:ind w:left="340" w:right="519" w:firstLine="334"/>
        <w:spacing w:after="0" w:line="265" w:lineRule="auto"/>
        <w:rPr>
          <w:sz w:val="20"/>
          <w:szCs w:val="20"/>
          <w:color w:val="auto"/>
        </w:rPr>
      </w:pPr>
      <w:r>
        <w:rPr>
          <w:rFonts w:ascii="Times New Roman" w:cs="Times New Roman" w:eastAsia="Times New Roman" w:hAnsi="Times New Roman"/>
          <w:sz w:val="14"/>
          <w:szCs w:val="14"/>
          <w:color w:val="auto"/>
        </w:rPr>
        <w:t>“Opinion of Counsel” means a written opinion of counsel, who may be counsel to the Company (and may include directors or employees of the Company) and which opinion is acceptable to the Trustee which acceptance shall not be unreasonably withheld.</w:t>
      </w:r>
    </w:p>
    <w:p>
      <w:pPr>
        <w:spacing w:after="0" w:line="136" w:lineRule="exact"/>
        <w:rPr>
          <w:sz w:val="20"/>
          <w:szCs w:val="20"/>
          <w:color w:val="auto"/>
        </w:rPr>
      </w:pPr>
    </w:p>
    <w:p>
      <w:pPr>
        <w:ind w:left="340" w:right="339" w:firstLine="334"/>
        <w:spacing w:after="0" w:line="246" w:lineRule="auto"/>
        <w:rPr>
          <w:sz w:val="20"/>
          <w:szCs w:val="20"/>
          <w:color w:val="auto"/>
        </w:rPr>
      </w:pPr>
      <w:r>
        <w:rPr>
          <w:rFonts w:ascii="Times New Roman" w:cs="Times New Roman" w:eastAsia="Times New Roman" w:hAnsi="Times New Roman"/>
          <w:sz w:val="14"/>
          <w:szCs w:val="14"/>
          <w:color w:val="auto"/>
        </w:rPr>
        <w:t>“Outstanding”,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52" w:lineRule="exact"/>
        <w:rPr>
          <w:sz w:val="20"/>
          <w:szCs w:val="20"/>
          <w:color w:val="auto"/>
        </w:rPr>
      </w:pPr>
    </w:p>
    <w:p>
      <w:pPr>
        <w:ind w:left="340" w:right="499" w:firstLine="334"/>
        <w:spacing w:after="0" w:line="265" w:lineRule="auto"/>
        <w:rPr>
          <w:sz w:val="20"/>
          <w:szCs w:val="20"/>
          <w:color w:val="auto"/>
        </w:rPr>
      </w:pPr>
      <w:r>
        <w:rPr>
          <w:rFonts w:ascii="Times New Roman" w:cs="Times New Roman" w:eastAsia="Times New Roman" w:hAnsi="Times New Roman"/>
          <w:sz w:val="14"/>
          <w:szCs w:val="14"/>
          <w:color w:val="auto"/>
        </w:rPr>
        <w:t>“Person” means any individual, corporation, limited liability company, partnership, joint-venture, association, joint-stock company, trust, estate, unincorporated organization or government or any agency or political subdivision thereof.</w:t>
      </w:r>
    </w:p>
    <w:p>
      <w:pPr>
        <w:spacing w:after="0" w:line="136" w:lineRule="exact"/>
        <w:rPr>
          <w:sz w:val="20"/>
          <w:szCs w:val="20"/>
          <w:color w:val="auto"/>
        </w:rPr>
      </w:pPr>
    </w:p>
    <w:p>
      <w:pPr>
        <w:ind w:left="340" w:right="419" w:firstLine="334"/>
        <w:spacing w:after="0" w:line="254" w:lineRule="auto"/>
        <w:rPr>
          <w:sz w:val="20"/>
          <w:szCs w:val="20"/>
          <w:color w:val="auto"/>
        </w:rPr>
      </w:pPr>
      <w:r>
        <w:rPr>
          <w:rFonts w:ascii="Times New Roman" w:cs="Times New Roman" w:eastAsia="Times New Roman" w:hAnsi="Times New Roman"/>
          <w:sz w:val="14"/>
          <w:szCs w:val="14"/>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2.07 in lieu of a mutilated, destroyed, lost or stolen Security shall be deemed to evidence the same debt as the mutilated, destroyed, lost or stolen Security.</w:t>
      </w:r>
    </w:p>
    <w:p>
      <w:pPr>
        <w:spacing w:after="0" w:line="144" w:lineRule="exact"/>
        <w:rPr>
          <w:sz w:val="20"/>
          <w:szCs w:val="20"/>
          <w:color w:val="auto"/>
        </w:rPr>
      </w:pPr>
    </w:p>
    <w:p>
      <w:pPr>
        <w:ind w:left="340" w:right="659" w:firstLine="334"/>
        <w:spacing w:after="0" w:line="276" w:lineRule="auto"/>
        <w:rPr>
          <w:sz w:val="20"/>
          <w:szCs w:val="20"/>
          <w:color w:val="auto"/>
        </w:rPr>
      </w:pPr>
      <w:r>
        <w:rPr>
          <w:rFonts w:ascii="Times New Roman" w:cs="Times New Roman" w:eastAsia="Times New Roman" w:hAnsi="Times New Roman"/>
          <w:sz w:val="13"/>
          <w:szCs w:val="13"/>
          <w:color w:val="auto"/>
        </w:rPr>
        <w:t>“Responsible Officer,” when used with respect to the Trustee, means any officer of the Trustee, including any vice president, assistant vice president, secretary, assistant secretary, the treasurer, any assistant treasurer, the managing director or any other officer of the Trustee customarily performing functions similar to those performed by any of the above designated officers and also means, with respect to a particular corporate trust matter, any other officer to whom such matter is referred because of such officer’s knowledge of and familiarity with the particular subject.</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“Securities” means the debt Securities authenticated and delivered under this Indenture.</w:t>
      </w:r>
    </w:p>
    <w:p>
      <w:pPr>
        <w:spacing w:after="0" w:line="11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9" w:right="1440" w:bottom="1440" w:gutter="0" w:footer="0" w:header="0"/>
        </w:sectPr>
      </w:pPr>
    </w:p>
    <w:bookmarkStart w:id="158" w:name="page159"/>
    <w:bookmarkEnd w:id="158"/>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“Security Register” has the meaning specified in Section 2.05.</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“Security Registrar” has the meaning specified in Section 2.05.</w:t>
      </w:r>
    </w:p>
    <w:p>
      <w:pPr>
        <w:spacing w:after="0" w:line="166" w:lineRule="exact"/>
        <w:rPr>
          <w:sz w:val="20"/>
          <w:szCs w:val="20"/>
          <w:color w:val="auto"/>
        </w:rPr>
      </w:pPr>
    </w:p>
    <w:p>
      <w:pPr>
        <w:ind w:left="340" w:right="779" w:firstLine="334"/>
        <w:spacing w:after="0" w:line="265" w:lineRule="auto"/>
        <w:rPr>
          <w:sz w:val="20"/>
          <w:szCs w:val="20"/>
          <w:color w:val="auto"/>
        </w:rPr>
      </w:pPr>
      <w:r>
        <w:rPr>
          <w:rFonts w:ascii="Times New Roman" w:cs="Times New Roman" w:eastAsia="Times New Roman" w:hAnsi="Times New Roman"/>
          <w:sz w:val="14"/>
          <w:szCs w:val="14"/>
          <w:color w:val="auto"/>
        </w:rPr>
        <w:t>“Securityholder,” “holder of Securities,” “registered holder,” or other similar term, means the Person or Persons in whose name or names a particular Security shall be registered in the Security Register.</w:t>
      </w:r>
    </w:p>
    <w:p>
      <w:pPr>
        <w:spacing w:after="0" w:line="136" w:lineRule="exact"/>
        <w:rPr>
          <w:sz w:val="20"/>
          <w:szCs w:val="20"/>
          <w:color w:val="auto"/>
        </w:rPr>
      </w:pPr>
    </w:p>
    <w:p>
      <w:pPr>
        <w:ind w:left="340" w:right="379" w:firstLine="334"/>
        <w:spacing w:after="0" w:line="249" w:lineRule="auto"/>
        <w:rPr>
          <w:sz w:val="20"/>
          <w:szCs w:val="20"/>
          <w:color w:val="auto"/>
        </w:rPr>
      </w:pPr>
      <w:r>
        <w:rPr>
          <w:rFonts w:ascii="Times New Roman" w:cs="Times New Roman" w:eastAsia="Times New Roman" w:hAnsi="Times New Roman"/>
          <w:sz w:val="14"/>
          <w:szCs w:val="14"/>
          <w:color w:val="auto"/>
        </w:rPr>
        <w:t>“Subsidiary”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spacing w:after="0" w:line="147" w:lineRule="exact"/>
        <w:rPr>
          <w:sz w:val="20"/>
          <w:szCs w:val="20"/>
          <w:color w:val="auto"/>
        </w:rPr>
      </w:pPr>
    </w:p>
    <w:p>
      <w:pPr>
        <w:jc w:val="both"/>
        <w:ind w:left="340" w:right="639" w:firstLine="334"/>
        <w:spacing w:after="0" w:line="254" w:lineRule="auto"/>
        <w:rPr>
          <w:sz w:val="20"/>
          <w:szCs w:val="20"/>
          <w:color w:val="auto"/>
        </w:rPr>
      </w:pPr>
      <w:r>
        <w:rPr>
          <w:rFonts w:ascii="Times New Roman" w:cs="Times New Roman" w:eastAsia="Times New Roman" w:hAnsi="Times New Roman"/>
          <w:sz w:val="14"/>
          <w:szCs w:val="14"/>
          <w:color w:val="auto"/>
        </w:rPr>
        <w:t>“Trustee” means the Person named as the “Trustee” in the first paragraph of this instrument until a successor Trustee shall have become such pursuant to the applicable provisions of this Indenture, and thereafter “Trustee” shall mean such successor Trustee. The term “Trustee” as used with respect to a particular series of the Securities shall mean the trustee with respect to that series.</w:t>
      </w:r>
    </w:p>
    <w:p>
      <w:pPr>
        <w:spacing w:after="0" w:line="144" w:lineRule="exact"/>
        <w:rPr>
          <w:sz w:val="20"/>
          <w:szCs w:val="20"/>
          <w:color w:val="auto"/>
        </w:rPr>
      </w:pPr>
    </w:p>
    <w:p>
      <w:pPr>
        <w:jc w:val="both"/>
        <w:ind w:left="340" w:right="419" w:firstLine="334"/>
        <w:spacing w:after="0" w:line="254" w:lineRule="auto"/>
        <w:rPr>
          <w:sz w:val="20"/>
          <w:szCs w:val="20"/>
          <w:color w:val="auto"/>
        </w:rPr>
      </w:pPr>
      <w:r>
        <w:rPr>
          <w:rFonts w:ascii="Times New Roman" w:cs="Times New Roman" w:eastAsia="Times New Roman" w:hAnsi="Times New Roman"/>
          <w:sz w:val="14"/>
          <w:szCs w:val="14"/>
          <w:color w:val="auto"/>
        </w:rPr>
        <w:t>“Trust Indenture Act” means the Trust Indenture Act of 1939, as amended, subject to the provisions of Sections 9.01, 9.02, and 10.01, as in effect at the date of execution of this instrument; provided, however, that in the event the Trust Indenture Act is amended after such date, Trust Indenture Act means, to the extent required by such amendment, the Trust Indenture Act of 1939, as so amended, or any successor statute.</w:t>
      </w:r>
    </w:p>
    <w:p>
      <w:pPr>
        <w:spacing w:after="0" w:line="144" w:lineRule="exact"/>
        <w:rPr>
          <w:sz w:val="20"/>
          <w:szCs w:val="20"/>
          <w:color w:val="auto"/>
        </w:rPr>
      </w:pPr>
    </w:p>
    <w:p>
      <w:pPr>
        <w:ind w:left="340" w:right="399" w:firstLine="334"/>
        <w:spacing w:after="0" w:line="254" w:lineRule="auto"/>
        <w:rPr>
          <w:sz w:val="20"/>
          <w:szCs w:val="20"/>
          <w:color w:val="auto"/>
        </w:rPr>
      </w:pPr>
      <w:r>
        <w:rPr>
          <w:rFonts w:ascii="Times New Roman" w:cs="Times New Roman" w:eastAsia="Times New Roman" w:hAnsi="Times New Roman"/>
          <w:sz w:val="14"/>
          <w:szCs w:val="14"/>
          <w:color w:val="auto"/>
        </w:rPr>
        <w:t>“Voting Stock,” as applied to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II</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ISSUE, DESCRIPTION, TERMS, EXECUTION, REGISTRATION AND EXCHANGE OF SECURITIES</w:t>
      </w:r>
    </w:p>
    <w:p>
      <w:pPr>
        <w:spacing w:after="0" w:line="1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2.01 Designation and Terms of Securities.</w:t>
      </w:r>
    </w:p>
    <w:p>
      <w:pPr>
        <w:spacing w:after="0" w:line="95" w:lineRule="exact"/>
        <w:rPr>
          <w:sz w:val="20"/>
          <w:szCs w:val="20"/>
          <w:color w:val="auto"/>
        </w:rPr>
      </w:pPr>
    </w:p>
    <w:p>
      <w:pPr>
        <w:jc w:val="both"/>
        <w:ind w:left="1060" w:right="359" w:hanging="403"/>
        <w:spacing w:after="0" w:line="249" w:lineRule="auto"/>
        <w:tabs>
          <w:tab w:leader="none" w:pos="10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of the Company or pursuant to one or more indentures supplemental hereto. Prior to the initial issuance of Securities of a given series, there shall be established in or pursuant to a Board Resolution of the Company, and set forth in an Officers’ Certificate of the Company, or established in one or more indentures supplemental hereto:</w:t>
      </w:r>
    </w:p>
    <w:p>
      <w:pPr>
        <w:spacing w:after="0" w:line="75" w:lineRule="exact"/>
        <w:rPr>
          <w:rFonts w:ascii="Times New Roman" w:cs="Times New Roman" w:eastAsia="Times New Roman" w:hAnsi="Times New Roman"/>
          <w:sz w:val="14"/>
          <w:szCs w:val="14"/>
          <w:color w:val="auto"/>
        </w:rPr>
      </w:pPr>
    </w:p>
    <w:p>
      <w:pPr>
        <w:ind w:left="1400" w:hanging="323"/>
        <w:spacing w:after="0"/>
        <w:tabs>
          <w:tab w:leader="none" w:pos="1400" w:val="left"/>
        </w:tabs>
        <w:numPr>
          <w:ilvl w:val="1"/>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Security of the series (which shall distinguish the Securities of the series from all other Securities);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9" w:right="1440" w:bottom="1440" w:gutter="0" w:footer="0" w:header="0"/>
        </w:sectPr>
      </w:pPr>
    </w:p>
    <w:bookmarkStart w:id="159" w:name="page160"/>
    <w:bookmarkEnd w:id="159"/>
    <w:p>
      <w:pPr>
        <w:ind w:left="1400" w:right="739" w:hanging="323"/>
        <w:spacing w:after="0" w:line="283" w:lineRule="auto"/>
        <w:tabs>
          <w:tab w:leader="none" w:pos="140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the aggregate principal amount of the Securities of such series initially to be issued and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54" w:lineRule="exact"/>
        <w:rPr>
          <w:rFonts w:ascii="Times New Roman" w:cs="Times New Roman" w:eastAsia="Times New Roman" w:hAnsi="Times New Roman"/>
          <w:sz w:val="13"/>
          <w:szCs w:val="13"/>
          <w:color w:val="auto"/>
        </w:rPr>
      </w:pPr>
    </w:p>
    <w:p>
      <w:pPr>
        <w:ind w:left="1400" w:right="519" w:hanging="323"/>
        <w:spacing w:after="0" w:line="265" w:lineRule="auto"/>
        <w:tabs>
          <w:tab w:leader="none" w:pos="14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units based on or relating to currencies in which debt securities of such series are denominated and the currency or units in which principal or interest or both will or may be payable;</w:t>
      </w:r>
    </w:p>
    <w:p>
      <w:pPr>
        <w:spacing w:after="0" w:line="63" w:lineRule="exact"/>
        <w:rPr>
          <w:rFonts w:ascii="Times New Roman" w:cs="Times New Roman" w:eastAsia="Times New Roman" w:hAnsi="Times New Roman"/>
          <w:sz w:val="14"/>
          <w:szCs w:val="14"/>
          <w:color w:val="auto"/>
        </w:rPr>
      </w:pPr>
    </w:p>
    <w:p>
      <w:pPr>
        <w:ind w:left="1400" w:hanging="323"/>
        <w:spacing w:after="0"/>
        <w:tabs>
          <w:tab w:leader="none" w:pos="14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Securities of the series is payable and the place(s) of payment;</w:t>
      </w:r>
    </w:p>
    <w:p>
      <w:pPr>
        <w:spacing w:after="0" w:line="94" w:lineRule="exact"/>
        <w:rPr>
          <w:rFonts w:ascii="Times New Roman" w:cs="Times New Roman" w:eastAsia="Times New Roman" w:hAnsi="Times New Roman"/>
          <w:sz w:val="14"/>
          <w:szCs w:val="14"/>
          <w:color w:val="auto"/>
        </w:rPr>
      </w:pPr>
    </w:p>
    <w:p>
      <w:pPr>
        <w:ind w:left="1400" w:hanging="323"/>
        <w:spacing w:after="0"/>
        <w:tabs>
          <w:tab w:leader="none" w:pos="14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at which the Securities of the series shall bear interest or the manner of calculation of such rate or rates, if any;</w:t>
      </w:r>
    </w:p>
    <w:p>
      <w:pPr>
        <w:spacing w:after="0" w:line="94" w:lineRule="exact"/>
        <w:rPr>
          <w:rFonts w:ascii="Times New Roman" w:cs="Times New Roman" w:eastAsia="Times New Roman" w:hAnsi="Times New Roman"/>
          <w:sz w:val="14"/>
          <w:szCs w:val="14"/>
          <w:color w:val="auto"/>
        </w:rPr>
      </w:pPr>
    </w:p>
    <w:p>
      <w:pPr>
        <w:ind w:left="1400" w:right="659" w:hanging="323"/>
        <w:spacing w:after="0" w:line="283" w:lineRule="auto"/>
        <w:tabs>
          <w:tab w:leader="none" w:pos="140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method for determining such dates;</w:t>
      </w:r>
    </w:p>
    <w:p>
      <w:pPr>
        <w:spacing w:after="0" w:line="54" w:lineRule="exact"/>
        <w:rPr>
          <w:rFonts w:ascii="Times New Roman" w:cs="Times New Roman" w:eastAsia="Times New Roman" w:hAnsi="Times New Roman"/>
          <w:sz w:val="13"/>
          <w:szCs w:val="13"/>
          <w:color w:val="auto"/>
        </w:rPr>
      </w:pPr>
    </w:p>
    <w:p>
      <w:pPr>
        <w:ind w:left="1400" w:hanging="323"/>
        <w:spacing w:after="0"/>
        <w:tabs>
          <w:tab w:leader="none" w:pos="14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if any, to extend the interest payment periods or to defer the payment of interest and the duration of such extension;</w:t>
      </w:r>
    </w:p>
    <w:p>
      <w:pPr>
        <w:spacing w:after="0" w:line="94" w:lineRule="exact"/>
        <w:rPr>
          <w:rFonts w:ascii="Times New Roman" w:cs="Times New Roman" w:eastAsia="Times New Roman" w:hAnsi="Times New Roman"/>
          <w:sz w:val="14"/>
          <w:szCs w:val="14"/>
          <w:color w:val="auto"/>
        </w:rPr>
      </w:pPr>
    </w:p>
    <w:p>
      <w:pPr>
        <w:ind w:left="1400" w:right="339" w:hanging="323"/>
        <w:spacing w:after="0" w:line="265" w:lineRule="auto"/>
        <w:tabs>
          <w:tab w:leader="none" w:pos="14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or periods within which, the price or prices at which and the terms and conditions upon which, Securities of the series may be redeemed, in whole or in part, at the option of the Company;</w:t>
      </w:r>
    </w:p>
    <w:p>
      <w:pPr>
        <w:spacing w:after="0" w:line="63" w:lineRule="exact"/>
        <w:rPr>
          <w:rFonts w:ascii="Times New Roman" w:cs="Times New Roman" w:eastAsia="Times New Roman" w:hAnsi="Times New Roman"/>
          <w:sz w:val="14"/>
          <w:szCs w:val="14"/>
          <w:color w:val="auto"/>
        </w:rPr>
      </w:pPr>
    </w:p>
    <w:p>
      <w:pPr>
        <w:ind w:left="1400" w:right="339" w:hanging="323"/>
        <w:spacing w:after="0" w:line="251" w:lineRule="auto"/>
        <w:tabs>
          <w:tab w:leader="none" w:pos="14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if any, of the Company to redeem or purchase Securities of the series pursuant to any sinking fund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73" w:lineRule="exact"/>
        <w:rPr>
          <w:rFonts w:ascii="Times New Roman" w:cs="Times New Roman" w:eastAsia="Times New Roman" w:hAnsi="Times New Roman"/>
          <w:sz w:val="14"/>
          <w:szCs w:val="14"/>
          <w:color w:val="auto"/>
        </w:rPr>
      </w:pPr>
    </w:p>
    <w:p>
      <w:pPr>
        <w:ind w:left="1400" w:hanging="323"/>
        <w:spacing w:after="0"/>
        <w:tabs>
          <w:tab w:leader="none" w:pos="14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 debt securities will be secured or unsecured, and the terms of any secured debt;</w:t>
      </w:r>
    </w:p>
    <w:p>
      <w:pPr>
        <w:spacing w:after="0" w:line="94" w:lineRule="exact"/>
        <w:rPr>
          <w:rFonts w:ascii="Times New Roman" w:cs="Times New Roman" w:eastAsia="Times New Roman" w:hAnsi="Times New Roman"/>
          <w:sz w:val="14"/>
          <w:szCs w:val="14"/>
          <w:color w:val="auto"/>
        </w:rPr>
      </w:pPr>
    </w:p>
    <w:p>
      <w:pPr>
        <w:ind w:left="1400" w:hanging="323"/>
        <w:spacing w:after="0"/>
        <w:tabs>
          <w:tab w:leader="none" w:pos="14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the Securities of the series including the form of the Certificate of Authentication for such series;</w:t>
      </w:r>
    </w:p>
    <w:p>
      <w:pPr>
        <w:spacing w:after="0" w:line="94" w:lineRule="exact"/>
        <w:rPr>
          <w:rFonts w:ascii="Times New Roman" w:cs="Times New Roman" w:eastAsia="Times New Roman" w:hAnsi="Times New Roman"/>
          <w:sz w:val="14"/>
          <w:szCs w:val="14"/>
          <w:color w:val="auto"/>
        </w:rPr>
      </w:pPr>
    </w:p>
    <w:p>
      <w:pPr>
        <w:ind w:left="1400" w:right="499" w:hanging="323"/>
        <w:spacing w:after="0" w:line="265" w:lineRule="auto"/>
        <w:tabs>
          <w:tab w:leader="none" w:pos="14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denominations of one thousand U.S. dollars ($1,000) or any integral multiple thereof, the denominations in which the Securities of the series shall be issuable;</w:t>
      </w:r>
    </w:p>
    <w:p>
      <w:pPr>
        <w:spacing w:after="0" w:line="63" w:lineRule="exact"/>
        <w:rPr>
          <w:rFonts w:ascii="Times New Roman" w:cs="Times New Roman" w:eastAsia="Times New Roman" w:hAnsi="Times New Roman"/>
          <w:sz w:val="14"/>
          <w:szCs w:val="14"/>
          <w:color w:val="auto"/>
        </w:rPr>
      </w:pPr>
    </w:p>
    <w:p>
      <w:pPr>
        <w:ind w:left="1400" w:right="339" w:hanging="323"/>
        <w:spacing w:after="0" w:line="254" w:lineRule="auto"/>
        <w:tabs>
          <w:tab w:leader="none" w:pos="14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other terms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9" w:right="1440" w:bottom="1440" w:gutter="0" w:footer="0" w:header="0"/>
        </w:sectPr>
      </w:pPr>
    </w:p>
    <w:bookmarkStart w:id="160" w:name="page161"/>
    <w:bookmarkEnd w:id="160"/>
    <w:p>
      <w:pPr>
        <w:ind w:left="1400" w:hanging="323"/>
        <w:spacing w:after="0"/>
        <w:tabs>
          <w:tab w:leader="none" w:pos="14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whether the Securities are issuable as a Global Security and, in such case, the identity of the Depositary for such series;</w:t>
      </w:r>
    </w:p>
    <w:p>
      <w:pPr>
        <w:spacing w:after="0" w:line="94" w:lineRule="exact"/>
        <w:rPr>
          <w:rFonts w:ascii="Times New Roman" w:cs="Times New Roman" w:eastAsia="Times New Roman" w:hAnsi="Times New Roman"/>
          <w:sz w:val="14"/>
          <w:szCs w:val="14"/>
          <w:color w:val="auto"/>
        </w:rPr>
      </w:pPr>
    </w:p>
    <w:p>
      <w:pPr>
        <w:ind w:left="1400" w:right="479" w:hanging="323"/>
        <w:spacing w:after="0" w:line="265" w:lineRule="auto"/>
        <w:tabs>
          <w:tab w:leader="none" w:pos="14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Securities will be convertible into shares of common stock or other securities of the Company and, if so, the terms and conditions upon which such Securities will be so convertible, including the conversion price and the conversion period;</w:t>
      </w:r>
    </w:p>
    <w:p>
      <w:pPr>
        <w:spacing w:after="0" w:line="63" w:lineRule="exact"/>
        <w:rPr>
          <w:rFonts w:ascii="Times New Roman" w:cs="Times New Roman" w:eastAsia="Times New Roman" w:hAnsi="Times New Roman"/>
          <w:sz w:val="14"/>
          <w:szCs w:val="14"/>
          <w:color w:val="auto"/>
        </w:rPr>
      </w:pPr>
    </w:p>
    <w:p>
      <w:pPr>
        <w:ind w:left="1400" w:right="399" w:hanging="323"/>
        <w:spacing w:after="0" w:line="265" w:lineRule="auto"/>
        <w:tabs>
          <w:tab w:leader="none" w:pos="14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principal amount thereof, the portion of the principal amount of Securities of the series which shall be payable upon declaration of acceleration of the maturity thereof pursuant to Section 6.01;</w:t>
      </w:r>
    </w:p>
    <w:p>
      <w:pPr>
        <w:spacing w:after="0" w:line="63" w:lineRule="exact"/>
        <w:rPr>
          <w:rFonts w:ascii="Times New Roman" w:cs="Times New Roman" w:eastAsia="Times New Roman" w:hAnsi="Times New Roman"/>
          <w:sz w:val="14"/>
          <w:szCs w:val="14"/>
          <w:color w:val="auto"/>
        </w:rPr>
      </w:pPr>
    </w:p>
    <w:p>
      <w:pPr>
        <w:ind w:left="1400" w:hanging="323"/>
        <w:spacing w:after="0"/>
        <w:tabs>
          <w:tab w:leader="none" w:pos="14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or different Events of Default or restrictive covenants provided for with respect to the Securities of the series; and</w:t>
      </w:r>
    </w:p>
    <w:p>
      <w:pPr>
        <w:spacing w:after="0" w:line="94" w:lineRule="exact"/>
        <w:rPr>
          <w:rFonts w:ascii="Times New Roman" w:cs="Times New Roman" w:eastAsia="Times New Roman" w:hAnsi="Times New Roman"/>
          <w:sz w:val="14"/>
          <w:szCs w:val="14"/>
          <w:color w:val="auto"/>
        </w:rPr>
      </w:pPr>
    </w:p>
    <w:p>
      <w:pPr>
        <w:ind w:left="1400" w:hanging="323"/>
        <w:spacing w:after="0"/>
        <w:tabs>
          <w:tab w:leader="none" w:pos="14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subordination terms of the Securities of the series.</w:t>
      </w:r>
    </w:p>
    <w:p>
      <w:pPr>
        <w:spacing w:after="0" w:line="166" w:lineRule="exact"/>
        <w:rPr>
          <w:sz w:val="20"/>
          <w:szCs w:val="20"/>
          <w:color w:val="auto"/>
        </w:rPr>
      </w:pPr>
    </w:p>
    <w:p>
      <w:pPr>
        <w:ind w:left="340" w:right="439" w:firstLine="334"/>
        <w:spacing w:after="0" w:line="265" w:lineRule="auto"/>
        <w:rPr>
          <w:sz w:val="20"/>
          <w:szCs w:val="20"/>
          <w:color w:val="auto"/>
        </w:rPr>
      </w:pPr>
      <w:r>
        <w:rPr>
          <w:rFonts w:ascii="Times New Roman" w:cs="Times New Roman" w:eastAsia="Times New Roman" w:hAnsi="Times New Roman"/>
          <w:sz w:val="14"/>
          <w:szCs w:val="14"/>
          <w:color w:val="auto"/>
        </w:rPr>
        <w:t>All Securities of any one series shall be substantially identical except as to denomination and except as may otherwise be provided in or pursuant to any such Board Resolution or in any indentures supplemental hereto.</w:t>
      </w:r>
    </w:p>
    <w:p>
      <w:pPr>
        <w:spacing w:after="0" w:line="136" w:lineRule="exact"/>
        <w:rPr>
          <w:sz w:val="20"/>
          <w:szCs w:val="20"/>
          <w:color w:val="auto"/>
        </w:rPr>
      </w:pPr>
    </w:p>
    <w:p>
      <w:pPr>
        <w:ind w:left="340" w:right="399" w:firstLine="334"/>
        <w:spacing w:after="0" w:line="254" w:lineRule="auto"/>
        <w:rPr>
          <w:sz w:val="20"/>
          <w:szCs w:val="20"/>
          <w:color w:val="auto"/>
        </w:rPr>
      </w:pPr>
      <w:r>
        <w:rPr>
          <w:rFonts w:ascii="Times New Roman" w:cs="Times New Roman" w:eastAsia="Times New Roman" w:hAnsi="Times New Roman"/>
          <w:sz w:val="14"/>
          <w:szCs w:val="14"/>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44" w:lineRule="exact"/>
        <w:rPr>
          <w:sz w:val="20"/>
          <w:szCs w:val="20"/>
          <w:color w:val="auto"/>
        </w:rPr>
      </w:pPr>
    </w:p>
    <w:p>
      <w:pPr>
        <w:jc w:val="both"/>
        <w:ind w:left="340" w:right="579" w:firstLine="334"/>
        <w:spacing w:after="0" w:line="254" w:lineRule="auto"/>
        <w:rPr>
          <w:sz w:val="20"/>
          <w:szCs w:val="20"/>
          <w:color w:val="auto"/>
        </w:rPr>
      </w:pPr>
      <w:r>
        <w:rPr>
          <w:rFonts w:ascii="Times New Roman" w:cs="Times New Roman" w:eastAsia="Times New Roman" w:hAnsi="Times New Roman"/>
          <w:sz w:val="14"/>
          <w:szCs w:val="14"/>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4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2.02 Form of Securities and Trustee’s Certificate.</w:t>
      </w:r>
    </w:p>
    <w:p>
      <w:pPr>
        <w:spacing w:after="0" w:line="166" w:lineRule="exact"/>
        <w:rPr>
          <w:sz w:val="20"/>
          <w:szCs w:val="20"/>
          <w:color w:val="auto"/>
        </w:rPr>
      </w:pPr>
    </w:p>
    <w:p>
      <w:pPr>
        <w:ind w:left="340" w:right="439" w:firstLine="334"/>
        <w:spacing w:after="0" w:line="248" w:lineRule="auto"/>
        <w:rPr>
          <w:sz w:val="20"/>
          <w:szCs w:val="20"/>
          <w:color w:val="auto"/>
        </w:rPr>
      </w:pPr>
      <w:r>
        <w:rPr>
          <w:rFonts w:ascii="Times New Roman" w:cs="Times New Roman" w:eastAsia="Times New Roman" w:hAnsi="Times New Roman"/>
          <w:sz w:val="14"/>
          <w:szCs w:val="14"/>
          <w:color w:val="auto"/>
        </w:rPr>
        <w:t>The Securities of any series and the Trustee’s certificate of authentication to be borne by such Securities shall be substantially of the tenor and purport as set forth in one or more indentures supplemental hereto or as provided in a Board Resolution of the Company and as set forth in an Officers’ Certificate of the Company and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stock exchange on which Securities of that series may be listed, or to conform to usage.</w:t>
      </w:r>
    </w:p>
    <w:p>
      <w:pPr>
        <w:spacing w:after="0" w:line="14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2.03 Denominations: Provisions for Payment.</w:t>
      </w:r>
    </w:p>
    <w:p>
      <w:pPr>
        <w:spacing w:after="0" w:line="166" w:lineRule="exact"/>
        <w:rPr>
          <w:sz w:val="20"/>
          <w:szCs w:val="20"/>
          <w:color w:val="auto"/>
        </w:rPr>
      </w:pPr>
    </w:p>
    <w:p>
      <w:pPr>
        <w:ind w:left="340" w:right="419" w:firstLine="334"/>
        <w:spacing w:after="0" w:line="271" w:lineRule="auto"/>
        <w:rPr>
          <w:sz w:val="20"/>
          <w:szCs w:val="20"/>
          <w:color w:val="auto"/>
        </w:rPr>
      </w:pPr>
      <w:r>
        <w:rPr>
          <w:rFonts w:ascii="Times New Roman" w:cs="Times New Roman" w:eastAsia="Times New Roman" w:hAnsi="Times New Roman"/>
          <w:sz w:val="13"/>
          <w:szCs w:val="13"/>
          <w:color w:val="auto"/>
        </w:rPr>
        <w:t>The Securities shall be issuable as registered Securities and in the denominations of one thousand U.S. dollars ($1,000) or any integral multiple thereof, subject to Section 2.01(a)(12). The Securities of a particular series shall bear interest payable on the dates and at the rate specified with respect to that series.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9" w:right="1440" w:bottom="1440" w:gutter="0" w:footer="0" w:header="0"/>
        </w:sectPr>
      </w:pPr>
    </w:p>
    <w:bookmarkStart w:id="161" w:name="page162"/>
    <w:bookmarkEnd w:id="161"/>
    <w:p>
      <w:pPr>
        <w:ind w:left="340" w:right="359" w:firstLine="334"/>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47" w:lineRule="exact"/>
        <w:rPr>
          <w:sz w:val="20"/>
          <w:szCs w:val="20"/>
          <w:color w:val="auto"/>
        </w:rPr>
      </w:pPr>
    </w:p>
    <w:p>
      <w:pPr>
        <w:ind w:left="340" w:right="459" w:firstLine="334"/>
        <w:spacing w:after="0" w:line="283" w:lineRule="auto"/>
        <w:rPr>
          <w:sz w:val="20"/>
          <w:szCs w:val="20"/>
          <w:color w:val="auto"/>
        </w:rPr>
      </w:pPr>
      <w:r>
        <w:rPr>
          <w:rFonts w:ascii="Times New Roman" w:cs="Times New Roman" w:eastAsia="Times New Roman" w:hAnsi="Times New Roman"/>
          <w:sz w:val="13"/>
          <w:szCs w:val="13"/>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54" w:lineRule="exact"/>
        <w:rPr>
          <w:sz w:val="20"/>
          <w:szCs w:val="20"/>
          <w:color w:val="auto"/>
        </w:rPr>
      </w:pPr>
    </w:p>
    <w:p>
      <w:pPr>
        <w:ind w:left="1400" w:right="359" w:hanging="323"/>
        <w:spacing w:after="0" w:line="245" w:lineRule="auto"/>
        <w:tabs>
          <w:tab w:leader="none" w:pos="14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82" w:lineRule="exact"/>
        <w:rPr>
          <w:rFonts w:ascii="Times New Roman" w:cs="Times New Roman" w:eastAsia="Times New Roman" w:hAnsi="Times New Roman"/>
          <w:sz w:val="14"/>
          <w:szCs w:val="14"/>
          <w:color w:val="auto"/>
        </w:rPr>
      </w:pPr>
    </w:p>
    <w:p>
      <w:pPr>
        <w:ind w:left="1400" w:right="479" w:hanging="323"/>
        <w:spacing w:after="0" w:line="251" w:lineRule="auto"/>
        <w:tabs>
          <w:tab w:leader="none" w:pos="14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9" w:right="1440" w:bottom="1440" w:gutter="0" w:footer="0" w:header="0"/>
        </w:sectPr>
      </w:pPr>
    </w:p>
    <w:bookmarkStart w:id="162" w:name="page163"/>
    <w:bookmarkEnd w:id="162"/>
    <w:p>
      <w:pPr>
        <w:ind w:left="340" w:right="339" w:firstLine="334"/>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Unless otherwise set forth in a Board Resolution of the Company or one or more indentures supplemental hereto establishing the terms of any series of Securities pursuant to Section 2.01 hereof, the term “regular record date” as used in this Section with respect to a series of Securities with respect to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last day of the month immediately preceding the month in which an Interest Payment Date established for such series pursuant to Section 2.01 hereof shall occur, if such Interest Payment Date is the fifteenth day of a month, whether or not such date is a Business Day.</w:t>
      </w:r>
    </w:p>
    <w:p>
      <w:pPr>
        <w:spacing w:after="0" w:line="148" w:lineRule="exact"/>
        <w:rPr>
          <w:sz w:val="20"/>
          <w:szCs w:val="20"/>
          <w:color w:val="auto"/>
        </w:rPr>
      </w:pPr>
    </w:p>
    <w:p>
      <w:pPr>
        <w:jc w:val="both"/>
        <w:ind w:left="340" w:right="459" w:firstLine="334"/>
        <w:spacing w:after="0" w:line="304" w:lineRule="auto"/>
        <w:rPr>
          <w:sz w:val="20"/>
          <w:szCs w:val="20"/>
          <w:color w:val="auto"/>
        </w:rPr>
      </w:pPr>
      <w:r>
        <w:rPr>
          <w:rFonts w:ascii="Times New Roman" w:cs="Times New Roman" w:eastAsia="Times New Roman" w:hAnsi="Times New Roman"/>
          <w:sz w:val="13"/>
          <w:szCs w:val="13"/>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1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2.04 Execution and Authentications.</w:t>
      </w:r>
    </w:p>
    <w:p>
      <w:pPr>
        <w:spacing w:after="0" w:line="166" w:lineRule="exact"/>
        <w:rPr>
          <w:sz w:val="20"/>
          <w:szCs w:val="20"/>
          <w:color w:val="auto"/>
        </w:rPr>
      </w:pPr>
    </w:p>
    <w:p>
      <w:pPr>
        <w:ind w:left="340" w:right="359" w:firstLine="334"/>
        <w:spacing w:after="0" w:line="246" w:lineRule="auto"/>
        <w:rPr>
          <w:sz w:val="20"/>
          <w:szCs w:val="20"/>
          <w:color w:val="auto"/>
        </w:rPr>
      </w:pPr>
      <w:r>
        <w:rPr>
          <w:rFonts w:ascii="Times New Roman" w:cs="Times New Roman" w:eastAsia="Times New Roman" w:hAnsi="Times New Roman"/>
          <w:sz w:val="14"/>
          <w:szCs w:val="14"/>
          <w:color w:val="auto"/>
        </w:rPr>
        <w:t>The Securities shall be signed on behalf of the Company by its President, or one of its Senior Vice Presidents, or its Treasurer, or one of its Assistant Treasurers, or its Secretary, or one of its Assistant Secretaries, under its corporate seal attested by its Secretary or one of its Assistant Secretaries. Signatures may be in the form of a manual or facsimile signature. The Company may use the facsimile signature of any Person who shall have been a President or Vice President thereof, or of any Person who shall have been a Treasurer or Assistant Treasurer thereof, or of any Person who shall have been a Secretary or Assistant Secretary thereof, notwithstanding the fact that at the time the Securities shall be authenticated and delivered or disposed of such Person shall have ceased to be the President or a Vice President, the Treasurer or an Assistant Treasurer or the Secretary or an Assistant Secretary, of the Company. The seal of the Company may be in the form of a facsimile of such seal and may be impressed, affixed, imprinted or otherwise reproduced on the Securities. The Securities may contain such notations, legends or endorsements required by law, stock exchange rule or usage. Each Security shall be dated the date of its authentication.</w:t>
      </w:r>
    </w:p>
    <w:p>
      <w:pPr>
        <w:spacing w:after="0" w:line="152" w:lineRule="exact"/>
        <w:rPr>
          <w:sz w:val="20"/>
          <w:szCs w:val="20"/>
          <w:color w:val="auto"/>
        </w:rPr>
      </w:pPr>
    </w:p>
    <w:p>
      <w:pPr>
        <w:ind w:left="340" w:right="379" w:firstLine="334"/>
        <w:spacing w:after="0" w:line="247" w:lineRule="auto"/>
        <w:rPr>
          <w:sz w:val="20"/>
          <w:szCs w:val="20"/>
          <w:color w:val="auto"/>
        </w:rPr>
      </w:pPr>
      <w:r>
        <w:rPr>
          <w:rFonts w:ascii="Times New Roman" w:cs="Times New Roman" w:eastAsia="Times New Roman" w:hAnsi="Times New Roman"/>
          <w:sz w:val="14"/>
          <w:szCs w:val="14"/>
          <w:color w:val="auto"/>
        </w:rPr>
        <w:t>A Security shall not be valid or obligatory for any purpose and shall not be entitled to any benefit under this Indenture, in each case, until authenticated with a certificate of authentication manually signed by an authorized signatory of the Trustee, or by an Authenticating Agent. Such certificate shall be conclusive evidence, and the only evidence, that the Security so authenticated has been duly authenticated and delivered hereunder and that the Security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its President or any Vice President and its Secretary or any Assistant Secretary, and the Trustee in accordance with such written order shall authenticate and deliver such Securities.</w:t>
      </w:r>
    </w:p>
    <w:p>
      <w:pPr>
        <w:spacing w:after="0" w:line="150" w:lineRule="exact"/>
        <w:rPr>
          <w:sz w:val="20"/>
          <w:szCs w:val="20"/>
          <w:color w:val="auto"/>
        </w:rPr>
      </w:pPr>
    </w:p>
    <w:p>
      <w:pPr>
        <w:ind w:left="340" w:right="459" w:firstLine="334"/>
        <w:spacing w:after="0" w:line="254" w:lineRule="auto"/>
        <w:rPr>
          <w:sz w:val="20"/>
          <w:szCs w:val="20"/>
          <w:color w:val="auto"/>
        </w:rPr>
      </w:pPr>
      <w:r>
        <w:rPr>
          <w:rFonts w:ascii="Times New Roman" w:cs="Times New Roman" w:eastAsia="Times New Roman" w:hAnsi="Times New Roman"/>
          <w:sz w:val="14"/>
          <w:szCs w:val="14"/>
          <w:color w:val="auto"/>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spacing w:after="0" w:line="144" w:lineRule="exact"/>
        <w:rPr>
          <w:sz w:val="20"/>
          <w:szCs w:val="20"/>
          <w:color w:val="auto"/>
        </w:rPr>
      </w:pPr>
    </w:p>
    <w:p>
      <w:pPr>
        <w:ind w:left="340" w:right="479" w:firstLine="334"/>
        <w:spacing w:after="0" w:line="304" w:lineRule="auto"/>
        <w:rPr>
          <w:sz w:val="20"/>
          <w:szCs w:val="20"/>
          <w:color w:val="auto"/>
        </w:rPr>
      </w:pPr>
      <w:r>
        <w:rPr>
          <w:rFonts w:ascii="Times New Roman" w:cs="Times New Roman" w:eastAsia="Times New Roman" w:hAnsi="Times New Roman"/>
          <w:sz w:val="13"/>
          <w:szCs w:val="13"/>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9" w:right="1440" w:bottom="1440" w:gutter="0" w:footer="0" w:header="0"/>
        </w:sectPr>
      </w:pPr>
    </w:p>
    <w:bookmarkStart w:id="163" w:name="page164"/>
    <w:bookmarkEnd w:id="163"/>
    <w:p>
      <w:pPr>
        <w:ind w:left="10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2.05 Registration of Transfer and Exchange.</w:t>
      </w:r>
    </w:p>
    <w:p>
      <w:pPr>
        <w:spacing w:after="0" w:line="95" w:lineRule="exact"/>
        <w:rPr>
          <w:sz w:val="20"/>
          <w:szCs w:val="20"/>
          <w:color w:val="auto"/>
        </w:rPr>
      </w:pPr>
    </w:p>
    <w:p>
      <w:pPr>
        <w:ind w:left="1060" w:right="359" w:hanging="403"/>
        <w:spacing w:after="0" w:line="248" w:lineRule="auto"/>
        <w:tabs>
          <w:tab w:leader="none" w:pos="10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76" w:lineRule="exact"/>
        <w:rPr>
          <w:rFonts w:ascii="Times New Roman" w:cs="Times New Roman" w:eastAsia="Times New Roman" w:hAnsi="Times New Roman"/>
          <w:sz w:val="14"/>
          <w:szCs w:val="14"/>
          <w:color w:val="auto"/>
        </w:rPr>
      </w:pPr>
    </w:p>
    <w:p>
      <w:pPr>
        <w:ind w:left="1060" w:right="339" w:hanging="403"/>
        <w:spacing w:after="0" w:line="248" w:lineRule="auto"/>
        <w:tabs>
          <w:tab w:leader="none" w:pos="10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65" w:lineRule="exact"/>
        <w:rPr>
          <w:rFonts w:ascii="Times New Roman" w:cs="Times New Roman" w:eastAsia="Times New Roman" w:hAnsi="Times New Roman"/>
          <w:sz w:val="14"/>
          <w:szCs w:val="14"/>
          <w:color w:val="auto"/>
        </w:rPr>
      </w:pPr>
    </w:p>
    <w:p>
      <w:pPr>
        <w:ind w:left="1080" w:right="37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61" w:lineRule="exact"/>
        <w:rPr>
          <w:rFonts w:ascii="Times New Roman" w:cs="Times New Roman" w:eastAsia="Times New Roman" w:hAnsi="Times New Roman"/>
          <w:sz w:val="14"/>
          <w:szCs w:val="14"/>
          <w:color w:val="auto"/>
        </w:rPr>
      </w:pPr>
    </w:p>
    <w:p>
      <w:pPr>
        <w:ind w:left="1080" w:right="37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72" w:lineRule="exact"/>
        <w:rPr>
          <w:rFonts w:ascii="Times New Roman" w:cs="Times New Roman" w:eastAsia="Times New Roman" w:hAnsi="Times New Roman"/>
          <w:sz w:val="14"/>
          <w:szCs w:val="14"/>
          <w:color w:val="auto"/>
        </w:rPr>
      </w:pPr>
    </w:p>
    <w:p>
      <w:pPr>
        <w:jc w:val="both"/>
        <w:ind w:left="1060" w:right="659" w:hanging="403"/>
        <w:spacing w:after="0" w:line="283" w:lineRule="auto"/>
        <w:tabs>
          <w:tab w:leader="none" w:pos="106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3.03(b) and Section 9.04 not involving any transfer.</w:t>
      </w:r>
    </w:p>
    <w:p>
      <w:pPr>
        <w:spacing w:after="0" w:line="54" w:lineRule="exact"/>
        <w:rPr>
          <w:rFonts w:ascii="Times New Roman" w:cs="Times New Roman" w:eastAsia="Times New Roman" w:hAnsi="Times New Roman"/>
          <w:sz w:val="13"/>
          <w:szCs w:val="13"/>
          <w:color w:val="auto"/>
        </w:rPr>
      </w:pPr>
    </w:p>
    <w:p>
      <w:pPr>
        <w:ind w:left="1060" w:right="379" w:hanging="403"/>
        <w:spacing w:after="0" w:line="249" w:lineRule="auto"/>
        <w:tabs>
          <w:tab w:leader="none" w:pos="10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The provisions of this Section 2.05 are, with respect to any Global Security, subject to Section 2.11 hereof.</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9" w:right="1440" w:bottom="1440" w:gutter="0" w:footer="0" w:header="0"/>
        </w:sectPr>
      </w:pPr>
    </w:p>
    <w:bookmarkStart w:id="164" w:name="page165"/>
    <w:bookmarkEnd w:id="164"/>
    <w:p>
      <w:pPr>
        <w:ind w:left="10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2.06 Temporary Securities.</w:t>
      </w:r>
    </w:p>
    <w:p>
      <w:pPr>
        <w:spacing w:after="0" w:line="166" w:lineRule="exact"/>
        <w:rPr>
          <w:sz w:val="20"/>
          <w:szCs w:val="20"/>
          <w:color w:val="auto"/>
        </w:rPr>
      </w:pPr>
    </w:p>
    <w:p>
      <w:pPr>
        <w:ind w:left="340" w:right="379" w:firstLine="334"/>
        <w:spacing w:after="0" w:line="266" w:lineRule="auto"/>
        <w:rPr>
          <w:sz w:val="20"/>
          <w:szCs w:val="20"/>
          <w:color w:val="auto"/>
        </w:rPr>
      </w:pPr>
      <w:r>
        <w:rPr>
          <w:rFonts w:ascii="Times New Roman" w:cs="Times New Roman" w:eastAsia="Times New Roman" w:hAnsi="Times New Roman"/>
          <w:sz w:val="13"/>
          <w:szCs w:val="13"/>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4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2.07 Mutilated, Destroyed, Lost or Stolen Securities.</w:t>
      </w:r>
    </w:p>
    <w:p>
      <w:pPr>
        <w:spacing w:after="0" w:line="166" w:lineRule="exact"/>
        <w:rPr>
          <w:sz w:val="20"/>
          <w:szCs w:val="20"/>
          <w:color w:val="auto"/>
        </w:rPr>
      </w:pPr>
    </w:p>
    <w:p>
      <w:pPr>
        <w:ind w:left="340" w:right="359" w:firstLine="334"/>
        <w:spacing w:after="0" w:line="266" w:lineRule="auto"/>
        <w:rPr>
          <w:sz w:val="20"/>
          <w:szCs w:val="20"/>
          <w:color w:val="auto"/>
        </w:rPr>
      </w:pPr>
      <w:r>
        <w:rPr>
          <w:rFonts w:ascii="Times New Roman" w:cs="Times New Roman" w:eastAsia="Times New Roman" w:hAnsi="Times New Roman"/>
          <w:sz w:val="13"/>
          <w:szCs w:val="13"/>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38" w:lineRule="exact"/>
        <w:rPr>
          <w:sz w:val="20"/>
          <w:szCs w:val="20"/>
          <w:color w:val="auto"/>
        </w:rPr>
      </w:pPr>
    </w:p>
    <w:p>
      <w:pPr>
        <w:ind w:left="340" w:right="459" w:firstLine="334"/>
        <w:spacing w:after="0" w:line="247" w:lineRule="auto"/>
        <w:rPr>
          <w:sz w:val="20"/>
          <w:szCs w:val="20"/>
          <w:color w:val="auto"/>
        </w:rPr>
      </w:pPr>
      <w:r>
        <w:rPr>
          <w:rFonts w:ascii="Times New Roman" w:cs="Times New Roman" w:eastAsia="Times New Roman" w:hAnsi="Times New Roman"/>
          <w:sz w:val="14"/>
          <w:szCs w:val="14"/>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9" w:right="1440" w:bottom="1440" w:gutter="0" w:footer="0" w:header="0"/>
        </w:sectPr>
      </w:pPr>
    </w:p>
    <w:bookmarkStart w:id="165" w:name="page166"/>
    <w:bookmarkEnd w:id="165"/>
    <w:p>
      <w:pPr>
        <w:ind w:left="10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2.08 Cancellation.</w:t>
      </w:r>
    </w:p>
    <w:p>
      <w:pPr>
        <w:spacing w:after="0" w:line="166" w:lineRule="exact"/>
        <w:rPr>
          <w:sz w:val="20"/>
          <w:szCs w:val="20"/>
          <w:color w:val="auto"/>
        </w:rPr>
      </w:pPr>
    </w:p>
    <w:p>
      <w:pPr>
        <w:ind w:left="340" w:right="339" w:firstLine="334"/>
        <w:spacing w:after="0" w:line="247" w:lineRule="auto"/>
        <w:rPr>
          <w:sz w:val="20"/>
          <w:szCs w:val="20"/>
          <w:color w:val="auto"/>
        </w:rPr>
      </w:pPr>
      <w:r>
        <w:rPr>
          <w:rFonts w:ascii="Times New Roman" w:cs="Times New Roman" w:eastAsia="Times New Roman" w:hAnsi="Times New Roman"/>
          <w:sz w:val="14"/>
          <w:szCs w:val="14"/>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5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2.09 Benefits of Indenture.</w:t>
      </w:r>
    </w:p>
    <w:p>
      <w:pPr>
        <w:spacing w:after="0" w:line="166" w:lineRule="exact"/>
        <w:rPr>
          <w:sz w:val="20"/>
          <w:szCs w:val="20"/>
          <w:color w:val="auto"/>
        </w:rPr>
      </w:pPr>
    </w:p>
    <w:p>
      <w:pPr>
        <w:ind w:left="340" w:right="379" w:firstLine="334"/>
        <w:spacing w:after="0" w:line="249" w:lineRule="auto"/>
        <w:rPr>
          <w:sz w:val="20"/>
          <w:szCs w:val="20"/>
          <w:color w:val="auto"/>
        </w:rPr>
      </w:pPr>
      <w:r>
        <w:rPr>
          <w:rFonts w:ascii="Times New Roman" w:cs="Times New Roman" w:eastAsia="Times New Roman" w:hAnsi="Times New Roman"/>
          <w:sz w:val="14"/>
          <w:szCs w:val="14"/>
          <w:color w:val="auto"/>
        </w:rPr>
        <w:t>Nothing in this Indenture or in the Securities, express or implied, shall give or be construed to give to any Person, other than the parties hereto and the holders of the Securities (and, with respect to the provisions of Article XIV, the holders of Senior Indebtedness, as defined in any supplement to this Indenture pursuant to Article XIV)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Article XIV, the holders of Senior Indebtedness).</w:t>
      </w:r>
    </w:p>
    <w:p>
      <w:pPr>
        <w:spacing w:after="0" w:line="1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2.10 Authenticating Agent.</w:t>
      </w:r>
    </w:p>
    <w:p>
      <w:pPr>
        <w:spacing w:after="0" w:line="166" w:lineRule="exact"/>
        <w:rPr>
          <w:sz w:val="20"/>
          <w:szCs w:val="20"/>
          <w:color w:val="auto"/>
        </w:rPr>
      </w:pPr>
    </w:p>
    <w:p>
      <w:pPr>
        <w:ind w:left="340" w:right="359" w:firstLine="334"/>
        <w:spacing w:after="0" w:line="246" w:lineRule="auto"/>
        <w:rPr>
          <w:sz w:val="20"/>
          <w:szCs w:val="20"/>
          <w:color w:val="auto"/>
        </w:rPr>
      </w:pPr>
      <w:r>
        <w:rPr>
          <w:rFonts w:ascii="Times New Roman" w:cs="Times New Roman" w:eastAsia="Times New Roman" w:hAnsi="Times New Roman"/>
          <w:sz w:val="14"/>
          <w:szCs w:val="14"/>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52" w:lineRule="exact"/>
        <w:rPr>
          <w:sz w:val="20"/>
          <w:szCs w:val="20"/>
          <w:color w:val="auto"/>
        </w:rPr>
      </w:pPr>
    </w:p>
    <w:p>
      <w:pPr>
        <w:ind w:left="340" w:right="479" w:firstLine="334"/>
        <w:spacing w:after="0" w:line="248" w:lineRule="auto"/>
        <w:rPr>
          <w:sz w:val="20"/>
          <w:szCs w:val="20"/>
          <w:color w:val="auto"/>
        </w:rPr>
      </w:pPr>
      <w:r>
        <w:rPr>
          <w:rFonts w:ascii="Times New Roman" w:cs="Times New Roman" w:eastAsia="Times New Roman" w:hAnsi="Times New Roman"/>
          <w:sz w:val="14"/>
          <w:szCs w:val="14"/>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4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2.11 Global Securities</w:t>
      </w:r>
    </w:p>
    <w:p>
      <w:pPr>
        <w:spacing w:after="0" w:line="95" w:lineRule="exact"/>
        <w:rPr>
          <w:sz w:val="20"/>
          <w:szCs w:val="20"/>
          <w:color w:val="auto"/>
        </w:rPr>
      </w:pPr>
    </w:p>
    <w:p>
      <w:pPr>
        <w:ind w:left="1060" w:right="459" w:hanging="403"/>
        <w:spacing w:after="0" w:line="251" w:lineRule="auto"/>
        <w:tabs>
          <w:tab w:leader="none" w:pos="10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shall establish pursuant to Section 2.01 that some or all of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the Outstanding Securities of such series which are to be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9" w:right="1440" w:bottom="1440" w:gutter="0" w:footer="0" w:header="0"/>
        </w:sectPr>
      </w:pPr>
    </w:p>
    <w:bookmarkStart w:id="166" w:name="page167"/>
    <w:bookmarkEnd w:id="166"/>
    <w:p>
      <w:pPr>
        <w:ind w:left="1080" w:right="43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issued as a Global Security,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73" w:lineRule="exact"/>
        <w:rPr>
          <w:sz w:val="20"/>
          <w:szCs w:val="20"/>
          <w:color w:val="auto"/>
        </w:rPr>
      </w:pPr>
    </w:p>
    <w:p>
      <w:pPr>
        <w:ind w:left="1060" w:right="539" w:hanging="403"/>
        <w:spacing w:after="0" w:line="254" w:lineRule="auto"/>
        <w:tabs>
          <w:tab w:leader="none" w:pos="10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72" w:lineRule="exact"/>
        <w:rPr>
          <w:rFonts w:ascii="Times New Roman" w:cs="Times New Roman" w:eastAsia="Times New Roman" w:hAnsi="Times New Roman"/>
          <w:sz w:val="14"/>
          <w:szCs w:val="14"/>
          <w:color w:val="auto"/>
        </w:rPr>
      </w:pPr>
    </w:p>
    <w:p>
      <w:pPr>
        <w:ind w:left="1060" w:right="399" w:hanging="403"/>
        <w:spacing w:after="0" w:line="265" w:lineRule="auto"/>
        <w:tabs>
          <w:tab w:leader="none" w:pos="106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this Section 2.11 shall no longer be applicable to the Securities of such series and the Company will execute, and subject to Section 2.05,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2.05,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III</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REDEMPTION OF SECURITIES AND SINKING FUND PROVISIONS</w:t>
      </w:r>
    </w:p>
    <w:p>
      <w:pPr>
        <w:spacing w:after="0" w:line="1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3.01 Redemption.</w:t>
      </w:r>
    </w:p>
    <w:p>
      <w:pPr>
        <w:spacing w:after="0" w:line="166" w:lineRule="exact"/>
        <w:rPr>
          <w:sz w:val="20"/>
          <w:szCs w:val="20"/>
          <w:color w:val="auto"/>
        </w:rPr>
      </w:pPr>
    </w:p>
    <w:p>
      <w:pPr>
        <w:ind w:left="340" w:right="559" w:firstLine="334"/>
        <w:spacing w:after="0" w:line="265" w:lineRule="auto"/>
        <w:rPr>
          <w:sz w:val="20"/>
          <w:szCs w:val="20"/>
          <w:color w:val="auto"/>
        </w:rPr>
      </w:pPr>
      <w:r>
        <w:rPr>
          <w:rFonts w:ascii="Times New Roman" w:cs="Times New Roman" w:eastAsia="Times New Roman" w:hAnsi="Times New Roman"/>
          <w:sz w:val="14"/>
          <w:szCs w:val="14"/>
          <w:color w:val="auto"/>
        </w:rPr>
        <w:t>The Company may redeem the Securities of any series issued hereunder on and after the dates and in accordance with the terms established for such series pursuant to Section 2.01 hereof.</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9" w:right="1440" w:bottom="1440" w:gutter="0" w:footer="0" w:header="0"/>
        </w:sectPr>
      </w:pPr>
    </w:p>
    <w:bookmarkStart w:id="167" w:name="page168"/>
    <w:bookmarkEnd w:id="167"/>
    <w:p>
      <w:pPr>
        <w:ind w:left="10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3.02 Notice of Redemption.</w:t>
      </w:r>
    </w:p>
    <w:p>
      <w:pPr>
        <w:spacing w:after="0" w:line="95" w:lineRule="exact"/>
        <w:rPr>
          <w:sz w:val="20"/>
          <w:szCs w:val="20"/>
          <w:color w:val="auto"/>
        </w:rPr>
      </w:pPr>
    </w:p>
    <w:p>
      <w:pPr>
        <w:ind w:left="1060" w:right="439" w:hanging="403"/>
        <w:spacing w:after="0" w:line="246" w:lineRule="auto"/>
        <w:tabs>
          <w:tab w:leader="none" w:pos="106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the Company shall desire to exercise such right to redeem all or, as the case may be, a portion of the Securities of any series in accordance with the right reserved so to do,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49" w:lineRule="exact"/>
        <w:rPr>
          <w:sz w:val="20"/>
          <w:szCs w:val="20"/>
          <w:color w:val="auto"/>
        </w:rPr>
      </w:pPr>
    </w:p>
    <w:p>
      <w:pPr>
        <w:ind w:left="340" w:right="359" w:firstLine="334"/>
        <w:spacing w:after="0" w:line="268" w:lineRule="auto"/>
        <w:rPr>
          <w:sz w:val="20"/>
          <w:szCs w:val="20"/>
          <w:color w:val="auto"/>
        </w:rPr>
      </w:pPr>
      <w:r>
        <w:rPr>
          <w:rFonts w:ascii="Times New Roman" w:cs="Times New Roman" w:eastAsia="Times New Roman" w:hAnsi="Times New Roman"/>
          <w:sz w:val="13"/>
          <w:szCs w:val="13"/>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to the holders of Securities of that series to be redeemed in whole or in part shall specify the particular Securities to be so redeemed. 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66" w:lineRule="exact"/>
        <w:rPr>
          <w:sz w:val="20"/>
          <w:szCs w:val="20"/>
          <w:color w:val="auto"/>
        </w:rPr>
      </w:pPr>
    </w:p>
    <w:p>
      <w:pPr>
        <w:ind w:left="1060" w:right="359" w:hanging="403"/>
        <w:spacing w:after="0" w:line="245" w:lineRule="auto"/>
        <w:tabs>
          <w:tab w:leader="none" w:pos="106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less than all the Securities of a series are to be redeemed, the Company shall give the Trustee at least 30 days’ notice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its President or any Vice President,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39" w:right="1440" w:bottom="1440" w:gutter="0" w:footer="0" w:header="0"/>
        </w:sectPr>
      </w:pPr>
    </w:p>
    <w:bookmarkStart w:id="168" w:name="page169"/>
    <w:bookmarkEnd w:id="168"/>
    <w:p>
      <w:pPr>
        <w:ind w:left="10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3.03 Payment Upon Redemption.</w:t>
      </w:r>
    </w:p>
    <w:p>
      <w:pPr>
        <w:spacing w:after="0" w:line="95" w:lineRule="exact"/>
        <w:rPr>
          <w:sz w:val="20"/>
          <w:szCs w:val="20"/>
          <w:color w:val="auto"/>
        </w:rPr>
      </w:pPr>
    </w:p>
    <w:p>
      <w:pPr>
        <w:ind w:left="1060" w:right="359" w:hanging="403"/>
        <w:spacing w:after="0" w:line="246" w:lineRule="auto"/>
        <w:tabs>
          <w:tab w:leader="none" w:pos="106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80" w:lineRule="exact"/>
        <w:rPr>
          <w:rFonts w:ascii="Times New Roman" w:cs="Times New Roman" w:eastAsia="Times New Roman" w:hAnsi="Times New Roman"/>
          <w:sz w:val="14"/>
          <w:szCs w:val="14"/>
          <w:color w:val="auto"/>
        </w:rPr>
      </w:pPr>
    </w:p>
    <w:p>
      <w:pPr>
        <w:ind w:left="1060" w:right="479" w:hanging="403"/>
        <w:spacing w:after="0" w:line="251" w:lineRule="auto"/>
        <w:tabs>
          <w:tab w:leader="none" w:pos="106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4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3.04 Sinking Fund.</w:t>
      </w:r>
    </w:p>
    <w:p>
      <w:pPr>
        <w:spacing w:after="0" w:line="166" w:lineRule="exact"/>
        <w:rPr>
          <w:sz w:val="20"/>
          <w:szCs w:val="20"/>
          <w:color w:val="auto"/>
        </w:rPr>
      </w:pPr>
    </w:p>
    <w:p>
      <w:pPr>
        <w:ind w:left="340" w:right="799" w:firstLine="334"/>
        <w:spacing w:after="0" w:line="265" w:lineRule="auto"/>
        <w:rPr>
          <w:sz w:val="20"/>
          <w:szCs w:val="20"/>
          <w:color w:val="auto"/>
        </w:rPr>
      </w:pPr>
      <w:r>
        <w:rPr>
          <w:rFonts w:ascii="Times New Roman" w:cs="Times New Roman" w:eastAsia="Times New Roman" w:hAnsi="Times New Roman"/>
          <w:sz w:val="14"/>
          <w:szCs w:val="14"/>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36" w:lineRule="exact"/>
        <w:rPr>
          <w:sz w:val="20"/>
          <w:szCs w:val="20"/>
          <w:color w:val="auto"/>
        </w:rPr>
      </w:pPr>
    </w:p>
    <w:p>
      <w:pPr>
        <w:ind w:left="340" w:right="359" w:firstLine="334"/>
        <w:spacing w:after="0" w:line="249" w:lineRule="auto"/>
        <w:rPr>
          <w:sz w:val="20"/>
          <w:szCs w:val="20"/>
          <w:color w:val="auto"/>
        </w:rPr>
      </w:pPr>
      <w:r>
        <w:rPr>
          <w:rFonts w:ascii="Times New Roman" w:cs="Times New Roman" w:eastAsia="Times New Roman" w:hAnsi="Times New Roman"/>
          <w:sz w:val="14"/>
          <w:szCs w:val="14"/>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3.05 Satisfaction of Sinking Fund Payments with Securities.</w:t>
      </w:r>
    </w:p>
    <w:p>
      <w:pPr>
        <w:spacing w:after="0" w:line="166" w:lineRule="exact"/>
        <w:rPr>
          <w:sz w:val="20"/>
          <w:szCs w:val="20"/>
          <w:color w:val="auto"/>
        </w:rPr>
      </w:pPr>
    </w:p>
    <w:p>
      <w:pPr>
        <w:ind w:left="340" w:right="399" w:firstLine="334"/>
        <w:spacing w:after="0" w:line="247" w:lineRule="auto"/>
        <w:rPr>
          <w:sz w:val="20"/>
          <w:szCs w:val="20"/>
          <w:color w:val="auto"/>
        </w:rPr>
      </w:pPr>
      <w:r>
        <w:rPr>
          <w:rFonts w:ascii="Times New Roman" w:cs="Times New Roman" w:eastAsia="Times New Roman" w:hAnsi="Times New Roman"/>
          <w:sz w:val="14"/>
          <w:szCs w:val="14"/>
          <w:color w:val="auto"/>
        </w:rPr>
        <w:t>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39" w:right="1440" w:bottom="1440" w:gutter="0" w:footer="0" w:header="0"/>
        </w:sectPr>
      </w:pPr>
    </w:p>
    <w:bookmarkStart w:id="169" w:name="page170"/>
    <w:bookmarkEnd w:id="169"/>
    <w:p>
      <w:pPr>
        <w:ind w:left="10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3.06 Redemption of Securities for Sinking Fund.</w:t>
      </w:r>
    </w:p>
    <w:p>
      <w:pPr>
        <w:spacing w:after="0" w:line="166" w:lineRule="exact"/>
        <w:rPr>
          <w:sz w:val="20"/>
          <w:szCs w:val="20"/>
          <w:color w:val="auto"/>
        </w:rPr>
      </w:pPr>
    </w:p>
    <w:p>
      <w:pPr>
        <w:ind w:left="340" w:right="399" w:firstLine="334"/>
        <w:spacing w:after="0" w:line="269" w:lineRule="auto"/>
        <w:rPr>
          <w:sz w:val="20"/>
          <w:szCs w:val="20"/>
          <w:color w:val="auto"/>
        </w:rPr>
      </w:pPr>
      <w:r>
        <w:rPr>
          <w:rFonts w:ascii="Times New Roman" w:cs="Times New Roman" w:eastAsia="Times New Roman" w:hAnsi="Times New Roman"/>
          <w:sz w:val="13"/>
          <w:szCs w:val="13"/>
          <w:color w:val="auto"/>
        </w:rPr>
        <w:t>Not less than 45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30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ARTICLE IV</w:t>
      </w:r>
    </w:p>
    <w:p>
      <w:pPr>
        <w:spacing w:after="0" w:line="8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color w:val="auto"/>
        </w:rPr>
        <w:t>COVENANTS</w:t>
      </w:r>
    </w:p>
    <w:p>
      <w:pPr>
        <w:spacing w:after="0" w:line="1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4.01 Payment of Principal, Premium and Interest.</w:t>
      </w:r>
    </w:p>
    <w:p>
      <w:pPr>
        <w:spacing w:after="0" w:line="166" w:lineRule="exact"/>
        <w:rPr>
          <w:sz w:val="20"/>
          <w:szCs w:val="20"/>
          <w:color w:val="auto"/>
        </w:rPr>
      </w:pPr>
    </w:p>
    <w:p>
      <w:pPr>
        <w:ind w:left="340" w:right="359" w:firstLine="334"/>
        <w:spacing w:after="0" w:line="265" w:lineRule="auto"/>
        <w:rPr>
          <w:sz w:val="20"/>
          <w:szCs w:val="20"/>
          <w:color w:val="auto"/>
        </w:rPr>
      </w:pPr>
      <w:r>
        <w:rPr>
          <w:rFonts w:ascii="Times New Roman" w:cs="Times New Roman" w:eastAsia="Times New Roman" w:hAnsi="Times New Roman"/>
          <w:sz w:val="14"/>
          <w:szCs w:val="14"/>
          <w:color w:val="auto"/>
        </w:rPr>
        <w:t>The Company will duly and punctually pay or cause to be paid the principal of (and premium, if any) and interest on the Securities of that series at the time and place and in the manner provided herein and established with respect to such Securities.</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4.02 Maintenance of Office or Agency.</w:t>
      </w:r>
    </w:p>
    <w:p>
      <w:pPr>
        <w:spacing w:after="0" w:line="166" w:lineRule="exact"/>
        <w:rPr>
          <w:sz w:val="20"/>
          <w:szCs w:val="20"/>
          <w:color w:val="auto"/>
        </w:rPr>
      </w:pPr>
    </w:p>
    <w:p>
      <w:pPr>
        <w:ind w:left="340" w:right="419" w:firstLine="334"/>
        <w:spacing w:after="0" w:line="272" w:lineRule="auto"/>
        <w:rPr>
          <w:sz w:val="20"/>
          <w:szCs w:val="20"/>
          <w:color w:val="auto"/>
        </w:rPr>
      </w:pPr>
      <w:r>
        <w:rPr>
          <w:rFonts w:ascii="Times New Roman" w:cs="Times New Roman" w:eastAsia="Times New Roman" w:hAnsi="Times New Roman"/>
          <w:sz w:val="13"/>
          <w:szCs w:val="13"/>
          <w:color w:val="auto"/>
        </w:rPr>
        <w:t>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w:t>
      </w:r>
    </w:p>
    <w:p>
      <w:pPr>
        <w:ind w:left="340" w:right="359"/>
        <w:spacing w:after="0" w:line="244" w:lineRule="auto"/>
        <w:rPr>
          <w:sz w:val="20"/>
          <w:szCs w:val="20"/>
          <w:color w:val="auto"/>
        </w:rPr>
      </w:pPr>
      <w:r>
        <w:rPr>
          <w:rFonts w:ascii="Times New Roman" w:cs="Times New Roman" w:eastAsia="Times New Roman" w:hAnsi="Times New Roman"/>
          <w:sz w:val="14"/>
          <w:szCs w:val="14"/>
          <w:color w:val="auto"/>
        </w:rPr>
        <w:t>Section 4.02, where (i) Securities of that series may be presented or surrendered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its President or a Vice President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w:t>
      </w:r>
    </w:p>
    <w:p>
      <w:pPr>
        <w:spacing w:after="0" w:line="15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4.03 Paying Agents.</w:t>
      </w:r>
    </w:p>
    <w:p>
      <w:pPr>
        <w:spacing w:after="0" w:line="95" w:lineRule="exact"/>
        <w:rPr>
          <w:sz w:val="20"/>
          <w:szCs w:val="20"/>
          <w:color w:val="auto"/>
        </w:rPr>
      </w:pPr>
    </w:p>
    <w:p>
      <w:pPr>
        <w:ind w:left="1060" w:right="439" w:hanging="403"/>
        <w:spacing w:after="0" w:line="254" w:lineRule="auto"/>
        <w:tabs>
          <w:tab w:leader="none" w:pos="106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72" w:lineRule="exact"/>
        <w:rPr>
          <w:rFonts w:ascii="Times New Roman" w:cs="Times New Roman" w:eastAsia="Times New Roman" w:hAnsi="Times New Roman"/>
          <w:sz w:val="14"/>
          <w:szCs w:val="14"/>
          <w:color w:val="auto"/>
        </w:rPr>
      </w:pPr>
    </w:p>
    <w:p>
      <w:pPr>
        <w:ind w:left="1400" w:right="439" w:hanging="323"/>
        <w:spacing w:after="0" w:line="254" w:lineRule="auto"/>
        <w:tabs>
          <w:tab w:leader="none" w:pos="1400"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72" w:lineRule="exact"/>
        <w:rPr>
          <w:rFonts w:ascii="Times New Roman" w:cs="Times New Roman" w:eastAsia="Times New Roman" w:hAnsi="Times New Roman"/>
          <w:sz w:val="14"/>
          <w:szCs w:val="14"/>
          <w:color w:val="auto"/>
        </w:rPr>
      </w:pPr>
    </w:p>
    <w:p>
      <w:pPr>
        <w:ind w:left="1400" w:right="479" w:hanging="323"/>
        <w:spacing w:after="0" w:line="304" w:lineRule="auto"/>
        <w:tabs>
          <w:tab w:leader="none" w:pos="1400" w:val="left"/>
        </w:tabs>
        <w:numPr>
          <w:ilvl w:val="1"/>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0" w:right="1440" w:bottom="1440" w:gutter="0" w:footer="0" w:header="0"/>
        </w:sectPr>
      </w:pPr>
    </w:p>
    <w:bookmarkStart w:id="170" w:name="page171"/>
    <w:bookmarkEnd w:id="170"/>
    <w:p>
      <w:pPr>
        <w:ind w:left="1400" w:right="559" w:hanging="323"/>
        <w:spacing w:after="0" w:line="265" w:lineRule="auto"/>
        <w:tabs>
          <w:tab w:leader="none" w:pos="1400" w:val="left"/>
        </w:tabs>
        <w:numPr>
          <w:ilvl w:val="1"/>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that it will, at any time during the continuance of any failure referred to in the preceding paragraph (a)(2) above, upon the written request of the Trustee, forthwith pay to the Trustee all sums so held in trust by such paying agent; and</w:t>
      </w:r>
    </w:p>
    <w:p>
      <w:pPr>
        <w:spacing w:after="0" w:line="63" w:lineRule="exact"/>
        <w:rPr>
          <w:rFonts w:ascii="Times New Roman" w:cs="Times New Roman" w:eastAsia="Times New Roman" w:hAnsi="Times New Roman"/>
          <w:sz w:val="14"/>
          <w:szCs w:val="14"/>
          <w:color w:val="auto"/>
        </w:rPr>
      </w:pPr>
    </w:p>
    <w:p>
      <w:pPr>
        <w:ind w:left="1400" w:hanging="323"/>
        <w:spacing w:after="0"/>
        <w:tabs>
          <w:tab w:leader="none" w:pos="1400" w:val="left"/>
        </w:tabs>
        <w:numPr>
          <w:ilvl w:val="1"/>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will perform all other duties of paying agent as set forth in this Indenture.</w:t>
      </w:r>
    </w:p>
    <w:p>
      <w:pPr>
        <w:spacing w:after="0" w:line="94" w:lineRule="exact"/>
        <w:rPr>
          <w:rFonts w:ascii="Times New Roman" w:cs="Times New Roman" w:eastAsia="Times New Roman" w:hAnsi="Times New Roman"/>
          <w:sz w:val="14"/>
          <w:szCs w:val="14"/>
          <w:color w:val="auto"/>
        </w:rPr>
      </w:pPr>
    </w:p>
    <w:p>
      <w:pPr>
        <w:ind w:left="1060" w:right="359" w:hanging="403"/>
        <w:spacing w:after="0" w:line="268" w:lineRule="auto"/>
        <w:tabs>
          <w:tab w:leader="none" w:pos="1060"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with monies held by all other paying agents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62" w:lineRule="exact"/>
        <w:rPr>
          <w:rFonts w:ascii="Times New Roman" w:cs="Times New Roman" w:eastAsia="Times New Roman" w:hAnsi="Times New Roman"/>
          <w:sz w:val="13"/>
          <w:szCs w:val="13"/>
          <w:color w:val="auto"/>
        </w:rPr>
      </w:pPr>
    </w:p>
    <w:p>
      <w:pPr>
        <w:ind w:left="1060" w:right="379" w:hanging="403"/>
        <w:spacing w:after="0" w:line="248" w:lineRule="auto"/>
        <w:tabs>
          <w:tab w:leader="none" w:pos="106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any paying agent to the Trustee, such paying agent shall be released from all further liability with respect to such money.</w:t>
      </w:r>
    </w:p>
    <w:p>
      <w:pPr>
        <w:spacing w:after="0" w:line="147" w:lineRule="exact"/>
        <w:rPr>
          <w:rFonts w:ascii="Times New Roman" w:cs="Times New Roman" w:eastAsia="Times New Roman" w:hAnsi="Times New Roman"/>
          <w:sz w:val="14"/>
          <w:szCs w:val="14"/>
          <w:color w:val="auto"/>
        </w:rPr>
      </w:pPr>
    </w:p>
    <w:p>
      <w:pPr>
        <w:ind w:left="10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4.04 Appointment to Fill Vacancy in Office of Trustee.</w:t>
      </w:r>
    </w:p>
    <w:p>
      <w:pPr>
        <w:spacing w:after="0" w:line="166" w:lineRule="exact"/>
        <w:rPr>
          <w:sz w:val="20"/>
          <w:szCs w:val="20"/>
          <w:color w:val="auto"/>
        </w:rPr>
      </w:pPr>
    </w:p>
    <w:p>
      <w:pPr>
        <w:ind w:left="340" w:right="719" w:firstLine="334"/>
        <w:spacing w:after="0" w:line="265" w:lineRule="auto"/>
        <w:rPr>
          <w:sz w:val="20"/>
          <w:szCs w:val="20"/>
          <w:color w:val="auto"/>
        </w:rPr>
      </w:pPr>
      <w:r>
        <w:rPr>
          <w:rFonts w:ascii="Times New Roman" w:cs="Times New Roman" w:eastAsia="Times New Roman" w:hAnsi="Times New Roman"/>
          <w:sz w:val="14"/>
          <w:szCs w:val="14"/>
          <w:color w:val="auto"/>
        </w:rPr>
        <w:t>The Company, whenever necessary to avoid or fill a vacancy in the office of Trustee, will appoint, in the manner provided in Section 7.10, a Trustee, so that there shall at all times be a Trustee hereunder.</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4.05 Compliance with Consolidation Provisions.</w:t>
      </w:r>
    </w:p>
    <w:p>
      <w:pPr>
        <w:spacing w:after="0" w:line="166" w:lineRule="exact"/>
        <w:rPr>
          <w:sz w:val="20"/>
          <w:szCs w:val="20"/>
          <w:color w:val="auto"/>
        </w:rPr>
      </w:pPr>
    </w:p>
    <w:p>
      <w:pPr>
        <w:ind w:left="340" w:right="459" w:firstLine="334"/>
        <w:spacing w:after="0" w:line="254" w:lineRule="auto"/>
        <w:rPr>
          <w:sz w:val="20"/>
          <w:szCs w:val="20"/>
          <w:color w:val="auto"/>
        </w:rPr>
      </w:pPr>
      <w:r>
        <w:rPr>
          <w:rFonts w:ascii="Times New Roman" w:cs="Times New Roman" w:eastAsia="Times New Roman" w:hAnsi="Times New Roman"/>
          <w:sz w:val="14"/>
          <w:szCs w:val="14"/>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company unless the provisions of Article X hereof are complied with.</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0" w:right="1440" w:bottom="1440" w:gutter="0" w:footer="0" w:header="0"/>
        </w:sectPr>
      </w:pPr>
    </w:p>
    <w:bookmarkStart w:id="171" w:name="page172"/>
    <w:bookmarkEnd w:id="171"/>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ARTICLE V</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SECURITYHOLDERS’ LISTS AND REPORTS BY THE COMPANY AND THE TRUSTEE</w:t>
      </w:r>
    </w:p>
    <w:p>
      <w:pPr>
        <w:spacing w:after="0" w:line="1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5.01 Company to Furnish Trustee Names and Addresses of Securityholders.</w:t>
      </w:r>
    </w:p>
    <w:p>
      <w:pPr>
        <w:spacing w:after="0" w:line="166" w:lineRule="exact"/>
        <w:rPr>
          <w:sz w:val="20"/>
          <w:szCs w:val="20"/>
          <w:color w:val="auto"/>
        </w:rPr>
      </w:pPr>
    </w:p>
    <w:p>
      <w:pPr>
        <w:ind w:left="340" w:right="359" w:firstLine="334"/>
        <w:spacing w:after="0" w:line="247" w:lineRule="auto"/>
        <w:rPr>
          <w:sz w:val="20"/>
          <w:szCs w:val="20"/>
          <w:color w:val="auto"/>
        </w:rPr>
      </w:pPr>
      <w:r>
        <w:rPr>
          <w:rFonts w:ascii="Times New Roman" w:cs="Times New Roman" w:eastAsia="Times New Roman" w:hAnsi="Times New Roman"/>
          <w:sz w:val="14"/>
          <w:szCs w:val="14"/>
          <w:color w:val="auto"/>
        </w:rPr>
        <w:t>If the Company is not the Security Registrar, the Company will furnish or use reasonable efforts to cause to be furnished to the Trustee (a) on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5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5.02 Preservation of Information; Communications with Securityholders.</w:t>
      </w:r>
    </w:p>
    <w:p>
      <w:pPr>
        <w:spacing w:after="0" w:line="95" w:lineRule="exact"/>
        <w:rPr>
          <w:sz w:val="20"/>
          <w:szCs w:val="20"/>
          <w:color w:val="auto"/>
        </w:rPr>
      </w:pPr>
    </w:p>
    <w:p>
      <w:pPr>
        <w:ind w:left="1060" w:right="379" w:hanging="403"/>
        <w:spacing w:after="0" w:line="251" w:lineRule="auto"/>
        <w:tabs>
          <w:tab w:leader="none" w:pos="10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and shall otherwise comply with Section 312(a) of the Trust Indenture Act.</w:t>
      </w:r>
    </w:p>
    <w:p>
      <w:pPr>
        <w:spacing w:after="0" w:line="73" w:lineRule="exact"/>
        <w:rPr>
          <w:rFonts w:ascii="Times New Roman" w:cs="Times New Roman" w:eastAsia="Times New Roman" w:hAnsi="Times New Roman"/>
          <w:sz w:val="14"/>
          <w:szCs w:val="14"/>
          <w:color w:val="auto"/>
        </w:rPr>
      </w:pPr>
    </w:p>
    <w:p>
      <w:pPr>
        <w:ind w:left="1060" w:hanging="403"/>
        <w:spacing w:after="0"/>
        <w:tabs>
          <w:tab w:leader="none" w:pos="10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destroy any list furnished to it as provided in Section 5.01 upon receipt of a new list so furnished.</w:t>
      </w:r>
    </w:p>
    <w:p>
      <w:pPr>
        <w:spacing w:after="0" w:line="94" w:lineRule="exact"/>
        <w:rPr>
          <w:rFonts w:ascii="Times New Roman" w:cs="Times New Roman" w:eastAsia="Times New Roman" w:hAnsi="Times New Roman"/>
          <w:sz w:val="14"/>
          <w:szCs w:val="14"/>
          <w:color w:val="auto"/>
        </w:rPr>
      </w:pPr>
    </w:p>
    <w:p>
      <w:pPr>
        <w:ind w:left="1060" w:right="359" w:hanging="403"/>
        <w:spacing w:after="0" w:line="265" w:lineRule="auto"/>
        <w:tabs>
          <w:tab w:leader="none" w:pos="10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Securityholders may communicate as provided in Section 312(b) of the Trust Indenture Act with other Securityholders with respect to their rights under this Indenture or under the Securities.</w:t>
      </w:r>
    </w:p>
    <w:p>
      <w:pPr>
        <w:spacing w:after="0" w:line="135" w:lineRule="exact"/>
        <w:rPr>
          <w:rFonts w:ascii="Times New Roman" w:cs="Times New Roman" w:eastAsia="Times New Roman" w:hAnsi="Times New Roman"/>
          <w:sz w:val="14"/>
          <w:szCs w:val="14"/>
          <w:color w:val="auto"/>
        </w:rPr>
      </w:pPr>
    </w:p>
    <w:p>
      <w:pPr>
        <w:ind w:left="10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5.03 Reports by the Company.</w:t>
      </w:r>
    </w:p>
    <w:p>
      <w:pPr>
        <w:spacing w:after="0" w:line="187" w:lineRule="exact"/>
        <w:rPr>
          <w:sz w:val="20"/>
          <w:szCs w:val="20"/>
          <w:color w:val="auto"/>
        </w:rPr>
      </w:pPr>
    </w:p>
    <w:p>
      <w:pPr>
        <w:ind w:left="1060" w:right="359" w:hanging="403"/>
        <w:spacing w:after="0" w:line="246" w:lineRule="auto"/>
        <w:tabs>
          <w:tab w:leader="none" w:pos="106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covenants and agrees to 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that the Company may be required to file with the Commission pursuant to Section 13 or Section 15(d) of the Exchange Act; or, if the Company is not required to file information, documents or reports pursuant to either of such sections, then to file with the Trustee and the Commission, in accordance with the rules and regulations prescribed from time to time by the Commission, such of the supplementary and periodic information, documents and reports that may be required pursuant to Section 13 of the Exchange Act, in respect of a security listed and registered on a national securities exchange as may be prescribed from time to time in such rules and regulations; provided, however, the Company shall not be required to deliver to the Trustee any materials for which the Company has sought and received confidential treatment by the Commission. The Company also shall comply with the other provisions of Section 314(a) of the Trust Indenture Act.</w:t>
      </w:r>
    </w:p>
    <w:p>
      <w:pPr>
        <w:spacing w:after="0" w:line="78" w:lineRule="exact"/>
        <w:rPr>
          <w:rFonts w:ascii="Times New Roman" w:cs="Times New Roman" w:eastAsia="Times New Roman" w:hAnsi="Times New Roman"/>
          <w:sz w:val="14"/>
          <w:szCs w:val="14"/>
          <w:color w:val="auto"/>
        </w:rPr>
      </w:pPr>
    </w:p>
    <w:p>
      <w:pPr>
        <w:ind w:left="1060" w:right="379" w:hanging="403"/>
        <w:spacing w:after="0" w:line="283" w:lineRule="auto"/>
        <w:tabs>
          <w:tab w:leader="none" w:pos="1060"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covenants and agrees to file with the Trustee and the Commission, in accordance with the rules and regulations prescribed from to time by the Commission, such additional information, documents and reports with respect to compliance by the Company with the conditions and covenants provided for in this Indenture as may be required from time to time by such rules and regulations.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0" w:right="1440" w:bottom="1440" w:gutter="0" w:footer="0" w:header="0"/>
        </w:sectPr>
      </w:pPr>
    </w:p>
    <w:bookmarkStart w:id="172" w:name="page173"/>
    <w:bookmarkEnd w:id="172"/>
    <w:p>
      <w:pPr>
        <w:ind w:left="1060" w:right="359" w:hanging="403"/>
        <w:spacing w:after="0" w:line="276" w:lineRule="auto"/>
        <w:tabs>
          <w:tab w:leader="none" w:pos="1060"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The Company covenants and agrees to transmit by mail, first class postage prepaid, or reputable over-night delivery service that provides for evidence of receipt, to the Securityholders, as their names and addresses appear upon the Security Register, within 30 days after the filing thereof with the Trustee, such summaries of any information, documents and reports required to be filed by the Company pursuant to subsections (a) and (b) of this Section as may be required by rules and regulations prescribed from time to time by the Commission.</w:t>
      </w:r>
    </w:p>
    <w:p>
      <w:pPr>
        <w:spacing w:after="0" w:line="13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5.04 Reports by the Trustee.</w:t>
      </w:r>
    </w:p>
    <w:p>
      <w:pPr>
        <w:spacing w:after="0" w:line="95" w:lineRule="exact"/>
        <w:rPr>
          <w:sz w:val="20"/>
          <w:szCs w:val="20"/>
          <w:color w:val="auto"/>
        </w:rPr>
      </w:pPr>
    </w:p>
    <w:p>
      <w:pPr>
        <w:ind w:left="1060" w:right="499" w:hanging="403"/>
        <w:spacing w:after="0" w:line="254" w:lineRule="auto"/>
        <w:tabs>
          <w:tab w:leader="none" w:pos="106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transmit to holders as provided in Section 313 of the Trust Indenture Act such reports concerning the Trustee and its actions under this Indenture as may be required by Section 313 of the Trust Indenture Act at the times and in the manner provided by the Trust Indenture Act.</w:t>
      </w:r>
    </w:p>
    <w:p>
      <w:pPr>
        <w:spacing w:after="0" w:line="72" w:lineRule="exact"/>
        <w:rPr>
          <w:rFonts w:ascii="Times New Roman" w:cs="Times New Roman" w:eastAsia="Times New Roman" w:hAnsi="Times New Roman"/>
          <w:sz w:val="14"/>
          <w:szCs w:val="14"/>
          <w:color w:val="auto"/>
        </w:rPr>
      </w:pPr>
    </w:p>
    <w:p>
      <w:pPr>
        <w:jc w:val="both"/>
        <w:ind w:left="1060" w:right="439" w:hanging="403"/>
        <w:spacing w:after="0" w:line="254" w:lineRule="auto"/>
        <w:tabs>
          <w:tab w:leader="none" w:pos="106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each such report shall, at the time of such transmission to Securityholders, be filed by the Trustee with the Company, with each stock exchange upon which any Securities are listed (if so listed) and, if required by Section 313 of the Trust Indenture Act, also with the Commission. The Company agrees to notify the Trustee when any Securities become listed on any stock exchange.</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VI</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REMEDIES OF THE TRUSTEE AND SECURITYHOLDERS ON EVENT OF DEFAULT</w:t>
      </w:r>
    </w:p>
    <w:p>
      <w:pPr>
        <w:spacing w:after="0" w:line="1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6.01 Events of Default.</w:t>
      </w:r>
    </w:p>
    <w:p>
      <w:pPr>
        <w:spacing w:after="0" w:line="95" w:lineRule="exact"/>
        <w:rPr>
          <w:sz w:val="20"/>
          <w:szCs w:val="20"/>
          <w:color w:val="auto"/>
        </w:rPr>
      </w:pPr>
    </w:p>
    <w:p>
      <w:pPr>
        <w:ind w:left="1060" w:right="479" w:hanging="403"/>
        <w:spacing w:after="0" w:line="265" w:lineRule="auto"/>
        <w:tabs>
          <w:tab w:leader="none" w:pos="106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Whenever used herein with respect to Securities of a particular series, “Event of Default” means any one or more of the following events that has occurred and is continuing:</w:t>
      </w:r>
    </w:p>
    <w:p>
      <w:pPr>
        <w:spacing w:after="0" w:line="63" w:lineRule="exact"/>
        <w:rPr>
          <w:rFonts w:ascii="Times New Roman" w:cs="Times New Roman" w:eastAsia="Times New Roman" w:hAnsi="Times New Roman"/>
          <w:sz w:val="14"/>
          <w:szCs w:val="14"/>
          <w:color w:val="auto"/>
        </w:rPr>
      </w:pPr>
    </w:p>
    <w:p>
      <w:pPr>
        <w:ind w:left="1400" w:right="399" w:hanging="323"/>
        <w:spacing w:after="0" w:line="251" w:lineRule="auto"/>
        <w:tabs>
          <w:tab w:leader="none" w:pos="1400" w:val="left"/>
        </w:tabs>
        <w:numPr>
          <w:ilvl w:val="1"/>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defaults in the payment of any installment of interest upon any of the Securities of that series, as and when the same shall become due and payable, and continuance of such default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73" w:lineRule="exact"/>
        <w:rPr>
          <w:rFonts w:ascii="Times New Roman" w:cs="Times New Roman" w:eastAsia="Times New Roman" w:hAnsi="Times New Roman"/>
          <w:sz w:val="14"/>
          <w:szCs w:val="14"/>
          <w:color w:val="auto"/>
        </w:rPr>
      </w:pPr>
    </w:p>
    <w:p>
      <w:pPr>
        <w:ind w:left="1400" w:right="419" w:hanging="323"/>
        <w:spacing w:after="0" w:line="249" w:lineRule="auto"/>
        <w:tabs>
          <w:tab w:leader="none" w:pos="1400" w:val="left"/>
        </w:tabs>
        <w:numPr>
          <w:ilvl w:val="1"/>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75" w:lineRule="exact"/>
        <w:rPr>
          <w:rFonts w:ascii="Times New Roman" w:cs="Times New Roman" w:eastAsia="Times New Roman" w:hAnsi="Times New Roman"/>
          <w:sz w:val="14"/>
          <w:szCs w:val="14"/>
          <w:color w:val="auto"/>
        </w:rPr>
      </w:pPr>
    </w:p>
    <w:p>
      <w:pPr>
        <w:ind w:left="1400" w:right="379" w:hanging="323"/>
        <w:spacing w:after="0" w:line="251" w:lineRule="auto"/>
        <w:tabs>
          <w:tab w:leader="none" w:pos="1400" w:val="left"/>
        </w:tabs>
        <w:numPr>
          <w:ilvl w:val="1"/>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9" w:right="1440" w:bottom="1440" w:gutter="0" w:footer="0" w:header="0"/>
        </w:sectPr>
      </w:pPr>
    </w:p>
    <w:bookmarkStart w:id="173" w:name="page174"/>
    <w:bookmarkEnd w:id="173"/>
    <w:p>
      <w:pPr>
        <w:ind w:left="1420" w:right="47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not less than a majority in principal amount of the Securities of that series at the time Outstanding;</w:t>
      </w:r>
    </w:p>
    <w:p>
      <w:pPr>
        <w:spacing w:after="0" w:line="73" w:lineRule="exact"/>
        <w:rPr>
          <w:sz w:val="20"/>
          <w:szCs w:val="20"/>
          <w:color w:val="auto"/>
        </w:rPr>
      </w:pPr>
    </w:p>
    <w:p>
      <w:pPr>
        <w:jc w:val="both"/>
        <w:ind w:left="1400" w:right="379" w:hanging="323"/>
        <w:spacing w:after="0" w:line="254" w:lineRule="auto"/>
        <w:tabs>
          <w:tab w:leader="none" w:pos="1400" w:val="left"/>
        </w:tabs>
        <w:numPr>
          <w:ilvl w:val="1"/>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72" w:lineRule="exact"/>
        <w:rPr>
          <w:rFonts w:ascii="Times New Roman" w:cs="Times New Roman" w:eastAsia="Times New Roman" w:hAnsi="Times New Roman"/>
          <w:sz w:val="14"/>
          <w:szCs w:val="14"/>
          <w:color w:val="auto"/>
        </w:rPr>
      </w:pPr>
    </w:p>
    <w:p>
      <w:pPr>
        <w:ind w:left="1400" w:right="419" w:hanging="323"/>
        <w:spacing w:after="0" w:line="254" w:lineRule="auto"/>
        <w:tabs>
          <w:tab w:leader="none" w:pos="1400" w:val="left"/>
        </w:tabs>
        <w:numPr>
          <w:ilvl w:val="1"/>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consecutive days.</w:t>
      </w:r>
    </w:p>
    <w:p>
      <w:pPr>
        <w:spacing w:after="0" w:line="72" w:lineRule="exact"/>
        <w:rPr>
          <w:rFonts w:ascii="Times New Roman" w:cs="Times New Roman" w:eastAsia="Times New Roman" w:hAnsi="Times New Roman"/>
          <w:sz w:val="14"/>
          <w:szCs w:val="14"/>
          <w:color w:val="auto"/>
        </w:rPr>
      </w:pPr>
    </w:p>
    <w:p>
      <w:pPr>
        <w:ind w:left="1060" w:right="399" w:hanging="403"/>
        <w:spacing w:after="0" w:line="246" w:lineRule="auto"/>
        <w:tabs>
          <w:tab w:leader="none" w:pos="106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each and every such case, unless the principal of all the Securities of that series shall have already become due and payable, either the Trustee or the holders of not less than a majority in aggregate principal amount of the Securities of that series then Outstanding hereunder, by notice in writing to the Company (and to the Trustee if given by such Securityholders), may declare the principal (or, if any Securities of that series are discount securities, that portion of the principal amount as may be specified in the terms of that series pursuant to Section 2.01(a)(16)) of (and premium, if any, on) and accrued and unpaid interest, if any, on all the Securities of that series to be due and payable immediately, and upon any such declaration the same shall become and shall be immediately due and payable. Notwithstanding the foregoing, the payment of such principal (or, if any Securities of that series are discount securities, that portion of the principal amount as may be specified in the terms of that series pursuant to Section 2.01(a)(16)) of (and premium, if any, on) and accrued and unpaid interest, if any, on the Securities of such series shall remain subordinated to the extent provided in Article XIV.</w:t>
      </w:r>
    </w:p>
    <w:p>
      <w:pPr>
        <w:spacing w:after="0" w:line="80" w:lineRule="exact"/>
        <w:rPr>
          <w:rFonts w:ascii="Times New Roman" w:cs="Times New Roman" w:eastAsia="Times New Roman" w:hAnsi="Times New Roman"/>
          <w:sz w:val="14"/>
          <w:szCs w:val="14"/>
          <w:color w:val="auto"/>
        </w:rPr>
      </w:pPr>
    </w:p>
    <w:p>
      <w:pPr>
        <w:ind w:left="1060" w:right="339" w:hanging="403"/>
        <w:spacing w:after="0" w:line="266" w:lineRule="auto"/>
        <w:tabs>
          <w:tab w:leader="none" w:pos="1060"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any time after the principal of the Securities of that series shall have been so declared due and payable, and before a judgment or decree for the payment of the moneys due shall have been obtained or entered as hereinafter provided, the holders of a majority in aggregate principal amount of the Securities of that series then Outstanding hereunder (or, by action at a meeting of holders of the Securities of such series in accordance with Section 8.09, the holders of a majority in aggregate principal amount of the Securities of such series then Outstanding represented at such meeting),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and (ii) any and all Events of Default under this Indenture with respect to such series, other than the nonpayment of principal of (and premium, if any, on) and accrued and unpaid interest, if any, on Securities of that series that shall have become due solely because of such acceleration, shall have been remedied, cured or waived as provided in Section 6.06. No such rescission and annulment shall extend to or shall affect any subsequent default or impair any right consequent thereon.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39" w:right="1440" w:bottom="1440" w:gutter="0" w:footer="0" w:header="0"/>
        </w:sectPr>
      </w:pPr>
    </w:p>
    <w:bookmarkStart w:id="174" w:name="page175"/>
    <w:bookmarkEnd w:id="174"/>
    <w:p>
      <w:pPr>
        <w:ind w:left="1060" w:right="399" w:hanging="403"/>
        <w:spacing w:after="0" w:line="249" w:lineRule="auto"/>
        <w:tabs>
          <w:tab w:leader="none" w:pos="106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6.02 Collection of Indebtedness and Suits for Enforcement by Trustee.</w:t>
      </w:r>
    </w:p>
    <w:p>
      <w:pPr>
        <w:spacing w:after="0" w:line="95" w:lineRule="exact"/>
        <w:rPr>
          <w:sz w:val="20"/>
          <w:szCs w:val="20"/>
          <w:color w:val="auto"/>
        </w:rPr>
      </w:pPr>
    </w:p>
    <w:p>
      <w:pPr>
        <w:ind w:left="1060" w:right="359" w:hanging="403"/>
        <w:spacing w:after="0" w:line="267" w:lineRule="auto"/>
        <w:tabs>
          <w:tab w:leader="none" w:pos="106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covenants that (1) in case it shall default in the payment of any installment of interest on any of the Securities of a series, or any payment required by any sinking or analogous fund established with respect to that series as and when the same shall have become due and payable, and such default shall have continued for a period of 90 Business Days, or (2)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65" w:lineRule="exact"/>
        <w:rPr>
          <w:rFonts w:ascii="Times New Roman" w:cs="Times New Roman" w:eastAsia="Times New Roman" w:hAnsi="Times New Roman"/>
          <w:sz w:val="13"/>
          <w:szCs w:val="13"/>
          <w:color w:val="auto"/>
        </w:rPr>
      </w:pPr>
    </w:p>
    <w:p>
      <w:pPr>
        <w:ind w:left="1060" w:right="399" w:hanging="403"/>
        <w:spacing w:after="0" w:line="273" w:lineRule="auto"/>
        <w:tabs>
          <w:tab w:leader="none" w:pos="106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out of the property of the Company or other obligor upon the Securities of that series, wherever situated.</w:t>
      </w:r>
    </w:p>
    <w:p>
      <w:pPr>
        <w:spacing w:after="0" w:line="60" w:lineRule="exact"/>
        <w:rPr>
          <w:rFonts w:ascii="Times New Roman" w:cs="Times New Roman" w:eastAsia="Times New Roman" w:hAnsi="Times New Roman"/>
          <w:sz w:val="13"/>
          <w:szCs w:val="13"/>
          <w:color w:val="auto"/>
        </w:rPr>
      </w:pPr>
    </w:p>
    <w:p>
      <w:pPr>
        <w:ind w:left="1060" w:right="419" w:hanging="403"/>
        <w:spacing w:after="0" w:line="267" w:lineRule="auto"/>
        <w:tabs>
          <w:tab w:leader="none" w:pos="106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case of any receivership, insolvency, liquidation, bankruptcy, reorganization, readjustment, arrangement, composition or judicial proceedings affected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9" w:right="1440" w:bottom="1440" w:gutter="0" w:footer="0" w:header="0"/>
        </w:sectPr>
      </w:pPr>
    </w:p>
    <w:bookmarkStart w:id="175" w:name="page176"/>
    <w:bookmarkEnd w:id="175"/>
    <w:p>
      <w:pPr>
        <w:ind w:left="1060" w:right="379" w:hanging="403"/>
        <w:spacing w:after="0" w:line="249" w:lineRule="auto"/>
        <w:tabs>
          <w:tab w:leader="none" w:pos="106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47" w:lineRule="exact"/>
        <w:rPr>
          <w:sz w:val="20"/>
          <w:szCs w:val="20"/>
          <w:color w:val="auto"/>
        </w:rPr>
      </w:pPr>
    </w:p>
    <w:p>
      <w:pPr>
        <w:jc w:val="both"/>
        <w:ind w:left="340" w:right="479" w:firstLine="334"/>
        <w:spacing w:after="0" w:line="276" w:lineRule="auto"/>
        <w:rPr>
          <w:sz w:val="20"/>
          <w:szCs w:val="20"/>
          <w:color w:val="auto"/>
        </w:rPr>
      </w:pPr>
      <w:r>
        <w:rPr>
          <w:rFonts w:ascii="Times New Roman" w:cs="Times New Roman" w:eastAsia="Times New Roman" w:hAnsi="Times New Roman"/>
          <w:sz w:val="13"/>
          <w:szCs w:val="13"/>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31" w:lineRule="exact"/>
        <w:rPr>
          <w:sz w:val="20"/>
          <w:szCs w:val="20"/>
          <w:color w:val="auto"/>
        </w:rPr>
      </w:pPr>
    </w:p>
    <w:p>
      <w:pPr>
        <w:ind w:left="340" w:right="539" w:firstLine="334"/>
        <w:spacing w:after="0" w:line="254" w:lineRule="auto"/>
        <w:rPr>
          <w:sz w:val="20"/>
          <w:szCs w:val="20"/>
          <w:color w:val="auto"/>
        </w:rPr>
      </w:pPr>
      <w:r>
        <w:rPr>
          <w:rFonts w:ascii="Times New Roman" w:cs="Times New Roman" w:eastAsia="Times New Roman" w:hAnsi="Times New Roman"/>
          <w:sz w:val="14"/>
          <w:szCs w:val="14"/>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4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6.03 Application of Moneys Collected.</w:t>
      </w:r>
    </w:p>
    <w:p>
      <w:pPr>
        <w:spacing w:after="0" w:line="166" w:lineRule="exact"/>
        <w:rPr>
          <w:sz w:val="20"/>
          <w:szCs w:val="20"/>
          <w:color w:val="auto"/>
        </w:rPr>
      </w:pPr>
    </w:p>
    <w:p>
      <w:pPr>
        <w:ind w:left="340" w:right="339" w:firstLine="334"/>
        <w:spacing w:after="0" w:line="283" w:lineRule="auto"/>
        <w:rPr>
          <w:sz w:val="20"/>
          <w:szCs w:val="20"/>
          <w:color w:val="auto"/>
        </w:rPr>
      </w:pPr>
      <w:r>
        <w:rPr>
          <w:rFonts w:ascii="Times New Roman" w:cs="Times New Roman" w:eastAsia="Times New Roman" w:hAnsi="Times New Roman"/>
          <w:sz w:val="13"/>
          <w:szCs w:val="13"/>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the payment, if only partially paid, and upon surrender thereof if fully paid:</w:t>
      </w:r>
    </w:p>
    <w:p>
      <w:pPr>
        <w:sectPr>
          <w:pgSz w:w="11900" w:h="16838" w:orient="portrait"/>
          <w:cols w:equalWidth="0" w:num="1">
            <w:col w:w="9019"/>
          </w:cols>
          <w:pgMar w:left="1440" w:top="239" w:right="1440" w:bottom="1440" w:gutter="0" w:footer="0" w:header="0"/>
        </w:sectPr>
      </w:pP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
          <w:szCs w:val="2"/>
          <w:color w:val="auto"/>
        </w:rPr>
        <w:t> </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3"/>
          <w:szCs w:val="3"/>
          <w:color w:val="auto"/>
        </w:rPr>
        <w:t> </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FIRST: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payment of costs and expenses of collection and of all amounts payable to the Trustee under Section 7.06;</w:t>
      </w:r>
    </w:p>
    <w:p>
      <w:pPr>
        <w:spacing w:after="0" w:line="96" w:lineRule="exact"/>
        <w:rPr>
          <w:sz w:val="20"/>
          <w:szCs w:val="20"/>
          <w:color w:val="auto"/>
        </w:rPr>
      </w:pPr>
    </w:p>
    <w:p>
      <w:pPr>
        <w:sectPr>
          <w:pgSz w:w="11900" w:h="16838" w:orient="portrait"/>
          <w:cols w:equalWidth="0" w:num="4">
            <w:col w:w="360" w:space="100"/>
            <w:col w:w="40" w:space="260"/>
            <w:col w:w="400" w:space="420"/>
            <w:col w:w="7439"/>
          </w:cols>
          <w:pgMar w:left="1440" w:top="239" w:right="1440"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3"/>
          <w:szCs w:val="13"/>
          <w:color w:val="auto"/>
        </w:rPr>
        <w:t>SECOND: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To the payment of all Senior Indebtedness of the Company if and to the extent required by Article XIV; and</w:t>
      </w:r>
    </w:p>
    <w:p>
      <w:pPr>
        <w:spacing w:after="0" w:line="96" w:lineRule="exact"/>
        <w:rPr>
          <w:sz w:val="20"/>
          <w:szCs w:val="20"/>
          <w:color w:val="auto"/>
        </w:rPr>
      </w:pPr>
    </w:p>
    <w:p>
      <w:pPr>
        <w:sectPr>
          <w:pgSz w:w="11900" w:h="16838" w:orient="portrait"/>
          <w:cols w:equalWidth="0" w:num="2">
            <w:col w:w="1340" w:space="240"/>
            <w:col w:w="7439"/>
          </w:cols>
          <w:pgMar w:left="1440" w:top="239" w:right="1440"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3"/>
          <w:szCs w:val="13"/>
          <w:color w:val="auto"/>
        </w:rPr>
        <w:t>THIRD:</w:t>
      </w:r>
    </w:p>
    <w:p>
      <w:pPr>
        <w:spacing w:after="0" w:line="20" w:lineRule="exact"/>
        <w:rPr>
          <w:sz w:val="20"/>
          <w:szCs w:val="20"/>
          <w:color w:val="auto"/>
        </w:rPr>
      </w:pPr>
      <w:r>
        <w:rPr>
          <w:sz w:val="20"/>
          <w:szCs w:val="20"/>
          <w:color w:val="auto"/>
        </w:rPr>
        <w:br w:type="column"/>
      </w:r>
    </w:p>
    <w:p>
      <w:pPr>
        <w:ind w:right="459"/>
        <w:spacing w:after="0" w:line="251" w:lineRule="auto"/>
        <w:rPr>
          <w:sz w:val="20"/>
          <w:szCs w:val="20"/>
          <w:color w:val="auto"/>
        </w:rPr>
      </w:pPr>
      <w:r>
        <w:rPr>
          <w:rFonts w:ascii="Times New Roman" w:cs="Times New Roman" w:eastAsia="Times New Roman" w:hAnsi="Times New Roman"/>
          <w:sz w:val="14"/>
          <w:szCs w:val="14"/>
          <w:color w:val="auto"/>
        </w:rPr>
        <w:t>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w:t>
      </w:r>
    </w:p>
    <w:p>
      <w:pPr>
        <w:spacing w:after="0" w:line="145" w:lineRule="exact"/>
        <w:rPr>
          <w:sz w:val="20"/>
          <w:szCs w:val="20"/>
          <w:color w:val="auto"/>
        </w:rPr>
      </w:pPr>
    </w:p>
    <w:p>
      <w:pPr>
        <w:sectPr>
          <w:pgSz w:w="11900" w:h="16838" w:orient="portrait"/>
          <w:cols w:equalWidth="0" w:num="2">
            <w:col w:w="1220" w:space="360"/>
            <w:col w:w="7439"/>
          </w:cols>
          <w:pgMar w:left="1440" w:top="239" w:right="1440"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4"/>
          <w:szCs w:val="14"/>
          <w:color w:val="auto"/>
        </w:rPr>
        <w:t>SECTION 6.04 Limitation on Suits.</w:t>
      </w:r>
    </w:p>
    <w:p>
      <w:pPr>
        <w:spacing w:after="0" w:line="166" w:lineRule="exact"/>
        <w:rPr>
          <w:sz w:val="20"/>
          <w:szCs w:val="20"/>
          <w:color w:val="auto"/>
        </w:rPr>
      </w:pPr>
    </w:p>
    <w:p>
      <w:pPr>
        <w:ind w:left="340" w:right="459" w:firstLine="334"/>
        <w:spacing w:after="0" w:line="249" w:lineRule="auto"/>
        <w:rPr>
          <w:sz w:val="20"/>
          <w:szCs w:val="20"/>
          <w:color w:val="auto"/>
        </w:rPr>
      </w:pPr>
      <w:r>
        <w:rPr>
          <w:rFonts w:ascii="Times New Roman" w:cs="Times New Roman" w:eastAsia="Times New Roman" w:hAnsi="Times New Roman"/>
          <w:sz w:val="14"/>
          <w:szCs w:val="14"/>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a majority in aggregate principal amount of the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39" w:right="1440" w:bottom="1440" w:gutter="0" w:footer="0" w:header="0"/>
          <w:type w:val="continuous"/>
        </w:sectPr>
      </w:pPr>
    </w:p>
    <w:bookmarkStart w:id="176" w:name="page177"/>
    <w:bookmarkEnd w:id="176"/>
    <w:p>
      <w:pPr>
        <w:ind w:left="340" w:right="359"/>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and (iv) the Trustee for 60 days after its receipt of such notice, request and offer of indemnity, shall have failed to institute any such action, suit or proceeding and (v) during such 60 day period, the holders of a majority in principal amount of the Securities of that series (or such amount as shall have acted at a meeting of the holders of Securities of such series pursuant to the provisions of this Indenture) do not give the Trustee a direction inconsistent with the request; provided, however, that no one or more of such holders may use this Indenture to prejudice the rights of another holder or to obtain preference or priority over another holder.</w:t>
      </w:r>
    </w:p>
    <w:p>
      <w:pPr>
        <w:spacing w:after="0" w:line="150" w:lineRule="exact"/>
        <w:rPr>
          <w:sz w:val="20"/>
          <w:szCs w:val="20"/>
          <w:color w:val="auto"/>
        </w:rPr>
      </w:pPr>
    </w:p>
    <w:p>
      <w:pPr>
        <w:ind w:left="340" w:right="359" w:firstLine="334"/>
        <w:spacing w:after="0" w:line="246" w:lineRule="auto"/>
        <w:rPr>
          <w:sz w:val="20"/>
          <w:szCs w:val="20"/>
          <w:color w:val="auto"/>
        </w:rPr>
      </w:pPr>
      <w:r>
        <w:rPr>
          <w:rFonts w:ascii="Times New Roman" w:cs="Times New Roman" w:eastAsia="Times New Roman" w:hAnsi="Times New Roman"/>
          <w:sz w:val="14"/>
          <w:szCs w:val="14"/>
          <w:color w:val="auto"/>
        </w:rPr>
        <w:t>Notwithstanding anything contained herein to the contrary,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5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6.05 Rights and Remedies Cumulative; Delay or Omission Not Waiver.</w:t>
      </w:r>
    </w:p>
    <w:p>
      <w:pPr>
        <w:spacing w:after="0" w:line="95" w:lineRule="exact"/>
        <w:rPr>
          <w:sz w:val="20"/>
          <w:szCs w:val="20"/>
          <w:color w:val="auto"/>
        </w:rPr>
      </w:pPr>
    </w:p>
    <w:p>
      <w:pPr>
        <w:ind w:left="1060" w:right="439" w:hanging="403"/>
        <w:spacing w:after="0" w:line="251" w:lineRule="auto"/>
        <w:tabs>
          <w:tab w:leader="none" w:pos="106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73" w:lineRule="exact"/>
        <w:rPr>
          <w:rFonts w:ascii="Times New Roman" w:cs="Times New Roman" w:eastAsia="Times New Roman" w:hAnsi="Times New Roman"/>
          <w:sz w:val="14"/>
          <w:szCs w:val="14"/>
          <w:color w:val="auto"/>
        </w:rPr>
      </w:pPr>
    </w:p>
    <w:p>
      <w:pPr>
        <w:ind w:left="1060" w:right="379" w:hanging="403"/>
        <w:spacing w:after="0" w:line="249" w:lineRule="auto"/>
        <w:tabs>
          <w:tab w:leader="none" w:pos="106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on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47" w:lineRule="exact"/>
        <w:rPr>
          <w:rFonts w:ascii="Times New Roman" w:cs="Times New Roman" w:eastAsia="Times New Roman" w:hAnsi="Times New Roman"/>
          <w:sz w:val="14"/>
          <w:szCs w:val="14"/>
          <w:color w:val="auto"/>
        </w:rPr>
      </w:pPr>
    </w:p>
    <w:p>
      <w:pPr>
        <w:ind w:left="10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6.06 Control by Securityholders.</w:t>
      </w:r>
    </w:p>
    <w:p>
      <w:pPr>
        <w:spacing w:after="0" w:line="166" w:lineRule="exact"/>
        <w:rPr>
          <w:sz w:val="20"/>
          <w:szCs w:val="20"/>
          <w:color w:val="auto"/>
        </w:rPr>
      </w:pPr>
    </w:p>
    <w:p>
      <w:pPr>
        <w:ind w:left="340" w:right="599" w:firstLine="334"/>
        <w:spacing w:after="0" w:line="254" w:lineRule="auto"/>
        <w:rPr>
          <w:sz w:val="20"/>
          <w:szCs w:val="20"/>
          <w:color w:val="auto"/>
        </w:rPr>
      </w:pPr>
      <w:r>
        <w:rPr>
          <w:rFonts w:ascii="Times New Roman" w:cs="Times New Roman" w:eastAsia="Times New Roman" w:hAnsi="Times New Roman"/>
          <w:sz w:val="14"/>
          <w:szCs w:val="14"/>
          <w:color w:val="auto"/>
        </w:rPr>
        <w:t>The holders of a majority in aggregate principal amount of the Securities of any series at the time Outstanding, determined in accordance with Section 8.01, shall have the right to direct the time, method and place of conducting any proceeding for any remedy available to the Trustee, or exercising any trust or power conferred on the Trustee with respect to such series; provided, however, that such direction shall not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39" w:right="1440" w:bottom="1440" w:gutter="0" w:footer="0" w:header="0"/>
        </w:sectPr>
      </w:pPr>
    </w:p>
    <w:bookmarkStart w:id="177" w:name="page178"/>
    <w:bookmarkEnd w:id="177"/>
    <w:p>
      <w:pPr>
        <w:ind w:left="340" w:right="37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be in conflict with any rule of law or with this Indenture or be unduly prejudicial to the rights of holders of Securities of any other series at the time Outstanding determined in accordance with Section 8.01. Subject to the provisions of Section 7.01, the Trustee shall have the right to decline to follow any such direction if the Trustee in good faith shall, by a Responsible Officer or Officers of the Trustee, determine that the proceeding so directed would involve the Trustee in personal liability.</w:t>
      </w:r>
    </w:p>
    <w:p>
      <w:pPr>
        <w:spacing w:after="0" w:line="145" w:lineRule="exact"/>
        <w:rPr>
          <w:sz w:val="20"/>
          <w:szCs w:val="20"/>
          <w:color w:val="auto"/>
        </w:rPr>
      </w:pPr>
    </w:p>
    <w:p>
      <w:pPr>
        <w:ind w:left="340" w:right="359" w:firstLine="334"/>
        <w:spacing w:after="0" w:line="245" w:lineRule="auto"/>
        <w:rPr>
          <w:sz w:val="20"/>
          <w:szCs w:val="20"/>
          <w:color w:val="auto"/>
        </w:rPr>
      </w:pPr>
      <w:r>
        <w:rPr>
          <w:rFonts w:ascii="Times New Roman" w:cs="Times New Roman" w:eastAsia="Times New Roman" w:hAnsi="Times New Roman"/>
          <w:sz w:val="14"/>
          <w:szCs w:val="14"/>
          <w:color w:val="auto"/>
        </w:rPr>
        <w:t>The holders either (a) through the written consent of not less than a majority in aggregate principal amount of the Securities of any series at the time Outstanding or (b) by action at a meeting of holders of the Securities of such series in accordance with Section 8.09, by the holders of a majority in aggregate principal amount of the Securities of such series then Outstanding represented at such meeting,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and except in respect a provision hereof which, under Section 9.02, cannot be modified or amended without the consent of the holders of each Outstanding Security affected; provided however that this Section shall not limit the right of holders of Securities of a series to rescind and annul any acceleration as set forth in Section 6.01.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The provisions which otherwise would be automatically deemed to be contained in this Indenture pursuant to Section 316(a)(1) of the Trust Indenture Act are hereby expressly excluded from this Indenture, except to the extent such provisions are expressly included herein.</w:t>
      </w:r>
    </w:p>
    <w:p>
      <w:pPr>
        <w:spacing w:after="0" w:line="15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6.07 Undertaking to Pay Costs.</w:t>
      </w:r>
    </w:p>
    <w:p>
      <w:pPr>
        <w:spacing w:after="0" w:line="166" w:lineRule="exact"/>
        <w:rPr>
          <w:sz w:val="20"/>
          <w:szCs w:val="20"/>
          <w:color w:val="auto"/>
        </w:rPr>
      </w:pPr>
    </w:p>
    <w:p>
      <w:pPr>
        <w:ind w:left="340" w:right="379" w:firstLine="334"/>
        <w:spacing w:after="0" w:line="268" w:lineRule="auto"/>
        <w:rPr>
          <w:sz w:val="20"/>
          <w:szCs w:val="20"/>
          <w:color w:val="auto"/>
        </w:rPr>
      </w:pPr>
      <w:r>
        <w:rPr>
          <w:rFonts w:ascii="Times New Roman" w:cs="Times New Roman" w:eastAsia="Times New Roman" w:hAnsi="Times New Roman"/>
          <w:sz w:val="13"/>
          <w:szCs w:val="13"/>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VII</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CONCERNING THE TRUSTEE</w:t>
      </w:r>
    </w:p>
    <w:p>
      <w:pPr>
        <w:spacing w:after="0" w:line="1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7.01 Certain Duties and Responsibilities of Trustee.</w:t>
      </w:r>
    </w:p>
    <w:p>
      <w:pPr>
        <w:spacing w:after="0" w:line="95" w:lineRule="exact"/>
        <w:rPr>
          <w:sz w:val="20"/>
          <w:szCs w:val="20"/>
          <w:color w:val="auto"/>
        </w:rPr>
      </w:pPr>
    </w:p>
    <w:p>
      <w:pPr>
        <w:ind w:left="1060" w:right="579" w:hanging="403"/>
        <w:spacing w:after="0" w:line="304" w:lineRule="auto"/>
        <w:tabs>
          <w:tab w:leader="none" w:pos="1060"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39" w:right="1440" w:bottom="1440" w:gutter="0" w:footer="0" w:header="0"/>
        </w:sectPr>
      </w:pPr>
    </w:p>
    <w:bookmarkStart w:id="178" w:name="page179"/>
    <w:bookmarkEnd w:id="178"/>
    <w:p>
      <w:pPr>
        <w:ind w:left="1080" w:right="399"/>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75" w:lineRule="exact"/>
        <w:rPr>
          <w:sz w:val="20"/>
          <w:szCs w:val="20"/>
          <w:color w:val="auto"/>
        </w:rPr>
      </w:pPr>
    </w:p>
    <w:p>
      <w:pPr>
        <w:ind w:left="1060" w:right="419" w:hanging="403"/>
        <w:spacing w:after="0" w:line="265" w:lineRule="auto"/>
        <w:tabs>
          <w:tab w:leader="none" w:pos="106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provision of this Indenture shall be construed to relieve the Trustee from liability for its own negligent action, its own negligent failure to act, or its own willful misconduct, except that:</w:t>
      </w:r>
    </w:p>
    <w:p>
      <w:pPr>
        <w:spacing w:after="0" w:line="63" w:lineRule="exact"/>
        <w:rPr>
          <w:rFonts w:ascii="Times New Roman" w:cs="Times New Roman" w:eastAsia="Times New Roman" w:hAnsi="Times New Roman"/>
          <w:sz w:val="14"/>
          <w:szCs w:val="14"/>
          <w:color w:val="auto"/>
        </w:rPr>
      </w:pPr>
    </w:p>
    <w:p>
      <w:pPr>
        <w:ind w:left="1400" w:right="599" w:hanging="323"/>
        <w:spacing w:after="0" w:line="265" w:lineRule="auto"/>
        <w:tabs>
          <w:tab w:leader="none" w:pos="1400"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occurrence of an Event of Default with respect to the Securities of a series and after the curing or waiving of all such Events of Default with respect to that series that may have occurred:</w:t>
      </w:r>
    </w:p>
    <w:p>
      <w:pPr>
        <w:spacing w:after="0" w:line="63" w:lineRule="exact"/>
        <w:rPr>
          <w:rFonts w:ascii="Times New Roman" w:cs="Times New Roman" w:eastAsia="Times New Roman" w:hAnsi="Times New Roman"/>
          <w:sz w:val="14"/>
          <w:szCs w:val="14"/>
          <w:color w:val="auto"/>
        </w:rPr>
      </w:pPr>
    </w:p>
    <w:p>
      <w:pPr>
        <w:ind w:left="1820" w:right="359" w:hanging="406"/>
        <w:spacing w:after="0" w:line="251" w:lineRule="auto"/>
        <w:tabs>
          <w:tab w:leader="none" w:pos="1820" w:val="left"/>
        </w:tabs>
        <w:numPr>
          <w:ilvl w:val="2"/>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73" w:lineRule="exact"/>
        <w:rPr>
          <w:rFonts w:ascii="Times New Roman" w:cs="Times New Roman" w:eastAsia="Times New Roman" w:hAnsi="Times New Roman"/>
          <w:sz w:val="14"/>
          <w:szCs w:val="14"/>
          <w:color w:val="auto"/>
        </w:rPr>
      </w:pPr>
    </w:p>
    <w:p>
      <w:pPr>
        <w:ind w:left="1820" w:right="379" w:hanging="406"/>
        <w:spacing w:after="0" w:line="273" w:lineRule="auto"/>
        <w:tabs>
          <w:tab w:leader="none" w:pos="1820" w:val="left"/>
        </w:tabs>
        <w:numPr>
          <w:ilvl w:val="2"/>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p>
      <w:pPr>
        <w:spacing w:after="0" w:line="60" w:lineRule="exact"/>
        <w:rPr>
          <w:rFonts w:ascii="Times New Roman" w:cs="Times New Roman" w:eastAsia="Times New Roman" w:hAnsi="Times New Roman"/>
          <w:sz w:val="13"/>
          <w:szCs w:val="13"/>
          <w:color w:val="auto"/>
        </w:rPr>
      </w:pPr>
    </w:p>
    <w:p>
      <w:pPr>
        <w:ind w:left="1400" w:right="459" w:hanging="323"/>
        <w:spacing w:after="0" w:line="265" w:lineRule="auto"/>
        <w:tabs>
          <w:tab w:leader="none" w:pos="1400"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63" w:lineRule="exact"/>
        <w:rPr>
          <w:rFonts w:ascii="Times New Roman" w:cs="Times New Roman" w:eastAsia="Times New Roman" w:hAnsi="Times New Roman"/>
          <w:sz w:val="14"/>
          <w:szCs w:val="14"/>
          <w:color w:val="auto"/>
        </w:rPr>
      </w:pPr>
    </w:p>
    <w:p>
      <w:pPr>
        <w:ind w:left="1400" w:right="359" w:hanging="323"/>
        <w:spacing w:after="0" w:line="251" w:lineRule="auto"/>
        <w:tabs>
          <w:tab w:leader="none" w:pos="1400"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73" w:lineRule="exact"/>
        <w:rPr>
          <w:rFonts w:ascii="Times New Roman" w:cs="Times New Roman" w:eastAsia="Times New Roman" w:hAnsi="Times New Roman"/>
          <w:sz w:val="14"/>
          <w:szCs w:val="14"/>
          <w:color w:val="auto"/>
        </w:rPr>
      </w:pPr>
    </w:p>
    <w:p>
      <w:pPr>
        <w:ind w:left="1400" w:right="539" w:hanging="323"/>
        <w:spacing w:after="0" w:line="251" w:lineRule="auto"/>
        <w:tabs>
          <w:tab w:leader="none" w:pos="1400"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39" w:right="1440" w:bottom="1440" w:gutter="0" w:footer="0" w:header="0"/>
        </w:sectPr>
      </w:pPr>
    </w:p>
    <w:bookmarkStart w:id="179" w:name="page180"/>
    <w:bookmarkEnd w:id="179"/>
    <w:p>
      <w:pPr>
        <w:ind w:left="10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7.02 Certain Rights of Trustee.</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Except as otherwise provided in Section 7.01:</w:t>
      </w:r>
    </w:p>
    <w:p>
      <w:pPr>
        <w:spacing w:after="0" w:line="95" w:lineRule="exact"/>
        <w:rPr>
          <w:sz w:val="20"/>
          <w:szCs w:val="20"/>
          <w:color w:val="auto"/>
        </w:rPr>
      </w:pPr>
    </w:p>
    <w:p>
      <w:pPr>
        <w:jc w:val="both"/>
        <w:ind w:left="1060" w:right="619" w:hanging="403"/>
        <w:spacing w:after="0" w:line="254" w:lineRule="auto"/>
        <w:tabs>
          <w:tab w:leader="none" w:pos="106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72" w:lineRule="exact"/>
        <w:rPr>
          <w:rFonts w:ascii="Times New Roman" w:cs="Times New Roman" w:eastAsia="Times New Roman" w:hAnsi="Times New Roman"/>
          <w:sz w:val="14"/>
          <w:szCs w:val="14"/>
          <w:color w:val="auto"/>
        </w:rPr>
      </w:pPr>
    </w:p>
    <w:p>
      <w:pPr>
        <w:ind w:left="1060" w:right="359" w:hanging="403"/>
        <w:spacing w:after="0" w:line="254" w:lineRule="auto"/>
        <w:tabs>
          <w:tab w:leader="none" w:pos="106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request, direction, order or demand of the Company mentioned herein shall be sufficiently evidenced by a Board Resolution or an instrument signed in the name of the Company, by the President or any Vice President and by the Secretary or an Assistant Secretary or the Treasurer or an Assistant Treasurer thereof (unless other evidence in respect thereof is specifically prescribed herein);</w:t>
      </w:r>
    </w:p>
    <w:p>
      <w:pPr>
        <w:spacing w:after="0" w:line="72" w:lineRule="exact"/>
        <w:rPr>
          <w:rFonts w:ascii="Times New Roman" w:cs="Times New Roman" w:eastAsia="Times New Roman" w:hAnsi="Times New Roman"/>
          <w:sz w:val="14"/>
          <w:szCs w:val="14"/>
          <w:color w:val="auto"/>
        </w:rPr>
      </w:pPr>
    </w:p>
    <w:p>
      <w:pPr>
        <w:ind w:left="1060" w:right="819" w:hanging="403"/>
        <w:spacing w:after="0" w:line="304" w:lineRule="auto"/>
        <w:tabs>
          <w:tab w:leader="none" w:pos="106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consult with counsel and the written advice of such counsel or any Opinion of Counsel shall be full and complete authorization and protection in respect of any action taken or suffered or omitted hereunder in good faith and in reliance thereon;</w:t>
      </w:r>
    </w:p>
    <w:p>
      <w:pPr>
        <w:spacing w:after="0" w:line="40" w:lineRule="exact"/>
        <w:rPr>
          <w:rFonts w:ascii="Times New Roman" w:cs="Times New Roman" w:eastAsia="Times New Roman" w:hAnsi="Times New Roman"/>
          <w:sz w:val="13"/>
          <w:szCs w:val="13"/>
          <w:color w:val="auto"/>
        </w:rPr>
      </w:pPr>
    </w:p>
    <w:p>
      <w:pPr>
        <w:ind w:left="1060" w:right="359" w:hanging="403"/>
        <w:spacing w:after="0" w:line="247" w:lineRule="auto"/>
        <w:tabs>
          <w:tab w:leader="none" w:pos="106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78" w:lineRule="exact"/>
        <w:rPr>
          <w:rFonts w:ascii="Times New Roman" w:cs="Times New Roman" w:eastAsia="Times New Roman" w:hAnsi="Times New Roman"/>
          <w:sz w:val="14"/>
          <w:szCs w:val="14"/>
          <w:color w:val="auto"/>
        </w:rPr>
      </w:pPr>
    </w:p>
    <w:p>
      <w:pPr>
        <w:ind w:left="1060" w:right="499" w:hanging="403"/>
        <w:spacing w:after="0" w:line="265" w:lineRule="auto"/>
        <w:tabs>
          <w:tab w:leader="none" w:pos="106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action taken or omitted to be taken by it in good faith and believed by it to be authorized or within the discretion or rights or powers conferred upon it by this Indenture;</w:t>
      </w:r>
    </w:p>
    <w:p>
      <w:pPr>
        <w:spacing w:after="0" w:line="63" w:lineRule="exact"/>
        <w:rPr>
          <w:rFonts w:ascii="Times New Roman" w:cs="Times New Roman" w:eastAsia="Times New Roman" w:hAnsi="Times New Roman"/>
          <w:sz w:val="14"/>
          <w:szCs w:val="14"/>
          <w:color w:val="auto"/>
        </w:rPr>
      </w:pPr>
    </w:p>
    <w:p>
      <w:pPr>
        <w:ind w:left="1060" w:right="399" w:hanging="403"/>
        <w:spacing w:after="0" w:line="247" w:lineRule="auto"/>
        <w:tabs>
          <w:tab w:leader="none" w:pos="106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p>
      <w:pPr>
        <w:spacing w:after="0" w:line="76" w:lineRule="exact"/>
        <w:rPr>
          <w:rFonts w:ascii="Times New Roman" w:cs="Times New Roman" w:eastAsia="Times New Roman" w:hAnsi="Times New Roman"/>
          <w:sz w:val="14"/>
          <w:szCs w:val="14"/>
          <w:color w:val="auto"/>
        </w:rPr>
      </w:pPr>
    </w:p>
    <w:p>
      <w:pPr>
        <w:ind w:left="1060" w:right="379" w:hanging="403"/>
        <w:spacing w:after="0" w:line="254" w:lineRule="auto"/>
        <w:tabs>
          <w:tab w:leader="none" w:pos="106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9" w:right="1440" w:bottom="1440" w:gutter="0" w:footer="0" w:header="0"/>
        </w:sectPr>
      </w:pPr>
    </w:p>
    <w:bookmarkStart w:id="180" w:name="page181"/>
    <w:bookmarkEnd w:id="180"/>
    <w:p>
      <w:pPr>
        <w:ind w:left="10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7.03 Trustee Not Responsible for Recitals or Issuance of Securities.</w:t>
      </w:r>
    </w:p>
    <w:p>
      <w:pPr>
        <w:spacing w:after="0" w:line="95" w:lineRule="exact"/>
        <w:rPr>
          <w:sz w:val="20"/>
          <w:szCs w:val="20"/>
          <w:color w:val="auto"/>
        </w:rPr>
      </w:pPr>
    </w:p>
    <w:p>
      <w:pPr>
        <w:ind w:left="1060" w:right="1019" w:hanging="403"/>
        <w:spacing w:after="0" w:line="265" w:lineRule="auto"/>
        <w:tabs>
          <w:tab w:leader="none" w:pos="106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recitals contained herein and in the Securities shall be taken as the statements of the Company, and the Trustee assumes no responsibility for the correctness of the same.</w:t>
      </w:r>
    </w:p>
    <w:p>
      <w:pPr>
        <w:spacing w:after="0" w:line="63" w:lineRule="exact"/>
        <w:rPr>
          <w:rFonts w:ascii="Times New Roman" w:cs="Times New Roman" w:eastAsia="Times New Roman" w:hAnsi="Times New Roman"/>
          <w:sz w:val="14"/>
          <w:szCs w:val="14"/>
          <w:color w:val="auto"/>
        </w:rPr>
      </w:pPr>
    </w:p>
    <w:p>
      <w:pPr>
        <w:ind w:left="1060" w:hanging="403"/>
        <w:spacing w:after="0"/>
        <w:tabs>
          <w:tab w:leader="none" w:pos="106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makes no representations as to the validity or sufficiency of this Indenture or of the Securities.</w:t>
      </w:r>
    </w:p>
    <w:p>
      <w:pPr>
        <w:spacing w:after="0" w:line="94" w:lineRule="exact"/>
        <w:rPr>
          <w:rFonts w:ascii="Times New Roman" w:cs="Times New Roman" w:eastAsia="Times New Roman" w:hAnsi="Times New Roman"/>
          <w:sz w:val="14"/>
          <w:szCs w:val="14"/>
          <w:color w:val="auto"/>
        </w:rPr>
      </w:pPr>
    </w:p>
    <w:p>
      <w:pPr>
        <w:ind w:left="1060" w:right="679" w:hanging="403"/>
        <w:spacing w:after="0" w:line="283" w:lineRule="auto"/>
        <w:tabs>
          <w:tab w:leader="none" w:pos="1060"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25" w:lineRule="exact"/>
        <w:rPr>
          <w:rFonts w:ascii="Times New Roman" w:cs="Times New Roman" w:eastAsia="Times New Roman" w:hAnsi="Times New Roman"/>
          <w:sz w:val="13"/>
          <w:szCs w:val="13"/>
          <w:color w:val="auto"/>
        </w:rPr>
      </w:pPr>
    </w:p>
    <w:p>
      <w:pPr>
        <w:ind w:left="10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SECTION 7.04 May Hold Securities.</w:t>
      </w:r>
    </w:p>
    <w:p>
      <w:pPr>
        <w:spacing w:after="0" w:line="166" w:lineRule="exact"/>
        <w:rPr>
          <w:sz w:val="20"/>
          <w:szCs w:val="20"/>
          <w:color w:val="auto"/>
        </w:rPr>
      </w:pPr>
    </w:p>
    <w:p>
      <w:pPr>
        <w:ind w:left="340" w:right="399" w:firstLine="334"/>
        <w:spacing w:after="0" w:line="265" w:lineRule="auto"/>
        <w:rPr>
          <w:sz w:val="20"/>
          <w:szCs w:val="20"/>
          <w:color w:val="auto"/>
        </w:rPr>
      </w:pPr>
      <w:r>
        <w:rPr>
          <w:rFonts w:ascii="Times New Roman" w:cs="Times New Roman" w:eastAsia="Times New Roman" w:hAnsi="Times New Roman"/>
          <w:sz w:val="14"/>
          <w:szCs w:val="14"/>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7.05 Moneys Held in Trust.</w:t>
      </w:r>
    </w:p>
    <w:p>
      <w:pPr>
        <w:spacing w:after="0" w:line="166" w:lineRule="exact"/>
        <w:rPr>
          <w:sz w:val="20"/>
          <w:szCs w:val="20"/>
          <w:color w:val="auto"/>
        </w:rPr>
      </w:pPr>
    </w:p>
    <w:p>
      <w:pPr>
        <w:ind w:left="340" w:right="419" w:firstLine="334"/>
        <w:spacing w:after="0" w:line="254" w:lineRule="auto"/>
        <w:rPr>
          <w:sz w:val="20"/>
          <w:szCs w:val="20"/>
          <w:color w:val="auto"/>
        </w:rPr>
      </w:pPr>
      <w:r>
        <w:rPr>
          <w:rFonts w:ascii="Times New Roman" w:cs="Times New Roman" w:eastAsia="Times New Roman" w:hAnsi="Times New Roman"/>
          <w:sz w:val="14"/>
          <w:szCs w:val="14"/>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4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7.06 Compensation and Reimbursement.</w:t>
      </w:r>
    </w:p>
    <w:p>
      <w:pPr>
        <w:spacing w:after="0" w:line="95" w:lineRule="exact"/>
        <w:rPr>
          <w:sz w:val="20"/>
          <w:szCs w:val="20"/>
          <w:color w:val="auto"/>
        </w:rPr>
      </w:pPr>
    </w:p>
    <w:p>
      <w:pPr>
        <w:ind w:left="1060" w:right="359" w:hanging="403"/>
        <w:spacing w:after="0" w:line="246" w:lineRule="auto"/>
        <w:tabs>
          <w:tab w:leader="none" w:pos="106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costs and expenses of defending itself against any claim of liability in the premises.</w:t>
      </w:r>
    </w:p>
    <w:p>
      <w:pPr>
        <w:spacing w:after="0" w:line="77" w:lineRule="exact"/>
        <w:rPr>
          <w:rFonts w:ascii="Times New Roman" w:cs="Times New Roman" w:eastAsia="Times New Roman" w:hAnsi="Times New Roman"/>
          <w:sz w:val="14"/>
          <w:szCs w:val="14"/>
          <w:color w:val="auto"/>
        </w:rPr>
      </w:pPr>
    </w:p>
    <w:p>
      <w:pPr>
        <w:ind w:left="1060" w:right="359" w:hanging="403"/>
        <w:spacing w:after="0" w:line="251" w:lineRule="auto"/>
        <w:tabs>
          <w:tab w:leader="none" w:pos="106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obligations of the Company under this Section to compensate and indemnify the Trustee and to pay or reimburse the Trustee for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39" w:right="1440" w:bottom="1440" w:gutter="0" w:footer="0" w:header="0"/>
        </w:sectPr>
      </w:pPr>
    </w:p>
    <w:bookmarkStart w:id="181" w:name="page182"/>
    <w:bookmarkEnd w:id="181"/>
    <w:p>
      <w:pPr>
        <w:ind w:left="10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7.07 Reliance on Officers’ Certificate.</w:t>
      </w:r>
    </w:p>
    <w:p>
      <w:pPr>
        <w:spacing w:after="0" w:line="166" w:lineRule="exact"/>
        <w:rPr>
          <w:sz w:val="20"/>
          <w:szCs w:val="20"/>
          <w:color w:val="auto"/>
        </w:rPr>
      </w:pPr>
    </w:p>
    <w:p>
      <w:pPr>
        <w:ind w:left="340" w:right="419" w:firstLine="334"/>
        <w:spacing w:after="0" w:line="248" w:lineRule="auto"/>
        <w:rPr>
          <w:sz w:val="20"/>
          <w:szCs w:val="20"/>
          <w:color w:val="auto"/>
        </w:rPr>
      </w:pPr>
      <w:r>
        <w:rPr>
          <w:rFonts w:ascii="Times New Roman" w:cs="Times New Roman" w:eastAsia="Times New Roman" w:hAnsi="Times New Roman"/>
          <w:sz w:val="14"/>
          <w:szCs w:val="14"/>
          <w:color w:val="auto"/>
        </w:rPr>
        <w:t>Except as otherwise provided in Section 7.01, whenever in the administration of the provisions of this Indenture the Trustee shall deem it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4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7.08 Disqualification; Conflicting Interests.</w:t>
      </w:r>
    </w:p>
    <w:p>
      <w:pPr>
        <w:spacing w:after="0" w:line="166" w:lineRule="exact"/>
        <w:rPr>
          <w:sz w:val="20"/>
          <w:szCs w:val="20"/>
          <w:color w:val="auto"/>
        </w:rPr>
      </w:pPr>
    </w:p>
    <w:p>
      <w:pPr>
        <w:ind w:left="340" w:right="499" w:firstLine="334"/>
        <w:spacing w:after="0" w:line="265" w:lineRule="auto"/>
        <w:rPr>
          <w:sz w:val="20"/>
          <w:szCs w:val="20"/>
          <w:color w:val="auto"/>
        </w:rPr>
      </w:pPr>
      <w:r>
        <w:rPr>
          <w:rFonts w:ascii="Times New Roman" w:cs="Times New Roman" w:eastAsia="Times New Roman" w:hAnsi="Times New Roman"/>
          <w:sz w:val="14"/>
          <w:szCs w:val="14"/>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7.09 Corporate Trustee Required; Eligibility.</w:t>
      </w:r>
    </w:p>
    <w:p>
      <w:pPr>
        <w:spacing w:after="0" w:line="166" w:lineRule="exact"/>
        <w:rPr>
          <w:sz w:val="20"/>
          <w:szCs w:val="20"/>
          <w:color w:val="auto"/>
        </w:rPr>
      </w:pPr>
    </w:p>
    <w:p>
      <w:pPr>
        <w:ind w:left="340" w:right="379" w:firstLine="334"/>
        <w:spacing w:after="0" w:line="268" w:lineRule="auto"/>
        <w:rPr>
          <w:sz w:val="20"/>
          <w:szCs w:val="20"/>
          <w:color w:val="auto"/>
        </w:rPr>
      </w:pPr>
      <w:r>
        <w:rPr>
          <w:rFonts w:ascii="Times New Roman" w:cs="Times New Roman" w:eastAsia="Times New Roman" w:hAnsi="Times New Roman"/>
          <w:sz w:val="13"/>
          <w:szCs w:val="13"/>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50 million U.S. dollars ($50,000,000), and subject to supervision or examination by Federal, State, Territorial, or District of Columbia authority.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7.10 Resignation and Removal; Appointment of Successor.</w:t>
      </w:r>
    </w:p>
    <w:p>
      <w:pPr>
        <w:spacing w:after="0" w:line="95" w:lineRule="exact"/>
        <w:rPr>
          <w:sz w:val="20"/>
          <w:szCs w:val="20"/>
          <w:color w:val="auto"/>
        </w:rPr>
      </w:pPr>
    </w:p>
    <w:p>
      <w:pPr>
        <w:ind w:left="1060" w:right="379" w:hanging="403"/>
        <w:spacing w:after="0" w:line="267" w:lineRule="auto"/>
        <w:tabs>
          <w:tab w:leader="none" w:pos="106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39" w:right="1440" w:bottom="1440" w:gutter="0" w:footer="0" w:header="0"/>
        </w:sectPr>
      </w:pPr>
    </w:p>
    <w:bookmarkStart w:id="182" w:name="page183"/>
    <w:bookmarkEnd w:id="182"/>
    <w:p>
      <w:pPr>
        <w:ind w:left="1060" w:hanging="403"/>
        <w:spacing w:after="0"/>
        <w:tabs>
          <w:tab w:leader="none" w:pos="106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In case at any time any one of the following shall occur:</w:t>
      </w:r>
    </w:p>
    <w:p>
      <w:pPr>
        <w:spacing w:after="0" w:line="94" w:lineRule="exact"/>
        <w:rPr>
          <w:rFonts w:ascii="Times New Roman" w:cs="Times New Roman" w:eastAsia="Times New Roman" w:hAnsi="Times New Roman"/>
          <w:sz w:val="14"/>
          <w:szCs w:val="14"/>
          <w:color w:val="auto"/>
        </w:rPr>
      </w:pPr>
    </w:p>
    <w:p>
      <w:pPr>
        <w:ind w:left="1400" w:right="899" w:hanging="323"/>
        <w:spacing w:after="0" w:line="265" w:lineRule="auto"/>
        <w:tabs>
          <w:tab w:leader="none" w:pos="1400" w:val="left"/>
        </w:tabs>
        <w:numPr>
          <w:ilvl w:val="1"/>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63" w:lineRule="exact"/>
        <w:rPr>
          <w:rFonts w:ascii="Times New Roman" w:cs="Times New Roman" w:eastAsia="Times New Roman" w:hAnsi="Times New Roman"/>
          <w:sz w:val="14"/>
          <w:szCs w:val="14"/>
          <w:color w:val="auto"/>
        </w:rPr>
      </w:pPr>
    </w:p>
    <w:p>
      <w:pPr>
        <w:ind w:left="1400" w:right="539" w:hanging="323"/>
        <w:spacing w:after="0" w:line="265" w:lineRule="auto"/>
        <w:tabs>
          <w:tab w:leader="none" w:pos="1400" w:val="left"/>
        </w:tabs>
        <w:numPr>
          <w:ilvl w:val="1"/>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cease to be eligible in accordance with the provisions of Section 7.09 and shall fail to resign after written request therefor by the Company or by any such Securityholder; or</w:t>
      </w:r>
    </w:p>
    <w:p>
      <w:pPr>
        <w:spacing w:after="0" w:line="63" w:lineRule="exact"/>
        <w:rPr>
          <w:rFonts w:ascii="Times New Roman" w:cs="Times New Roman" w:eastAsia="Times New Roman" w:hAnsi="Times New Roman"/>
          <w:sz w:val="14"/>
          <w:szCs w:val="14"/>
          <w:color w:val="auto"/>
        </w:rPr>
      </w:pPr>
    </w:p>
    <w:p>
      <w:pPr>
        <w:ind w:left="1400" w:right="339" w:hanging="323"/>
        <w:spacing w:after="0" w:line="246" w:lineRule="auto"/>
        <w:tabs>
          <w:tab w:leader="none" w:pos="1400" w:val="left"/>
        </w:tabs>
        <w:numPr>
          <w:ilvl w:val="1"/>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unless the Trustee’s duty to resign is stayed as provided herein,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78" w:lineRule="exact"/>
        <w:rPr>
          <w:rFonts w:ascii="Times New Roman" w:cs="Times New Roman" w:eastAsia="Times New Roman" w:hAnsi="Times New Roman"/>
          <w:sz w:val="14"/>
          <w:szCs w:val="14"/>
          <w:color w:val="auto"/>
        </w:rPr>
      </w:pPr>
    </w:p>
    <w:p>
      <w:pPr>
        <w:ind w:left="1060" w:right="399" w:hanging="403"/>
        <w:spacing w:after="0" w:line="254" w:lineRule="auto"/>
        <w:tabs>
          <w:tab w:leader="none" w:pos="106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72" w:lineRule="exact"/>
        <w:rPr>
          <w:rFonts w:ascii="Times New Roman" w:cs="Times New Roman" w:eastAsia="Times New Roman" w:hAnsi="Times New Roman"/>
          <w:sz w:val="14"/>
          <w:szCs w:val="14"/>
          <w:color w:val="auto"/>
        </w:rPr>
      </w:pPr>
    </w:p>
    <w:p>
      <w:pPr>
        <w:ind w:left="1060" w:right="439" w:hanging="403"/>
        <w:spacing w:after="0" w:line="254" w:lineRule="auto"/>
        <w:tabs>
          <w:tab w:leader="none" w:pos="106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72" w:lineRule="exact"/>
        <w:rPr>
          <w:rFonts w:ascii="Times New Roman" w:cs="Times New Roman" w:eastAsia="Times New Roman" w:hAnsi="Times New Roman"/>
          <w:sz w:val="14"/>
          <w:szCs w:val="14"/>
          <w:color w:val="auto"/>
        </w:rPr>
      </w:pPr>
    </w:p>
    <w:p>
      <w:pPr>
        <w:ind w:left="1060" w:right="619" w:hanging="403"/>
        <w:spacing w:after="0" w:line="265" w:lineRule="auto"/>
        <w:tabs>
          <w:tab w:leader="none" w:pos="106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7.11 Acceptance of Appointment By Successor.</w:t>
      </w:r>
    </w:p>
    <w:p>
      <w:pPr>
        <w:spacing w:after="0" w:line="95" w:lineRule="exact"/>
        <w:rPr>
          <w:sz w:val="20"/>
          <w:szCs w:val="20"/>
          <w:color w:val="auto"/>
        </w:rPr>
      </w:pPr>
    </w:p>
    <w:p>
      <w:pPr>
        <w:ind w:left="1060" w:right="379" w:hanging="403"/>
        <w:spacing w:after="0" w:line="251" w:lineRule="auto"/>
        <w:tabs>
          <w:tab w:leader="none" w:pos="106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39" w:right="1440" w:bottom="1440" w:gutter="0" w:footer="0" w:header="0"/>
        </w:sectPr>
      </w:pPr>
    </w:p>
    <w:bookmarkStart w:id="183" w:name="page184"/>
    <w:bookmarkEnd w:id="183"/>
    <w:p>
      <w:pPr>
        <w:ind w:left="1080" w:right="47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73" w:lineRule="exact"/>
        <w:rPr>
          <w:sz w:val="20"/>
          <w:szCs w:val="20"/>
          <w:color w:val="auto"/>
        </w:rPr>
      </w:pPr>
    </w:p>
    <w:p>
      <w:pPr>
        <w:ind w:left="1060" w:right="379" w:hanging="403"/>
        <w:spacing w:after="0" w:line="265" w:lineRule="auto"/>
        <w:tabs>
          <w:tab w:leader="none" w:pos="1060"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229" w:lineRule="exact"/>
        <w:rPr>
          <w:rFonts w:ascii="Times New Roman" w:cs="Times New Roman" w:eastAsia="Times New Roman" w:hAnsi="Times New Roman"/>
          <w:sz w:val="13"/>
          <w:szCs w:val="13"/>
          <w:color w:val="auto"/>
        </w:rPr>
      </w:pPr>
    </w:p>
    <w:p>
      <w:pPr>
        <w:ind w:left="1060" w:right="359" w:hanging="403"/>
        <w:spacing w:after="0" w:line="304" w:lineRule="auto"/>
        <w:tabs>
          <w:tab w:leader="none" w:pos="1060"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40" w:lineRule="exact"/>
        <w:rPr>
          <w:rFonts w:ascii="Times New Roman" w:cs="Times New Roman" w:eastAsia="Times New Roman" w:hAnsi="Times New Roman"/>
          <w:sz w:val="13"/>
          <w:szCs w:val="13"/>
          <w:color w:val="auto"/>
        </w:rPr>
      </w:pPr>
    </w:p>
    <w:p>
      <w:pPr>
        <w:ind w:left="1060" w:right="339" w:hanging="403"/>
        <w:spacing w:after="0" w:line="265" w:lineRule="auto"/>
        <w:tabs>
          <w:tab w:leader="none" w:pos="106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successor trustee shall accept its appointment unless at the time of such acceptance such successor trustee shall be qualified and eligible under this Article.</w:t>
      </w:r>
    </w:p>
    <w:p>
      <w:pPr>
        <w:spacing w:after="0" w:line="63" w:lineRule="exact"/>
        <w:rPr>
          <w:rFonts w:ascii="Times New Roman" w:cs="Times New Roman" w:eastAsia="Times New Roman" w:hAnsi="Times New Roman"/>
          <w:sz w:val="14"/>
          <w:szCs w:val="14"/>
          <w:color w:val="auto"/>
        </w:rPr>
      </w:pPr>
    </w:p>
    <w:p>
      <w:pPr>
        <w:ind w:left="1060" w:right="399" w:hanging="403"/>
        <w:spacing w:after="0" w:line="251" w:lineRule="auto"/>
        <w:tabs>
          <w:tab w:leader="none" w:pos="106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39" w:right="1440" w:bottom="1440" w:gutter="0" w:footer="0" w:header="0"/>
        </w:sectPr>
      </w:pPr>
    </w:p>
    <w:bookmarkStart w:id="184" w:name="page185"/>
    <w:bookmarkEnd w:id="184"/>
    <w:p>
      <w:pPr>
        <w:ind w:left="10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7.12 Merger, Conversion, Consolidation or Succession to Business.</w:t>
      </w:r>
    </w:p>
    <w:p>
      <w:pPr>
        <w:spacing w:after="0" w:line="166" w:lineRule="exact"/>
        <w:rPr>
          <w:sz w:val="20"/>
          <w:szCs w:val="20"/>
          <w:color w:val="auto"/>
        </w:rPr>
      </w:pPr>
    </w:p>
    <w:p>
      <w:pPr>
        <w:ind w:left="340" w:right="419" w:firstLine="334"/>
        <w:spacing w:after="0" w:line="247" w:lineRule="auto"/>
        <w:rPr>
          <w:sz w:val="20"/>
          <w:szCs w:val="20"/>
          <w:color w:val="auto"/>
        </w:rPr>
      </w:pPr>
      <w:r>
        <w:rPr>
          <w:rFonts w:ascii="Times New Roman" w:cs="Times New Roman" w:eastAsia="Times New Roman" w:hAnsi="Times New Roman"/>
          <w:sz w:val="14"/>
          <w:szCs w:val="14"/>
          <w:color w:val="auto"/>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5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7.13 Preferential Collection of Claims Against the Company.</w:t>
      </w:r>
    </w:p>
    <w:p>
      <w:pPr>
        <w:spacing w:after="0" w:line="166" w:lineRule="exact"/>
        <w:rPr>
          <w:sz w:val="20"/>
          <w:szCs w:val="20"/>
          <w:color w:val="auto"/>
        </w:rPr>
      </w:pPr>
    </w:p>
    <w:p>
      <w:pPr>
        <w:jc w:val="both"/>
        <w:ind w:left="340" w:right="559" w:firstLine="334"/>
        <w:spacing w:after="0" w:line="254" w:lineRule="auto"/>
        <w:rPr>
          <w:sz w:val="20"/>
          <w:szCs w:val="20"/>
          <w:color w:val="auto"/>
        </w:rPr>
      </w:pPr>
      <w:r>
        <w:rPr>
          <w:rFonts w:ascii="Times New Roman" w:cs="Times New Roman" w:eastAsia="Times New Roman" w:hAnsi="Times New Roman"/>
          <w:sz w:val="14"/>
          <w:szCs w:val="14"/>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VIII</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CONCERNING THE SECURITYHOLDERS</w:t>
      </w:r>
    </w:p>
    <w:p>
      <w:pPr>
        <w:spacing w:after="0" w:line="1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8.01 Evidence of Action by Securityholders.</w:t>
      </w:r>
    </w:p>
    <w:p>
      <w:pPr>
        <w:spacing w:after="0" w:line="166" w:lineRule="exact"/>
        <w:rPr>
          <w:sz w:val="20"/>
          <w:szCs w:val="20"/>
          <w:color w:val="auto"/>
        </w:rPr>
      </w:pPr>
    </w:p>
    <w:p>
      <w:pPr>
        <w:ind w:left="340" w:right="379" w:firstLine="334"/>
        <w:spacing w:after="0" w:line="249" w:lineRule="auto"/>
        <w:rPr>
          <w:sz w:val="20"/>
          <w:szCs w:val="20"/>
          <w:color w:val="auto"/>
        </w:rPr>
      </w:pPr>
      <w:r>
        <w:rPr>
          <w:rFonts w:ascii="Times New Roman" w:cs="Times New Roman" w:eastAsia="Times New Roman" w:hAnsi="Times New Roman"/>
          <w:sz w:val="14"/>
          <w:szCs w:val="14"/>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47" w:lineRule="exact"/>
        <w:rPr>
          <w:sz w:val="20"/>
          <w:szCs w:val="20"/>
          <w:color w:val="auto"/>
        </w:rPr>
      </w:pPr>
    </w:p>
    <w:p>
      <w:pPr>
        <w:ind w:left="340" w:right="399" w:firstLine="334"/>
        <w:spacing w:after="0" w:line="246" w:lineRule="auto"/>
        <w:rPr>
          <w:sz w:val="20"/>
          <w:szCs w:val="20"/>
          <w:color w:val="auto"/>
        </w:rPr>
      </w:pPr>
      <w:r>
        <w:rPr>
          <w:rFonts w:ascii="Times New Roman" w:cs="Times New Roman" w:eastAsia="Times New Roman" w:hAnsi="Times New Roman"/>
          <w:sz w:val="14"/>
          <w:szCs w:val="14"/>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39" w:right="1440" w:bottom="1440" w:gutter="0" w:footer="0" w:header="0"/>
        </w:sectPr>
      </w:pPr>
    </w:p>
    <w:bookmarkStart w:id="185" w:name="page186"/>
    <w:bookmarkEnd w:id="185"/>
    <w:p>
      <w:pPr>
        <w:ind w:left="10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8.02 Proof of Execution by Securityholders.</w:t>
      </w:r>
    </w:p>
    <w:p>
      <w:pPr>
        <w:spacing w:after="0" w:line="166" w:lineRule="exact"/>
        <w:rPr>
          <w:sz w:val="20"/>
          <w:szCs w:val="20"/>
          <w:color w:val="auto"/>
        </w:rPr>
      </w:pPr>
    </w:p>
    <w:p>
      <w:pPr>
        <w:ind w:left="340" w:right="359" w:firstLine="334"/>
        <w:spacing w:after="0" w:line="304" w:lineRule="auto"/>
        <w:rPr>
          <w:sz w:val="20"/>
          <w:szCs w:val="20"/>
          <w:color w:val="auto"/>
        </w:rPr>
      </w:pPr>
      <w:r>
        <w:rPr>
          <w:rFonts w:ascii="Times New Roman" w:cs="Times New Roman" w:eastAsia="Times New Roman" w:hAnsi="Times New Roman"/>
          <w:sz w:val="13"/>
          <w:szCs w:val="13"/>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41" w:lineRule="exact"/>
        <w:rPr>
          <w:sz w:val="20"/>
          <w:szCs w:val="20"/>
          <w:color w:val="auto"/>
        </w:rPr>
      </w:pPr>
    </w:p>
    <w:p>
      <w:pPr>
        <w:ind w:left="1060" w:right="779" w:hanging="403"/>
        <w:spacing w:after="0" w:line="265" w:lineRule="auto"/>
        <w:tabs>
          <w:tab w:leader="none" w:pos="10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and date of the execution by any such Person of any instrument may be proved in any reasonable manner acceptable to the Trustee.</w:t>
      </w:r>
    </w:p>
    <w:p>
      <w:pPr>
        <w:spacing w:after="0" w:line="63" w:lineRule="exact"/>
        <w:rPr>
          <w:rFonts w:ascii="Times New Roman" w:cs="Times New Roman" w:eastAsia="Times New Roman" w:hAnsi="Times New Roman"/>
          <w:sz w:val="14"/>
          <w:szCs w:val="14"/>
          <w:color w:val="auto"/>
        </w:rPr>
      </w:pPr>
    </w:p>
    <w:p>
      <w:pPr>
        <w:ind w:left="1060" w:hanging="403"/>
        <w:spacing w:after="0"/>
        <w:tabs>
          <w:tab w:leader="none" w:pos="1060"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ownership of Securities shall be proved by the Security Register of such Securities or by a certificate of the Security Registrar thereof.</w:t>
      </w:r>
    </w:p>
    <w:p>
      <w:pPr>
        <w:spacing w:after="0" w:line="106" w:lineRule="exact"/>
        <w:rPr>
          <w:rFonts w:ascii="Times New Roman" w:cs="Times New Roman" w:eastAsia="Times New Roman" w:hAnsi="Times New Roman"/>
          <w:sz w:val="13"/>
          <w:szCs w:val="13"/>
          <w:color w:val="auto"/>
        </w:rPr>
      </w:pPr>
    </w:p>
    <w:p>
      <w:pPr>
        <w:ind w:left="1080" w:right="1779" w:hanging="423"/>
        <w:spacing w:after="0" w:line="488" w:lineRule="auto"/>
        <w:tabs>
          <w:tab w:leader="none" w:pos="1065"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require such additional proof of any matter referred to in this Section as it shall deem necessary. SECTION 8.03 Who May be Deemed Owners.</w:t>
      </w:r>
    </w:p>
    <w:p>
      <w:pPr>
        <w:ind w:left="340" w:right="439" w:firstLine="334"/>
        <w:spacing w:after="0" w:line="248" w:lineRule="auto"/>
        <w:rPr>
          <w:sz w:val="20"/>
          <w:szCs w:val="20"/>
          <w:color w:val="auto"/>
        </w:rPr>
      </w:pPr>
      <w:r>
        <w:rPr>
          <w:rFonts w:ascii="Times New Roman" w:cs="Times New Roman" w:eastAsia="Times New Roman" w:hAnsi="Times New Roman"/>
          <w:sz w:val="14"/>
          <w:szCs w:val="14"/>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4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8.04 Certain Securities Owned by Company Disregarded.</w:t>
      </w:r>
    </w:p>
    <w:p>
      <w:pPr>
        <w:spacing w:after="0" w:line="166" w:lineRule="exact"/>
        <w:rPr>
          <w:sz w:val="20"/>
          <w:szCs w:val="20"/>
          <w:color w:val="auto"/>
        </w:rPr>
      </w:pPr>
    </w:p>
    <w:p>
      <w:pPr>
        <w:ind w:left="340" w:right="359" w:firstLine="334"/>
        <w:spacing w:after="0" w:line="268" w:lineRule="auto"/>
        <w:rPr>
          <w:sz w:val="20"/>
          <w:szCs w:val="20"/>
          <w:color w:val="auto"/>
        </w:rPr>
      </w:pPr>
      <w:r>
        <w:rPr>
          <w:rFonts w:ascii="Times New Roman" w:cs="Times New Roman" w:eastAsia="Times New Roman" w:hAnsi="Times New Roman"/>
          <w:sz w:val="13"/>
          <w:szCs w:val="13"/>
          <w:color w:val="auto"/>
        </w:rPr>
        <w:t>In determining whether the holders of the requisite aggregate principal amount of Securities of a particular series have concurred in any direction, consent of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8.05 Actions Binding on Future Securityholders.</w:t>
      </w:r>
    </w:p>
    <w:p>
      <w:pPr>
        <w:spacing w:after="0" w:line="166" w:lineRule="exact"/>
        <w:rPr>
          <w:sz w:val="20"/>
          <w:szCs w:val="20"/>
          <w:color w:val="auto"/>
        </w:rPr>
      </w:pPr>
    </w:p>
    <w:p>
      <w:pPr>
        <w:ind w:left="340" w:right="479" w:firstLine="334"/>
        <w:spacing w:after="0" w:line="273" w:lineRule="auto"/>
        <w:rPr>
          <w:sz w:val="20"/>
          <w:szCs w:val="20"/>
          <w:color w:val="auto"/>
        </w:rPr>
      </w:pPr>
      <w:r>
        <w:rPr>
          <w:rFonts w:ascii="Times New Roman" w:cs="Times New Roman" w:eastAsia="Times New Roman" w:hAnsi="Times New Roman"/>
          <w:sz w:val="13"/>
          <w:szCs w:val="13"/>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39" w:right="1440" w:bottom="1440" w:gutter="0" w:footer="0" w:header="0"/>
        </w:sectPr>
      </w:pPr>
    </w:p>
    <w:bookmarkStart w:id="186" w:name="page187"/>
    <w:bookmarkEnd w:id="186"/>
    <w:p>
      <w:pPr>
        <w:ind w:left="340" w:right="33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4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8.06 Purposes for Which Meetings May Be Called.</w:t>
      </w:r>
    </w:p>
    <w:p>
      <w:pPr>
        <w:spacing w:after="0" w:line="166" w:lineRule="exact"/>
        <w:rPr>
          <w:sz w:val="20"/>
          <w:szCs w:val="20"/>
          <w:color w:val="auto"/>
        </w:rPr>
      </w:pPr>
    </w:p>
    <w:p>
      <w:pPr>
        <w:ind w:left="340" w:right="419" w:firstLine="334"/>
        <w:spacing w:after="0" w:line="254" w:lineRule="auto"/>
        <w:rPr>
          <w:sz w:val="20"/>
          <w:szCs w:val="20"/>
          <w:color w:val="auto"/>
        </w:rPr>
      </w:pPr>
      <w:r>
        <w:rPr>
          <w:rFonts w:ascii="Times New Roman" w:cs="Times New Roman" w:eastAsia="Times New Roman" w:hAnsi="Times New Roman"/>
          <w:sz w:val="14"/>
          <w:szCs w:val="14"/>
          <w:color w:val="auto"/>
        </w:rPr>
        <w:t>A meeting of holders of any series of Securities may be called at any time and from time to time pursuant to this Article to make, give or take any request, demand, authorization, direction, notice, consent, waiver or other action provided by this Indenture to be made, given or taken by holders of such series of Securities.</w:t>
      </w:r>
    </w:p>
    <w:p>
      <w:pPr>
        <w:spacing w:after="0" w:line="144" w:lineRule="exact"/>
        <w:rPr>
          <w:sz w:val="20"/>
          <w:szCs w:val="20"/>
          <w:color w:val="auto"/>
        </w:rPr>
      </w:pPr>
    </w:p>
    <w:p>
      <w:pPr>
        <w:ind w:left="340" w:right="439" w:firstLine="334"/>
        <w:spacing w:after="0" w:line="265" w:lineRule="auto"/>
        <w:rPr>
          <w:sz w:val="20"/>
          <w:szCs w:val="20"/>
          <w:color w:val="auto"/>
        </w:rPr>
      </w:pPr>
      <w:r>
        <w:rPr>
          <w:rFonts w:ascii="Times New Roman" w:cs="Times New Roman" w:eastAsia="Times New Roman" w:hAnsi="Times New Roman"/>
          <w:sz w:val="14"/>
          <w:szCs w:val="14"/>
          <w:color w:val="auto"/>
        </w:rPr>
        <w:t>Notwithstanding anything contained in this Article VIII, the Trustee may, during the pendency of a Default or an Event of Default, call a meeting of holders of any series of Securities in accordance with its standard practices.</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8.07 Call Notice and Place of Meetings.</w:t>
      </w:r>
    </w:p>
    <w:p>
      <w:pPr>
        <w:spacing w:after="0" w:line="95" w:lineRule="exact"/>
        <w:rPr>
          <w:sz w:val="20"/>
          <w:szCs w:val="20"/>
          <w:color w:val="auto"/>
        </w:rPr>
      </w:pPr>
    </w:p>
    <w:p>
      <w:pPr>
        <w:ind w:left="1060" w:right="399" w:hanging="403"/>
        <w:spacing w:after="0" w:line="248" w:lineRule="auto"/>
        <w:tabs>
          <w:tab w:leader="none" w:pos="106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at any time call a meeting of holders of any series of Securities for any purpose specified in Section 8.06 hereof, to be held at such time and at such place in The City of New York or Boston, Massachusetts. Notice of every meeting of holders of any series of Securities, setting forth the time and the place of such meeting, in general terms the action proposed to be taken at such meeting and the percentage of the principal amount of the Outstanding Securities of such series which shall constitute a quorum at such meeting, shall be given, in the manner provided in Section 13.04 hereof, not less than 21 nor more than 180 days prior to the date fixed for the meeting to holders of Outstanding Securities of such series.</w:t>
      </w:r>
    </w:p>
    <w:p>
      <w:pPr>
        <w:spacing w:after="0" w:line="76" w:lineRule="exact"/>
        <w:rPr>
          <w:rFonts w:ascii="Times New Roman" w:cs="Times New Roman" w:eastAsia="Times New Roman" w:hAnsi="Times New Roman"/>
          <w:sz w:val="14"/>
          <w:szCs w:val="14"/>
          <w:color w:val="auto"/>
        </w:rPr>
      </w:pPr>
    </w:p>
    <w:p>
      <w:pPr>
        <w:ind w:left="1060" w:right="379" w:hanging="403"/>
        <w:spacing w:after="0" w:line="247" w:lineRule="auto"/>
        <w:tabs>
          <w:tab w:leader="none" w:pos="106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8.06 hereof,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specified, as the case may be, may determine the time and the place in The City of New York or Boston, Massachusetts for such meeting and may call such meeting for such purposes by giving notice thereof as provided in paragraph (a) of this Section.</w:t>
      </w:r>
    </w:p>
    <w:p>
      <w:pPr>
        <w:spacing w:after="0" w:line="149" w:lineRule="exact"/>
        <w:rPr>
          <w:rFonts w:ascii="Times New Roman" w:cs="Times New Roman" w:eastAsia="Times New Roman" w:hAnsi="Times New Roman"/>
          <w:sz w:val="14"/>
          <w:szCs w:val="14"/>
          <w:color w:val="auto"/>
        </w:rPr>
      </w:pPr>
    </w:p>
    <w:p>
      <w:pPr>
        <w:ind w:left="10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8.08 Persons Entitled To Vote at Meetings.</w:t>
      </w:r>
    </w:p>
    <w:p>
      <w:pPr>
        <w:spacing w:after="0" w:line="166" w:lineRule="exact"/>
        <w:rPr>
          <w:sz w:val="20"/>
          <w:szCs w:val="20"/>
          <w:color w:val="auto"/>
        </w:rPr>
      </w:pPr>
    </w:p>
    <w:p>
      <w:pPr>
        <w:jc w:val="both"/>
        <w:ind w:left="340" w:right="379" w:firstLine="334"/>
        <w:spacing w:after="0" w:line="276" w:lineRule="auto"/>
        <w:rPr>
          <w:sz w:val="20"/>
          <w:szCs w:val="20"/>
          <w:color w:val="auto"/>
        </w:rPr>
      </w:pPr>
      <w:r>
        <w:rPr>
          <w:rFonts w:ascii="Times New Roman" w:cs="Times New Roman" w:eastAsia="Times New Roman" w:hAnsi="Times New Roman"/>
          <w:sz w:val="13"/>
          <w:szCs w:val="13"/>
          <w:color w:val="auto"/>
        </w:rPr>
        <w:t>To be entitled to vote at any meeting of holders of Securities of a given series, a Person shall be (a) a holder of one or more Outstanding Securities of such series or (b) a Person appointed by an instrument in writing as proxy for a holder or holders of one or more Outstanding Securities of such series by such holder or holders. The only Persons who shall be entitled to be present or to speak at any meeting of holders shall be the Persons entitled to vote at such meeting and their counsel, any representatives of the Trustee and its counsel and any representatives of the Company and its counsel.</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39" w:right="1440" w:bottom="1440" w:gutter="0" w:footer="0" w:header="0"/>
        </w:sectPr>
      </w:pPr>
    </w:p>
    <w:bookmarkStart w:id="187" w:name="page188"/>
    <w:bookmarkEnd w:id="187"/>
    <w:p>
      <w:pPr>
        <w:ind w:left="10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8.09 Quorum; Action.</w:t>
      </w:r>
    </w:p>
    <w:p>
      <w:pPr>
        <w:spacing w:after="0" w:line="166" w:lineRule="exact"/>
        <w:rPr>
          <w:sz w:val="20"/>
          <w:szCs w:val="20"/>
          <w:color w:val="auto"/>
        </w:rPr>
      </w:pPr>
    </w:p>
    <w:p>
      <w:pPr>
        <w:ind w:left="340" w:right="339" w:firstLine="334"/>
        <w:spacing w:after="0" w:line="247" w:lineRule="auto"/>
        <w:rPr>
          <w:sz w:val="20"/>
          <w:szCs w:val="20"/>
          <w:color w:val="auto"/>
        </w:rPr>
      </w:pPr>
      <w:r>
        <w:rPr>
          <w:rFonts w:ascii="Times New Roman" w:cs="Times New Roman" w:eastAsia="Times New Roman" w:hAnsi="Times New Roman"/>
          <w:sz w:val="14"/>
          <w:szCs w:val="14"/>
          <w:color w:val="auto"/>
        </w:rPr>
        <w:t>The Persons entitled to vote a majority in aggregate principal amount of the Outstanding Securities of a given series shall constitute a quorum with respect to a meeting of holders of Outstanding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8.07(a) hereof, except that such notice need be given only once and not less than five days prior to the date on which the meeting is scheduled to be reconvened.</w:t>
      </w:r>
    </w:p>
    <w:p>
      <w:pPr>
        <w:spacing w:after="0" w:line="148" w:lineRule="exact"/>
        <w:rPr>
          <w:sz w:val="20"/>
          <w:szCs w:val="20"/>
          <w:color w:val="auto"/>
        </w:rPr>
      </w:pPr>
    </w:p>
    <w:p>
      <w:pPr>
        <w:ind w:left="340" w:right="479" w:firstLine="334"/>
        <w:spacing w:after="0" w:line="251" w:lineRule="auto"/>
        <w:rPr>
          <w:sz w:val="20"/>
          <w:szCs w:val="20"/>
          <w:color w:val="auto"/>
        </w:rPr>
      </w:pPr>
      <w:r>
        <w:rPr>
          <w:rFonts w:ascii="Times New Roman" w:cs="Times New Roman" w:eastAsia="Times New Roman" w:hAnsi="Times New Roman"/>
          <w:sz w:val="14"/>
          <w:szCs w:val="14"/>
          <w:color w:val="auto"/>
        </w:rPr>
        <w:t>At a meeting or an adjourned meeting duly reconvened and at which a quorum is present as aforesaid, any resolution and all matters (except as limited by the proviso to the first paragraph of Section 9.02 hereof) shall be effectively passed and decided if passed or decided by the Persons entitled to vote not less than a majority in aggregate principal amount of Outstanding Securities of a series represented and voting at such meeting with respect to a meeting of holders of Outstanding Securities of such series.</w:t>
      </w:r>
    </w:p>
    <w:p>
      <w:pPr>
        <w:spacing w:after="0" w:line="145" w:lineRule="exact"/>
        <w:rPr>
          <w:sz w:val="20"/>
          <w:szCs w:val="20"/>
          <w:color w:val="auto"/>
        </w:rPr>
      </w:pPr>
    </w:p>
    <w:p>
      <w:pPr>
        <w:ind w:left="340" w:right="459" w:firstLine="334"/>
        <w:spacing w:after="0" w:line="265" w:lineRule="auto"/>
        <w:rPr>
          <w:sz w:val="20"/>
          <w:szCs w:val="20"/>
          <w:color w:val="auto"/>
        </w:rPr>
      </w:pPr>
      <w:r>
        <w:rPr>
          <w:rFonts w:ascii="Times New Roman" w:cs="Times New Roman" w:eastAsia="Times New Roman" w:hAnsi="Times New Roman"/>
          <w:sz w:val="14"/>
          <w:szCs w:val="14"/>
          <w:color w:val="auto"/>
        </w:rPr>
        <w:t>Any resolution passed or decisions taken at any meeting of holders of Securities duly held in accordance with this Section shall be binding on all the holders of Securities of such series, whether or not present or represented at the meeting.</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8.10 Determination of Voting Rights; Conduct and Adjournment of Meetings.</w:t>
      </w:r>
    </w:p>
    <w:p>
      <w:pPr>
        <w:spacing w:after="0" w:line="95" w:lineRule="exact"/>
        <w:rPr>
          <w:sz w:val="20"/>
          <w:szCs w:val="20"/>
          <w:color w:val="auto"/>
        </w:rPr>
      </w:pPr>
    </w:p>
    <w:p>
      <w:pPr>
        <w:ind w:left="1060" w:right="499" w:hanging="403"/>
        <w:spacing w:after="0" w:line="251" w:lineRule="auto"/>
        <w:tabs>
          <w:tab w:leader="none" w:pos="10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provisions of this Indenture, the Trustee may make such reasonable regulations as it may deem advisable for any meeting of holders of Securities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p>
      <w:pPr>
        <w:spacing w:after="0" w:line="73" w:lineRule="exact"/>
        <w:rPr>
          <w:rFonts w:ascii="Times New Roman" w:cs="Times New Roman" w:eastAsia="Times New Roman" w:hAnsi="Times New Roman"/>
          <w:sz w:val="14"/>
          <w:szCs w:val="14"/>
          <w:color w:val="auto"/>
        </w:rPr>
      </w:pPr>
    </w:p>
    <w:p>
      <w:pPr>
        <w:ind w:left="1060" w:right="339" w:hanging="403"/>
        <w:spacing w:after="0" w:line="249" w:lineRule="auto"/>
        <w:tabs>
          <w:tab w:leader="none" w:pos="10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by an instrument in writing, appoint a temporary chairman (which may be the Trustee) of the meeting, unless the meeting shall have been called by the Company or by holders of Securities of a given series as provided in Section 8.07(b) hereof, in which case the Company or the holders of Securities of such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75" w:lineRule="exact"/>
        <w:rPr>
          <w:rFonts w:ascii="Times New Roman" w:cs="Times New Roman" w:eastAsia="Times New Roman" w:hAnsi="Times New Roman"/>
          <w:sz w:val="14"/>
          <w:szCs w:val="14"/>
          <w:color w:val="auto"/>
        </w:rPr>
      </w:pPr>
    </w:p>
    <w:p>
      <w:pPr>
        <w:ind w:left="1060" w:right="379" w:hanging="403"/>
        <w:spacing w:after="0" w:line="276" w:lineRule="auto"/>
        <w:tabs>
          <w:tab w:leader="none" w:pos="1060"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any meeting, each holder of a Security of the series in respect of which such meeting is being held or proxy shall be entitled to one vote for each $1,000 principal amount of Securities of such series held or represented by him; provided, however, that no vote shall be cast or counted at any meeting in respect of any Security of such series challenged as not Outstanding and ruled by the chairman of the meeting to be not Outstanding. The chairman of the meeting shall have no right to vote, except as a holder of a Security of such series or proxy.</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39" w:right="1440" w:bottom="1440" w:gutter="0" w:footer="0" w:header="0"/>
        </w:sectPr>
      </w:pPr>
    </w:p>
    <w:bookmarkStart w:id="188" w:name="page189"/>
    <w:bookmarkEnd w:id="188"/>
    <w:p>
      <w:pPr>
        <w:ind w:left="1060" w:right="379" w:hanging="403"/>
        <w:spacing w:after="0" w:line="254" w:lineRule="auto"/>
        <w:tabs>
          <w:tab w:leader="none" w:pos="10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Any meeting of holders of Securities duly called pursuant to Section 8.07 hereof at which a quorum is present may be adjourned from time to time by Persons entitled to vote a majority in principal amount of the Outstanding Securities of the series in respect of which such meeting is being held represented at the meeting, and the meeting may be held as so adjourned without further notice.</w:t>
      </w:r>
    </w:p>
    <w:p>
      <w:pPr>
        <w:spacing w:after="0" w:line="143" w:lineRule="exact"/>
        <w:rPr>
          <w:rFonts w:ascii="Times New Roman" w:cs="Times New Roman" w:eastAsia="Times New Roman" w:hAnsi="Times New Roman"/>
          <w:sz w:val="14"/>
          <w:szCs w:val="14"/>
          <w:color w:val="auto"/>
        </w:rPr>
      </w:pPr>
    </w:p>
    <w:p>
      <w:pPr>
        <w:ind w:left="10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8.11 Counting Votes and Recording Action of Meetings.</w:t>
      </w:r>
    </w:p>
    <w:p>
      <w:pPr>
        <w:spacing w:after="0" w:line="166" w:lineRule="exact"/>
        <w:rPr>
          <w:sz w:val="20"/>
          <w:szCs w:val="20"/>
          <w:color w:val="auto"/>
        </w:rPr>
      </w:pPr>
    </w:p>
    <w:p>
      <w:pPr>
        <w:ind w:left="340" w:right="359" w:firstLine="334"/>
        <w:spacing w:after="0" w:line="246" w:lineRule="auto"/>
        <w:rPr>
          <w:sz w:val="20"/>
          <w:szCs w:val="20"/>
          <w:color w:val="auto"/>
        </w:rPr>
      </w:pPr>
      <w:r>
        <w:rPr>
          <w:rFonts w:ascii="Times New Roman" w:cs="Times New Roman" w:eastAsia="Times New Roman" w:hAnsi="Times New Roman"/>
          <w:sz w:val="14"/>
          <w:szCs w:val="14"/>
          <w:color w:val="auto"/>
        </w:rPr>
        <w:t>The vote upon any resolution submitted to any meeting of holders of Securities of a given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such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8.07 hereof and, if applicable, Section 8.09 hereof.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IX</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SUPPLEMENTAL INDENTURES</w:t>
      </w:r>
    </w:p>
    <w:p>
      <w:pPr>
        <w:spacing w:after="0" w:line="1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9.01 Supplemental Indentures Without the Consent of Securityholders.</w:t>
      </w:r>
    </w:p>
    <w:p>
      <w:pPr>
        <w:spacing w:after="0" w:line="166" w:lineRule="exact"/>
        <w:rPr>
          <w:sz w:val="20"/>
          <w:szCs w:val="20"/>
          <w:color w:val="auto"/>
        </w:rPr>
      </w:pPr>
    </w:p>
    <w:p>
      <w:pPr>
        <w:ind w:left="340" w:right="419" w:firstLine="334"/>
        <w:spacing w:after="0" w:line="254" w:lineRule="auto"/>
        <w:rPr>
          <w:sz w:val="20"/>
          <w:szCs w:val="20"/>
          <w:color w:val="auto"/>
        </w:rPr>
      </w:pPr>
      <w:r>
        <w:rPr>
          <w:rFonts w:ascii="Times New Roman" w:cs="Times New Roman" w:eastAsia="Times New Roman" w:hAnsi="Times New Roman"/>
          <w:sz w:val="14"/>
          <w:szCs w:val="14"/>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72" w:lineRule="exact"/>
        <w:rPr>
          <w:sz w:val="20"/>
          <w:szCs w:val="20"/>
          <w:color w:val="auto"/>
        </w:rPr>
      </w:pPr>
    </w:p>
    <w:p>
      <w:pPr>
        <w:ind w:left="1060" w:right="359" w:hanging="403"/>
        <w:spacing w:after="0" w:line="254" w:lineRule="auto"/>
        <w:tabs>
          <w:tab w:leader="none" w:pos="106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 any ambiguity, correct or supplement any provision herein which may be inconsistent with any other provision herein or which is otherwise defective, or make any other provisions with respect to matters or questions arising under this Indenture which the Company and the Trustee may deem necessary or desirable and which shall not be inconsistent with the provisions of this Indenture;</w:t>
      </w:r>
    </w:p>
    <w:p>
      <w:pPr>
        <w:spacing w:after="0" w:line="72" w:lineRule="exact"/>
        <w:rPr>
          <w:rFonts w:ascii="Times New Roman" w:cs="Times New Roman" w:eastAsia="Times New Roman" w:hAnsi="Times New Roman"/>
          <w:sz w:val="14"/>
          <w:szCs w:val="14"/>
          <w:color w:val="auto"/>
        </w:rPr>
      </w:pPr>
    </w:p>
    <w:p>
      <w:pPr>
        <w:ind w:left="1060" w:hanging="403"/>
        <w:spacing w:after="0"/>
        <w:tabs>
          <w:tab w:leader="none" w:pos="106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Article X;</w:t>
      </w:r>
    </w:p>
    <w:p>
      <w:pPr>
        <w:spacing w:after="0" w:line="94" w:lineRule="exact"/>
        <w:rPr>
          <w:rFonts w:ascii="Times New Roman" w:cs="Times New Roman" w:eastAsia="Times New Roman" w:hAnsi="Times New Roman"/>
          <w:sz w:val="14"/>
          <w:szCs w:val="14"/>
          <w:color w:val="auto"/>
        </w:rPr>
      </w:pPr>
    </w:p>
    <w:p>
      <w:pPr>
        <w:ind w:left="1060" w:hanging="403"/>
        <w:spacing w:after="0"/>
        <w:tabs>
          <w:tab w:leader="none" w:pos="106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94" w:lineRule="exact"/>
        <w:rPr>
          <w:rFonts w:ascii="Times New Roman" w:cs="Times New Roman" w:eastAsia="Times New Roman" w:hAnsi="Times New Roman"/>
          <w:sz w:val="14"/>
          <w:szCs w:val="14"/>
          <w:color w:val="auto"/>
        </w:rPr>
      </w:pPr>
    </w:p>
    <w:p>
      <w:pPr>
        <w:ind w:left="1060" w:right="379" w:hanging="403"/>
        <w:spacing w:after="0" w:line="254" w:lineRule="auto"/>
        <w:tabs>
          <w:tab w:leader="none" w:pos="106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39" w:right="1440" w:bottom="1440" w:gutter="0" w:footer="0" w:header="0"/>
        </w:sectPr>
      </w:pPr>
    </w:p>
    <w:bookmarkStart w:id="189" w:name="page190"/>
    <w:bookmarkEnd w:id="189"/>
    <w:p>
      <w:pPr>
        <w:ind w:left="1060" w:right="899" w:hanging="403"/>
        <w:spacing w:after="0" w:line="265" w:lineRule="auto"/>
        <w:tabs>
          <w:tab w:leader="none" w:pos="106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to add to, delete from, or revise the conditions, limitations, and restrictions on the authorized amount, terms, or purposes of issue, authentication, and delivery of Securities, as herein set forth;</w:t>
      </w:r>
    </w:p>
    <w:p>
      <w:pPr>
        <w:spacing w:after="0" w:line="63" w:lineRule="exact"/>
        <w:rPr>
          <w:rFonts w:ascii="Times New Roman" w:cs="Times New Roman" w:eastAsia="Times New Roman" w:hAnsi="Times New Roman"/>
          <w:sz w:val="14"/>
          <w:szCs w:val="14"/>
          <w:color w:val="auto"/>
        </w:rPr>
      </w:pPr>
    </w:p>
    <w:p>
      <w:pPr>
        <w:ind w:left="1060" w:hanging="403"/>
        <w:spacing w:after="0"/>
        <w:tabs>
          <w:tab w:leader="none" w:pos="106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any Securityholder in any material respect;</w:t>
      </w:r>
    </w:p>
    <w:p>
      <w:pPr>
        <w:spacing w:after="0" w:line="94" w:lineRule="exact"/>
        <w:rPr>
          <w:rFonts w:ascii="Times New Roman" w:cs="Times New Roman" w:eastAsia="Times New Roman" w:hAnsi="Times New Roman"/>
          <w:sz w:val="14"/>
          <w:szCs w:val="14"/>
          <w:color w:val="auto"/>
        </w:rPr>
      </w:pPr>
    </w:p>
    <w:p>
      <w:pPr>
        <w:jc w:val="both"/>
        <w:ind w:left="1060" w:right="379" w:hanging="403"/>
        <w:spacing w:after="0" w:line="254" w:lineRule="auto"/>
        <w:tabs>
          <w:tab w:leader="none" w:pos="106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or</w:t>
      </w:r>
    </w:p>
    <w:p>
      <w:pPr>
        <w:spacing w:after="0" w:line="72" w:lineRule="exact"/>
        <w:rPr>
          <w:rFonts w:ascii="Times New Roman" w:cs="Times New Roman" w:eastAsia="Times New Roman" w:hAnsi="Times New Roman"/>
          <w:sz w:val="14"/>
          <w:szCs w:val="14"/>
          <w:color w:val="auto"/>
        </w:rPr>
      </w:pPr>
    </w:p>
    <w:p>
      <w:pPr>
        <w:ind w:left="1060" w:right="359" w:hanging="403"/>
        <w:spacing w:after="0" w:line="265" w:lineRule="auto"/>
        <w:tabs>
          <w:tab w:leader="none" w:pos="106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the requirements of the Commission in order to effect or maintain the qualification of this Indenture under the Trust Indenture Act.</w:t>
      </w:r>
    </w:p>
    <w:p>
      <w:pPr>
        <w:spacing w:after="0" w:line="136" w:lineRule="exact"/>
        <w:rPr>
          <w:sz w:val="20"/>
          <w:szCs w:val="20"/>
          <w:color w:val="auto"/>
        </w:rPr>
      </w:pPr>
    </w:p>
    <w:p>
      <w:pPr>
        <w:ind w:left="340" w:right="819" w:firstLine="334"/>
        <w:spacing w:after="0" w:line="254" w:lineRule="auto"/>
        <w:rPr>
          <w:sz w:val="20"/>
          <w:szCs w:val="20"/>
          <w:color w:val="auto"/>
        </w:rPr>
      </w:pPr>
      <w:r>
        <w:rPr>
          <w:rFonts w:ascii="Times New Roman" w:cs="Times New Roman" w:eastAsia="Times New Roman" w:hAnsi="Times New Roman"/>
          <w:sz w:val="14"/>
          <w:szCs w:val="14"/>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44" w:lineRule="exact"/>
        <w:rPr>
          <w:sz w:val="20"/>
          <w:szCs w:val="20"/>
          <w:color w:val="auto"/>
        </w:rPr>
      </w:pPr>
    </w:p>
    <w:p>
      <w:pPr>
        <w:ind w:left="340" w:right="399" w:firstLine="334"/>
        <w:spacing w:after="0" w:line="265" w:lineRule="auto"/>
        <w:rPr>
          <w:sz w:val="20"/>
          <w:szCs w:val="20"/>
          <w:color w:val="auto"/>
        </w:rPr>
      </w:pPr>
      <w:r>
        <w:rPr>
          <w:rFonts w:ascii="Times New Roman" w:cs="Times New Roman" w:eastAsia="Times New Roman" w:hAnsi="Times New Roman"/>
          <w:sz w:val="14"/>
          <w:szCs w:val="14"/>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9.02 Supplemental Indentures With Consent of Securityholders.</w:t>
      </w:r>
    </w:p>
    <w:p>
      <w:pPr>
        <w:spacing w:after="0" w:line="166" w:lineRule="exact"/>
        <w:rPr>
          <w:sz w:val="20"/>
          <w:szCs w:val="20"/>
          <w:color w:val="auto"/>
        </w:rPr>
      </w:pPr>
    </w:p>
    <w:p>
      <w:pPr>
        <w:ind w:left="340" w:right="379" w:firstLine="334"/>
        <w:spacing w:after="0" w:line="266" w:lineRule="auto"/>
        <w:rPr>
          <w:sz w:val="20"/>
          <w:szCs w:val="20"/>
          <w:color w:val="auto"/>
        </w:rPr>
      </w:pPr>
      <w:r>
        <w:rPr>
          <w:rFonts w:ascii="Times New Roman" w:cs="Times New Roman" w:eastAsia="Times New Roman" w:hAnsi="Times New Roman"/>
          <w:sz w:val="13"/>
          <w:szCs w:val="13"/>
          <w:color w:val="auto"/>
        </w:rPr>
        <w:t>With the written consent of the holders of at least a majority in aggregate principal amount of the Outstanding Securities of any series or by action at a meeting of holders of the Securities of such series in accordance with Section 8.09, by the holders of a majority in aggregate principal amount of the Securities of such series then Outstanding represented at such meeting, the Company, when authorized by Board Resolutions,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(i) extend the fixed maturity of any Securities of any series, or reduce the principal amount thereof, or reduce the rate or extend the time of payment of interest thereon, or reduce any premium payable upon the redemption thereof, (ii) reduce the aforesaid percentage of Securities, the holders of which are required to consent to any such supplemental indenture, or any consent or waiver, (iii) reduce the principal amount of discount securities payable upon acceleration of the maturity of any Securities of any series or (iv) make the principal of or premium or interest on any Security of a series payable in currency or currency units other than that stated in the Securities of such series.</w:t>
      </w:r>
    </w:p>
    <w:p>
      <w:pPr>
        <w:spacing w:after="0" w:line="140" w:lineRule="exact"/>
        <w:rPr>
          <w:sz w:val="20"/>
          <w:szCs w:val="20"/>
          <w:color w:val="auto"/>
        </w:rPr>
      </w:pPr>
    </w:p>
    <w:p>
      <w:pPr>
        <w:ind w:left="340" w:right="499" w:firstLine="334"/>
        <w:spacing w:after="0" w:line="265" w:lineRule="auto"/>
        <w:rPr>
          <w:sz w:val="20"/>
          <w:szCs w:val="20"/>
          <w:color w:val="auto"/>
        </w:rPr>
      </w:pPr>
      <w:r>
        <w:rPr>
          <w:rFonts w:ascii="Times New Roman" w:cs="Times New Roman" w:eastAsia="Times New Roman" w:hAnsi="Times New Roman"/>
          <w:sz w:val="14"/>
          <w:szCs w:val="14"/>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39" w:right="1440" w:bottom="1440" w:gutter="0" w:footer="0" w:header="0"/>
        </w:sectPr>
      </w:pPr>
    </w:p>
    <w:bookmarkStart w:id="190" w:name="page191"/>
    <w:bookmarkEnd w:id="190"/>
    <w:p>
      <w:pPr>
        <w:ind w:left="10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9.03 Effect of Supplemental Indentures.</w:t>
      </w:r>
    </w:p>
    <w:p>
      <w:pPr>
        <w:spacing w:after="0" w:line="166" w:lineRule="exact"/>
        <w:rPr>
          <w:sz w:val="20"/>
          <w:szCs w:val="20"/>
          <w:color w:val="auto"/>
        </w:rPr>
      </w:pPr>
    </w:p>
    <w:p>
      <w:pPr>
        <w:ind w:left="340" w:right="399" w:firstLine="334"/>
        <w:spacing w:after="0" w:line="273" w:lineRule="auto"/>
        <w:rPr>
          <w:sz w:val="20"/>
          <w:szCs w:val="20"/>
          <w:color w:val="auto"/>
        </w:rPr>
      </w:pPr>
      <w:r>
        <w:rPr>
          <w:rFonts w:ascii="Times New Roman" w:cs="Times New Roman" w:eastAsia="Times New Roman" w:hAnsi="Times New Roman"/>
          <w:sz w:val="13"/>
          <w:szCs w:val="13"/>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3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9.04 Securities Affected by Supplemental Indentures.</w:t>
      </w:r>
    </w:p>
    <w:p>
      <w:pPr>
        <w:spacing w:after="0" w:line="166" w:lineRule="exact"/>
        <w:rPr>
          <w:sz w:val="20"/>
          <w:szCs w:val="20"/>
          <w:color w:val="auto"/>
        </w:rPr>
      </w:pPr>
    </w:p>
    <w:p>
      <w:pPr>
        <w:ind w:left="340" w:right="379" w:firstLine="334"/>
        <w:spacing w:after="0" w:line="248" w:lineRule="auto"/>
        <w:rPr>
          <w:sz w:val="20"/>
          <w:szCs w:val="20"/>
          <w:color w:val="auto"/>
        </w:rPr>
      </w:pPr>
      <w:r>
        <w:rPr>
          <w:rFonts w:ascii="Times New Roman" w:cs="Times New Roman" w:eastAsia="Times New Roman" w:hAnsi="Times New Roman"/>
          <w:sz w:val="14"/>
          <w:szCs w:val="14"/>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exchange upon which such series may be listed, as to any matter provided for in such supplemental indenture. If the Company shall so determine, new Securities of that series so modified as to conform, in the opinion of the Board of Directors of the Company, to any modification of this Indenture contained in any such supplemental indenture may be prepared by the Company, authenticated by the Trustee and delivered in exchange for the Securities of that series then Outstanding.</w:t>
      </w:r>
    </w:p>
    <w:p>
      <w:pPr>
        <w:spacing w:after="0" w:line="14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9.05 Execution of Supplemental Indentures.</w:t>
      </w:r>
    </w:p>
    <w:p>
      <w:pPr>
        <w:spacing w:after="0" w:line="166" w:lineRule="exact"/>
        <w:rPr>
          <w:sz w:val="20"/>
          <w:szCs w:val="20"/>
          <w:color w:val="auto"/>
        </w:rPr>
      </w:pPr>
    </w:p>
    <w:p>
      <w:pPr>
        <w:ind w:left="340" w:right="359" w:firstLine="334"/>
        <w:spacing w:after="0" w:line="247" w:lineRule="auto"/>
        <w:rPr>
          <w:sz w:val="20"/>
          <w:szCs w:val="20"/>
          <w:color w:val="auto"/>
        </w:rPr>
      </w:pPr>
      <w:r>
        <w:rPr>
          <w:rFonts w:ascii="Times New Roman" w:cs="Times New Roman" w:eastAsia="Times New Roman" w:hAnsi="Times New Roman"/>
          <w:sz w:val="14"/>
          <w:szCs w:val="14"/>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may receive an Opinion of Counsel as conclusive evidence that any supplemental indenture executed pursuant to this Article is authorized or permitted by, and conforms to, the terms of this Article and that it is proper for the Trustee under the provisions of this Article to join in the execution thereof; provided, however, that such Opinion of Counsel need not be provided in connection with the execution of a supplemental indenture that establishes the terms of a series of Securities pursuant to Section 2.01 hereof.</w:t>
      </w:r>
    </w:p>
    <w:p>
      <w:pPr>
        <w:spacing w:after="0" w:line="148" w:lineRule="exact"/>
        <w:rPr>
          <w:sz w:val="20"/>
          <w:szCs w:val="20"/>
          <w:color w:val="auto"/>
        </w:rPr>
      </w:pPr>
    </w:p>
    <w:p>
      <w:pPr>
        <w:ind w:left="340" w:right="359" w:firstLine="334"/>
        <w:spacing w:after="0" w:line="251" w:lineRule="auto"/>
        <w:rPr>
          <w:sz w:val="20"/>
          <w:szCs w:val="20"/>
          <w:color w:val="auto"/>
        </w:rPr>
      </w:pPr>
      <w:r>
        <w:rPr>
          <w:rFonts w:ascii="Times New Roman" w:cs="Times New Roman" w:eastAsia="Times New Roman" w:hAnsi="Times New Roman"/>
          <w:sz w:val="14"/>
          <w:szCs w:val="14"/>
          <w:color w:val="auto"/>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X</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SUCCESSOR ENTITY</w:t>
      </w:r>
    </w:p>
    <w:p>
      <w:pPr>
        <w:spacing w:after="0" w:line="1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10.01 Company May Consolidate, Etc.</w:t>
      </w:r>
    </w:p>
    <w:p>
      <w:pPr>
        <w:spacing w:after="0" w:line="166" w:lineRule="exact"/>
        <w:rPr>
          <w:sz w:val="20"/>
          <w:szCs w:val="20"/>
          <w:color w:val="auto"/>
        </w:rPr>
      </w:pPr>
    </w:p>
    <w:p>
      <w:pPr>
        <w:ind w:left="340" w:right="399" w:firstLine="334"/>
        <w:spacing w:after="0" w:line="251" w:lineRule="auto"/>
        <w:rPr>
          <w:sz w:val="20"/>
          <w:szCs w:val="20"/>
          <w:color w:val="auto"/>
        </w:rPr>
      </w:pPr>
      <w:r>
        <w:rPr>
          <w:rFonts w:ascii="Times New Roman" w:cs="Times New Roman" w:eastAsia="Times New Roman" w:hAnsi="Times New Roman"/>
          <w:sz w:val="14"/>
          <w:szCs w:val="14"/>
          <w:color w:val="auto"/>
        </w:rPr>
        <w:t>Nothing contained in this Indenture or in any of the Securities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39" w:right="1440" w:bottom="1440" w:gutter="0" w:footer="0" w:header="0"/>
        </w:sectPr>
      </w:pPr>
    </w:p>
    <w:bookmarkStart w:id="191" w:name="page192"/>
    <w:bookmarkEnd w:id="191"/>
    <w:p>
      <w:pPr>
        <w:ind w:left="340" w:right="379"/>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satisfactory in form to the Trustee executed and delivered to the Trustee by the entity formed by such consolidation, or into which the Company shall have been merged, or by the entity which shall have acquired such property.</w:t>
      </w:r>
    </w:p>
    <w:p>
      <w:pPr>
        <w:spacing w:after="0" w:line="14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10.02 Successor Entity Substituted.</w:t>
      </w:r>
    </w:p>
    <w:p>
      <w:pPr>
        <w:spacing w:after="0" w:line="95" w:lineRule="exact"/>
        <w:rPr>
          <w:sz w:val="20"/>
          <w:szCs w:val="20"/>
          <w:color w:val="auto"/>
        </w:rPr>
      </w:pPr>
    </w:p>
    <w:p>
      <w:pPr>
        <w:ind w:left="1060" w:right="439" w:hanging="403"/>
        <w:spacing w:after="0" w:line="247" w:lineRule="auto"/>
        <w:tabs>
          <w:tab w:leader="none" w:pos="10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of any such consolidation, merger, sale, conveyance, transfer or other disposition and upon the assumption by the successor entity by supplemental indenture, executed and delivered to the Trustee and satisfactory in form to the Trustee, of the due and punctual payment of the principal of, premium, if any, and interest on all of the Securities of all series Outstanding and the due and punctual performance of all of the covenants and conditions of this Indenture or established with respect to each series of the Securities pursuant to Section 2.01 to be performed by the Company with respect to each series,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78" w:lineRule="exact"/>
        <w:rPr>
          <w:rFonts w:ascii="Times New Roman" w:cs="Times New Roman" w:eastAsia="Times New Roman" w:hAnsi="Times New Roman"/>
          <w:sz w:val="14"/>
          <w:szCs w:val="14"/>
          <w:color w:val="auto"/>
        </w:rPr>
      </w:pPr>
    </w:p>
    <w:p>
      <w:pPr>
        <w:ind w:left="1060" w:right="399" w:hanging="403"/>
        <w:spacing w:after="0" w:line="265" w:lineRule="auto"/>
        <w:tabs>
          <w:tab w:leader="none" w:pos="10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63" w:lineRule="exact"/>
        <w:rPr>
          <w:rFonts w:ascii="Times New Roman" w:cs="Times New Roman" w:eastAsia="Times New Roman" w:hAnsi="Times New Roman"/>
          <w:sz w:val="14"/>
          <w:szCs w:val="14"/>
          <w:color w:val="auto"/>
        </w:rPr>
      </w:pPr>
    </w:p>
    <w:p>
      <w:pPr>
        <w:jc w:val="both"/>
        <w:ind w:left="1060" w:right="499" w:hanging="403"/>
        <w:spacing w:after="0" w:line="254" w:lineRule="auto"/>
        <w:tabs>
          <w:tab w:leader="none" w:pos="10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43" w:lineRule="exact"/>
        <w:rPr>
          <w:rFonts w:ascii="Times New Roman" w:cs="Times New Roman" w:eastAsia="Times New Roman" w:hAnsi="Times New Roman"/>
          <w:sz w:val="14"/>
          <w:szCs w:val="14"/>
          <w:color w:val="auto"/>
        </w:rPr>
      </w:pPr>
    </w:p>
    <w:p>
      <w:pPr>
        <w:ind w:left="10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10.03 Evidence of Consolidation, Etc. to Trustee.</w:t>
      </w:r>
    </w:p>
    <w:p>
      <w:pPr>
        <w:spacing w:after="0" w:line="166" w:lineRule="exact"/>
        <w:rPr>
          <w:sz w:val="20"/>
          <w:szCs w:val="20"/>
          <w:color w:val="auto"/>
        </w:rPr>
      </w:pPr>
    </w:p>
    <w:p>
      <w:pPr>
        <w:ind w:left="340" w:right="599" w:firstLine="334"/>
        <w:spacing w:after="0" w:line="265" w:lineRule="auto"/>
        <w:rPr>
          <w:sz w:val="20"/>
          <w:szCs w:val="20"/>
          <w:color w:val="auto"/>
        </w:rPr>
      </w:pPr>
      <w:r>
        <w:rPr>
          <w:rFonts w:ascii="Times New Roman" w:cs="Times New Roman" w:eastAsia="Times New Roman" w:hAnsi="Times New Roman"/>
          <w:sz w:val="14"/>
          <w:szCs w:val="14"/>
          <w:color w:val="auto"/>
        </w:rPr>
        <w:t>The Trustee, subject to the provisions of Section 7.01, may receive an Opinion of Counsel as conclusive evidence that any such consolidation, merger, sale, conveyance, transfer or other disposition, and any such assumption, comply with the provisions of this Article.</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XI</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SATISFACTION AND DISCHARGE</w:t>
      </w:r>
    </w:p>
    <w:p>
      <w:pPr>
        <w:spacing w:after="0" w:line="1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11.01 Satisfaction and Discharge of Indenture.</w:t>
      </w:r>
    </w:p>
    <w:p>
      <w:pPr>
        <w:spacing w:after="0" w:line="166" w:lineRule="exact"/>
        <w:rPr>
          <w:sz w:val="20"/>
          <w:szCs w:val="20"/>
          <w:color w:val="auto"/>
        </w:rPr>
      </w:pPr>
    </w:p>
    <w:p>
      <w:pPr>
        <w:ind w:left="340" w:right="499" w:firstLine="334"/>
        <w:spacing w:after="0" w:line="254" w:lineRule="auto"/>
        <w:rPr>
          <w:sz w:val="20"/>
          <w:szCs w:val="20"/>
          <w:color w:val="auto"/>
        </w:rPr>
      </w:pPr>
      <w:r>
        <w:rPr>
          <w:rFonts w:ascii="Times New Roman" w:cs="Times New Roman" w:eastAsia="Times New Roman" w:hAnsi="Times New Roman"/>
          <w:sz w:val="14"/>
          <w:szCs w:val="14"/>
          <w:color w:val="auto"/>
        </w:rPr>
        <w:t>If at any time: (a) the Company shall have delivered to the Trustee for cancellation all Securities of a series theretofore authenticated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39" w:right="1440" w:bottom="1440" w:gutter="0" w:footer="0" w:header="0"/>
        </w:sectPr>
      </w:pPr>
    </w:p>
    <w:bookmarkStart w:id="192" w:name="page193"/>
    <w:bookmarkEnd w:id="192"/>
    <w:p>
      <w:pPr>
        <w:ind w:left="340" w:right="359"/>
        <w:spacing w:after="0" w:line="24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sufficient or a combination thereof, sufficient (assuming that no tax liability will be imposed on the Trustee)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11.05 and 12.01,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5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11.02 Discharge of Obligations.</w:t>
      </w:r>
    </w:p>
    <w:p>
      <w:pPr>
        <w:spacing w:after="0" w:line="166" w:lineRule="exact"/>
        <w:rPr>
          <w:sz w:val="20"/>
          <w:szCs w:val="20"/>
          <w:color w:val="auto"/>
        </w:rPr>
      </w:pPr>
    </w:p>
    <w:p>
      <w:pPr>
        <w:ind w:left="340" w:right="339" w:firstLine="334"/>
        <w:spacing w:after="0" w:line="268" w:lineRule="auto"/>
        <w:rPr>
          <w:sz w:val="20"/>
          <w:szCs w:val="20"/>
          <w:color w:val="auto"/>
        </w:rPr>
      </w:pPr>
      <w:r>
        <w:rPr>
          <w:rFonts w:ascii="Times New Roman" w:cs="Times New Roman" w:eastAsia="Times New Roman" w:hAnsi="Times New Roman"/>
          <w:sz w:val="13"/>
          <w:szCs w:val="13"/>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 Thereafter, Sections 7.06 and 11.05 shall survive.</w:t>
      </w:r>
    </w:p>
    <w:p>
      <w:pPr>
        <w:spacing w:after="0" w:line="13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11.03 Deposited Moneys to be Held in Trust.</w:t>
      </w:r>
    </w:p>
    <w:p>
      <w:pPr>
        <w:spacing w:after="0" w:line="166" w:lineRule="exact"/>
        <w:rPr>
          <w:sz w:val="20"/>
          <w:szCs w:val="20"/>
          <w:color w:val="auto"/>
        </w:rPr>
      </w:pPr>
    </w:p>
    <w:p>
      <w:pPr>
        <w:ind w:left="340" w:right="379" w:firstLine="334"/>
        <w:spacing w:after="0" w:line="251" w:lineRule="auto"/>
        <w:rPr>
          <w:sz w:val="20"/>
          <w:szCs w:val="20"/>
          <w:color w:val="auto"/>
        </w:rPr>
      </w:pPr>
      <w:r>
        <w:rPr>
          <w:rFonts w:ascii="Times New Roman" w:cs="Times New Roman" w:eastAsia="Times New Roman" w:hAnsi="Times New Roman"/>
          <w:sz w:val="14"/>
          <w:szCs w:val="14"/>
          <w:color w:val="auto"/>
        </w:rPr>
        <w:t>Subject to Section 11.05, 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4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11.04 Payment of Moneys Held by Paying Agents.</w:t>
      </w:r>
    </w:p>
    <w:p>
      <w:pPr>
        <w:spacing w:after="0" w:line="166" w:lineRule="exact"/>
        <w:rPr>
          <w:sz w:val="20"/>
          <w:szCs w:val="20"/>
          <w:color w:val="auto"/>
        </w:rPr>
      </w:pPr>
    </w:p>
    <w:p>
      <w:pPr>
        <w:jc w:val="both"/>
        <w:ind w:left="340" w:right="479" w:firstLine="334"/>
        <w:spacing w:after="0" w:line="254" w:lineRule="auto"/>
        <w:rPr>
          <w:sz w:val="20"/>
          <w:szCs w:val="20"/>
          <w:color w:val="auto"/>
        </w:rPr>
      </w:pPr>
      <w:r>
        <w:rPr>
          <w:rFonts w:ascii="Times New Roman" w:cs="Times New Roman" w:eastAsia="Times New Roman" w:hAnsi="Times New Roman"/>
          <w:sz w:val="14"/>
          <w:szCs w:val="14"/>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39" w:right="1440" w:bottom="1440" w:gutter="0" w:footer="0" w:header="0"/>
        </w:sectPr>
      </w:pPr>
    </w:p>
    <w:bookmarkStart w:id="193" w:name="page194"/>
    <w:bookmarkEnd w:id="193"/>
    <w:p>
      <w:pPr>
        <w:ind w:left="10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11.05 Repayment to Company.</w:t>
      </w:r>
    </w:p>
    <w:p>
      <w:pPr>
        <w:spacing w:after="0" w:line="166" w:lineRule="exact"/>
        <w:rPr>
          <w:sz w:val="20"/>
          <w:szCs w:val="20"/>
          <w:color w:val="auto"/>
        </w:rPr>
      </w:pPr>
    </w:p>
    <w:p>
      <w:pPr>
        <w:ind w:left="340" w:right="339" w:firstLine="334"/>
        <w:spacing w:after="0" w:line="269" w:lineRule="auto"/>
        <w:rPr>
          <w:sz w:val="20"/>
          <w:szCs w:val="20"/>
          <w:color w:val="auto"/>
        </w:rPr>
      </w:pPr>
      <w:r>
        <w:rPr>
          <w:rFonts w:ascii="Times New Roman" w:cs="Times New Roman" w:eastAsia="Times New Roman" w:hAnsi="Times New Roman"/>
          <w:sz w:val="13"/>
          <w:szCs w:val="13"/>
          <w:color w:val="auto"/>
        </w:rPr>
        <w:t>Any moneys or Governmental Obligations deposited with any paying agent or the Trustee, or then held by the Company, in trust for payment of principal of or premium or interest on the Securities of a particular series that are not applied but remain unclaimed by the holders of such Securities for two years after the date upon which the principal of (and premium, if any) or interest on such Securities shall have respectively become due and payable, shall be repaid to the Company or (if then held by the Company) shall be discharged from such trust in each case, promptly after the end of any such two-year period or, at the request of the Company, on a later date specified by the Company; and thereupon the paying agent and the Trustee shall be released from all further liability with respect to such moneys or Governmental Obligations, and the holder of any of the Securities entitled to receive such payment shall thereafter, as an unsecured general creditor, look only to the Company for the payment thereof.</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XII</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IMMUNITY OF INCORPORATORS, STOCKHOLDERS, OFFICERS AND DIRECTORS</w:t>
      </w:r>
    </w:p>
    <w:p>
      <w:pPr>
        <w:spacing w:after="0" w:line="1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12.01 No Recourse.</w:t>
      </w:r>
    </w:p>
    <w:p>
      <w:pPr>
        <w:spacing w:after="0" w:line="166" w:lineRule="exact"/>
        <w:rPr>
          <w:sz w:val="20"/>
          <w:szCs w:val="20"/>
          <w:color w:val="auto"/>
        </w:rPr>
      </w:pPr>
    </w:p>
    <w:p>
      <w:pPr>
        <w:ind w:left="340" w:right="339" w:firstLine="334"/>
        <w:spacing w:after="0" w:line="245" w:lineRule="auto"/>
        <w:rPr>
          <w:sz w:val="20"/>
          <w:szCs w:val="20"/>
          <w:color w:val="auto"/>
        </w:rPr>
      </w:pPr>
      <w:r>
        <w:rPr>
          <w:rFonts w:ascii="Times New Roman" w:cs="Times New Roman" w:eastAsia="Times New Roman" w:hAnsi="Times New Roman"/>
          <w:sz w:val="14"/>
          <w:szCs w:val="14"/>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XIII</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MISCELLANEOUS PROVISIONS</w:t>
      </w:r>
    </w:p>
    <w:p>
      <w:pPr>
        <w:spacing w:after="0" w:line="1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13.01 Effect on Successors and Assigns.</w:t>
      </w:r>
    </w:p>
    <w:p>
      <w:pPr>
        <w:spacing w:after="0" w:line="166" w:lineRule="exact"/>
        <w:rPr>
          <w:sz w:val="20"/>
          <w:szCs w:val="20"/>
          <w:color w:val="auto"/>
        </w:rPr>
      </w:pPr>
    </w:p>
    <w:p>
      <w:pPr>
        <w:ind w:left="340" w:right="419" w:firstLine="334"/>
        <w:spacing w:after="0" w:line="265" w:lineRule="auto"/>
        <w:rPr>
          <w:sz w:val="20"/>
          <w:szCs w:val="20"/>
          <w:color w:val="auto"/>
        </w:rPr>
      </w:pPr>
      <w:r>
        <w:rPr>
          <w:rFonts w:ascii="Times New Roman" w:cs="Times New Roman" w:eastAsia="Times New Roman" w:hAnsi="Times New Roman"/>
          <w:sz w:val="14"/>
          <w:szCs w:val="14"/>
          <w:color w:val="auto"/>
        </w:rPr>
        <w:t>All the covenants, stipulations, promises and agreements in this Indenture contained by or on behalf of the Company shall bind its successors and assigns, whether so expressed or not.</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13.02 Actions by Successor.</w:t>
      </w:r>
    </w:p>
    <w:p>
      <w:pPr>
        <w:spacing w:after="0" w:line="166" w:lineRule="exact"/>
        <w:rPr>
          <w:sz w:val="20"/>
          <w:szCs w:val="20"/>
          <w:color w:val="auto"/>
        </w:rPr>
      </w:pPr>
    </w:p>
    <w:p>
      <w:pPr>
        <w:jc w:val="both"/>
        <w:ind w:left="340" w:right="379" w:firstLine="334"/>
        <w:spacing w:after="0" w:line="254" w:lineRule="auto"/>
        <w:rPr>
          <w:sz w:val="20"/>
          <w:szCs w:val="20"/>
          <w:color w:val="auto"/>
        </w:rPr>
      </w:pPr>
      <w:r>
        <w:rPr>
          <w:rFonts w:ascii="Times New Roman" w:cs="Times New Roman" w:eastAsia="Times New Roman" w:hAnsi="Times New Roman"/>
          <w:sz w:val="14"/>
          <w:szCs w:val="14"/>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39" w:right="1440" w:bottom="1440" w:gutter="0" w:footer="0" w:header="0"/>
        </w:sectPr>
      </w:pPr>
    </w:p>
    <w:bookmarkStart w:id="194" w:name="page195"/>
    <w:bookmarkEnd w:id="194"/>
    <w:p>
      <w:pPr>
        <w:ind w:left="10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13.03 Surrender of Company Powers.</w:t>
      </w:r>
    </w:p>
    <w:p>
      <w:pPr>
        <w:spacing w:after="0" w:line="166" w:lineRule="exact"/>
        <w:rPr>
          <w:sz w:val="20"/>
          <w:szCs w:val="20"/>
          <w:color w:val="auto"/>
        </w:rPr>
      </w:pPr>
    </w:p>
    <w:p>
      <w:pPr>
        <w:ind w:left="340" w:right="399" w:firstLine="334"/>
        <w:spacing w:after="0" w:line="304" w:lineRule="auto"/>
        <w:rPr>
          <w:sz w:val="20"/>
          <w:szCs w:val="20"/>
          <w:color w:val="auto"/>
        </w:rPr>
      </w:pPr>
      <w:r>
        <w:rPr>
          <w:rFonts w:ascii="Times New Roman" w:cs="Times New Roman" w:eastAsia="Times New Roman" w:hAnsi="Times New Roman"/>
          <w:sz w:val="13"/>
          <w:szCs w:val="13"/>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1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13.04 Notices.</w:t>
      </w:r>
    </w:p>
    <w:p>
      <w:pPr>
        <w:spacing w:after="0" w:line="166" w:lineRule="exact"/>
        <w:rPr>
          <w:sz w:val="20"/>
          <w:szCs w:val="20"/>
          <w:color w:val="auto"/>
        </w:rPr>
      </w:pPr>
    </w:p>
    <w:p>
      <w:pPr>
        <w:ind w:left="340" w:right="359" w:firstLine="334"/>
        <w:spacing w:after="0" w:line="246" w:lineRule="auto"/>
        <w:rPr>
          <w:sz w:val="20"/>
          <w:szCs w:val="20"/>
          <w:color w:val="auto"/>
        </w:rPr>
      </w:pPr>
      <w:r>
        <w:rPr>
          <w:rFonts w:ascii="Times New Roman" w:cs="Times New Roman" w:eastAsia="Times New Roman" w:hAnsi="Times New Roman"/>
          <w:sz w:val="14"/>
          <w:szCs w:val="14"/>
          <w:color w:val="auto"/>
        </w:rPr>
        <w:t>Except as otherwise expressly provided herein any notice or demand that by any provision of this Indenture is required or permitted to be given or served by the Trustee or by the holders of Securities to or on the Company may be given or served by being deposited first class postage prepaid in a post-office letterbox addressed (until another address is filed in writing by the Company with the Trustee), as follows: ProKidney Corp., Attn: James Coulston, CFO, 2000 Frontis Plaza Blvd., Suite 250, Winston-Salem, North Carolina 27103. Any notice, election, request or demand by the Company or any Securityholder to or upon the Trustee shall be deemed to have been sufficiently given or made, for all purposes, if given or made in writing at the Corporate Trust Office of the Trustee. Any notice or communication to a holder shall be mailed by first-class mail to his address shown on the Security Register kept by the Security Registrar. Failure to mail a notice or communication to a holder or any defect in such notice or communication shall not affect its sufficiency with respect to other holders. If a notice or communication is mailed or sent in the manner provided above within the time prescribed, it is duly given as of the date it is mailed, whether or not the addressee receives it, except that notice to the Trustee or the Company shall only be effective upon receipt thereof by the Trustee or the Company, respectively. If the Company mails a notice or communication to holders of Securities, it shall mail a copy to the Trustee at the same time.</w:t>
      </w:r>
    </w:p>
    <w:p>
      <w:pPr>
        <w:spacing w:after="0" w:line="14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13.05 Governing Law.</w:t>
      </w:r>
    </w:p>
    <w:p>
      <w:pPr>
        <w:spacing w:after="0" w:line="166" w:lineRule="exact"/>
        <w:rPr>
          <w:sz w:val="20"/>
          <w:szCs w:val="20"/>
          <w:color w:val="auto"/>
        </w:rPr>
      </w:pPr>
    </w:p>
    <w:p>
      <w:pPr>
        <w:ind w:left="340" w:right="619" w:firstLine="334"/>
        <w:spacing w:after="0" w:line="265" w:lineRule="auto"/>
        <w:rPr>
          <w:sz w:val="20"/>
          <w:szCs w:val="20"/>
          <w:color w:val="auto"/>
        </w:rPr>
      </w:pPr>
      <w:r>
        <w:rPr>
          <w:rFonts w:ascii="Times New Roman" w:cs="Times New Roman" w:eastAsia="Times New Roman" w:hAnsi="Times New Roman"/>
          <w:sz w:val="14"/>
          <w:szCs w:val="14"/>
          <w:color w:val="auto"/>
        </w:rPr>
        <w:t>This Indenture and each Security shall be deemed to be a contract made under the internal laws of the State of New York, and for all purposes shall be construed in accordance with the laws of said State.</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13.06 Treatment of Securities as Debt.</w:t>
      </w:r>
    </w:p>
    <w:p>
      <w:pPr>
        <w:spacing w:after="0" w:line="166" w:lineRule="exact"/>
        <w:rPr>
          <w:sz w:val="20"/>
          <w:szCs w:val="20"/>
          <w:color w:val="auto"/>
        </w:rPr>
      </w:pPr>
    </w:p>
    <w:p>
      <w:pPr>
        <w:ind w:left="340" w:right="399" w:firstLine="334"/>
        <w:spacing w:after="0" w:line="265" w:lineRule="auto"/>
        <w:rPr>
          <w:sz w:val="20"/>
          <w:szCs w:val="20"/>
          <w:color w:val="auto"/>
        </w:rPr>
      </w:pPr>
      <w:r>
        <w:rPr>
          <w:rFonts w:ascii="Times New Roman" w:cs="Times New Roman" w:eastAsia="Times New Roman" w:hAnsi="Times New Roman"/>
          <w:sz w:val="14"/>
          <w:szCs w:val="14"/>
          <w:color w:val="auto"/>
        </w:rPr>
        <w:t>It is intended that the Securities will be treated as indebtedness and not as equity for federal income tax purposes. The provisions of this Indenture shall be interpreted to further this intention.</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13.07 Compliance Certificates and Opinions.</w:t>
      </w:r>
    </w:p>
    <w:p>
      <w:pPr>
        <w:spacing w:after="0" w:line="95" w:lineRule="exact"/>
        <w:rPr>
          <w:sz w:val="20"/>
          <w:szCs w:val="20"/>
          <w:color w:val="auto"/>
        </w:rPr>
      </w:pPr>
    </w:p>
    <w:p>
      <w:pPr>
        <w:ind w:left="1060" w:right="399" w:hanging="403"/>
        <w:spacing w:after="0" w:line="248" w:lineRule="auto"/>
        <w:tabs>
          <w:tab w:leader="none" w:pos="106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76" w:lineRule="exact"/>
        <w:rPr>
          <w:rFonts w:ascii="Times New Roman" w:cs="Times New Roman" w:eastAsia="Times New Roman" w:hAnsi="Times New Roman"/>
          <w:sz w:val="14"/>
          <w:szCs w:val="14"/>
          <w:color w:val="auto"/>
        </w:rPr>
      </w:pPr>
    </w:p>
    <w:p>
      <w:pPr>
        <w:ind w:left="1060" w:right="379" w:hanging="403"/>
        <w:spacing w:after="0" w:line="271" w:lineRule="auto"/>
        <w:tabs>
          <w:tab w:leader="none" w:pos="1060"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certificate or opinion provided for in this Indenture and delivered to the Trustee with respect to compliance with a condition or covenant in this Indenture shall include (1) a statement that the Person making such certificate or opinion has read such covenant or condition; (2) a brief statement as to the nature and scope of the examination or investigation upon which the statements or opinions contained in such certificate or opinion are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39" w:right="1440" w:bottom="1440" w:gutter="0" w:footer="0" w:header="0"/>
        </w:sectPr>
      </w:pPr>
    </w:p>
    <w:bookmarkStart w:id="195" w:name="page196"/>
    <w:bookmarkEnd w:id="195"/>
    <w:p>
      <w:pPr>
        <w:ind w:left="10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SECTION 13.08 Payments on Business Days.</w:t>
      </w:r>
    </w:p>
    <w:p>
      <w:pPr>
        <w:spacing w:after="0" w:line="166" w:lineRule="exact"/>
        <w:rPr>
          <w:sz w:val="20"/>
          <w:szCs w:val="20"/>
          <w:color w:val="auto"/>
        </w:rPr>
      </w:pPr>
    </w:p>
    <w:p>
      <w:pPr>
        <w:ind w:left="340" w:right="439" w:firstLine="334"/>
        <w:spacing w:after="0" w:line="249" w:lineRule="auto"/>
        <w:rPr>
          <w:sz w:val="20"/>
          <w:szCs w:val="20"/>
          <w:color w:val="auto"/>
        </w:rPr>
      </w:pPr>
      <w:r>
        <w:rPr>
          <w:rFonts w:ascii="Times New Roman" w:cs="Times New Roman" w:eastAsia="Times New Roman" w:hAnsi="Times New Roman"/>
          <w:sz w:val="14"/>
          <w:szCs w:val="14"/>
          <w:color w:val="auto"/>
        </w:rPr>
        <w:t>Except as provided pursuant to Section 2.01 pursuant to a Board Resolution, and as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13.09 Conflict with Trust Indenture Act.</w:t>
      </w:r>
    </w:p>
    <w:p>
      <w:pPr>
        <w:spacing w:after="0" w:line="166" w:lineRule="exact"/>
        <w:rPr>
          <w:sz w:val="20"/>
          <w:szCs w:val="20"/>
          <w:color w:val="auto"/>
        </w:rPr>
      </w:pPr>
    </w:p>
    <w:p>
      <w:pPr>
        <w:ind w:left="340" w:right="479" w:firstLine="334"/>
        <w:spacing w:after="0" w:line="265" w:lineRule="auto"/>
        <w:rPr>
          <w:sz w:val="20"/>
          <w:szCs w:val="20"/>
          <w:color w:val="auto"/>
        </w:rPr>
      </w:pPr>
      <w:r>
        <w:rPr>
          <w:rFonts w:ascii="Times New Roman" w:cs="Times New Roman" w:eastAsia="Times New Roman" w:hAnsi="Times New Roman"/>
          <w:sz w:val="14"/>
          <w:szCs w:val="14"/>
          <w:color w:val="auto"/>
        </w:rPr>
        <w:t>If and to the extent that any provision of this Indenture limits, qualifies or conflicts with the duties imposed by Sections 310 to 317, inclusive, of the Trust Indenture Act, such imposed duties shall control.</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13.10 Counterparts.</w:t>
      </w:r>
    </w:p>
    <w:p>
      <w:pPr>
        <w:spacing w:after="0" w:line="166" w:lineRule="exact"/>
        <w:rPr>
          <w:sz w:val="20"/>
          <w:szCs w:val="20"/>
          <w:color w:val="auto"/>
        </w:rPr>
      </w:pPr>
    </w:p>
    <w:p>
      <w:pPr>
        <w:ind w:left="340" w:right="459" w:firstLine="334"/>
        <w:spacing w:after="0" w:line="265" w:lineRule="auto"/>
        <w:rPr>
          <w:sz w:val="20"/>
          <w:szCs w:val="20"/>
          <w:color w:val="auto"/>
        </w:rPr>
      </w:pPr>
      <w:r>
        <w:rPr>
          <w:rFonts w:ascii="Times New Roman" w:cs="Times New Roman" w:eastAsia="Times New Roman" w:hAnsi="Times New Roman"/>
          <w:sz w:val="14"/>
          <w:szCs w:val="14"/>
          <w:color w:val="auto"/>
        </w:rPr>
        <w:t>This Indenture may be executed in any number of counterparts, each of which shall be an original, but such counterparts shall together constitute but one and the same instrument.</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13.11 Separability.</w:t>
      </w:r>
    </w:p>
    <w:p>
      <w:pPr>
        <w:spacing w:after="0" w:line="166" w:lineRule="exact"/>
        <w:rPr>
          <w:sz w:val="20"/>
          <w:szCs w:val="20"/>
          <w:color w:val="auto"/>
        </w:rPr>
      </w:pPr>
    </w:p>
    <w:p>
      <w:pPr>
        <w:jc w:val="both"/>
        <w:ind w:left="340" w:right="539" w:firstLine="334"/>
        <w:spacing w:after="0" w:line="251" w:lineRule="auto"/>
        <w:rPr>
          <w:sz w:val="20"/>
          <w:szCs w:val="20"/>
          <w:color w:val="auto"/>
        </w:rPr>
      </w:pPr>
      <w:r>
        <w:rPr>
          <w:rFonts w:ascii="Times New Roman" w:cs="Times New Roman" w:eastAsia="Times New Roman" w:hAnsi="Times New Roman"/>
          <w:sz w:val="14"/>
          <w:szCs w:val="14"/>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4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13.12 Assignment.</w:t>
      </w:r>
    </w:p>
    <w:p>
      <w:pPr>
        <w:spacing w:after="0" w:line="166" w:lineRule="exact"/>
        <w:rPr>
          <w:sz w:val="20"/>
          <w:szCs w:val="20"/>
          <w:color w:val="auto"/>
        </w:rPr>
      </w:pPr>
    </w:p>
    <w:p>
      <w:pPr>
        <w:ind w:left="340" w:right="439" w:firstLine="334"/>
        <w:spacing w:after="0" w:line="251" w:lineRule="auto"/>
        <w:rPr>
          <w:sz w:val="20"/>
          <w:szCs w:val="20"/>
          <w:color w:val="auto"/>
        </w:rPr>
      </w:pPr>
      <w:r>
        <w:rPr>
          <w:rFonts w:ascii="Times New Roman" w:cs="Times New Roman" w:eastAsia="Times New Roman" w:hAnsi="Times New Roman"/>
          <w:sz w:val="14"/>
          <w:szCs w:val="14"/>
          <w:color w:val="auto"/>
        </w:rPr>
        <w:t>The Company will have the right at all times to assign any of its rights or obligations under this Indenture to a direct or indirect wholly-owned Subsidiary of the Company, provided that, in the event of any such assignment, the Company, will remain liable for all such obligations. Subject to the foregoing, this Indenture is binding upon and inures to the benefit of the parties thereto and their respective successors and assigns. This Indenture may not otherwise be assigned by the parties thereto.</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XIV</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SUBORDINATION OF SECURITIES</w:t>
      </w:r>
    </w:p>
    <w:p>
      <w:pPr>
        <w:spacing w:after="0" w:line="1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SECTION 14.01 Subordination Terms.</w:t>
      </w:r>
    </w:p>
    <w:p>
      <w:pPr>
        <w:spacing w:after="0" w:line="166" w:lineRule="exact"/>
        <w:rPr>
          <w:sz w:val="20"/>
          <w:szCs w:val="20"/>
          <w:color w:val="auto"/>
        </w:rPr>
      </w:pPr>
    </w:p>
    <w:p>
      <w:pPr>
        <w:ind w:left="340" w:right="439" w:firstLine="334"/>
        <w:spacing w:after="0" w:line="265" w:lineRule="auto"/>
        <w:rPr>
          <w:sz w:val="20"/>
          <w:szCs w:val="20"/>
          <w:color w:val="auto"/>
        </w:rPr>
      </w:pPr>
      <w:r>
        <w:rPr>
          <w:rFonts w:ascii="Times New Roman" w:cs="Times New Roman" w:eastAsia="Times New Roman" w:hAnsi="Times New Roman"/>
          <w:sz w:val="14"/>
          <w:szCs w:val="14"/>
          <w:color w:val="auto"/>
        </w:rPr>
        <w:t>The payment by the Company of the principal of, premium, if any, and interest on any series of Securities issued hereunder shall be subordinated to the extent set forth in an indenture supplemental hereto relating to the Securities of such series.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39" w:right="1440" w:bottom="1440" w:gutter="0" w:footer="0" w:header="0"/>
        </w:sectPr>
      </w:pPr>
    </w:p>
    <w:bookmarkStart w:id="196" w:name="page197"/>
    <w:bookmarkEnd w:id="196"/>
    <w:p>
      <w:pPr>
        <w:ind w:left="66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IN WITNESS WHEREOF, the parties hereto have caused this Indenture to be duly executed all as of the day and year first above written.</w:t>
      </w:r>
    </w:p>
    <w:p>
      <w:pPr>
        <w:spacing w:after="0" w:line="19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PROKIDNEY CORP.</w:t>
      </w:r>
    </w:p>
    <w:p>
      <w:pPr>
        <w:spacing w:after="0" w:line="16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By:</w:t>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-100965</wp:posOffset>
            </wp:positionV>
            <wp:extent cx="1968500"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1">
                      <a:extLst>
                        <a:ext uri="{28A0092B-C50C-407E-A947-70E740481C1C}"/>
                      </a:extLst>
                    </a:blip>
                    <a:srcRect/>
                    <a:stretch>
                      <a:fillRect/>
                    </a:stretch>
                  </pic:blipFill>
                  <pic:spPr bwMode="auto">
                    <a:xfrm>
                      <a:off x="0" y="0"/>
                      <a:ext cx="1968500" cy="635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4"/>
          <w:szCs w:val="14"/>
          <w:color w:val="auto"/>
        </w:rPr>
        <w:t>Title:</w:t>
      </w:r>
    </w:p>
    <w:p>
      <w:pPr>
        <w:spacing w:after="0" w:line="15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[                     ],</w:t>
      </w:r>
    </w:p>
    <w:p>
      <w:pPr>
        <w:spacing w:after="0" w:line="1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As Trustee</w:t>
      </w:r>
    </w:p>
    <w:p>
      <w:pPr>
        <w:spacing w:after="0" w:line="15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By:</w:t>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-100965</wp:posOffset>
            </wp:positionV>
            <wp:extent cx="1968500"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2">
                      <a:extLst>
                        <a:ext uri="{28A0092B-C50C-407E-A947-70E740481C1C}"/>
                      </a:extLst>
                    </a:blip>
                    <a:srcRect/>
                    <a:stretch>
                      <a:fillRect/>
                    </a:stretch>
                  </pic:blipFill>
                  <pic:spPr bwMode="auto">
                    <a:xfrm>
                      <a:off x="0" y="0"/>
                      <a:ext cx="1968500" cy="635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4"/>
          <w:szCs w:val="14"/>
          <w:color w:val="auto"/>
        </w:rPr>
        <w:t>Title:</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239" w:right="1440" w:bottom="1440" w:gutter="0" w:footer="0" w:header="0"/>
        </w:sectPr>
      </w:pPr>
    </w:p>
    <w:bookmarkStart w:id="197" w:name="page198"/>
    <w:bookmarkEnd w:id="197"/>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191"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4"/>
          <w:szCs w:val="14"/>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-93345</wp:posOffset>
            </wp:positionV>
            <wp:extent cx="532765" cy="6369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3">
                      <a:extLst>
                        <a:ext uri="{28A0092B-C50C-407E-A947-70E740481C1C}"/>
                      </a:extLst>
                    </a:blip>
                    <a:srcRect/>
                    <a:stretch>
                      <a:fillRect/>
                    </a:stretch>
                  </pic:blipFill>
                  <pic:spPr bwMode="auto">
                    <a:xfrm>
                      <a:off x="0" y="0"/>
                      <a:ext cx="532765" cy="636905"/>
                    </a:xfrm>
                    <a:prstGeom prst="rect">
                      <a:avLst/>
                    </a:prstGeom>
                    <a:noFill/>
                  </pic:spPr>
                </pic:pic>
              </a:graphicData>
            </a:graphic>
          </wp:anchor>
        </w:drawing>
      </w:r>
    </w:p>
    <w:p>
      <w:pPr>
        <w:jc w:val="right"/>
        <w:ind w:right="339"/>
        <w:spacing w:after="0"/>
        <w:rPr>
          <w:sz w:val="20"/>
          <w:szCs w:val="20"/>
          <w:color w:val="auto"/>
        </w:rPr>
      </w:pPr>
      <w:r>
        <w:rPr>
          <w:rFonts w:ascii="Times New Roman" w:cs="Times New Roman" w:eastAsia="Times New Roman" w:hAnsi="Times New Roman"/>
          <w:sz w:val="14"/>
          <w:szCs w:val="14"/>
          <w:color w:val="auto"/>
        </w:rPr>
        <w:t>Boston, MA 02111</w:t>
      </w:r>
    </w:p>
    <w:p>
      <w:pPr>
        <w:spacing w:after="0" w:line="3"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4"/>
          <w:szCs w:val="14"/>
          <w:color w:val="auto"/>
        </w:rPr>
        <w:t>617 542 6000</w:t>
      </w:r>
    </w:p>
    <w:p>
      <w:pPr>
        <w:spacing w:after="0" w:line="3"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4"/>
          <w:szCs w:val="14"/>
          <w:color w:val="auto"/>
        </w:rPr>
        <w:t>mintz.com</w:t>
      </w:r>
    </w:p>
    <w:p>
      <w:pPr>
        <w:spacing w:after="0" w:line="200" w:lineRule="exact"/>
        <w:rPr>
          <w:sz w:val="20"/>
          <w:szCs w:val="20"/>
          <w:color w:val="auto"/>
        </w:rPr>
      </w:pPr>
    </w:p>
    <w:p>
      <w:pPr>
        <w:spacing w:after="0" w:line="3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October 29, 2026</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ProKidney Corp.</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2000 Frontis Plaza Blvd., Ste 250</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Winston-Salem, NC 27103</w:t>
      </w:r>
    </w:p>
    <w:p>
      <w:pPr>
        <w:spacing w:after="0" w:line="17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4"/>
          <w:szCs w:val="14"/>
          <w:color w:val="auto"/>
        </w:rPr>
        <w:t>ProKidney Corp.</w:t>
      </w:r>
    </w:p>
    <w:p>
      <w:pPr>
        <w:spacing w:after="0" w:line="1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Registration Statement on Form S-3</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85" w:lineRule="exact"/>
        <w:rPr>
          <w:sz w:val="20"/>
          <w:szCs w:val="20"/>
          <w:color w:val="auto"/>
        </w:rPr>
      </w:pPr>
    </w:p>
    <w:p>
      <w:pPr>
        <w:ind w:left="340" w:right="459" w:firstLine="334"/>
        <w:spacing w:after="0" w:line="254" w:lineRule="auto"/>
        <w:rPr>
          <w:sz w:val="20"/>
          <w:szCs w:val="20"/>
          <w:color w:val="auto"/>
        </w:rPr>
      </w:pPr>
      <w:r>
        <w:rPr>
          <w:rFonts w:ascii="Times New Roman" w:cs="Times New Roman" w:eastAsia="Times New Roman" w:hAnsi="Times New Roman"/>
          <w:sz w:val="14"/>
          <w:szCs w:val="14"/>
          <w:color w:val="auto"/>
        </w:rPr>
        <w:t>We have acted as legal counsel to ProKidney Corp., a Delaware corporation (the “Company”), in connection with the preparation and filing with the Securities and Exchange Commission (the “Commission”) of a Registration Statement on Form S-3 (the “Registration Statement”), pursuant to which the Company is registering under the Securities Act of 1933, as amended (the “Securities Act”), the following:</w:t>
      </w:r>
    </w:p>
    <w:p>
      <w:pPr>
        <w:spacing w:after="0" w:line="62" w:lineRule="exact"/>
        <w:rPr>
          <w:sz w:val="20"/>
          <w:szCs w:val="20"/>
          <w:color w:val="auto"/>
        </w:rPr>
      </w:pPr>
    </w:p>
    <w:p>
      <w:pPr>
        <w:ind w:left="1240" w:hanging="159"/>
        <w:spacing w:after="0"/>
        <w:tabs>
          <w:tab w:leader="none" w:pos="124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common stock, $0.0001 par value per share (the “Common Stock”);</w:t>
      </w:r>
    </w:p>
    <w:p>
      <w:pPr>
        <w:spacing w:after="0" w:line="166" w:lineRule="exact"/>
        <w:rPr>
          <w:rFonts w:ascii="Times New Roman" w:cs="Times New Roman" w:eastAsia="Times New Roman" w:hAnsi="Times New Roman"/>
          <w:sz w:val="14"/>
          <w:szCs w:val="14"/>
          <w:color w:val="auto"/>
        </w:rPr>
      </w:pPr>
    </w:p>
    <w:p>
      <w:pPr>
        <w:ind w:left="1280" w:hanging="199"/>
        <w:spacing w:after="0"/>
        <w:tabs>
          <w:tab w:leader="none" w:pos="128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preferred stock, $0.0001 par value per share (the “Preferred Stock”);</w:t>
      </w:r>
    </w:p>
    <w:p>
      <w:pPr>
        <w:spacing w:after="0" w:line="166" w:lineRule="exact"/>
        <w:rPr>
          <w:rFonts w:ascii="Times New Roman" w:cs="Times New Roman" w:eastAsia="Times New Roman" w:hAnsi="Times New Roman"/>
          <w:sz w:val="14"/>
          <w:szCs w:val="14"/>
          <w:color w:val="auto"/>
        </w:rPr>
      </w:pPr>
    </w:p>
    <w:p>
      <w:pPr>
        <w:ind w:left="340" w:right="359" w:firstLine="741"/>
        <w:spacing w:after="0" w:line="254" w:lineRule="auto"/>
        <w:tabs>
          <w:tab w:leader="none" w:pos="133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debt securities, in one or more series (the “Senior Debt Securities”), which may be issued pursuant to an indenture to be dated on or about the date of the first issuance of Senior Debt Securities thereunder, by and between the Company and a trustee to be selected by the Company (the “Senior Indenture”);</w:t>
      </w:r>
    </w:p>
    <w:p>
      <w:pPr>
        <w:spacing w:after="0" w:line="143" w:lineRule="exact"/>
        <w:rPr>
          <w:rFonts w:ascii="Times New Roman" w:cs="Times New Roman" w:eastAsia="Times New Roman" w:hAnsi="Times New Roman"/>
          <w:sz w:val="14"/>
          <w:szCs w:val="14"/>
          <w:color w:val="auto"/>
        </w:rPr>
      </w:pPr>
    </w:p>
    <w:p>
      <w:pPr>
        <w:ind w:left="340" w:right="459" w:firstLine="741"/>
        <w:spacing w:after="0" w:line="283" w:lineRule="auto"/>
        <w:tabs>
          <w:tab w:leader="none" w:pos="1322"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subordinated debt securities, in one or more series (the “Subordinated Debt Securities” and, together with the Senior Debt Securities, the “Debt Securities”), which may be issued pursuant to an indenture to be dated on or about the date of the first issuance of Subordinated Debt Securities thereunder, by and between the Company and a trustee to be selected by the Company (the “Subordinated Indenture”);</w:t>
      </w:r>
    </w:p>
    <w:p>
      <w:pPr>
        <w:spacing w:after="0" w:line="125" w:lineRule="exact"/>
        <w:rPr>
          <w:rFonts w:ascii="Times New Roman" w:cs="Times New Roman" w:eastAsia="Times New Roman" w:hAnsi="Times New Roman"/>
          <w:sz w:val="13"/>
          <w:szCs w:val="13"/>
          <w:color w:val="auto"/>
        </w:rPr>
      </w:pPr>
    </w:p>
    <w:p>
      <w:pPr>
        <w:ind w:left="340" w:right="639" w:firstLine="741"/>
        <w:spacing w:after="0" w:line="254" w:lineRule="auto"/>
        <w:tabs>
          <w:tab w:leader="none" w:pos="1284"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to purchase Common Stock, Preferred Stock, or Debt Securities (the “Warrants”), which may be issued under warrant agreements, to be dated on or about the date of the first issuance of the applicable Warrants thereunder, by and between the Company and a warrant agent to be selected by the Company (each, a “Warrant Agreement”);</w:t>
      </w:r>
    </w:p>
    <w:p>
      <w:pPr>
        <w:spacing w:after="0" w:line="143" w:lineRule="exact"/>
        <w:rPr>
          <w:rFonts w:ascii="Times New Roman" w:cs="Times New Roman" w:eastAsia="Times New Roman" w:hAnsi="Times New Roman"/>
          <w:sz w:val="14"/>
          <w:szCs w:val="14"/>
          <w:color w:val="auto"/>
        </w:rPr>
      </w:pPr>
    </w:p>
    <w:p>
      <w:pPr>
        <w:ind w:left="340" w:right="519" w:firstLine="741"/>
        <w:spacing w:after="0" w:line="254" w:lineRule="auto"/>
        <w:tabs>
          <w:tab w:leader="none" w:pos="1322"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to purchase Common Stock, Preferred Stock, or Debt Securities (the “Rights”), which may be issued pursuant to a rights agreement and certificates issued thereunder, to be dated on or about the date of the first issuance of the applicable Rights thereunder, by and between the Company and a rights agent to be selected by the Company (each, a “Rights Agreement”); and</w:t>
      </w:r>
    </w:p>
    <w:p>
      <w:pPr>
        <w:spacing w:after="0" w:line="143" w:lineRule="exact"/>
        <w:rPr>
          <w:rFonts w:ascii="Times New Roman" w:cs="Times New Roman" w:eastAsia="Times New Roman" w:hAnsi="Times New Roman"/>
          <w:sz w:val="14"/>
          <w:szCs w:val="14"/>
          <w:color w:val="auto"/>
        </w:rPr>
      </w:pPr>
    </w:p>
    <w:p>
      <w:pPr>
        <w:jc w:val="both"/>
        <w:ind w:left="340" w:right="619" w:firstLine="741"/>
        <w:spacing w:after="0" w:line="254" w:lineRule="auto"/>
        <w:tabs>
          <w:tab w:leader="none" w:pos="136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comprised of one or more Debt Securities, shares of Common Stock, shares of Preferred Stock, Rights and Warrants, in any combination (the “Units”), which may be issued under unit agreements, to be dated on or about the date of the first issuance of the applicable Units thereunder, by and between the Company and a unit agent to be selected by the Company (each, a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118745</wp:posOffset>
            </wp:positionV>
            <wp:extent cx="5300980"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4">
                      <a:extLst>
                        <a:ext uri="{28A0092B-C50C-407E-A947-70E740481C1C}"/>
                      </a:extLst>
                    </a:blip>
                    <a:srcRect/>
                    <a:stretch>
                      <a:fillRect/>
                    </a:stretch>
                  </pic:blipFill>
                  <pic:spPr bwMode="auto">
                    <a:xfrm>
                      <a:off x="0" y="0"/>
                      <a:ext cx="5300980" cy="6350"/>
                    </a:xfrm>
                    <a:prstGeom prst="rect">
                      <a:avLst/>
                    </a:prstGeom>
                    <a:noFill/>
                  </pic:spPr>
                </pic:pic>
              </a:graphicData>
            </a:graphic>
          </wp:anchor>
        </w:drawing>
      </w:r>
    </w:p>
    <w:p>
      <w:pPr>
        <w:spacing w:after="0" w:line="242" w:lineRule="exact"/>
        <w:rPr>
          <w:sz w:val="20"/>
          <w:szCs w:val="20"/>
          <w:color w:val="auto"/>
        </w:rPr>
      </w:pPr>
    </w:p>
    <w:p>
      <w:pPr>
        <w:jc w:val="center"/>
        <w:ind w:right="19"/>
        <w:spacing w:after="0"/>
        <w:tabs>
          <w:tab w:leader="none" w:pos="80" w:val="left"/>
        </w:tabs>
        <w:rPr>
          <w:sz w:val="20"/>
          <w:szCs w:val="20"/>
          <w:color w:val="auto"/>
        </w:rPr>
      </w:pPr>
      <w:r>
        <w:rPr>
          <w:rFonts w:ascii="Times New Roman" w:cs="Times New Roman" w:eastAsia="Times New Roman" w:hAnsi="Times New Roman"/>
          <w:sz w:val="11"/>
          <w:szCs w:val="11"/>
          <w:color w:val="auto"/>
        </w:rPr>
        <w:t>BOSTON    LOS ANGELES    MIAMI    NEW YORK    SAN DIEGO </w:t>
      </w:r>
      <w:r>
        <w:rPr>
          <w:sz w:val="20"/>
          <w:szCs w:val="20"/>
          <w:color w:val="auto"/>
        </w:rPr>
        <w:tab/>
      </w:r>
      <w:r>
        <w:rPr>
          <w:rFonts w:ascii="Times New Roman" w:cs="Times New Roman" w:eastAsia="Times New Roman" w:hAnsi="Times New Roman"/>
          <w:sz w:val="10"/>
          <w:szCs w:val="10"/>
          <w:color w:val="auto"/>
        </w:rPr>
        <w:t>SAN FRANCISCO    TORONTO    WASHINGTON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MINTZ, LEVIN, COHN, FERRIS, GLOVSKY AND POPEO, P.C.</w:t>
      </w:r>
    </w:p>
    <w:p>
      <w:pPr>
        <w:sectPr>
          <w:pgSz w:w="11900" w:h="16838" w:orient="portrait"/>
          <w:cols w:equalWidth="0" w:num="1">
            <w:col w:w="9019"/>
          </w:cols>
          <w:pgMar w:left="1440" w:top="123" w:right="1440" w:bottom="1440" w:gutter="0" w:footer="0" w:header="0"/>
        </w:sectPr>
      </w:pPr>
    </w:p>
    <w:bookmarkStart w:id="198" w:name="page199"/>
    <w:bookmarkEnd w:id="198"/>
    <w:p>
      <w:pPr>
        <w:ind w:left="3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5215255</wp:posOffset>
            </wp:positionH>
            <wp:positionV relativeFrom="paragraph">
              <wp:posOffset>-90805</wp:posOffset>
            </wp:positionV>
            <wp:extent cx="299085" cy="3575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6">
                      <a:extLst>
                        <a:ext uri="{28A0092B-C50C-407E-A947-70E740481C1C}"/>
                      </a:extLst>
                    </a:blip>
                    <a:srcRect/>
                    <a:stretch>
                      <a:fillRect/>
                    </a:stretch>
                  </pic:blipFill>
                  <pic:spPr bwMode="auto">
                    <a:xfrm>
                      <a:off x="0" y="0"/>
                      <a:ext cx="299085" cy="357505"/>
                    </a:xfrm>
                    <a:prstGeom prst="rect">
                      <a:avLst/>
                    </a:prstGeom>
                    <a:noFill/>
                  </pic:spPr>
                </pic:pic>
              </a:graphicData>
            </a:graphic>
          </wp:anchor>
        </w:drawing>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October 29, 2026</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Page 2</w:t>
      </w:r>
    </w:p>
    <w:p>
      <w:pPr>
        <w:spacing w:after="0" w:line="114" w:lineRule="exact"/>
        <w:rPr>
          <w:sz w:val="20"/>
          <w:szCs w:val="20"/>
          <w:color w:val="auto"/>
        </w:rPr>
      </w:pPr>
    </w:p>
    <w:p>
      <w:pPr>
        <w:ind w:left="340" w:right="439" w:firstLine="334"/>
        <w:spacing w:after="0" w:line="251" w:lineRule="auto"/>
        <w:rPr>
          <w:sz w:val="20"/>
          <w:szCs w:val="20"/>
          <w:color w:val="auto"/>
        </w:rPr>
      </w:pPr>
      <w:r>
        <w:rPr>
          <w:rFonts w:ascii="Times New Roman" w:cs="Times New Roman" w:eastAsia="Times New Roman" w:hAnsi="Times New Roman"/>
          <w:sz w:val="14"/>
          <w:szCs w:val="14"/>
          <w:color w:val="auto"/>
        </w:rPr>
        <w:t>We have also acted as legal counsel for the Company in connection with the sales agreement prospectus included in the Registration Statement relating to the issuance and sale of shares of Common Stock having an aggregate offering price of up to $200,000,000 of shares of Common Stock (the “Sales Agreement Shares”) under an Open Market Sales Agreement, dated October 29, 2026, between the Company and Jefferies LLC (the “Sales Agreement”).</w:t>
      </w:r>
    </w:p>
    <w:p>
      <w:pPr>
        <w:spacing w:after="0" w:line="145" w:lineRule="exact"/>
        <w:rPr>
          <w:sz w:val="20"/>
          <w:szCs w:val="20"/>
          <w:color w:val="auto"/>
        </w:rPr>
      </w:pPr>
    </w:p>
    <w:p>
      <w:pPr>
        <w:ind w:left="340" w:right="419" w:firstLine="334"/>
        <w:spacing w:after="0" w:line="249" w:lineRule="auto"/>
        <w:rPr>
          <w:sz w:val="20"/>
          <w:szCs w:val="20"/>
          <w:color w:val="auto"/>
        </w:rPr>
      </w:pPr>
      <w:r>
        <w:rPr>
          <w:rFonts w:ascii="Times New Roman" w:cs="Times New Roman" w:eastAsia="Times New Roman" w:hAnsi="Times New Roman"/>
          <w:sz w:val="14"/>
          <w:szCs w:val="14"/>
          <w:color w:val="auto"/>
        </w:rPr>
        <w:t>The Common Stock, the Preferred Stock, the Debt Securities, the Warrants, the Rights and the Units are collectively referred to herein as the “Securities.” The maximum aggregate public offering price of the Securities being registered is $650,000,000. The Registration Statement relates to the registration of the Securities to be offered and sold by the Company from time to time on a delayed or continuous basis pursuant to Rule 415 under the Securities Act. This opinion is being rendered in connection with the filing of the Registration Statement with the Commission. All capitalized terms used herein and not otherwise defined shall have the respective meanings given to them in the Registration Statement.</w:t>
      </w:r>
    </w:p>
    <w:p>
      <w:pPr>
        <w:spacing w:after="0" w:line="147" w:lineRule="exact"/>
        <w:rPr>
          <w:sz w:val="20"/>
          <w:szCs w:val="20"/>
          <w:color w:val="auto"/>
        </w:rPr>
      </w:pPr>
    </w:p>
    <w:p>
      <w:pPr>
        <w:ind w:left="340" w:right="359" w:firstLine="334"/>
        <w:spacing w:after="0" w:line="254" w:lineRule="auto"/>
        <w:rPr>
          <w:sz w:val="20"/>
          <w:szCs w:val="20"/>
          <w:color w:val="auto"/>
        </w:rPr>
      </w:pPr>
      <w:r>
        <w:rPr>
          <w:rFonts w:ascii="Times New Roman" w:cs="Times New Roman" w:eastAsia="Times New Roman" w:hAnsi="Times New Roman"/>
          <w:sz w:val="14"/>
          <w:szCs w:val="14"/>
          <w:color w:val="auto"/>
        </w:rPr>
        <w:t>In connection with this opinion, we have examined the Company’s Certificate of Incorporation and the Bylaws, both currently in effect; such other records of the corporate proceedings of the Company and certificates of the Company’s officers as we have deemed relevant; and the Registration Statement and the exhibits thereto.</w:t>
      </w:r>
    </w:p>
    <w:p>
      <w:pPr>
        <w:spacing w:after="0" w:line="144" w:lineRule="exact"/>
        <w:rPr>
          <w:sz w:val="20"/>
          <w:szCs w:val="20"/>
          <w:color w:val="auto"/>
        </w:rPr>
      </w:pPr>
    </w:p>
    <w:p>
      <w:pPr>
        <w:ind w:left="340" w:right="379" w:firstLine="334"/>
        <w:spacing w:after="0" w:line="254" w:lineRule="auto"/>
        <w:rPr>
          <w:sz w:val="20"/>
          <w:szCs w:val="20"/>
          <w:color w:val="auto"/>
        </w:rPr>
      </w:pPr>
      <w:r>
        <w:rPr>
          <w:rFonts w:ascii="Times New Roman" w:cs="Times New Roman" w:eastAsia="Times New Roman" w:hAnsi="Times New Roman"/>
          <w:sz w:val="14"/>
          <w:szCs w:val="14"/>
          <w:color w:val="auto"/>
        </w:rPr>
        <w:t>In our examination, we have assumed the genuineness of all signatures, the legal capacity of natural persons, the authenticity of all documents submitted to us as originals, the conformity to original documents of all documents submitted to us as certified or photostatic copies and the authenticity of the originals of such copies.</w:t>
      </w:r>
    </w:p>
    <w:p>
      <w:pPr>
        <w:spacing w:after="0" w:line="144" w:lineRule="exact"/>
        <w:rPr>
          <w:sz w:val="20"/>
          <w:szCs w:val="20"/>
          <w:color w:val="auto"/>
        </w:rPr>
      </w:pPr>
    </w:p>
    <w:p>
      <w:pPr>
        <w:ind w:left="340" w:right="579" w:firstLine="334"/>
        <w:spacing w:after="0" w:line="251" w:lineRule="auto"/>
        <w:rPr>
          <w:sz w:val="20"/>
          <w:szCs w:val="20"/>
          <w:color w:val="auto"/>
        </w:rPr>
      </w:pPr>
      <w:r>
        <w:rPr>
          <w:rFonts w:ascii="Times New Roman" w:cs="Times New Roman" w:eastAsia="Times New Roman" w:hAnsi="Times New Roman"/>
          <w:sz w:val="14"/>
          <w:szCs w:val="14"/>
          <w:color w:val="auto"/>
        </w:rPr>
        <w:t>In our capacity as counsel to the Company in connection with such registration, we are familiar with the proceedings taken and proposed to be taken by the Company in connection with the authorization and issuance of the Securities. For purposes of this opinion, we have assumed that such proceedings that have not yet been completed will be timely and properly completed, in accordance with all requirements of applicable federal and Delaware laws, in the manner presently proposed.</w:t>
      </w:r>
    </w:p>
    <w:p>
      <w:pPr>
        <w:spacing w:after="0" w:line="145" w:lineRule="exact"/>
        <w:rPr>
          <w:sz w:val="20"/>
          <w:szCs w:val="20"/>
          <w:color w:val="auto"/>
        </w:rPr>
      </w:pPr>
    </w:p>
    <w:p>
      <w:pPr>
        <w:ind w:left="340" w:right="399" w:firstLine="334"/>
        <w:spacing w:after="0" w:line="247" w:lineRule="auto"/>
        <w:rPr>
          <w:sz w:val="20"/>
          <w:szCs w:val="20"/>
          <w:color w:val="auto"/>
        </w:rPr>
      </w:pPr>
      <w:r>
        <w:rPr>
          <w:rFonts w:ascii="Times New Roman" w:cs="Times New Roman" w:eastAsia="Times New Roman" w:hAnsi="Times New Roman"/>
          <w:sz w:val="14"/>
          <w:szCs w:val="14"/>
          <w:color w:val="auto"/>
        </w:rPr>
        <w:t>The opinions set forth below are subject to the following exceptions, limitations and qualifications: (i) the effect of bankruptcy, insolvency, reorganization, fraudulent conveyance, moratorium or other similar laws now or hereafter in effect relating to or affecting the rights and remedies of creditors; (ii) the effect of general principles of equity, whether enforcement is considered in a proceeding in equity or at law, and the discretion of the court before which any proceeding therefor may be brought; (iii) the unenforceability under certain circumstances under law or court decisions of provisions providing for the indemnification of, or contribution to, a party with respect to a liability where such indemnification or contribution is contrary to public policy; (iv) we express no opinion concerning the enforceability of any waiver of rights or defenses with respect to stay, extension or usury laws; and (v) we express no opinion with respect to whether acceleration of any Debt Securities may affect the ability to collect any portion of the stated principal amount thereof which might be determined to constitute unearned interest thereon.</w:t>
      </w:r>
    </w:p>
    <w:p>
      <w:pPr>
        <w:spacing w:after="0" w:line="148" w:lineRule="exact"/>
        <w:rPr>
          <w:sz w:val="20"/>
          <w:szCs w:val="20"/>
          <w:color w:val="auto"/>
        </w:rPr>
      </w:pPr>
    </w:p>
    <w:p>
      <w:pPr>
        <w:ind w:left="340" w:right="379" w:firstLine="334"/>
        <w:spacing w:after="0" w:line="249" w:lineRule="auto"/>
        <w:rPr>
          <w:sz w:val="20"/>
          <w:szCs w:val="20"/>
          <w:color w:val="auto"/>
        </w:rPr>
      </w:pPr>
      <w:r>
        <w:rPr>
          <w:rFonts w:ascii="Times New Roman" w:cs="Times New Roman" w:eastAsia="Times New Roman" w:hAnsi="Times New Roman"/>
          <w:sz w:val="14"/>
          <w:szCs w:val="14"/>
          <w:color w:val="auto"/>
        </w:rPr>
        <w:t>We have relied as to certain matters on information obtained from public officials, officers of the Company, and other sources believed by us to be responsible and we have assumed that the Senior Indenture and the Subordinated Indenture will be duly authorized, executed, and delivered by the respective trustees thereunder and the Warrant Agreement, Rights Agreement and Unit Agreement will be duly authorized, executed, and delivered by the warrant agent, rights agent and unit agent, respectively, thereunder. With respect to our opinion as to the Common Stock and Securities convertible into or exercisable for shares of Common Stock, we have assumed that, at the time of issuance and sale, a</w:t>
      </w:r>
    </w:p>
    <w:p>
      <w:pPr>
        <w:sectPr>
          <w:pgSz w:w="11900" w:h="16838" w:orient="portrait"/>
          <w:cols w:equalWidth="0" w:num="1">
            <w:col w:w="9019"/>
          </w:cols>
          <w:pgMar w:left="1440" w:top="235" w:right="1440" w:bottom="1440" w:gutter="0" w:footer="0" w:header="0"/>
        </w:sectPr>
      </w:pPr>
    </w:p>
    <w:bookmarkStart w:id="199" w:name="page200"/>
    <w:bookmarkEnd w:id="199"/>
    <w:p>
      <w:pPr>
        <w:ind w:left="3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5215255</wp:posOffset>
            </wp:positionH>
            <wp:positionV relativeFrom="paragraph">
              <wp:posOffset>-90805</wp:posOffset>
            </wp:positionV>
            <wp:extent cx="299085" cy="3575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8">
                      <a:extLst>
                        <a:ext uri="{28A0092B-C50C-407E-A947-70E740481C1C}"/>
                      </a:extLst>
                    </a:blip>
                    <a:srcRect/>
                    <a:stretch>
                      <a:fillRect/>
                    </a:stretch>
                  </pic:blipFill>
                  <pic:spPr bwMode="auto">
                    <a:xfrm>
                      <a:off x="0" y="0"/>
                      <a:ext cx="299085" cy="357505"/>
                    </a:xfrm>
                    <a:prstGeom prst="rect">
                      <a:avLst/>
                    </a:prstGeom>
                    <a:noFill/>
                  </pic:spPr>
                </pic:pic>
              </a:graphicData>
            </a:graphic>
          </wp:anchor>
        </w:drawing>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October 29, 2026</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Page 3</w:t>
      </w:r>
    </w:p>
    <w:p>
      <w:pPr>
        <w:spacing w:after="0" w:line="114" w:lineRule="exact"/>
        <w:rPr>
          <w:sz w:val="20"/>
          <w:szCs w:val="20"/>
          <w:color w:val="auto"/>
        </w:rPr>
      </w:pPr>
    </w:p>
    <w:p>
      <w:pPr>
        <w:ind w:left="340" w:right="399"/>
        <w:spacing w:after="0" w:line="246" w:lineRule="auto"/>
        <w:rPr>
          <w:sz w:val="20"/>
          <w:szCs w:val="20"/>
          <w:color w:val="auto"/>
        </w:rPr>
      </w:pPr>
      <w:r>
        <w:rPr>
          <w:rFonts w:ascii="Times New Roman" w:cs="Times New Roman" w:eastAsia="Times New Roman" w:hAnsi="Times New Roman"/>
          <w:sz w:val="14"/>
          <w:szCs w:val="14"/>
          <w:color w:val="auto"/>
        </w:rPr>
        <w:t>sufficient number of shares of Common Stock are authorized and available for issuance under the Company’s Certificate of Incorporation as then in effect and that the consideration for the issuance and sale of the Common Stock (or Preferred Stock, Debt Securities convertible into Common Stock, Warrants or Rights exercisable for Common Stock or any Units of such Securities) is in an amount that is not less than the par value of the Common Stock. With respect to our opinion as to the Preferred Stock and Securities convertible into or exercisable for shares of Preferred Stock, we have assumed that, at the time of issuance and sale, a sufficient number of shares of Preferred Stock are authorized, designated and available for issuance and that the consideration for the issuance and sale of the Preferred Stock (or Debt Securities convertible into Preferred Stock, Warrants or Rights exercisable for Preferred Stock or any Units of such Securities) is in an amount that is not less than the par value of the Preferred Stock. We have also assumed that any Warrants, Rights and Units offered under the Registration Statement, and the related Warrant Agreement, Rights Agreement and Unit Agreement, as applicable, will be executed in the forms to be filed as exhibits to the Registration Statement or incorporated by reference therein. We have not independently verified any of the foregoing assumptions.</w:t>
      </w:r>
    </w:p>
    <w:p>
      <w:pPr>
        <w:spacing w:after="0" w:line="150" w:lineRule="exact"/>
        <w:rPr>
          <w:sz w:val="20"/>
          <w:szCs w:val="20"/>
          <w:color w:val="auto"/>
        </w:rPr>
      </w:pPr>
    </w:p>
    <w:p>
      <w:pPr>
        <w:ind w:left="340" w:right="399" w:firstLine="334"/>
        <w:spacing w:after="0" w:line="265" w:lineRule="auto"/>
        <w:rPr>
          <w:sz w:val="20"/>
          <w:szCs w:val="20"/>
          <w:color w:val="auto"/>
        </w:rPr>
      </w:pPr>
      <w:r>
        <w:rPr>
          <w:rFonts w:ascii="Times New Roman" w:cs="Times New Roman" w:eastAsia="Times New Roman" w:hAnsi="Times New Roman"/>
          <w:sz w:val="14"/>
          <w:szCs w:val="14"/>
          <w:color w:val="auto"/>
        </w:rPr>
        <w:t>It is understood that this opinion is to be used only in connection with the offer and sale of Securities while the Registration Statement is effective under the Securities Act.</w:t>
      </w:r>
    </w:p>
    <w:p>
      <w:pPr>
        <w:spacing w:after="0" w:line="136" w:lineRule="exact"/>
        <w:rPr>
          <w:sz w:val="20"/>
          <w:szCs w:val="20"/>
          <w:color w:val="auto"/>
        </w:rPr>
      </w:pPr>
    </w:p>
    <w:p>
      <w:pPr>
        <w:ind w:left="340" w:right="359" w:firstLine="334"/>
        <w:spacing w:after="0" w:line="247" w:lineRule="auto"/>
        <w:rPr>
          <w:sz w:val="20"/>
          <w:szCs w:val="20"/>
          <w:color w:val="auto"/>
        </w:rPr>
      </w:pPr>
      <w:r>
        <w:rPr>
          <w:rFonts w:ascii="Times New Roman" w:cs="Times New Roman" w:eastAsia="Times New Roman" w:hAnsi="Times New Roman"/>
          <w:sz w:val="14"/>
          <w:szCs w:val="14"/>
          <w:color w:val="auto"/>
        </w:rPr>
        <w:t>Members of our firm are admitted to the Bar of the State of New York, and we do not express any opinion as to the laws of any other jurisdiction other than the General Corporation Law of the State of Delaware, the United States federal laws and, as to the Debt Securities constituting valid and legally binding obligations of the Company, the laws of the State of New York. To the extent that any applicable document is stated to be governed by the laws of another jurisdiction, we have assumed for purposes of this opinion that the laws of such jurisdiction are identical to the state laws of the State of New York. Without limiting the generality of the foregoing, we express no opinion with respect to (i) the qualification of the Securities under the securities or blue sky laws of any state or any foreign jurisdiction or (ii) the compliance with any federal or state law, rule or regulation relating to securities, or to the sale or issuance thereof.</w:t>
      </w:r>
    </w:p>
    <w:p>
      <w:pPr>
        <w:spacing w:after="0" w:line="150" w:lineRule="exact"/>
        <w:rPr>
          <w:sz w:val="20"/>
          <w:szCs w:val="20"/>
          <w:color w:val="auto"/>
        </w:rPr>
      </w:pPr>
    </w:p>
    <w:p>
      <w:pPr>
        <w:ind w:left="340" w:right="359" w:firstLine="334"/>
        <w:spacing w:after="0" w:line="251" w:lineRule="auto"/>
        <w:rPr>
          <w:sz w:val="20"/>
          <w:szCs w:val="20"/>
          <w:color w:val="auto"/>
        </w:rPr>
      </w:pPr>
      <w:r>
        <w:rPr>
          <w:rFonts w:ascii="Times New Roman" w:cs="Times New Roman" w:eastAsia="Times New Roman" w:hAnsi="Times New Roman"/>
          <w:sz w:val="14"/>
          <w:szCs w:val="14"/>
          <w:color w:val="auto"/>
        </w:rPr>
        <w:t>Please note that we are opining only as to the matters expressly set forth herein, and no opinion should be inferred as to any other matters. The Securities may be offered from time to time on a delayed or continuous basis, but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Based upon the foregoing, we are of the opinion that:</w:t>
      </w:r>
    </w:p>
    <w:p>
      <w:pPr>
        <w:spacing w:after="0" w:line="85" w:lineRule="exact"/>
        <w:rPr>
          <w:sz w:val="20"/>
          <w:szCs w:val="20"/>
          <w:color w:val="auto"/>
        </w:rPr>
      </w:pPr>
    </w:p>
    <w:p>
      <w:pPr>
        <w:ind w:left="340" w:right="339" w:firstLine="324"/>
        <w:spacing w:after="0" w:line="268" w:lineRule="auto"/>
        <w:tabs>
          <w:tab w:leader="none" w:pos="81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Common Stock (other than the Sales Agreement Shares), when (i) specifically authorized for issuance by the Company’s Board of Directors or an authorized committee thereof (the “Authorizing Resolutions”), (ii) the Registration Statement, as finally amended (including all post-effective amendments), has become effective under the Securities Act, (iii) an appropriate prospectus supplement with respect to the applicable shares of Common Stock has been prepared, delivered and filed in compliance with the Securities Act and the applicable rules and regulations thereunder, (iv) if the applicable shares of Common Stock are to be sold pursuant to a purchase, underwriting or similar agreement (an “Underwriting Agreement”), such Underwriting Agreement with respect to the applicable shares of Common Stock in the form filed as an exhibit to the Registration Statement, any post-effective amendment thereto or to a Current Report on Form 8-K, has been duly authorized, executed and delivered by the Company and the other parties thereto, (v) the terms of the sale of the Common Stock have been duly established in conformity with the Company’s then operative Certificate of Incorporation and Bylaws and do not violate any applicable law or result in a default under or breach of any agreement or instrument</w:t>
      </w:r>
    </w:p>
    <w:p>
      <w:pPr>
        <w:sectPr>
          <w:pgSz w:w="11900" w:h="16838" w:orient="portrait"/>
          <w:cols w:equalWidth="0" w:num="1">
            <w:col w:w="9019"/>
          </w:cols>
          <w:pgMar w:left="1440" w:top="235" w:right="1440" w:bottom="1440" w:gutter="0" w:footer="0" w:header="0"/>
        </w:sectPr>
      </w:pPr>
    </w:p>
    <w:bookmarkStart w:id="200" w:name="page201"/>
    <w:bookmarkEnd w:id="200"/>
    <w:p>
      <w:pPr>
        <w:ind w:left="3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5215255</wp:posOffset>
            </wp:positionH>
            <wp:positionV relativeFrom="paragraph">
              <wp:posOffset>-90805</wp:posOffset>
            </wp:positionV>
            <wp:extent cx="299085" cy="3575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0">
                      <a:extLst>
                        <a:ext uri="{28A0092B-C50C-407E-A947-70E740481C1C}"/>
                      </a:extLst>
                    </a:blip>
                    <a:srcRect/>
                    <a:stretch>
                      <a:fillRect/>
                    </a:stretch>
                  </pic:blipFill>
                  <pic:spPr bwMode="auto">
                    <a:xfrm>
                      <a:off x="0" y="0"/>
                      <a:ext cx="299085" cy="357505"/>
                    </a:xfrm>
                    <a:prstGeom prst="rect">
                      <a:avLst/>
                    </a:prstGeom>
                    <a:noFill/>
                  </pic:spPr>
                </pic:pic>
              </a:graphicData>
            </a:graphic>
          </wp:anchor>
        </w:drawing>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October 29, 2026</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Page 4</w:t>
      </w:r>
    </w:p>
    <w:p>
      <w:pPr>
        <w:spacing w:after="0" w:line="114" w:lineRule="exact"/>
        <w:rPr>
          <w:sz w:val="20"/>
          <w:szCs w:val="20"/>
          <w:color w:val="auto"/>
        </w:rPr>
      </w:pPr>
    </w:p>
    <w:p>
      <w:pPr>
        <w:ind w:left="340" w:right="639"/>
        <w:spacing w:after="0" w:line="272" w:lineRule="auto"/>
        <w:rPr>
          <w:sz w:val="20"/>
          <w:szCs w:val="20"/>
          <w:color w:val="auto"/>
        </w:rPr>
      </w:pPr>
      <w:r>
        <w:rPr>
          <w:rFonts w:ascii="Times New Roman" w:cs="Times New Roman" w:eastAsia="Times New Roman" w:hAnsi="Times New Roman"/>
          <w:sz w:val="13"/>
          <w:szCs w:val="13"/>
          <w:color w:val="auto"/>
        </w:rPr>
        <w:t>binding on the Company and comply with any requirement or restriction imposed by any court or governmental body having jurisdiction over the Company, (vi) the Common Stock has been issued and sold as contemplated by the Registration Statement and the prospectus included therein, and</w:t>
      </w:r>
    </w:p>
    <w:p>
      <w:pPr>
        <w:ind w:left="340" w:right="739" w:hanging="10"/>
        <w:spacing w:after="0" w:line="248" w:lineRule="auto"/>
        <w:tabs>
          <w:tab w:leader="none" w:pos="609"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received the consideration provided for in the Authorizing Resolutions and, if applicable, the Underwriting Agreement, the Common Stock will be validly issued, fully paid and nonassessable.</w:t>
      </w:r>
    </w:p>
    <w:p>
      <w:pPr>
        <w:spacing w:after="0" w:line="146" w:lineRule="exact"/>
        <w:rPr>
          <w:rFonts w:ascii="Times New Roman" w:cs="Times New Roman" w:eastAsia="Times New Roman" w:hAnsi="Times New Roman"/>
          <w:sz w:val="14"/>
          <w:szCs w:val="14"/>
          <w:color w:val="auto"/>
        </w:rPr>
      </w:pPr>
    </w:p>
    <w:p>
      <w:pPr>
        <w:ind w:left="800" w:hanging="136"/>
        <w:spacing w:after="0"/>
        <w:tabs>
          <w:tab w:leader="none" w:pos="800" w:val="left"/>
        </w:tabs>
        <w:numPr>
          <w:ilvl w:val="1"/>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Preferred Stock, when (i) specifically authorized for issuance by the Authorizing Resolutions, (ii) the Registration</w:t>
      </w:r>
    </w:p>
    <w:p>
      <w:pPr>
        <w:spacing w:after="0" w:line="14" w:lineRule="exact"/>
        <w:rPr>
          <w:rFonts w:ascii="Times New Roman" w:cs="Times New Roman" w:eastAsia="Times New Roman" w:hAnsi="Times New Roman"/>
          <w:sz w:val="14"/>
          <w:szCs w:val="14"/>
          <w:color w:val="auto"/>
        </w:rPr>
      </w:pPr>
    </w:p>
    <w:p>
      <w:pPr>
        <w:ind w:left="340" w:right="379"/>
        <w:spacing w:after="0" w:line="26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Statement, as finally amended (including all post-effective amendments), has become effective under the Securities Act, (iii) an appropriate prospectus supplement with respect to the applicable shares of Preferred Stock has been prepared, delivered and filed in compliance with the Securities Act and the applicable rules and regulations thereunder, (iv) if the applicable shares of Preferred Stock are to be sold pursuant to an Underwriting Agreement, such Underwriting Agreement with respect to the applicable shares of Preferred Stock in the form filed as an exhibit to the Registration Statement, any post-effective amendment thereto or to a Current Report on Form 8-K, has been duly authorized, executed and delivered by the Company and the other parties thereto, (v) an appropriate Certificate or Certificates of Amendment or Designation relating to a class or series of the Preferred Stock to be sold under the Registration Statement has been duly authorized and adopted and filed with the Secretary of State of the State of Delaware prior to the issuance of the Preferred Stock, (vi) the terms of issuance and sale of shares of such class or series of Preferred Stock have been duly established in conformity with the Company’s then operative Certificate of Incorporation and Bylaws and do not violate any applicable law or result in a default under or breach of any agreement or instrument binding upon the Company and comply with any requirement or restriction imposed by any court or governmental body having jurisdiction over the Company, (vii) shares of such class or series of Preferred Stock have been duly issued and sold as contemplated by the Registration Statement and the prospectus included therein, and (viii) the Company has received the consideration provided for in the Authorizing Resolutions and, if applicable, the Underwriting Agreement, the Preferred Stock will be validly issued, fully paid and nonassessable.</w:t>
      </w:r>
    </w:p>
    <w:p>
      <w:pPr>
        <w:spacing w:after="0" w:line="142" w:lineRule="exact"/>
        <w:rPr>
          <w:rFonts w:ascii="Times New Roman" w:cs="Times New Roman" w:eastAsia="Times New Roman" w:hAnsi="Times New Roman"/>
          <w:sz w:val="14"/>
          <w:szCs w:val="14"/>
          <w:color w:val="auto"/>
        </w:rPr>
      </w:pPr>
    </w:p>
    <w:p>
      <w:pPr>
        <w:ind w:left="340" w:right="339" w:firstLine="324"/>
        <w:spacing w:after="0" w:line="265" w:lineRule="auto"/>
        <w:tabs>
          <w:tab w:leader="none" w:pos="808" w:val="left"/>
        </w:tabs>
        <w:numPr>
          <w:ilvl w:val="1"/>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Debt Securities, when (i) specifically authorized for issuance by the Authorizing Resolutions, (ii) the Registration Statement, as finally amended (including all post-effective amendments), has become effective under the Securities Act, (iii) the Senior Indenture or the Subordinated Indenture, whichever the case may be, has been duly authorized, executed and delivered by the Company, (iv) an appropriate prospectus supplement with respect to the applicable Debt Securities has been prepared, delivered and filed in compliance with the Securities Act and the applicable rules and regulations thereunder, (v) if the applicable Debt Securities are to be sold pursuant to an Underwriting Agreement, such Underwriting Agreement with respect to the applicable Debt Securities in the form filed as an exhibit to the Registration Statement, any post-effective amendment thereto or to a Current Report on Form 8-K, has been duly authorized, executed and delivered by the Company and the other parties thereto;</w:t>
      </w:r>
    </w:p>
    <w:p>
      <w:pPr>
        <w:spacing w:after="0" w:line="2" w:lineRule="exact"/>
        <w:rPr>
          <w:rFonts w:ascii="Times New Roman" w:cs="Times New Roman" w:eastAsia="Times New Roman" w:hAnsi="Times New Roman"/>
          <w:sz w:val="13"/>
          <w:szCs w:val="13"/>
          <w:color w:val="auto"/>
        </w:rPr>
      </w:pPr>
    </w:p>
    <w:p>
      <w:pPr>
        <w:ind w:left="340" w:right="439" w:hanging="10"/>
        <w:spacing w:after="0" w:line="266" w:lineRule="auto"/>
        <w:tabs>
          <w:tab w:leader="none" w:pos="571"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terms of the Debt Securities and of their issuance and sale have been duly established in conformity with the Senior Indenture or the Subordinated Indenture, whichever the case may be, and do not violate any applicable law or result in a default under or breach of any agreement or instrument binding upon the Company and comply with any requirement or restriction imposed by any court or governmental body having jurisdiction over the Company, (vii) such Debt Securities have been duly executed and authenticated in accordance with the Senior Indenture or the Subordinated Indenture, whichever the case may be, and issued and sold as contemplated in the Registration Statement and the prospectus included therein, (viii) the Senior Indenture or the Subordinated Indenture, whichever the case may be, relating to the Debt Securities has been qualified under the Trust Indenture Act of 1939, as amended, and (ix) the Company has received the consideration provided for in the Authorizing Resolutions and, if applicable, the Underwriting Agreement, the Debt Securities will constitute valid and legally binding obligations of the Company.</w:t>
      </w:r>
    </w:p>
    <w:p>
      <w:pPr>
        <w:sectPr>
          <w:pgSz w:w="11900" w:h="16838" w:orient="portrait"/>
          <w:cols w:equalWidth="0" w:num="1">
            <w:col w:w="9019"/>
          </w:cols>
          <w:pgMar w:left="1440" w:top="235" w:right="1440" w:bottom="1440" w:gutter="0" w:footer="0" w:header="0"/>
        </w:sectPr>
      </w:pPr>
    </w:p>
    <w:bookmarkStart w:id="201" w:name="page202"/>
    <w:bookmarkEnd w:id="201"/>
    <w:p>
      <w:pPr>
        <w:ind w:left="3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5215255</wp:posOffset>
            </wp:positionH>
            <wp:positionV relativeFrom="paragraph">
              <wp:posOffset>-90805</wp:posOffset>
            </wp:positionV>
            <wp:extent cx="299085" cy="3575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2">
                      <a:extLst>
                        <a:ext uri="{28A0092B-C50C-407E-A947-70E740481C1C}"/>
                      </a:extLst>
                    </a:blip>
                    <a:srcRect/>
                    <a:stretch>
                      <a:fillRect/>
                    </a:stretch>
                  </pic:blipFill>
                  <pic:spPr bwMode="auto">
                    <a:xfrm>
                      <a:off x="0" y="0"/>
                      <a:ext cx="299085" cy="357505"/>
                    </a:xfrm>
                    <a:prstGeom prst="rect">
                      <a:avLst/>
                    </a:prstGeom>
                    <a:noFill/>
                  </pic:spPr>
                </pic:pic>
              </a:graphicData>
            </a:graphic>
          </wp:anchor>
        </w:drawing>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October 29, 2026</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Page 5</w:t>
      </w:r>
    </w:p>
    <w:p>
      <w:pPr>
        <w:spacing w:after="0" w:line="114" w:lineRule="exact"/>
        <w:rPr>
          <w:sz w:val="20"/>
          <w:szCs w:val="20"/>
          <w:color w:val="auto"/>
        </w:rPr>
      </w:pPr>
    </w:p>
    <w:p>
      <w:pPr>
        <w:ind w:left="340" w:right="359" w:firstLine="324"/>
        <w:spacing w:after="0" w:line="245" w:lineRule="auto"/>
        <w:tabs>
          <w:tab w:leader="none" w:pos="81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Warrants, when (i) specifically authorized for issuance by the Authorizing Resolutions, (ii) the Registration Statement, as finally amended (including all post-effective amendments), has become effective under the Securities Act, (iii) the Warrant Agreement relating to the Warrants has been duly authorized, executed, and delivered by the Company, (iv) an appropriate prospectus supplement with respect to the applicable Warrants has been prepared, delivered and filed in compliance with the Securities Act and the applicable rules and regulations thereunder, (v) if the applicable Warrants are to be sold pursuant to an Underwriting Agreement, such Underwriting Agreement with respect to the applicable Warrants in the form filed as an exhibit to the Registration Statement, any post-effective amendment thereto or to a Current Report on Form 8-K, has been duly authorized, executed and delivered by the Company and the other parties thereto, (vi) the terms of the Warrants and of their issuance and sale have been duly established in conformity with the Warrant Agreement and do not violate any applicable law or result in a default under or breach of any agreement or instrument binding upon the Company and comply with any requirement or restriction imposed by any court or governmental body having jurisdiction over the Company, (vii) the Warrants have been duly executed and countersigned in accordance with the Warrant Agreement and issued and sold as contemplated by the Registration Statement and the prospectus included therein, and (viii) the Company has received the consideration provided for in the Authorizing Resolutions and, if applicable, the Underwriting Agreement, the Warrants will constitute valid and legally binding obligations of the Company.</w:t>
      </w:r>
    </w:p>
    <w:p>
      <w:pPr>
        <w:spacing w:after="0" w:line="155" w:lineRule="exact"/>
        <w:rPr>
          <w:rFonts w:ascii="Times New Roman" w:cs="Times New Roman" w:eastAsia="Times New Roman" w:hAnsi="Times New Roman"/>
          <w:sz w:val="14"/>
          <w:szCs w:val="14"/>
          <w:color w:val="auto"/>
        </w:rPr>
      </w:pPr>
    </w:p>
    <w:p>
      <w:pPr>
        <w:ind w:left="340" w:right="599" w:firstLine="324"/>
        <w:spacing w:after="0" w:line="265" w:lineRule="auto"/>
        <w:tabs>
          <w:tab w:leader="none" w:pos="810"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Rights, when (i) specifically authorized for issuance by the Authorizing Resolutions, (ii) the Registration Statement, as finally amended (including all post-effective amendments), has become effective under the Securities Act, (iii) the Rights Agreement and any certificates relating to the Rights has been duly authorized, executed, and delivered by the Company, (iv) an appropriate prospectus supplement with respect to the applicable Rights has been prepared, delivered and filed in compliance with the Securities Act and the applicable rules and regulations thereunder, (v) if the applicable Rights are to be sold pursuant to an Underwriting Agreement, such Underwriting Agreement with respect to the applicable Rights in the form filed as an exhibit to the Registration Statement, any post-effective amendment thereto or to a Current Report on Form</w:t>
      </w:r>
    </w:p>
    <w:p>
      <w:pPr>
        <w:spacing w:after="0" w:line="3" w:lineRule="exact"/>
        <w:rPr>
          <w:rFonts w:ascii="Times New Roman" w:cs="Times New Roman" w:eastAsia="Times New Roman" w:hAnsi="Times New Roman"/>
          <w:sz w:val="13"/>
          <w:szCs w:val="13"/>
          <w:color w:val="auto"/>
        </w:rPr>
      </w:pPr>
    </w:p>
    <w:p>
      <w:pPr>
        <w:ind w:left="340" w:right="419"/>
        <w:spacing w:after="0" w:line="24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8-K, has been duly authorized, executed and delivered by the Company and the other parties thereto, (vi) the terms of the Rights and of their issuance and sale have been duly established in conformity with the Rights Agreement and any rights certificates and do not violate any applicable law or result in a default under or breach of any agreement or instrument binding upon the Company and comply with any requirement or restriction imposed by any court or governmental body having jurisdiction over the Company, (vii) the Rights have been duly executed and countersigned in accordance with the Rights Agreement and issued and sold as contemplated by the Registration Statement and the prospectus included therein, and (viii) the Company has received the consideration provided for in the Authorizing Resolutions and, if applicable, the Underwriting Agreement, the Rights will constitute valid and legally binding obligations of the Company.</w:t>
      </w:r>
    </w:p>
    <w:p>
      <w:pPr>
        <w:spacing w:after="0" w:line="152" w:lineRule="exact"/>
        <w:rPr>
          <w:rFonts w:ascii="Times New Roman" w:cs="Times New Roman" w:eastAsia="Times New Roman" w:hAnsi="Times New Roman"/>
          <w:sz w:val="13"/>
          <w:szCs w:val="13"/>
          <w:color w:val="auto"/>
        </w:rPr>
      </w:pPr>
    </w:p>
    <w:p>
      <w:pPr>
        <w:ind w:left="340" w:right="339" w:firstLine="324"/>
        <w:spacing w:after="0" w:line="248" w:lineRule="auto"/>
        <w:tabs>
          <w:tab w:leader="none" w:pos="81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Units, when (i) specifically authorized for issuance by the Authorizing Resolutions, (ii) the Registration Statement, as finally amended (including all post-effective amendments), has become effective under the Securities Act, (iii) the Unit Agreement relating to the Units has been duly authorized, executed, and delivered by the Company, (iv) an appropriate prospectus supplement with respect to the applicable Units has been prepared, delivered and filed in compliance with the Securities Act and the applicable rules and regulations thereunder, (v) if the applicable Units are to be sold pursuant to an Underwriting Agreement, such Underwriting Agreement with respect to the applicable Units in the form filed as an exhibit to the Registration Statement, any post-effective amendment thereto or to a Current</w:t>
      </w:r>
    </w:p>
    <w:p>
      <w:pPr>
        <w:sectPr>
          <w:pgSz w:w="11900" w:h="16838" w:orient="portrait"/>
          <w:cols w:equalWidth="0" w:num="1">
            <w:col w:w="9019"/>
          </w:cols>
          <w:pgMar w:left="1440" w:top="235" w:right="1440" w:bottom="1440" w:gutter="0" w:footer="0" w:header="0"/>
        </w:sectPr>
      </w:pPr>
    </w:p>
    <w:bookmarkStart w:id="202" w:name="page203"/>
    <w:bookmarkEnd w:id="202"/>
    <w:p>
      <w:pPr>
        <w:ind w:left="3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5215255</wp:posOffset>
            </wp:positionH>
            <wp:positionV relativeFrom="paragraph">
              <wp:posOffset>-90805</wp:posOffset>
            </wp:positionV>
            <wp:extent cx="299085" cy="3575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4">
                      <a:extLst>
                        <a:ext uri="{28A0092B-C50C-407E-A947-70E740481C1C}"/>
                      </a:extLst>
                    </a:blip>
                    <a:srcRect/>
                    <a:stretch>
                      <a:fillRect/>
                    </a:stretch>
                  </pic:blipFill>
                  <pic:spPr bwMode="auto">
                    <a:xfrm>
                      <a:off x="0" y="0"/>
                      <a:ext cx="299085" cy="357505"/>
                    </a:xfrm>
                    <a:prstGeom prst="rect">
                      <a:avLst/>
                    </a:prstGeom>
                    <a:noFill/>
                  </pic:spPr>
                </pic:pic>
              </a:graphicData>
            </a:graphic>
          </wp:anchor>
        </w:drawing>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October 29, 2026</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Page 6</w:t>
      </w:r>
    </w:p>
    <w:p>
      <w:pPr>
        <w:spacing w:after="0" w:line="114" w:lineRule="exact"/>
        <w:rPr>
          <w:sz w:val="20"/>
          <w:szCs w:val="20"/>
          <w:color w:val="auto"/>
        </w:rPr>
      </w:pPr>
    </w:p>
    <w:p>
      <w:pPr>
        <w:ind w:left="340" w:right="399"/>
        <w:spacing w:after="0" w:line="247" w:lineRule="auto"/>
        <w:rPr>
          <w:sz w:val="20"/>
          <w:szCs w:val="20"/>
          <w:color w:val="auto"/>
        </w:rPr>
      </w:pPr>
      <w:r>
        <w:rPr>
          <w:rFonts w:ascii="Times New Roman" w:cs="Times New Roman" w:eastAsia="Times New Roman" w:hAnsi="Times New Roman"/>
          <w:sz w:val="14"/>
          <w:szCs w:val="14"/>
          <w:color w:val="auto"/>
        </w:rPr>
        <w:t>Report on Form 8-K, has been duly authorized, executed and delivered by the Company and the other parties thereto, (vi) the terms of the Units and of their issuance and sale have been duly established in conformity with the Unit Agreement and do not violate any applicable law or result in a default under or breach of any agreement or instrument binding upon the Company and comply with any requirement or restriction imposed by any court or governmental body having jurisdiction over the Company, (vii) the Units have been duly executed and countersigned in accordance with the Unit Agreement and issued and sold as contemplated by the Registration Statement and the prospectus included therein, and (viii) the Company has received the consideration provided for in the Authorizing Resolutions and, if applicable, the Underwriting Agreement, the Units will constitute valid and legally binding obligations of the Company.</w:t>
      </w:r>
    </w:p>
    <w:p>
      <w:pPr>
        <w:spacing w:after="0" w:line="150" w:lineRule="exact"/>
        <w:rPr>
          <w:sz w:val="20"/>
          <w:szCs w:val="20"/>
          <w:color w:val="auto"/>
        </w:rPr>
      </w:pPr>
    </w:p>
    <w:p>
      <w:pPr>
        <w:ind w:left="340" w:right="639" w:firstLine="324"/>
        <w:spacing w:after="0" w:line="283" w:lineRule="auto"/>
        <w:tabs>
          <w:tab w:leader="none" w:pos="810"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Sales Agreement Shares, such Sales Agreement Shares have been duly authorized for issuance and, when (i) the Registration Statement becomes effective under the Securities Act, and (ii) when the Sales Agreement Shares have been issued and paid for in accordance with the terms and conditions of the Sales Agreement, the Sales Agreement Shares will be validly issued, fully paid and non-assessable.</w:t>
      </w:r>
    </w:p>
    <w:p>
      <w:pPr>
        <w:spacing w:after="0" w:line="126" w:lineRule="exact"/>
        <w:rPr>
          <w:sz w:val="20"/>
          <w:szCs w:val="20"/>
          <w:color w:val="auto"/>
        </w:rPr>
      </w:pPr>
    </w:p>
    <w:p>
      <w:pPr>
        <w:ind w:left="340" w:right="499" w:firstLine="334"/>
        <w:spacing w:after="0" w:line="249" w:lineRule="auto"/>
        <w:rPr>
          <w:sz w:val="20"/>
          <w:szCs w:val="20"/>
          <w:color w:val="auto"/>
        </w:rPr>
      </w:pPr>
      <w:r>
        <w:rPr>
          <w:rFonts w:ascii="Times New Roman" w:cs="Times New Roman" w:eastAsia="Times New Roman" w:hAnsi="Times New Roman"/>
          <w:sz w:val="14"/>
          <w:szCs w:val="14"/>
          <w:color w:val="auto"/>
        </w:rPr>
        <w:t>We understand that you wish to file this opinion with the Commission as an exhibit to the Registration Statement in accordance with the requirements of Item 601(b)(5) of Regulation S-K promulgated under the Securities Act and to reference the firm’s name under the caption “Legal Matters” in the prospectus which forms part of the Registration Statement,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1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6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/s/ Mintz, Levin, Cohn, Ferris, Glovsky and</w:t>
      </w:r>
    </w:p>
    <w:p>
      <w:pPr>
        <w:spacing w:after="0" w:line="1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Popeo, P.C.</w:t>
      </w:r>
    </w:p>
    <w:p>
      <w:pPr>
        <w:spacing w:after="0" w:line="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3395980</wp:posOffset>
            </wp:positionH>
            <wp:positionV relativeFrom="paragraph">
              <wp:posOffset>-100965</wp:posOffset>
            </wp:positionV>
            <wp:extent cx="2117725"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5">
                      <a:extLst>
                        <a:ext uri="{28A0092B-C50C-407E-A947-70E740481C1C}"/>
                      </a:extLst>
                    </a:blip>
                    <a:srcRect/>
                    <a:stretch>
                      <a:fillRect/>
                    </a:stretch>
                  </pic:blipFill>
                  <pic:spPr bwMode="auto">
                    <a:xfrm>
                      <a:off x="0" y="0"/>
                      <a:ext cx="2117725" cy="6350"/>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bookmarkStart w:id="203" w:name="page204"/>
    <w:bookmarkEnd w:id="203"/>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66" w:lineRule="exact"/>
        <w:rPr>
          <w:sz w:val="20"/>
          <w:szCs w:val="20"/>
          <w:color w:val="auto"/>
        </w:rPr>
      </w:pPr>
    </w:p>
    <w:p>
      <w:pPr>
        <w:ind w:left="340" w:right="399"/>
        <w:spacing w:after="0" w:line="251"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the Registration Statement (Form S-3) and related Prospectuses of ProKidney Corp. for the registration of Class A and B common stock and to the incorporation by reference therein of our report dated March 18, 2026, with respect to the consolidated financial statements of ProKidney Corp. included in its Annual Report (Form 10-K) for the year ended December 31, 2025, filed with the Securities and Exchange Commission.</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Atlanta, Georgia</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October 29, 2026</w:t>
      </w:r>
    </w:p>
    <w:p>
      <w:pPr>
        <w:sectPr>
          <w:pgSz w:w="11900" w:h="16838" w:orient="portrait"/>
          <w:cols w:equalWidth="0" w:num="1">
            <w:col w:w="9019"/>
          </w:cols>
          <w:pgMar w:left="1440" w:top="123" w:right="1440" w:bottom="1440" w:gutter="0" w:footer="0" w:header="0"/>
        </w:sectPr>
      </w:pPr>
    </w:p>
    <w:bookmarkStart w:id="204" w:name="page205"/>
    <w:bookmarkEnd w:id="204"/>
    <w:p>
      <w:pPr>
        <w:spacing w:after="0" w:line="62" w:lineRule="exact"/>
        <w:rPr>
          <w:sz w:val="20"/>
          <w:szCs w:val="20"/>
          <w:color w:val="auto"/>
        </w:rPr>
      </w:pPr>
    </w:p>
    <w:p>
      <w:pPr>
        <w:ind w:left="3540"/>
        <w:spacing w:after="0"/>
        <w:rPr>
          <w:sz w:val="20"/>
          <w:szCs w:val="20"/>
          <w:color w:val="auto"/>
        </w:rPr>
      </w:pPr>
      <w:r>
        <w:rPr>
          <w:rFonts w:ascii="Arial" w:cs="Arial" w:eastAsia="Arial" w:hAnsi="Arial"/>
          <w:sz w:val="27"/>
          <w:szCs w:val="27"/>
          <w:b w:val="1"/>
          <w:bCs w:val="1"/>
          <w:color w:val="auto"/>
        </w:rPr>
        <w:t>Calculation of Filing Fee Tables</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99"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PROKIDNEY CORP.</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4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8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gridSpan w:val="2"/>
          </w:tcPr>
          <w:p>
            <w:pPr>
              <w:ind w:left="3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4"/>
        </w:trPr>
        <w:tc>
          <w:tcPr>
            <w:tcW w:w="1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4"/>
        </w:trPr>
        <w:tc>
          <w:tcPr>
            <w:tcW w:w="1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Fee</w:t>
            </w:r>
          </w:p>
        </w:tc>
        <w:tc>
          <w:tcPr>
            <w:tcW w:w="900" w:type="dxa"/>
            <w:vAlign w:val="bottom"/>
          </w:tcPr>
          <w:p>
            <w:pPr>
              <w:spacing w:after="0"/>
              <w:rPr>
                <w:sz w:val="16"/>
                <w:szCs w:val="16"/>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Proposed</w:t>
            </w:r>
          </w:p>
        </w:tc>
        <w:tc>
          <w:tcPr>
            <w:tcW w:w="1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92"/>
        </w:trPr>
        <w:tc>
          <w:tcPr>
            <w:tcW w:w="1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6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800" w:type="dxa"/>
            <w:vAlign w:val="bottom"/>
            <w:vMerge w:val="continue"/>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Connection</w:t>
            </w:r>
          </w:p>
        </w:tc>
        <w:tc>
          <w:tcPr>
            <w:tcW w:w="0" w:type="dxa"/>
            <w:vAlign w:val="bottom"/>
          </w:tcPr>
          <w:p>
            <w:pPr>
              <w:spacing w:after="0"/>
              <w:rPr>
                <w:sz w:val="1"/>
                <w:szCs w:val="1"/>
                <w:color w:val="auto"/>
              </w:rPr>
            </w:pPr>
          </w:p>
        </w:tc>
      </w:tr>
      <w:tr>
        <w:trPr>
          <w:trHeight w:val="92"/>
        </w:trPr>
        <w:tc>
          <w:tcPr>
            <w:tcW w:w="1820" w:type="dxa"/>
            <w:vAlign w:val="bottom"/>
          </w:tcPr>
          <w:p>
            <w:pPr>
              <w:spacing w:after="0"/>
              <w:rPr>
                <w:sz w:val="8"/>
                <w:szCs w:val="8"/>
                <w:color w:val="auto"/>
              </w:rPr>
            </w:pPr>
          </w:p>
        </w:tc>
        <w:tc>
          <w:tcPr>
            <w:tcW w:w="17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Security Calculation</w:t>
            </w:r>
          </w:p>
        </w:tc>
        <w:tc>
          <w:tcPr>
            <w:tcW w:w="900" w:type="dxa"/>
            <w:vAlign w:val="bottom"/>
          </w:tcPr>
          <w:p>
            <w:pPr>
              <w:spacing w:after="0"/>
              <w:rPr>
                <w:sz w:val="8"/>
                <w:szCs w:val="8"/>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Maximum</w:t>
            </w: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Maximum</w:t>
            </w:r>
          </w:p>
        </w:tc>
        <w:tc>
          <w:tcPr>
            <w:tcW w:w="1740" w:type="dxa"/>
            <w:vAlign w:val="bottom"/>
            <w:vMerge w:val="restart"/>
          </w:tcPr>
          <w:p>
            <w:pPr>
              <w:jc w:val="center"/>
              <w:ind w:left="678"/>
              <w:spacing w:after="0"/>
              <w:rPr>
                <w:sz w:val="20"/>
                <w:szCs w:val="20"/>
                <w:color w:val="auto"/>
              </w:rPr>
            </w:pPr>
            <w:r>
              <w:rPr>
                <w:rFonts w:ascii="Arial" w:cs="Arial" w:eastAsia="Arial" w:hAnsi="Arial"/>
                <w:sz w:val="16"/>
                <w:szCs w:val="16"/>
                <w:b w:val="1"/>
                <w:bCs w:val="1"/>
                <w:color w:val="auto"/>
              </w:rPr>
              <w:t>Amount of</w:t>
            </w:r>
          </w:p>
        </w:tc>
        <w:tc>
          <w:tcPr>
            <w:tcW w:w="6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Forward</w:t>
            </w: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820" w:type="dxa"/>
            <w:vAlign w:val="bottom"/>
          </w:tcPr>
          <w:p>
            <w:pPr>
              <w:jc w:val="center"/>
              <w:ind w:left="918"/>
              <w:spacing w:after="0" w:line="165" w:lineRule="exact"/>
              <w:rPr>
                <w:sz w:val="20"/>
                <w:szCs w:val="20"/>
                <w:color w:val="auto"/>
              </w:rPr>
            </w:pPr>
            <w:r>
              <w:rPr>
                <w:rFonts w:ascii="Arial" w:cs="Arial" w:eastAsia="Arial" w:hAnsi="Arial"/>
                <w:sz w:val="16"/>
                <w:szCs w:val="16"/>
                <w:b w:val="1"/>
                <w:bCs w:val="1"/>
                <w:color w:val="auto"/>
              </w:rPr>
              <w:t>Security</w:t>
            </w:r>
          </w:p>
        </w:tc>
        <w:tc>
          <w:tcPr>
            <w:tcW w:w="1740" w:type="dxa"/>
            <w:vAlign w:val="bottom"/>
            <w:gridSpan w:val="2"/>
            <w:vMerge w:val="continue"/>
          </w:tcPr>
          <w:p>
            <w:pPr>
              <w:spacing w:after="0"/>
              <w:rPr>
                <w:sz w:val="14"/>
                <w:szCs w:val="14"/>
                <w:color w:val="auto"/>
              </w:rPr>
            </w:pPr>
          </w:p>
        </w:tc>
        <w:tc>
          <w:tcPr>
            <w:tcW w:w="90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Amount</w:t>
            </w:r>
          </w:p>
        </w:tc>
        <w:tc>
          <w:tcPr>
            <w:tcW w:w="8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420" w:type="dxa"/>
            <w:vAlign w:val="bottom"/>
            <w:gridSpan w:val="2"/>
          </w:tcPr>
          <w:p>
            <w:pPr>
              <w:ind w:left="40"/>
              <w:spacing w:after="0" w:line="165" w:lineRule="exact"/>
              <w:rPr>
                <w:sz w:val="20"/>
                <w:szCs w:val="20"/>
                <w:color w:val="auto"/>
              </w:rPr>
            </w:pPr>
            <w:r>
              <w:rPr>
                <w:rFonts w:ascii="Arial" w:cs="Arial" w:eastAsia="Arial" w:hAnsi="Arial"/>
                <w:sz w:val="16"/>
                <w:szCs w:val="16"/>
                <w:b w:val="1"/>
                <w:bCs w:val="1"/>
                <w:color w:val="auto"/>
              </w:rPr>
              <w:t>Forward Forward</w:t>
            </w:r>
          </w:p>
        </w:tc>
        <w:tc>
          <w:tcPr>
            <w:tcW w:w="800" w:type="dxa"/>
            <w:vAlign w:val="bottom"/>
            <w:vMerge w:val="continue"/>
          </w:tcPr>
          <w:p>
            <w:pPr>
              <w:spacing w:after="0"/>
              <w:rPr>
                <w:sz w:val="14"/>
                <w:szCs w:val="14"/>
                <w:color w:val="auto"/>
              </w:rPr>
            </w:pPr>
          </w:p>
        </w:tc>
        <w:tc>
          <w:tcPr>
            <w:tcW w:w="98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84"/>
        </w:trPr>
        <w:tc>
          <w:tcPr>
            <w:tcW w:w="1820" w:type="dxa"/>
            <w:vAlign w:val="bottom"/>
          </w:tcPr>
          <w:p>
            <w:pPr>
              <w:jc w:val="center"/>
              <w:ind w:left="918"/>
              <w:spacing w:after="0"/>
              <w:rPr>
                <w:sz w:val="20"/>
                <w:szCs w:val="20"/>
                <w:color w:val="auto"/>
              </w:rPr>
            </w:pPr>
            <w:r>
              <w:rPr>
                <w:rFonts w:ascii="Arial" w:cs="Arial" w:eastAsia="Arial" w:hAnsi="Arial"/>
                <w:sz w:val="16"/>
                <w:szCs w:val="16"/>
                <w:b w:val="1"/>
                <w:bCs w:val="1"/>
                <w:color w:val="auto"/>
              </w:rPr>
              <w:t>Type</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Class</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or Carry</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Registered</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9"/>
              </w:rPr>
              <w:t>Offering</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Aggregate</w:t>
            </w:r>
          </w:p>
        </w:tc>
        <w:tc>
          <w:tcPr>
            <w:tcW w:w="1740" w:type="dxa"/>
            <w:vAlign w:val="bottom"/>
          </w:tcPr>
          <w:p>
            <w:pPr>
              <w:ind w:left="40"/>
              <w:spacing w:after="0"/>
              <w:rPr>
                <w:sz w:val="20"/>
                <w:szCs w:val="20"/>
                <w:color w:val="auto"/>
              </w:rPr>
            </w:pPr>
            <w:r>
              <w:rPr>
                <w:rFonts w:ascii="Arial" w:cs="Arial" w:eastAsia="Arial" w:hAnsi="Arial"/>
                <w:sz w:val="16"/>
                <w:szCs w:val="16"/>
                <w:b w:val="1"/>
                <w:bCs w:val="1"/>
                <w:color w:val="auto"/>
              </w:rPr>
              <w:t>Fee Rate Registration</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rPr>
              <w:t>Form</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File</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Initial</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4"/>
        </w:trPr>
        <w:tc>
          <w:tcPr>
            <w:tcW w:w="18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Title</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Forward</w:t>
            </w:r>
          </w:p>
        </w:tc>
        <w:tc>
          <w:tcPr>
            <w:tcW w:w="9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Price Per</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Offering Price</w:t>
            </w:r>
          </w:p>
        </w:tc>
        <w:tc>
          <w:tcPr>
            <w:tcW w:w="1740" w:type="dxa"/>
            <w:vAlign w:val="bottom"/>
          </w:tcPr>
          <w:p>
            <w:pPr>
              <w:jc w:val="center"/>
              <w:ind w:left="658"/>
              <w:spacing w:after="0"/>
              <w:rPr>
                <w:sz w:val="20"/>
                <w:szCs w:val="20"/>
                <w:color w:val="auto"/>
              </w:rPr>
            </w:pPr>
            <w:r>
              <w:rPr>
                <w:rFonts w:ascii="Arial" w:cs="Arial" w:eastAsia="Arial" w:hAnsi="Arial"/>
                <w:sz w:val="16"/>
                <w:szCs w:val="16"/>
                <w:b w:val="1"/>
                <w:bCs w:val="1"/>
                <w:color w:val="auto"/>
              </w:rPr>
              <w:t>Fee</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rPr>
              <w:t>Type</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Effective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36"/>
        </w:trPr>
        <w:tc>
          <w:tcPr>
            <w:tcW w:w="1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Rule</w:t>
            </w:r>
          </w:p>
        </w:tc>
        <w:tc>
          <w:tcPr>
            <w:tcW w:w="900" w:type="dxa"/>
            <w:vAlign w:val="bottom"/>
          </w:tcPr>
          <w:p>
            <w:pPr>
              <w:spacing w:after="0"/>
              <w:rPr>
                <w:sz w:val="3"/>
                <w:szCs w:val="3"/>
                <w:color w:val="auto"/>
              </w:rPr>
            </w:pPr>
          </w:p>
        </w:tc>
        <w:tc>
          <w:tcPr>
            <w:tcW w:w="80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Unit</w:t>
            </w:r>
          </w:p>
        </w:tc>
        <w:tc>
          <w:tcPr>
            <w:tcW w:w="11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Date</w:t>
            </w: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-843915</wp:posOffset>
            </wp:positionV>
            <wp:extent cx="7215505" cy="95180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6">
                      <a:extLst>
                        <a:ext uri="{28A0092B-C50C-407E-A947-70E740481C1C}"/>
                      </a:extLst>
                    </a:blip>
                    <a:srcRect/>
                    <a:stretch>
                      <a:fillRect/>
                    </a:stretch>
                  </pic:blipFill>
                  <pic:spPr bwMode="auto">
                    <a:xfrm>
                      <a:off x="0" y="0"/>
                      <a:ext cx="7215505" cy="9518015"/>
                    </a:xfrm>
                    <a:prstGeom prst="rect">
                      <a:avLst/>
                    </a:prstGeom>
                    <a:noFill/>
                  </pic:spPr>
                </pic:pic>
              </a:graphicData>
            </a:graphic>
          </wp:anchor>
        </w:drawing>
      </w:r>
    </w:p>
    <w:p>
      <w:pPr>
        <w:jc w:val="center"/>
        <w:ind w:left="10460"/>
        <w:spacing w:after="0"/>
        <w:rPr>
          <w:sz w:val="20"/>
          <w:szCs w:val="20"/>
          <w:color w:val="auto"/>
        </w:rPr>
      </w:pPr>
      <w:r>
        <w:rPr>
          <w:rFonts w:ascii="Arial" w:cs="Arial" w:eastAsia="Arial" w:hAnsi="Arial"/>
          <w:sz w:val="16"/>
          <w:szCs w:val="16"/>
          <w:b w:val="1"/>
          <w:bCs w:val="1"/>
          <w:color w:val="auto"/>
        </w:rPr>
        <w:t>to be</w:t>
      </w:r>
    </w:p>
    <w:p>
      <w:pPr>
        <w:jc w:val="center"/>
        <w:ind w:left="10460"/>
        <w:spacing w:after="0"/>
        <w:rPr>
          <w:sz w:val="20"/>
          <w:szCs w:val="20"/>
          <w:color w:val="auto"/>
        </w:rPr>
      </w:pPr>
      <w:r>
        <w:rPr>
          <w:rFonts w:ascii="Arial" w:cs="Arial" w:eastAsia="Arial" w:hAnsi="Arial"/>
          <w:sz w:val="16"/>
          <w:szCs w:val="16"/>
          <w:b w:val="1"/>
          <w:bCs w:val="1"/>
          <w:color w:val="auto"/>
        </w:rPr>
        <w:t>Carried</w:t>
      </w:r>
    </w:p>
    <w:p>
      <w:pPr>
        <w:jc w:val="center"/>
        <w:ind w:left="10460"/>
        <w:spacing w:after="0"/>
        <w:rPr>
          <w:sz w:val="20"/>
          <w:szCs w:val="20"/>
          <w:color w:val="auto"/>
        </w:rPr>
      </w:pPr>
      <w:r>
        <w:rPr>
          <w:rFonts w:ascii="Arial" w:cs="Arial" w:eastAsia="Arial" w:hAnsi="Arial"/>
          <w:sz w:val="16"/>
          <w:szCs w:val="16"/>
          <w:b w:val="1"/>
          <w:bCs w:val="1"/>
          <w:color w:val="auto"/>
        </w:rPr>
        <w:t>Forward</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Newly Registered Securities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Class A</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6"/>
                <w:szCs w:val="16"/>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$0.0001</w:t>
            </w: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par value</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$0.0001</w:t>
            </w:r>
          </w:p>
        </w:tc>
        <w:tc>
          <w:tcPr>
            <w:tcW w:w="20" w:type="dxa"/>
            <w:vAlign w:val="bottom"/>
          </w:tcPr>
          <w:p>
            <w:pPr>
              <w:spacing w:after="0"/>
              <w:rPr>
                <w:sz w:val="16"/>
                <w:szCs w:val="16"/>
                <w:color w:val="auto"/>
              </w:rPr>
            </w:pPr>
          </w:p>
        </w:tc>
        <w:tc>
          <w:tcPr>
            <w:tcW w:w="92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par value</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74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7"/>
                <w:szCs w:val="17"/>
                <w:color w:val="auto"/>
              </w:rPr>
            </w:pPr>
          </w:p>
        </w:tc>
        <w:tc>
          <w:tcPr>
            <w:tcW w:w="92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Rights to</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purchase</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Class A</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6"/>
                <w:szCs w:val="16"/>
                <w:color w:val="auto"/>
              </w:rPr>
            </w:pPr>
          </w:p>
        </w:tc>
        <w:tc>
          <w:tcPr>
            <w:tcW w:w="92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or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17"/>
                <w:szCs w:val="17"/>
                <w:color w:val="auto"/>
              </w:rPr>
            </w:pPr>
          </w:p>
        </w:tc>
        <w:tc>
          <w:tcPr>
            <w:tcW w:w="92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ind w:left="20"/>
              <w:spacing w:after="0" w:line="174"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8"/>
                <w:szCs w:val="8"/>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0.000087</w:t>
            </w:r>
          </w:p>
        </w:tc>
        <w:tc>
          <w:tcPr>
            <w:tcW w:w="20" w:type="dxa"/>
            <w:vAlign w:val="bottom"/>
          </w:tcPr>
          <w:p>
            <w:pPr>
              <w:spacing w:after="0"/>
              <w:rPr>
                <w:sz w:val="8"/>
                <w:szCs w:val="8"/>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$ 26,547.07</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780" w:type="dxa"/>
            <w:vAlign w:val="bottom"/>
            <w:shd w:val="clear" w:color="auto" w:fill="E7E7E2"/>
          </w:tcPr>
          <w:p>
            <w:pPr>
              <w:spacing w:after="0" w:line="165"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rPr>
              <w:t>305,138,733.00</w:t>
            </w: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ind w:left="20"/>
              <w:spacing w:after="0" w:line="143"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7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8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00" w:type="dxa"/>
            <w:vAlign w:val="bottom"/>
            <w:gridSpan w:val="5"/>
          </w:tcPr>
          <w:p>
            <w:pPr>
              <w:jc w:val="right"/>
              <w:ind w:right="418"/>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79" w:lineRule="exact"/>
              <w:rPr>
                <w:sz w:val="20"/>
                <w:szCs w:val="20"/>
                <w:color w:val="auto"/>
              </w:rPr>
            </w:pPr>
            <w:r>
              <w:rPr>
                <w:rFonts w:ascii="Arial" w:cs="Arial" w:eastAsia="Arial" w:hAnsi="Arial"/>
                <w:sz w:val="16"/>
                <w:szCs w:val="16"/>
                <w:color w:val="auto"/>
              </w:rPr>
              <w:t>Class A</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Carry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8"/>
                <w:szCs w:val="8"/>
                <w:color w:val="auto"/>
              </w:rPr>
            </w:pPr>
          </w:p>
        </w:tc>
        <w:tc>
          <w:tcPr>
            <w:tcW w:w="7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8"/>
                <w:szCs w:val="8"/>
                <w:color w:val="auto"/>
              </w:rPr>
            </w:pPr>
          </w:p>
        </w:tc>
        <w:tc>
          <w:tcPr>
            <w:tcW w:w="6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11/30/2023</w:t>
            </w: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line="165" w:lineRule="exact"/>
              <w:rPr>
                <w:sz w:val="20"/>
                <w:szCs w:val="20"/>
                <w:color w:val="auto"/>
              </w:rPr>
            </w:pPr>
            <w:r>
              <w:rPr>
                <w:rFonts w:ascii="Arial" w:cs="Arial" w:eastAsia="Arial" w:hAnsi="Arial"/>
                <w:sz w:val="16"/>
                <w:szCs w:val="16"/>
                <w:color w:val="auto"/>
              </w:rPr>
              <w:t>$0.0001</w:t>
            </w: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5" w:lineRule="exact"/>
              <w:rPr>
                <w:sz w:val="20"/>
                <w:szCs w:val="20"/>
                <w:color w:val="auto"/>
              </w:rPr>
            </w:pPr>
            <w:r>
              <w:rPr>
                <w:rFonts w:ascii="Arial" w:cs="Arial" w:eastAsia="Arial" w:hAnsi="Arial"/>
                <w:sz w:val="16"/>
                <w:szCs w:val="16"/>
                <w:color w:val="auto"/>
              </w:rPr>
              <w:t>275701</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par value</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vMerge w:val="continue"/>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E7E7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Carry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8"/>
                <w:szCs w:val="8"/>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$0.0001</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8"/>
                <w:szCs w:val="8"/>
                <w:color w:val="auto"/>
              </w:rPr>
            </w:pPr>
          </w:p>
        </w:tc>
        <w:tc>
          <w:tcPr>
            <w:tcW w:w="6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11/30/2023</w:t>
            </w: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jc w:val="center"/>
              <w:spacing w:after="0" w:line="108" w:lineRule="exact"/>
              <w:rPr>
                <w:sz w:val="20"/>
                <w:szCs w:val="20"/>
                <w:color w:val="auto"/>
              </w:rPr>
            </w:pPr>
            <w:r>
              <w:rPr>
                <w:rFonts w:ascii="Arial" w:cs="Arial" w:eastAsia="Arial" w:hAnsi="Arial"/>
                <w:sz w:val="12"/>
                <w:szCs w:val="12"/>
                <w:color w:val="auto"/>
              </w:rPr>
              <w:t>275701</w:t>
            </w:r>
          </w:p>
        </w:tc>
        <w:tc>
          <w:tcPr>
            <w:tcW w:w="20" w:type="dxa"/>
            <w:vAlign w:val="bottom"/>
          </w:tcPr>
          <w:p>
            <w:pPr>
              <w:spacing w:after="0"/>
              <w:rPr>
                <w:sz w:val="9"/>
                <w:szCs w:val="9"/>
                <w:color w:val="auto"/>
              </w:rPr>
            </w:pPr>
          </w:p>
        </w:tc>
        <w:tc>
          <w:tcPr>
            <w:tcW w:w="8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780" w:type="dxa"/>
            <w:vAlign w:val="bottom"/>
            <w:shd w:val="clear" w:color="auto" w:fill="E7E7E2"/>
          </w:tcPr>
          <w:p>
            <w:pPr>
              <w:spacing w:after="0" w:line="168"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line="168" w:lineRule="exact"/>
              <w:rPr>
                <w:sz w:val="20"/>
                <w:szCs w:val="20"/>
                <w:color w:val="auto"/>
              </w:rPr>
            </w:pPr>
            <w:r>
              <w:rPr>
                <w:rFonts w:ascii="Arial" w:cs="Arial" w:eastAsia="Arial" w:hAnsi="Arial"/>
                <w:sz w:val="16"/>
                <w:szCs w:val="16"/>
                <w:color w:val="auto"/>
              </w:rPr>
              <w:t>par value</w:t>
            </w: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8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8"/>
                <w:szCs w:val="8"/>
                <w:color w:val="auto"/>
              </w:rPr>
            </w:pPr>
          </w:p>
        </w:tc>
        <w:tc>
          <w:tcPr>
            <w:tcW w:w="7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8"/>
                <w:szCs w:val="8"/>
                <w:color w:val="auto"/>
              </w:rPr>
            </w:pPr>
          </w:p>
        </w:tc>
        <w:tc>
          <w:tcPr>
            <w:tcW w:w="6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11/30/2023</w:t>
            </w: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line="165"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5" w:lineRule="exact"/>
              <w:rPr>
                <w:sz w:val="20"/>
                <w:szCs w:val="20"/>
                <w:color w:val="auto"/>
              </w:rPr>
            </w:pPr>
            <w:r>
              <w:rPr>
                <w:rFonts w:ascii="Arial" w:cs="Arial" w:eastAsia="Arial" w:hAnsi="Arial"/>
                <w:sz w:val="16"/>
                <w:szCs w:val="16"/>
                <w:color w:val="auto"/>
              </w:rPr>
              <w:t>275701</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80" w:type="dxa"/>
            <w:vAlign w:val="bottom"/>
            <w:shd w:val="clear" w:color="auto" w:fill="E7E7E2"/>
          </w:tcPr>
          <w:p>
            <w:pPr>
              <w:spacing w:after="0" w:line="143"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8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8"/>
                <w:szCs w:val="8"/>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8"/>
                <w:szCs w:val="8"/>
                <w:color w:val="auto"/>
              </w:rPr>
            </w:pPr>
          </w:p>
        </w:tc>
        <w:tc>
          <w:tcPr>
            <w:tcW w:w="6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11/30/2023</w:t>
            </w: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jc w:val="center"/>
              <w:spacing w:after="0" w:line="108" w:lineRule="exact"/>
              <w:rPr>
                <w:sz w:val="20"/>
                <w:szCs w:val="20"/>
                <w:color w:val="auto"/>
              </w:rPr>
            </w:pPr>
            <w:r>
              <w:rPr>
                <w:rFonts w:ascii="Arial" w:cs="Arial" w:eastAsia="Arial" w:hAnsi="Arial"/>
                <w:sz w:val="12"/>
                <w:szCs w:val="12"/>
                <w:color w:val="auto"/>
              </w:rPr>
              <w:t>275701</w:t>
            </w:r>
          </w:p>
        </w:tc>
        <w:tc>
          <w:tcPr>
            <w:tcW w:w="20" w:type="dxa"/>
            <w:vAlign w:val="bottom"/>
          </w:tcPr>
          <w:p>
            <w:pPr>
              <w:spacing w:after="0"/>
              <w:rPr>
                <w:sz w:val="9"/>
                <w:szCs w:val="9"/>
                <w:color w:val="auto"/>
              </w:rPr>
            </w:pPr>
          </w:p>
        </w:tc>
        <w:tc>
          <w:tcPr>
            <w:tcW w:w="8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Rights to</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purchase</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Class A</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Carry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8"/>
                <w:szCs w:val="8"/>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8"/>
                <w:szCs w:val="8"/>
                <w:color w:val="auto"/>
              </w:rPr>
            </w:pPr>
          </w:p>
        </w:tc>
        <w:tc>
          <w:tcPr>
            <w:tcW w:w="6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11/30/2023</w:t>
            </w: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jc w:val="center"/>
              <w:spacing w:after="0" w:line="108" w:lineRule="exact"/>
              <w:rPr>
                <w:sz w:val="20"/>
                <w:szCs w:val="20"/>
                <w:color w:val="auto"/>
              </w:rPr>
            </w:pPr>
            <w:r>
              <w:rPr>
                <w:rFonts w:ascii="Arial" w:cs="Arial" w:eastAsia="Arial" w:hAnsi="Arial"/>
                <w:sz w:val="12"/>
                <w:szCs w:val="12"/>
                <w:color w:val="auto"/>
              </w:rPr>
              <w:t>275701</w:t>
            </w:r>
          </w:p>
        </w:tc>
        <w:tc>
          <w:tcPr>
            <w:tcW w:w="20" w:type="dxa"/>
            <w:vAlign w:val="bottom"/>
          </w:tcPr>
          <w:p>
            <w:pPr>
              <w:spacing w:after="0"/>
              <w:rPr>
                <w:sz w:val="9"/>
                <w:szCs w:val="9"/>
                <w:color w:val="auto"/>
              </w:rPr>
            </w:pPr>
          </w:p>
        </w:tc>
        <w:tc>
          <w:tcPr>
            <w:tcW w:w="8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780" w:type="dxa"/>
            <w:vAlign w:val="bottom"/>
            <w:shd w:val="clear" w:color="auto" w:fill="E7E7E2"/>
          </w:tcPr>
          <w:p>
            <w:pPr>
              <w:spacing w:after="0" w:line="168"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line="168" w:lineRule="exact"/>
              <w:rPr>
                <w:sz w:val="20"/>
                <w:szCs w:val="20"/>
                <w:color w:val="auto"/>
              </w:rPr>
            </w:pPr>
            <w:r>
              <w:rPr>
                <w:rFonts w:ascii="Arial" w:cs="Arial" w:eastAsia="Arial" w:hAnsi="Arial"/>
                <w:sz w:val="16"/>
                <w:szCs w:val="16"/>
                <w:color w:val="auto"/>
              </w:rPr>
              <w:t>stock,</w:t>
            </w: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or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8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8"/>
                <w:szCs w:val="8"/>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8"/>
                <w:szCs w:val="8"/>
                <w:color w:val="auto"/>
              </w:rPr>
            </w:pPr>
          </w:p>
        </w:tc>
        <w:tc>
          <w:tcPr>
            <w:tcW w:w="6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11/30/2023</w:t>
            </w: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5" w:lineRule="exact"/>
              <w:rPr>
                <w:sz w:val="20"/>
                <w:szCs w:val="20"/>
                <w:color w:val="auto"/>
              </w:rPr>
            </w:pPr>
            <w:r>
              <w:rPr>
                <w:rFonts w:ascii="Arial" w:cs="Arial" w:eastAsia="Arial" w:hAnsi="Arial"/>
                <w:sz w:val="16"/>
                <w:szCs w:val="16"/>
                <w:color w:val="auto"/>
              </w:rPr>
              <w:t>275701</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80" w:type="dxa"/>
            <w:vAlign w:val="bottom"/>
            <w:shd w:val="clear" w:color="auto" w:fill="E7E7E2"/>
          </w:tcPr>
          <w:p>
            <w:pPr>
              <w:spacing w:after="0" w:line="143"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8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jc w:val="right"/>
              <w:spacing w:after="0" w:line="174" w:lineRule="exact"/>
              <w:rPr>
                <w:sz w:val="20"/>
                <w:szCs w:val="20"/>
                <w:color w:val="auto"/>
              </w:rPr>
            </w:pPr>
            <w:r>
              <w:rPr>
                <w:rFonts w:ascii="Arial" w:cs="Arial" w:eastAsia="Arial" w:hAnsi="Arial"/>
                <w:sz w:val="16"/>
                <w:szCs w:val="16"/>
                <w:color w:val="auto"/>
                <w:w w:val="89"/>
              </w:rPr>
              <w:t>2</w:t>
            </w:r>
          </w:p>
        </w:tc>
        <w:tc>
          <w:tcPr>
            <w:tcW w:w="20" w:type="dxa"/>
            <w:vAlign w:val="bottom"/>
            <w:vMerge w:val="continue"/>
          </w:tcPr>
          <w:p>
            <w:pPr>
              <w:spacing w:after="0"/>
              <w:rPr>
                <w:sz w:val="15"/>
                <w:szCs w:val="15"/>
                <w:color w:val="auto"/>
              </w:rPr>
            </w:pPr>
          </w:p>
        </w:tc>
        <w:tc>
          <w:tcPr>
            <w:tcW w:w="900" w:type="dxa"/>
            <w:vAlign w:val="bottom"/>
            <w:shd w:val="clear" w:color="auto" w:fill="E7E7E2"/>
          </w:tcPr>
          <w:p>
            <w:pPr>
              <w:ind w:left="20"/>
              <w:spacing w:after="0" w:line="174"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jc w:val="center"/>
              <w:spacing w:after="0" w:line="174" w:lineRule="exact"/>
              <w:rPr>
                <w:sz w:val="20"/>
                <w:szCs w:val="20"/>
                <w:color w:val="auto"/>
              </w:rPr>
            </w:pPr>
            <w:r>
              <w:rPr>
                <w:rFonts w:ascii="Arial" w:cs="Arial" w:eastAsia="Arial" w:hAnsi="Arial"/>
                <w:sz w:val="16"/>
                <w:szCs w:val="16"/>
                <w:color w:val="auto"/>
              </w:rPr>
              <w:t>415(a)(6)</w:t>
            </w:r>
          </w:p>
        </w:tc>
        <w:tc>
          <w:tcPr>
            <w:tcW w:w="20" w:type="dxa"/>
            <w:vAlign w:val="bottom"/>
            <w:vMerge w:val="continue"/>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1160" w:type="dxa"/>
            <w:vAlign w:val="bottom"/>
            <w:shd w:val="clear" w:color="auto" w:fill="E7E7E2"/>
          </w:tcPr>
          <w:p>
            <w:pPr>
              <w:jc w:val="right"/>
              <w:spacing w:after="0" w:line="174"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ind w:left="200"/>
              <w:spacing w:after="0" w:line="174" w:lineRule="exact"/>
              <w:rPr>
                <w:sz w:val="20"/>
                <w:szCs w:val="20"/>
                <w:color w:val="auto"/>
              </w:rPr>
            </w:pPr>
            <w:r>
              <w:rPr>
                <w:rFonts w:ascii="Arial" w:cs="Arial" w:eastAsia="Arial" w:hAnsi="Arial"/>
                <w:sz w:val="16"/>
                <w:szCs w:val="16"/>
                <w:color w:val="auto"/>
              </w:rPr>
              <w:t>S-3</w:t>
            </w:r>
          </w:p>
        </w:tc>
        <w:tc>
          <w:tcPr>
            <w:tcW w:w="20" w:type="dxa"/>
            <w:vAlign w:val="bottom"/>
            <w:vMerge w:val="continue"/>
          </w:tcPr>
          <w:p>
            <w:pPr>
              <w:spacing w:after="0"/>
              <w:rPr>
                <w:sz w:val="15"/>
                <w:szCs w:val="15"/>
                <w:color w:val="auto"/>
              </w:rPr>
            </w:pPr>
          </w:p>
        </w:tc>
        <w:tc>
          <w:tcPr>
            <w:tcW w:w="660" w:type="dxa"/>
            <w:vAlign w:val="bottom"/>
            <w:shd w:val="clear" w:color="auto" w:fill="E7E7E2"/>
          </w:tcPr>
          <w:p>
            <w:pPr>
              <w:jc w:val="center"/>
              <w:spacing w:after="0" w:line="174" w:lineRule="exact"/>
              <w:rPr>
                <w:sz w:val="20"/>
                <w:szCs w:val="20"/>
                <w:color w:val="auto"/>
              </w:rPr>
            </w:pPr>
            <w:r>
              <w:rPr>
                <w:rFonts w:ascii="Arial" w:cs="Arial" w:eastAsia="Arial" w:hAnsi="Arial"/>
                <w:sz w:val="16"/>
                <w:szCs w:val="16"/>
                <w:color w:val="auto"/>
              </w:rPr>
              <w:t>333-</w:t>
            </w:r>
          </w:p>
        </w:tc>
        <w:tc>
          <w:tcPr>
            <w:tcW w:w="20" w:type="dxa"/>
            <w:vAlign w:val="bottom"/>
            <w:vMerge w:val="continue"/>
          </w:tcPr>
          <w:p>
            <w:pPr>
              <w:spacing w:after="0"/>
              <w:rPr>
                <w:sz w:val="15"/>
                <w:szCs w:val="15"/>
                <w:color w:val="auto"/>
              </w:rPr>
            </w:pPr>
          </w:p>
        </w:tc>
        <w:tc>
          <w:tcPr>
            <w:tcW w:w="840" w:type="dxa"/>
            <w:vAlign w:val="bottom"/>
            <w:shd w:val="clear" w:color="auto" w:fill="E7E7E2"/>
          </w:tcPr>
          <w:p>
            <w:pPr>
              <w:jc w:val="right"/>
              <w:spacing w:after="0" w:line="174" w:lineRule="exact"/>
              <w:rPr>
                <w:sz w:val="20"/>
                <w:szCs w:val="20"/>
                <w:color w:val="auto"/>
              </w:rPr>
            </w:pPr>
            <w:r>
              <w:rPr>
                <w:rFonts w:ascii="Arial" w:cs="Arial" w:eastAsia="Arial" w:hAnsi="Arial"/>
                <w:sz w:val="16"/>
                <w:szCs w:val="16"/>
                <w:color w:val="auto"/>
                <w:w w:val="99"/>
              </w:rPr>
              <w:t>11/30/2023</w:t>
            </w:r>
          </w:p>
        </w:tc>
        <w:tc>
          <w:tcPr>
            <w:tcW w:w="20" w:type="dxa"/>
            <w:vAlign w:val="bottom"/>
            <w:vMerge w:val="continue"/>
          </w:tcPr>
          <w:p>
            <w:pPr>
              <w:spacing w:after="0"/>
              <w:rPr>
                <w:sz w:val="15"/>
                <w:szCs w:val="15"/>
                <w:color w:val="auto"/>
              </w:rPr>
            </w:pPr>
          </w:p>
        </w:tc>
        <w:tc>
          <w:tcPr>
            <w:tcW w:w="920" w:type="dxa"/>
            <w:vAlign w:val="bottom"/>
            <w:shd w:val="clear" w:color="auto" w:fill="E7E7E2"/>
          </w:tcPr>
          <w:p>
            <w:pPr>
              <w:jc w:val="right"/>
              <w:spacing w:after="0" w:line="174" w:lineRule="exact"/>
              <w:rPr>
                <w:sz w:val="20"/>
                <w:szCs w:val="20"/>
                <w:color w:val="auto"/>
              </w:rPr>
            </w:pPr>
            <w:r>
              <w:rPr>
                <w:rFonts w:ascii="Arial" w:cs="Arial" w:eastAsia="Arial" w:hAnsi="Arial"/>
                <w:sz w:val="16"/>
                <w:szCs w:val="16"/>
                <w:color w:val="auto"/>
              </w:rPr>
              <w:t>$ 50,901.52</w:t>
            </w:r>
          </w:p>
        </w:tc>
        <w:tc>
          <w:tcPr>
            <w:tcW w:w="0" w:type="dxa"/>
            <w:vAlign w:val="bottom"/>
          </w:tcPr>
          <w:p>
            <w:pPr>
              <w:spacing w:after="0"/>
              <w:rPr>
                <w:sz w:val="1"/>
                <w:szCs w:val="1"/>
                <w:color w:val="auto"/>
              </w:rPr>
            </w:pPr>
          </w:p>
        </w:tc>
      </w:tr>
      <w:tr>
        <w:trPr>
          <w:trHeight w:val="216"/>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ind w:left="20"/>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jc w:val="right"/>
              <w:spacing w:after="0"/>
              <w:rPr>
                <w:sz w:val="20"/>
                <w:szCs w:val="20"/>
                <w:color w:val="auto"/>
              </w:rPr>
            </w:pPr>
            <w:r>
              <w:rPr>
                <w:rFonts w:ascii="Arial" w:cs="Arial" w:eastAsia="Arial" w:hAnsi="Arial"/>
                <w:sz w:val="16"/>
                <w:szCs w:val="16"/>
                <w:color w:val="auto"/>
              </w:rPr>
              <w:t>344,861,267.00</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275701</w:t>
            </w: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780" w:type="dxa"/>
            <w:vAlign w:val="bottom"/>
            <w:shd w:val="clear" w:color="auto" w:fill="E7E7E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shd w:val="clear" w:color="auto" w:fill="E7E7E2"/>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shd w:val="clear" w:color="auto" w:fill="E7E7E2"/>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shd w:val="clear" w:color="auto" w:fill="E7E7E2"/>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shd w:val="clear" w:color="auto" w:fill="E7E7E2"/>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shd w:val="clear" w:color="auto" w:fill="E7E7E2"/>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shd w:val="clear" w:color="auto" w:fill="E7E7E2"/>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shd w:val="clear" w:color="auto" w:fill="E7E7E2"/>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E7E7E2"/>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shd w:val="clear" w:color="auto" w:fill="E7E7E2"/>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E7E7E2"/>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shd w:val="clear" w:color="auto" w:fill="E7E7E2"/>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shd w:val="clear" w:color="auto" w:fill="E7E7E2"/>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shd w:val="clear" w:color="auto" w:fill="E7E7E2"/>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300" w:top="141" w:right="239" w:bottom="0" w:gutter="0" w:footer="0" w:header="0"/>
        </w:sectPr>
      </w:pPr>
    </w:p>
    <w:bookmarkStart w:id="205" w:name="page206"/>
    <w:bookmarkEnd w:id="205"/>
    <w:p>
      <w:pPr>
        <w:ind w:left="40"/>
        <w:spacing w:after="0"/>
        <w:rPr>
          <w:sz w:val="20"/>
          <w:szCs w:val="20"/>
          <w:color w:val="auto"/>
        </w:rPr>
      </w:pPr>
      <w:r>
        <w:rPr>
          <w:rFonts w:ascii="Arial" w:cs="Arial" w:eastAsia="Arial" w:hAnsi="Arial"/>
          <w:sz w:val="16"/>
          <w:szCs w:val="16"/>
          <w:color w:val="auto"/>
          <w:shd w:val="clear" w:color="auto" w:fill="E7E7E2"/>
        </w:rPr>
        <w:t xml:space="preserve">Securities </w:t>
      </w:r>
      <w:r>
        <w:rPr>
          <w:sz w:val="1"/>
          <w:szCs w:val="1"/>
          <w:color w:val="auto"/>
        </w:rPr>
        <w:drawing>
          <wp:inline distT="0" distB="0" distL="0" distR="0">
            <wp:extent cx="71755" cy="12319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7">
                      <a:extLst>
                        <a:ext uri="{28A0092B-C50C-407E-A947-70E740481C1C}"/>
                      </a:extLst>
                    </a:blip>
                    <a:srcRect/>
                    <a:stretch>
                      <a:fillRect/>
                    </a:stretch>
                  </pic:blipFill>
                  <pic:spPr bwMode="auto">
                    <a:xfrm>
                      <a:off x="0" y="0"/>
                      <a:ext cx="71755" cy="123190"/>
                    </a:xfrm>
                    <a:prstGeom prst="rect">
                      <a:avLst/>
                    </a:prstGeom>
                    <a:noFill/>
                    <a:ln>
                      <a:noFill/>
                    </a:ln>
                  </pic:spPr>
                </pic:pic>
              </a:graphicData>
            </a:graphic>
          </wp:inline>
        </w:drawing>
      </w:r>
      <w:r>
        <w:rPr>
          <w:rFonts w:ascii="Arial" w:cs="Arial" w:eastAsia="Arial" w:hAnsi="Arial"/>
          <w:sz w:val="16"/>
          <w:szCs w:val="16"/>
          <w:color w:val="auto"/>
        </w:rPr>
        <w:t xml:space="preserve"> Shelf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7215505" cy="8343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8">
                      <a:extLst>
                        <a:ext uri="{28A0092B-C50C-407E-A947-70E740481C1C}"/>
                      </a:extLst>
                    </a:blip>
                    <a:srcRect/>
                    <a:stretch>
                      <a:fillRect/>
                    </a:stretch>
                  </pic:blipFill>
                  <pic:spPr bwMode="auto">
                    <a:xfrm>
                      <a:off x="0" y="0"/>
                      <a:ext cx="7215505" cy="834390"/>
                    </a:xfrm>
                    <a:prstGeom prst="rect">
                      <a:avLst/>
                    </a:prstGeom>
                    <a:noFill/>
                  </pic:spPr>
                </pic:pic>
              </a:graphicData>
            </a:graphic>
          </wp:anchor>
        </w:drawing>
      </w:r>
    </w:p>
    <w:tbl>
      <w:tblPr>
        <w:tblLayout w:type="fixed"/>
        <w:tblInd w:w="2460" w:type="dxa"/>
        <w:tblCellMar>
          <w:top w:w="0" w:type="dxa"/>
          <w:left w:w="0" w:type="dxa"/>
          <w:bottom w:w="0" w:type="dxa"/>
          <w:right w:w="0" w:type="dxa"/>
        </w:tblCellMar>
      </w:tblPr>
      <w:tr>
        <w:trPr>
          <w:trHeight w:val="184"/>
        </w:trPr>
        <w:tc>
          <w:tcPr>
            <w:tcW w:w="2400" w:type="dxa"/>
            <w:vAlign w:val="bottom"/>
          </w:tcPr>
          <w:p>
            <w:pPr>
              <w:jc w:val="right"/>
              <w:ind w:right="338"/>
              <w:spacing w:after="0"/>
              <w:rPr>
                <w:sz w:val="20"/>
                <w:szCs w:val="20"/>
                <w:color w:val="auto"/>
              </w:rPr>
            </w:pPr>
            <w:r>
              <w:rPr>
                <w:rFonts w:ascii="Arial" w:cs="Arial" w:eastAsia="Arial" w:hAnsi="Arial"/>
                <w:sz w:val="16"/>
                <w:szCs w:val="16"/>
                <w:color w:val="auto"/>
              </w:rPr>
              <w:t>Total Offering Amounts:</w:t>
            </w:r>
          </w:p>
        </w:tc>
        <w:tc>
          <w:tcPr>
            <w:tcW w:w="1980" w:type="dxa"/>
            <w:vAlign w:val="bottom"/>
          </w:tcPr>
          <w:p>
            <w:pPr>
              <w:jc w:val="right"/>
              <w:ind w:right="338"/>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$ 26,547.07</w:t>
            </w:r>
          </w:p>
        </w:tc>
      </w:tr>
      <w:tr>
        <w:trPr>
          <w:trHeight w:val="216"/>
        </w:trPr>
        <w:tc>
          <w:tcPr>
            <w:tcW w:w="2400" w:type="dxa"/>
            <w:vAlign w:val="bottom"/>
          </w:tcPr>
          <w:p>
            <w:pPr>
              <w:spacing w:after="0"/>
              <w:rPr>
                <w:sz w:val="18"/>
                <w:szCs w:val="18"/>
                <w:color w:val="auto"/>
              </w:rPr>
            </w:pPr>
          </w:p>
        </w:tc>
        <w:tc>
          <w:tcPr>
            <w:tcW w:w="1980" w:type="dxa"/>
            <w:vAlign w:val="bottom"/>
          </w:tcPr>
          <w:p>
            <w:pPr>
              <w:jc w:val="right"/>
              <w:ind w:right="338"/>
              <w:spacing w:after="0"/>
              <w:rPr>
                <w:sz w:val="20"/>
                <w:szCs w:val="20"/>
                <w:color w:val="auto"/>
              </w:rPr>
            </w:pPr>
            <w:r>
              <w:rPr>
                <w:rFonts w:ascii="Arial" w:cs="Arial" w:eastAsia="Arial" w:hAnsi="Arial"/>
                <w:sz w:val="16"/>
                <w:szCs w:val="16"/>
                <w:color w:val="auto"/>
              </w:rPr>
              <w:t>650,000,000.00</w:t>
            </w:r>
          </w:p>
        </w:tc>
        <w:tc>
          <w:tcPr>
            <w:tcW w:w="1300" w:type="dxa"/>
            <w:vAlign w:val="bottom"/>
          </w:tcPr>
          <w:p>
            <w:pPr>
              <w:spacing w:after="0"/>
              <w:rPr>
                <w:sz w:val="18"/>
                <w:szCs w:val="18"/>
                <w:color w:val="auto"/>
              </w:rPr>
            </w:pPr>
          </w:p>
        </w:tc>
      </w:tr>
      <w:tr>
        <w:trPr>
          <w:trHeight w:val="225"/>
        </w:trPr>
        <w:tc>
          <w:tcPr>
            <w:tcW w:w="2400" w:type="dxa"/>
            <w:vAlign w:val="bottom"/>
          </w:tcPr>
          <w:p>
            <w:pPr>
              <w:jc w:val="right"/>
              <w:ind w:right="338"/>
              <w:spacing w:after="0"/>
              <w:rPr>
                <w:sz w:val="20"/>
                <w:szCs w:val="20"/>
                <w:color w:val="auto"/>
              </w:rPr>
            </w:pPr>
            <w:r>
              <w:rPr>
                <w:rFonts w:ascii="Arial" w:cs="Arial" w:eastAsia="Arial" w:hAnsi="Arial"/>
                <w:sz w:val="16"/>
                <w:szCs w:val="16"/>
                <w:color w:val="auto"/>
              </w:rPr>
              <w:t>Total Fees Previously Paid:</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$ 0.00</w:t>
            </w:r>
          </w:p>
        </w:tc>
      </w:tr>
      <w:tr>
        <w:trPr>
          <w:trHeight w:val="225"/>
        </w:trPr>
        <w:tc>
          <w:tcPr>
            <w:tcW w:w="2400" w:type="dxa"/>
            <w:vAlign w:val="bottom"/>
          </w:tcPr>
          <w:p>
            <w:pPr>
              <w:jc w:val="right"/>
              <w:ind w:right="338"/>
              <w:spacing w:after="0"/>
              <w:rPr>
                <w:sz w:val="20"/>
                <w:szCs w:val="20"/>
                <w:color w:val="auto"/>
              </w:rPr>
            </w:pPr>
            <w:r>
              <w:rPr>
                <w:rFonts w:ascii="Arial" w:cs="Arial" w:eastAsia="Arial" w:hAnsi="Arial"/>
                <w:sz w:val="16"/>
                <w:szCs w:val="16"/>
                <w:color w:val="auto"/>
              </w:rPr>
              <w:t>Total Fee Offsets:</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$ 0.00</w:t>
            </w:r>
          </w:p>
        </w:tc>
      </w:tr>
      <w:tr>
        <w:trPr>
          <w:trHeight w:val="225"/>
        </w:trPr>
        <w:tc>
          <w:tcPr>
            <w:tcW w:w="2400" w:type="dxa"/>
            <w:vAlign w:val="bottom"/>
          </w:tcPr>
          <w:p>
            <w:pPr>
              <w:jc w:val="right"/>
              <w:ind w:right="338"/>
              <w:spacing w:after="0"/>
              <w:rPr>
                <w:sz w:val="20"/>
                <w:szCs w:val="20"/>
                <w:color w:val="auto"/>
              </w:rPr>
            </w:pPr>
            <w:r>
              <w:rPr>
                <w:rFonts w:ascii="Arial" w:cs="Arial" w:eastAsia="Arial" w:hAnsi="Arial"/>
                <w:sz w:val="16"/>
                <w:szCs w:val="16"/>
                <w:color w:val="auto"/>
              </w:rPr>
              <w:t>Net Fee Due:</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$ 26,547.07</w:t>
            </w:r>
          </w:p>
        </w:tc>
      </w:tr>
    </w:tbl>
    <w:p>
      <w:pPr>
        <w:spacing w:after="0" w:line="2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13" w:lineRule="exact"/>
        <w:rPr>
          <w:sz w:val="20"/>
          <w:szCs w:val="20"/>
          <w:color w:val="auto"/>
        </w:rPr>
      </w:pPr>
    </w:p>
    <w:p>
      <w:pPr>
        <w:ind w:left="200" w:right="60" w:hanging="167"/>
        <w:spacing w:after="0" w:line="237" w:lineRule="auto"/>
        <w:tabs>
          <w:tab w:leader="none" w:pos="200" w:val="left"/>
        </w:tabs>
        <w:numPr>
          <w:ilvl w:val="0"/>
          <w:numId w:val="152"/>
        </w:numPr>
        <w:rPr>
          <w:rFonts w:ascii="Arial" w:cs="Arial" w:eastAsia="Arial" w:hAnsi="Arial"/>
          <w:sz w:val="20"/>
          <w:szCs w:val="20"/>
          <w:color w:val="auto"/>
          <w:vertAlign w:val="superscript"/>
        </w:rPr>
      </w:pPr>
      <w:r>
        <w:rPr>
          <w:rFonts w:ascii="Arial" w:cs="Arial" w:eastAsia="Arial" w:hAnsi="Arial"/>
          <w:sz w:val="16"/>
          <w:szCs w:val="16"/>
          <w:color w:val="auto"/>
        </w:rPr>
        <w:t>The amount to be registered consists of up to $650,000,000 of an indeterminate amount of shares of Class A common stock, shares of preferred stock, debt securities, warrants, rights and/or units. There is also being registered hereunder such currently indeterminate number of (i) shares of Class A common stock or other securities of the registrant as may be issued upon conversion of, or in exchange for, convertible or exchangeable shares of preferred stock and/or debt securities registered hereby, or (ii) shares of Class A common stock, shares of preferred stock, debt securities or units as may be issued upon exercise of warrants or rights registered hereby, as the case may be. Any securities registered hereunder may be sold separately or as units with the other securities registered hereunder. Pursuant to Rule 416 under the Securities Act of 1933, as amended (the "Securities Act"), the securities being registered hereunder include such indeterminate number of additional securities as may be issuable to prevent dilution resulting from stock splits, stock dividends or similar transactions. The proposed maximum offering price per unit will be determined from time to time by the registrant in connection with the issuance by the registrant of the securities registered hereunder and is not specified as to each class of security pursuant to General Instruction II.D. of Form S-3 under the Securities Act. The maximum aggregate offering price is estimated solely for purposes of computing the registration fee pursuant to Rule 457(o) under the Securities Act. In no event will the aggregate offering price of all securities sold by the registrant from time to time pursuant to this registration statement (this "Registration Statement") exceed $650,000,000. No separate consideration will be received for</w:t>
      </w:r>
    </w:p>
    <w:p>
      <w:pPr>
        <w:ind w:left="200" w:right="100"/>
        <w:spacing w:after="0" w:line="250" w:lineRule="auto"/>
        <w:rPr>
          <w:rFonts w:ascii="Arial" w:cs="Arial" w:eastAsia="Arial" w:hAnsi="Arial"/>
          <w:sz w:val="20"/>
          <w:szCs w:val="20"/>
          <w:color w:val="auto"/>
          <w:vertAlign w:val="superscript"/>
        </w:rPr>
      </w:pPr>
      <w:r>
        <w:rPr>
          <w:rFonts w:ascii="Arial" w:cs="Arial" w:eastAsia="Arial" w:hAnsi="Arial"/>
          <w:sz w:val="16"/>
          <w:szCs w:val="16"/>
          <w:color w:val="auto"/>
        </w:rPr>
        <w:t>(i) shares of Class A common stock or other securities of the registrant that may be issued upon conversion of, or in exchange for, convertible or exchangeable shares of preferred stock and/or debt securities registered hereby, or (ii) shares of Class A common stock, shares of preferred stock, debt securities or units that may be issued upon exercise of warrants or rights registered hereby,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715200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9">
                      <a:extLst>
                        <a:ext uri="{28A0092B-C50C-407E-A947-70E740481C1C}"/>
                      </a:extLst>
                    </a:blip>
                    <a:srcRect/>
                    <a:stretch>
                      <a:fillRect/>
                    </a:stretch>
                  </pic:blipFill>
                  <pic:spPr bwMode="auto">
                    <a:xfrm>
                      <a:off x="0" y="0"/>
                      <a:ext cx="7152005" cy="38100"/>
                    </a:xfrm>
                    <a:prstGeom prst="rect">
                      <a:avLst/>
                    </a:prstGeom>
                    <a:noFill/>
                  </pic:spPr>
                </pic:pic>
              </a:graphicData>
            </a:graphic>
          </wp:anchor>
        </w:drawing>
      </w:r>
    </w:p>
    <w:p>
      <w:pPr>
        <w:spacing w:after="0" w:line="207" w:lineRule="exact"/>
        <w:rPr>
          <w:sz w:val="20"/>
          <w:szCs w:val="20"/>
          <w:color w:val="auto"/>
        </w:rPr>
      </w:pPr>
    </w:p>
    <w:p>
      <w:pPr>
        <w:ind w:left="200" w:right="60" w:hanging="167"/>
        <w:spacing w:after="0" w:line="239" w:lineRule="auto"/>
        <w:tabs>
          <w:tab w:leader="none" w:pos="200" w:val="left"/>
        </w:tabs>
        <w:numPr>
          <w:ilvl w:val="0"/>
          <w:numId w:val="153"/>
        </w:numPr>
        <w:rPr>
          <w:rFonts w:ascii="Arial" w:cs="Arial" w:eastAsia="Arial" w:hAnsi="Arial"/>
          <w:sz w:val="20"/>
          <w:szCs w:val="20"/>
          <w:color w:val="auto"/>
          <w:vertAlign w:val="superscript"/>
        </w:rPr>
      </w:pPr>
      <w:r>
        <w:rPr>
          <w:rFonts w:ascii="Arial" w:cs="Arial" w:eastAsia="Arial" w:hAnsi="Arial"/>
          <w:sz w:val="16"/>
          <w:szCs w:val="16"/>
          <w:color w:val="auto"/>
        </w:rPr>
        <w:t>The registrant previously registered the offer and sale of securities having a maximum aggregate offering price of $500,000,000 pursuant to a registration statement on Form S-3 (File No. 333-275701) initially filed with the Securities and Exchange Commission on November 22, 2023 and declared effective on November 30, 2023 (as amended, the "Expiring Registration Statement") and, in connection therewith, paid a filing fee of $73,800. Of such securities, an aggregate of $344,861,267 remains unsold as of the date of filing of this Registration Statement (the "Unsold Securities"). Pursuant to Rule 415(a)(6) under the Securities Act, the securities registered pursuant to this Registration Statement include the Unsold Securities, and the filing fee of $50,901.52 associated therewith (which amount is based on the filing fee rate in effect at the time of the filing of the Expiring Registration Statement) is hereby carried forward to be applied to the Unsold Securities and no additional filing fee is due with respect to such Unsold Securities in connection with the filing of this Registration Statement. In accordance with Rule 415(a)(5) and Rule 415(a)(6), the registrant may continue to offer and sell the securities covered by the Expiring Registration Statement during the grace period afforded by Rule 415(a)(5). To the extent that, after the filing date hereof and prior to effectiveness of this Registration Statement, the registrant sells any Unsold Securities under the Expiring Registration Statement pursuant to Rule 415(a)(5), the registrant will identify in a pre-effective amendment to this Registration Statement the updated amount of Unsold Securities from the Expiring Registration Statement to be included in this Registration Statement pursuant to Rule 415(a)(6) and the updated amount of securities to be registered on this Registration Statement, if any. Pursuant to Rule 415(a)(6) under the Securities Act, the offering of the Unsold Securities under the Expiring Registration Statement shall be deemed terminated upon the earlier of (i) the effective date of this Registration Statement or (ii) 180 days after the third anniversary of the initial effective date of the Expiring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5200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0">
                      <a:extLst>
                        <a:ext uri="{28A0092B-C50C-407E-A947-70E740481C1C}"/>
                      </a:extLst>
                    </a:blip>
                    <a:srcRect/>
                    <a:stretch>
                      <a:fillRect/>
                    </a:stretch>
                  </pic:blipFill>
                  <pic:spPr bwMode="auto">
                    <a:xfrm>
                      <a:off x="0" y="0"/>
                      <a:ext cx="7152005" cy="3810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40" w:type="dxa"/>
            <w:vAlign w:val="bottom"/>
            <w:tcBorders>
              <w:bottom w:val="single" w:sz="8" w:color="auto"/>
            </w:tcBorders>
          </w:tcPr>
          <w:p>
            <w:pPr>
              <w:spacing w:after="0"/>
              <w:rPr>
                <w:sz w:val="23"/>
                <w:szCs w:val="23"/>
                <w:color w:val="auto"/>
              </w:rPr>
            </w:pPr>
          </w:p>
        </w:tc>
        <w:tc>
          <w:tcPr>
            <w:tcW w:w="338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00" w:type="dxa"/>
            <w:vAlign w:val="bottom"/>
            <w:tcBorders>
              <w:right w:val="single" w:sz="8" w:color="9ADAF6"/>
            </w:tcBorders>
            <w:gridSpan w:val="3"/>
            <w:shd w:val="clear" w:color="auto" w:fill="9ADAF6"/>
          </w:tcPr>
          <w:p>
            <w:pPr>
              <w:jc w:val="center"/>
              <w:ind w:right="2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900" w:type="dxa"/>
            <w:vAlign w:val="bottom"/>
            <w:tcBorders>
              <w:right w:val="single" w:sz="8" w:color="9ADAF6"/>
            </w:tcBorders>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4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40" w:type="dxa"/>
            <w:vAlign w:val="bottom"/>
          </w:tcPr>
          <w:p>
            <w:pPr>
              <w:spacing w:after="0"/>
              <w:rPr>
                <w:sz w:val="8"/>
                <w:szCs w:val="8"/>
                <w:color w:val="auto"/>
              </w:rPr>
            </w:pPr>
          </w:p>
        </w:tc>
        <w:tc>
          <w:tcPr>
            <w:tcW w:w="6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0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40" w:type="dxa"/>
            <w:vAlign w:val="bottom"/>
            <w:tcBorders>
              <w:right w:val="single" w:sz="8" w:color="9ADAF6"/>
            </w:tcBorders>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3"/>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right w:val="single" w:sz="8" w:color="9ADAF6"/>
            </w:tcBorders>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jc w:val="center"/>
              <w:ind w:right="178"/>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4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40" w:type="dxa"/>
            <w:vAlign w:val="bottom"/>
          </w:tcPr>
          <w:p>
            <w:pPr>
              <w:spacing w:after="0"/>
              <w:rPr>
                <w:sz w:val="16"/>
                <w:szCs w:val="16"/>
                <w:color w:val="auto"/>
              </w:rPr>
            </w:pPr>
          </w:p>
        </w:tc>
        <w:tc>
          <w:tcPr>
            <w:tcW w:w="6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6"/>
                <w:szCs w:val="16"/>
                <w:color w:val="auto"/>
              </w:rPr>
            </w:pPr>
          </w:p>
        </w:tc>
        <w:tc>
          <w:tcPr>
            <w:tcW w:w="900" w:type="dxa"/>
            <w:vAlign w:val="bottom"/>
            <w:tcBorders>
              <w:right w:val="single" w:sz="8" w:color="9ADAF6"/>
            </w:tcBorders>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40" w:type="dxa"/>
            <w:vAlign w:val="bottom"/>
            <w:tcBorders>
              <w:right w:val="single" w:sz="8" w:color="9ADAF6"/>
            </w:tcBorders>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tcBorders>
              <w:right w:val="single" w:sz="8" w:color="9ADAF6"/>
            </w:tcBorders>
            <w:gridSpan w:val="3"/>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80" w:type="dxa"/>
            <w:vAlign w:val="bottom"/>
            <w:gridSpan w:val="3"/>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00" w:type="dxa"/>
            <w:vAlign w:val="bottom"/>
            <w:tcBorders>
              <w:right w:val="single" w:sz="8" w:color="9ADAF6"/>
            </w:tcBorders>
            <w:gridSpan w:val="3"/>
            <w:shd w:val="clear" w:color="auto" w:fill="9ADAF6"/>
          </w:tcPr>
          <w:p>
            <w:pPr>
              <w:jc w:val="center"/>
              <w:ind w:right="20"/>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40" w:type="dxa"/>
            <w:vAlign w:val="bottom"/>
            <w:tcBorders>
              <w:right w:val="single" w:sz="8" w:color="9ADAF6"/>
            </w:tcBorders>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40" w:type="dxa"/>
            <w:vAlign w:val="bottom"/>
            <w:tcBorders>
              <w:right w:val="single" w:sz="8" w:color="9ADAF6"/>
            </w:tcBorders>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0"/>
          </w:tcPr>
          <w:p>
            <w:pPr>
              <w:ind w:left="520"/>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4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4"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4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4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3"/>
          </w:tcPr>
          <w:p>
            <w:pPr>
              <w:ind w:left="300"/>
              <w:spacing w:after="0"/>
              <w:rPr>
                <w:sz w:val="20"/>
                <w:szCs w:val="20"/>
                <w:color w:val="auto"/>
              </w:rPr>
            </w:pPr>
            <w:r>
              <w:rPr>
                <w:rFonts w:ascii="Arial" w:cs="Arial" w:eastAsia="Arial" w:hAnsi="Arial"/>
                <w:sz w:val="16"/>
                <w:szCs w:val="16"/>
                <w:b w:val="1"/>
                <w:bCs w:val="1"/>
                <w:color w:val="auto"/>
              </w:rPr>
              <w:t>Rule 457(p)</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4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4"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4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4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4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3"/>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4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140" w:type="dxa"/>
            <w:vAlign w:val="bottom"/>
            <w:tcBorders>
              <w:righ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40" w:type="dxa"/>
            <w:vAlign w:val="bottom"/>
            <w:vMerge w:val="restart"/>
            <w:shd w:val="clear" w:color="auto" w:fill="9ADAF6"/>
          </w:tcPr>
          <w:p>
            <w:pPr>
              <w:jc w:val="center"/>
              <w:ind w:right="141"/>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restart"/>
            <w:shd w:val="clear" w:color="auto" w:fill="9ADAF6"/>
          </w:tcPr>
          <w:p>
            <w:pPr>
              <w:ind w:left="400"/>
              <w:spacing w:after="0"/>
              <w:rPr>
                <w:sz w:val="20"/>
                <w:szCs w:val="20"/>
                <w:color w:val="auto"/>
              </w:rPr>
            </w:pPr>
            <w:r>
              <w:rPr>
                <w:rFonts w:ascii="Arial" w:cs="Arial" w:eastAsia="Arial" w:hAnsi="Arial"/>
                <w:sz w:val="16"/>
                <w:szCs w:val="16"/>
                <w:b w:val="1"/>
                <w:bCs w:val="1"/>
                <w:color w:val="auto"/>
              </w:rPr>
              <w:t>Securities</w:t>
            </w:r>
          </w:p>
        </w:tc>
        <w:tc>
          <w:tcPr>
            <w:tcW w:w="4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60" w:type="dxa"/>
            <w:vAlign w:val="bottom"/>
            <w:gridSpan w:val="3"/>
            <w:vMerge w:val="restart"/>
            <w:shd w:val="clear" w:color="auto" w:fill="9ADAF6"/>
          </w:tcPr>
          <w:p>
            <w:pPr>
              <w:jc w:val="center"/>
              <w:ind w:right="262"/>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8"/>
                <w:szCs w:val="8"/>
                <w:color w:val="auto"/>
              </w:rPr>
            </w:pPr>
          </w:p>
        </w:tc>
        <w:tc>
          <w:tcPr>
            <w:tcW w:w="140" w:type="dxa"/>
            <w:vAlign w:val="bottom"/>
            <w:tcBorders>
              <w:right w:val="single" w:sz="8" w:color="9ADAF6"/>
            </w:tcBorders>
            <w:shd w:val="clear" w:color="auto" w:fill="9ADAF6"/>
          </w:tcPr>
          <w:p>
            <w:pPr>
              <w:spacing w:after="0"/>
              <w:rPr>
                <w:sz w:val="8"/>
                <w:szCs w:val="8"/>
                <w:color w:val="auto"/>
              </w:rPr>
            </w:pPr>
          </w:p>
        </w:tc>
        <w:tc>
          <w:tcPr>
            <w:tcW w:w="520" w:type="dxa"/>
            <w:vAlign w:val="bottom"/>
            <w:gridSpan w:val="2"/>
            <w:vMerge w:val="restart"/>
            <w:shd w:val="clear" w:color="auto" w:fill="9ADAF6"/>
          </w:tcPr>
          <w:p>
            <w:pPr>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restart"/>
            <w:shd w:val="clear" w:color="auto" w:fill="9ADAF6"/>
          </w:tcPr>
          <w:p>
            <w:pPr>
              <w:ind w:left="240"/>
              <w:spacing w:after="0"/>
              <w:rPr>
                <w:sz w:val="20"/>
                <w:szCs w:val="20"/>
                <w:color w:val="auto"/>
              </w:rPr>
            </w:pPr>
            <w:r>
              <w:rPr>
                <w:rFonts w:ascii="Arial" w:cs="Arial" w:eastAsia="Arial" w:hAnsi="Arial"/>
                <w:sz w:val="16"/>
                <w:szCs w:val="16"/>
                <w:b w:val="1"/>
                <w:bCs w:val="1"/>
                <w:color w:val="auto"/>
              </w:rPr>
              <w:t>Security Type</w:t>
            </w: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60" w:type="dxa"/>
            <w:vAlign w:val="bottom"/>
            <w:gridSpan w:val="5"/>
            <w:vMerge w:val="restart"/>
            <w:shd w:val="clear" w:color="auto" w:fill="9ADAF6"/>
          </w:tcPr>
          <w:p>
            <w:pPr>
              <w:ind w:left="640"/>
              <w:spacing w:after="0"/>
              <w:rPr>
                <w:sz w:val="20"/>
                <w:szCs w:val="20"/>
                <w:color w:val="auto"/>
              </w:rPr>
            </w:pPr>
            <w:r>
              <w:rPr>
                <w:rFonts w:ascii="Arial" w:cs="Arial" w:eastAsia="Arial" w:hAnsi="Arial"/>
                <w:sz w:val="16"/>
                <w:szCs w:val="16"/>
                <w:b w:val="1"/>
                <w:bCs w:val="1"/>
                <w:color w:val="auto"/>
              </w:rPr>
              <w:t>Security Class Title</w:t>
            </w:r>
          </w:p>
        </w:tc>
        <w:tc>
          <w:tcPr>
            <w:tcW w:w="4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continue"/>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right w:val="single" w:sz="8" w:color="9ADAF6"/>
            </w:tcBorders>
            <w:shd w:val="clear" w:color="auto" w:fill="9ADAF6"/>
          </w:tcPr>
          <w:p>
            <w:pPr>
              <w:spacing w:after="0"/>
              <w:rPr>
                <w:sz w:val="8"/>
                <w:szCs w:val="8"/>
                <w:color w:val="auto"/>
              </w:rPr>
            </w:pPr>
          </w:p>
        </w:tc>
        <w:tc>
          <w:tcPr>
            <w:tcW w:w="52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3"/>
            <w:vMerge w:val="restart"/>
            <w:shd w:val="clear" w:color="auto" w:fill="9ADAF6"/>
          </w:tcPr>
          <w:p>
            <w:pPr>
              <w:ind w:left="10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8"/>
                <w:szCs w:val="8"/>
                <w:color w:val="auto"/>
              </w:rPr>
            </w:pPr>
          </w:p>
        </w:tc>
        <w:tc>
          <w:tcPr>
            <w:tcW w:w="8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continue"/>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60" w:type="dxa"/>
            <w:vAlign w:val="bottom"/>
            <w:gridSpan w:val="5"/>
            <w:vMerge w:val="continue"/>
            <w:shd w:val="clear" w:color="auto" w:fill="9ADAF6"/>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Previously</w:t>
            </w:r>
          </w:p>
        </w:tc>
        <w:tc>
          <w:tcPr>
            <w:tcW w:w="4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8"/>
                <w:szCs w:val="8"/>
                <w:color w:val="auto"/>
              </w:rPr>
            </w:pPr>
          </w:p>
        </w:tc>
        <w:tc>
          <w:tcPr>
            <w:tcW w:w="140" w:type="dxa"/>
            <w:vAlign w:val="bottom"/>
            <w:tcBorders>
              <w:right w:val="single" w:sz="8" w:color="9ADAF6"/>
            </w:tcBorders>
            <w:shd w:val="clear" w:color="auto" w:fill="9ADAF6"/>
          </w:tcPr>
          <w:p>
            <w:pPr>
              <w:spacing w:after="0"/>
              <w:rPr>
                <w:sz w:val="8"/>
                <w:szCs w:val="8"/>
                <w:color w:val="auto"/>
              </w:rPr>
            </w:pPr>
          </w:p>
        </w:tc>
        <w:tc>
          <w:tcPr>
            <w:tcW w:w="520" w:type="dxa"/>
            <w:vAlign w:val="bottom"/>
            <w:gridSpan w:val="2"/>
            <w:vMerge w:val="restart"/>
            <w:shd w:val="clear" w:color="auto" w:fill="9ADAF6"/>
          </w:tcPr>
          <w:p>
            <w:pPr>
              <w:ind w:left="2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8"/>
                <w:szCs w:val="8"/>
                <w:color w:val="auto"/>
              </w:rPr>
            </w:pPr>
          </w:p>
        </w:tc>
        <w:tc>
          <w:tcPr>
            <w:tcW w:w="11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gridSpan w:val="3"/>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continue"/>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right w:val="single" w:sz="8" w:color="9ADAF6"/>
            </w:tcBorders>
            <w:shd w:val="clear" w:color="auto" w:fill="9ADAF6"/>
          </w:tcPr>
          <w:p>
            <w:pPr>
              <w:spacing w:after="0"/>
              <w:rPr>
                <w:sz w:val="8"/>
                <w:szCs w:val="8"/>
                <w:color w:val="auto"/>
              </w:rPr>
            </w:pPr>
          </w:p>
        </w:tc>
        <w:tc>
          <w:tcPr>
            <w:tcW w:w="52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vMerge w:val="restart"/>
            <w:shd w:val="clear" w:color="auto" w:fill="9ADAF6"/>
          </w:tcPr>
          <w:p>
            <w:pPr>
              <w:jc w:val="center"/>
              <w:ind w:right="161"/>
              <w:spacing w:after="0"/>
              <w:rPr>
                <w:sz w:val="20"/>
                <w:szCs w:val="20"/>
                <w:color w:val="auto"/>
              </w:rPr>
            </w:pPr>
            <w:r>
              <w:rPr>
                <w:rFonts w:ascii="Arial" w:cs="Arial" w:eastAsia="Arial" w:hAnsi="Arial"/>
                <w:sz w:val="16"/>
                <w:szCs w:val="16"/>
                <w:b w:val="1"/>
                <w:bCs w:val="1"/>
                <w:color w:val="auto"/>
              </w:rPr>
              <w:t>Date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4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4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60" w:type="dxa"/>
            <w:vAlign w:val="bottom"/>
            <w:gridSpan w:val="3"/>
            <w:vMerge w:val="restart"/>
            <w:shd w:val="clear" w:color="auto" w:fill="9ADAF6"/>
          </w:tcPr>
          <w:p>
            <w:pPr>
              <w:jc w:val="center"/>
              <w:ind w:right="262"/>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140" w:type="dxa"/>
            <w:vAlign w:val="bottom"/>
            <w:tcBorders>
              <w:right w:val="single" w:sz="8" w:color="9ADAF6"/>
            </w:tcBorders>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4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3"/>
            <w:vMerge w:val="continue"/>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0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447B73"/>
    <w:multiLevelType w:val="hybridMultilevel"/>
    <w:lvl w:ilvl="0">
      <w:lvlJc w:val="left"/>
      <w:lvlText w:val="•"/>
      <w:numFmt w:val="bullet"/>
      <w:start w:val="1"/>
    </w:lvl>
  </w:abstractNum>
  <w:abstractNum w:abstractNumId="1">
    <w:nsid w:val="42963E5A"/>
    <w:multiLevelType w:val="hybridMultilevel"/>
    <w:lvl w:ilvl="0">
      <w:lvlJc w:val="left"/>
      <w:lvlText w:val="•"/>
      <w:numFmt w:val="bullet"/>
      <w:start w:val="1"/>
    </w:lvl>
  </w:abstractNum>
  <w:abstractNum w:abstractNumId="2">
    <w:nsid w:val="A0382C5"/>
    <w:multiLevelType w:val="hybridMultilevel"/>
    <w:lvl w:ilvl="0">
      <w:lvlJc w:val="left"/>
      <w:lvlText w:val="•"/>
      <w:numFmt w:val="bullet"/>
      <w:start w:val="1"/>
    </w:lvl>
  </w:abstractNum>
  <w:abstractNum w:abstractNumId="3">
    <w:nsid w:val="8F2B15E"/>
    <w:multiLevelType w:val="hybridMultilevel"/>
    <w:lvl w:ilvl="0">
      <w:lvlJc w:val="left"/>
      <w:lvlText w:val="•"/>
      <w:numFmt w:val="bullet"/>
      <w:start w:val="1"/>
    </w:lvl>
  </w:abstractNum>
  <w:abstractNum w:abstractNumId="4">
    <w:nsid w:val="1A32234B"/>
    <w:multiLevelType w:val="hybridMultilevel"/>
    <w:lvl w:ilvl="0">
      <w:lvlJc w:val="left"/>
      <w:lvlText w:val="•"/>
      <w:numFmt w:val="bullet"/>
      <w:start w:val="1"/>
    </w:lvl>
  </w:abstractNum>
  <w:abstractNum w:abstractNumId="5">
    <w:nsid w:val="3B0FD379"/>
    <w:multiLevelType w:val="hybridMultilevel"/>
    <w:lvl w:ilvl="0">
      <w:lvlJc w:val="left"/>
      <w:lvlText w:val="(%1)"/>
      <w:numFmt w:val="lowerRoman"/>
      <w:start w:val="2"/>
    </w:lvl>
  </w:abstractNum>
  <w:abstractNum w:abstractNumId="6">
    <w:nsid w:val="68EB2F63"/>
    <w:multiLevelType w:val="hybridMultilevel"/>
    <w:lvl w:ilvl="0">
      <w:lvlJc w:val="left"/>
      <w:lvlText w:val="•"/>
      <w:numFmt w:val="bullet"/>
      <w:start w:val="1"/>
    </w:lvl>
  </w:abstractNum>
  <w:abstractNum w:abstractNumId="7">
    <w:nsid w:val="4962813B"/>
    <w:multiLevelType w:val="hybridMultilevel"/>
    <w:lvl w:ilvl="0">
      <w:lvlJc w:val="left"/>
      <w:lvlText w:val="•"/>
      <w:numFmt w:val="bullet"/>
      <w:start w:val="1"/>
    </w:lvl>
  </w:abstractNum>
  <w:abstractNum w:abstractNumId="8">
    <w:nsid w:val="60B6DF70"/>
    <w:multiLevelType w:val="hybridMultilevel"/>
    <w:lvl w:ilvl="0">
      <w:lvlJc w:val="left"/>
      <w:lvlText w:val="•"/>
      <w:numFmt w:val="bullet"/>
      <w:start w:val="1"/>
    </w:lvl>
  </w:abstractNum>
  <w:abstractNum w:abstractNumId="9">
    <w:nsid w:val="6A5EE64"/>
    <w:multiLevelType w:val="hybridMultilevel"/>
    <w:lvl w:ilvl="0">
      <w:lvlJc w:val="left"/>
      <w:lvlText w:val="•"/>
      <w:numFmt w:val="bullet"/>
      <w:start w:val="1"/>
    </w:lvl>
  </w:abstractNum>
  <w:abstractNum w:abstractNumId="10">
    <w:nsid w:val="14330624"/>
    <w:multiLevelType w:val="hybridMultilevel"/>
    <w:lvl w:ilvl="0">
      <w:lvlJc w:val="left"/>
      <w:lvlText w:val="•"/>
      <w:numFmt w:val="bullet"/>
      <w:start w:val="1"/>
    </w:lvl>
  </w:abstractNum>
  <w:abstractNum w:abstractNumId="11">
    <w:nsid w:val="7FFFCA11"/>
    <w:multiLevelType w:val="hybridMultilevel"/>
    <w:lvl w:ilvl="0">
      <w:lvlJc w:val="left"/>
      <w:lvlText w:val="(%1)"/>
      <w:numFmt w:val="lowerRoman"/>
      <w:start w:val="3"/>
    </w:lvl>
  </w:abstractNum>
  <w:abstractNum w:abstractNumId="12">
    <w:nsid w:val="1A27709E"/>
    <w:multiLevelType w:val="hybridMultilevel"/>
    <w:lvl w:ilvl="0">
      <w:lvlJc w:val="left"/>
      <w:lvlText w:val="•"/>
      <w:numFmt w:val="bullet"/>
      <w:start w:val="1"/>
    </w:lvl>
  </w:abstractNum>
  <w:abstractNum w:abstractNumId="13">
    <w:nsid w:val="71EA1109"/>
    <w:multiLevelType w:val="hybridMultilevel"/>
    <w:lvl w:ilvl="0">
      <w:lvlJc w:val="left"/>
      <w:lvlText w:val="•"/>
      <w:numFmt w:val="bullet"/>
      <w:start w:val="1"/>
    </w:lvl>
  </w:abstractNum>
  <w:abstractNum w:abstractNumId="14">
    <w:nsid w:val="100F59DC"/>
    <w:multiLevelType w:val="hybridMultilevel"/>
    <w:lvl w:ilvl="0">
      <w:lvlJc w:val="left"/>
      <w:lvlText w:val="(%1)"/>
      <w:numFmt w:val="upperLetter"/>
      <w:start w:val="2"/>
    </w:lvl>
  </w:abstractNum>
  <w:abstractNum w:abstractNumId="15">
    <w:nsid w:val="7FB7E0AA"/>
    <w:multiLevelType w:val="hybridMultilevel"/>
    <w:lvl w:ilvl="0">
      <w:lvlJc w:val="left"/>
      <w:lvlText w:val="•"/>
      <w:numFmt w:val="bullet"/>
      <w:start w:val="1"/>
    </w:lvl>
  </w:abstractNum>
  <w:abstractNum w:abstractNumId="16">
    <w:nsid w:val="6EB5BD4"/>
    <w:multiLevelType w:val="hybridMultilevel"/>
    <w:lvl w:ilvl="0">
      <w:lvlJc w:val="left"/>
      <w:lvlText w:val="•"/>
      <w:numFmt w:val="bullet"/>
      <w:start w:val="1"/>
    </w:lvl>
  </w:abstractNum>
  <w:abstractNum w:abstractNumId="17">
    <w:nsid w:val="6F6DD9AC"/>
    <w:multiLevelType w:val="hybridMultilevel"/>
    <w:lvl w:ilvl="0">
      <w:lvlJc w:val="left"/>
      <w:lvlText w:val="•"/>
      <w:numFmt w:val="bullet"/>
      <w:start w:val="1"/>
    </w:lvl>
  </w:abstractNum>
  <w:abstractNum w:abstractNumId="18">
    <w:nsid w:val="94211F2"/>
    <w:multiLevelType w:val="hybridMultilevel"/>
    <w:lvl w:ilvl="0">
      <w:lvlJc w:val="left"/>
      <w:lvlText w:val="•"/>
      <w:numFmt w:val="bullet"/>
      <w:start w:val="1"/>
    </w:lvl>
  </w:abstractNum>
  <w:abstractNum w:abstractNumId="19">
    <w:nsid w:val="885E1B"/>
    <w:multiLevelType w:val="hybridMultilevel"/>
    <w:lvl w:ilvl="0">
      <w:lvlJc w:val="left"/>
      <w:lvlText w:val="•"/>
      <w:numFmt w:val="bullet"/>
      <w:start w:val="1"/>
    </w:lvl>
  </w:abstractNum>
  <w:abstractNum w:abstractNumId="20">
    <w:nsid w:val="76272110"/>
    <w:multiLevelType w:val="hybridMultilevel"/>
    <w:lvl w:ilvl="0">
      <w:lvlJc w:val="left"/>
      <w:lvlText w:val="•"/>
      <w:numFmt w:val="bullet"/>
      <w:start w:val="1"/>
    </w:lvl>
  </w:abstractNum>
  <w:abstractNum w:abstractNumId="21">
    <w:nsid w:val="4C04A8AF"/>
    <w:multiLevelType w:val="hybridMultilevel"/>
    <w:lvl w:ilvl="0">
      <w:lvlJc w:val="left"/>
      <w:lvlText w:val="•"/>
      <w:numFmt w:val="bullet"/>
      <w:start w:val="1"/>
    </w:lvl>
  </w:abstractNum>
  <w:abstractNum w:abstractNumId="22">
    <w:nsid w:val="1716703B"/>
    <w:multiLevelType w:val="hybridMultilevel"/>
    <w:lvl w:ilvl="0">
      <w:lvlJc w:val="left"/>
      <w:lvlText w:val="•"/>
      <w:numFmt w:val="bullet"/>
      <w:start w:val="1"/>
    </w:lvl>
  </w:abstractNum>
  <w:abstractNum w:abstractNumId="23">
    <w:nsid w:val="14E17E33"/>
    <w:multiLevelType w:val="hybridMultilevel"/>
    <w:lvl w:ilvl="0">
      <w:lvlJc w:val="left"/>
      <w:lvlText w:val="•"/>
      <w:numFmt w:val="bullet"/>
      <w:start w:val="1"/>
    </w:lvl>
  </w:abstractNum>
  <w:abstractNum w:abstractNumId="24">
    <w:nsid w:val="3222E7CD"/>
    <w:multiLevelType w:val="hybridMultilevel"/>
    <w:lvl w:ilvl="0">
      <w:lvlJc w:val="left"/>
      <w:lvlText w:val="•"/>
      <w:numFmt w:val="bullet"/>
      <w:start w:val="1"/>
    </w:lvl>
  </w:abstractNum>
  <w:abstractNum w:abstractNumId="25">
    <w:nsid w:val="74DE0EE3"/>
    <w:multiLevelType w:val="hybridMultilevel"/>
    <w:lvl w:ilvl="0">
      <w:lvlJc w:val="left"/>
      <w:lvlText w:val="•"/>
      <w:numFmt w:val="bullet"/>
      <w:start w:val="1"/>
    </w:lvl>
  </w:abstractNum>
  <w:abstractNum w:abstractNumId="26">
    <w:nsid w:val="68EBC550"/>
    <w:multiLevelType w:val="hybridMultilevel"/>
    <w:lvl w:ilvl="0">
      <w:lvlJc w:val="left"/>
      <w:lvlText w:val="•"/>
      <w:numFmt w:val="bullet"/>
      <w:start w:val="1"/>
    </w:lvl>
  </w:abstractNum>
  <w:abstractNum w:abstractNumId="27">
    <w:nsid w:val="2DF6D648"/>
    <w:multiLevelType w:val="hybridMultilevel"/>
    <w:lvl w:ilvl="0">
      <w:lvlJc w:val="left"/>
      <w:lvlText w:val="•"/>
      <w:numFmt w:val="bullet"/>
      <w:start w:val="1"/>
    </w:lvl>
  </w:abstractNum>
  <w:abstractNum w:abstractNumId="28">
    <w:nsid w:val="46B7D447"/>
    <w:multiLevelType w:val="hybridMultilevel"/>
    <w:lvl w:ilvl="0">
      <w:lvlJc w:val="left"/>
      <w:lvlText w:val="•"/>
      <w:numFmt w:val="bullet"/>
      <w:start w:val="1"/>
    </w:lvl>
  </w:abstractNum>
  <w:abstractNum w:abstractNumId="29">
    <w:nsid w:val="4A2AC315"/>
    <w:multiLevelType w:val="hybridMultilevel"/>
    <w:lvl w:ilvl="0">
      <w:lvlJc w:val="left"/>
      <w:lvlText w:val="•"/>
      <w:numFmt w:val="bullet"/>
      <w:start w:val="1"/>
    </w:lvl>
  </w:abstractNum>
  <w:abstractNum w:abstractNumId="30">
    <w:nsid w:val="39EE015C"/>
    <w:multiLevelType w:val="hybridMultilevel"/>
    <w:lvl w:ilvl="0">
      <w:lvlJc w:val="left"/>
      <w:lvlText w:val="•"/>
      <w:numFmt w:val="bullet"/>
      <w:start w:val="1"/>
    </w:lvl>
  </w:abstractNum>
  <w:abstractNum w:abstractNumId="31">
    <w:nsid w:val="57FC4FBB"/>
    <w:multiLevelType w:val="hybridMultilevel"/>
    <w:lvl w:ilvl="0">
      <w:lvlJc w:val="left"/>
      <w:lvlText w:val="•"/>
      <w:numFmt w:val="bullet"/>
      <w:start w:val="1"/>
    </w:lvl>
  </w:abstractNum>
  <w:abstractNum w:abstractNumId="32">
    <w:nsid w:val="CC1016F"/>
    <w:multiLevelType w:val="hybridMultilevel"/>
    <w:lvl w:ilvl="0">
      <w:lvlJc w:val="left"/>
      <w:lvlText w:val="•"/>
      <w:numFmt w:val="bullet"/>
      <w:start w:val="1"/>
    </w:lvl>
  </w:abstractNum>
  <w:abstractNum w:abstractNumId="33">
    <w:nsid w:val="43F18422"/>
    <w:multiLevelType w:val="hybridMultilevel"/>
    <w:lvl w:ilvl="0">
      <w:lvlJc w:val="left"/>
      <w:lvlText w:val="•"/>
      <w:numFmt w:val="bullet"/>
      <w:start w:val="1"/>
    </w:lvl>
  </w:abstractNum>
  <w:abstractNum w:abstractNumId="34">
    <w:nsid w:val="60EF0119"/>
    <w:multiLevelType w:val="hybridMultilevel"/>
    <w:lvl w:ilvl="0">
      <w:lvlJc w:val="left"/>
      <w:lvlText w:val="(%1)"/>
      <w:numFmt w:val="lowerRoman"/>
      <w:start w:val="1"/>
    </w:lvl>
  </w:abstractNum>
  <w:abstractNum w:abstractNumId="35">
    <w:nsid w:val="26F324BA"/>
    <w:multiLevelType w:val="hybridMultilevel"/>
    <w:lvl w:ilvl="0">
      <w:lvlJc w:val="left"/>
      <w:lvlText w:val="%1"/>
      <w:numFmt w:val="decimal"/>
      <w:start w:val="1"/>
    </w:lvl>
    <w:lvl w:ilvl="1">
      <w:lvlJc w:val="left"/>
      <w:lvlText w:val="(%2)"/>
      <w:numFmt w:val="lowerRoman"/>
      <w:start w:val="2"/>
    </w:lvl>
  </w:abstractNum>
  <w:abstractNum w:abstractNumId="36">
    <w:nsid w:val="7F01579B"/>
    <w:multiLevelType w:val="hybridMultilevel"/>
    <w:lvl w:ilvl="0">
      <w:lvlJc w:val="left"/>
      <w:lvlText w:val="(%1)"/>
      <w:numFmt w:val="decimal"/>
      <w:start w:val="2"/>
    </w:lvl>
    <w:lvl w:ilvl="1">
      <w:lvlJc w:val="left"/>
      <w:lvlText w:val="(%2)"/>
      <w:numFmt w:val="lowerRoman"/>
      <w:start w:val="1"/>
    </w:lvl>
  </w:abstractNum>
  <w:abstractNum w:abstractNumId="37">
    <w:nsid w:val="49DA307D"/>
    <w:multiLevelType w:val="hybridMultilevel"/>
    <w:lvl w:ilvl="0">
      <w:lvlJc w:val="left"/>
      <w:lvlText w:val="(%1)"/>
      <w:numFmt w:val="decimal"/>
      <w:start w:val="5"/>
    </w:lvl>
    <w:lvl w:ilvl="1">
      <w:lvlJc w:val="left"/>
      <w:lvlText w:val="(%2)"/>
      <w:numFmt w:val="lowerRoman"/>
      <w:start w:val="1"/>
    </w:lvl>
  </w:abstractNum>
  <w:abstractNum w:abstractNumId="38">
    <w:nsid w:val="7055A5F5"/>
    <w:multiLevelType w:val="hybridMultilevel"/>
    <w:lvl w:ilvl="0">
      <w:lvlJc w:val="left"/>
      <w:lvlText w:val=" "/>
      <w:numFmt w:val="bullet"/>
      <w:start w:val="1"/>
    </w:lvl>
  </w:abstractNum>
  <w:abstractNum w:abstractNumId="39">
    <w:nsid w:val="5FB8370B"/>
    <w:multiLevelType w:val="hybridMultilevel"/>
    <w:lvl w:ilvl="0">
      <w:lvlJc w:val="left"/>
      <w:lvlText w:val="*"/>
      <w:numFmt w:val="bullet"/>
      <w:start w:val="1"/>
    </w:lvl>
  </w:abstractNum>
  <w:abstractNum w:abstractNumId="40">
    <w:nsid w:val="50801EE1"/>
    <w:multiLevelType w:val="hybridMultilevel"/>
    <w:lvl w:ilvl="0">
      <w:lvlJc w:val="left"/>
      <w:lvlText w:val="**"/>
      <w:numFmt w:val="bullet"/>
      <w:start w:val="1"/>
    </w:lvl>
  </w:abstractNum>
  <w:abstractNum w:abstractNumId="41">
    <w:nsid w:val="488AC1A"/>
    <w:multiLevelType w:val="hybridMultilevel"/>
    <w:lvl w:ilvl="0">
      <w:lvlJc w:val="left"/>
      <w:lvlText w:val="***"/>
      <w:numFmt w:val="bullet"/>
      <w:start w:val="1"/>
    </w:lvl>
  </w:abstractNum>
  <w:abstractNum w:abstractNumId="42">
    <w:nsid w:val="5FB8011C"/>
    <w:multiLevelType w:val="hybridMultilevel"/>
    <w:lvl w:ilvl="0">
      <w:lvlJc w:val="left"/>
      <w:lvlText w:val="†"/>
      <w:numFmt w:val="bullet"/>
      <w:start w:val="1"/>
    </w:lvl>
  </w:abstractNum>
  <w:abstractNum w:abstractNumId="43">
    <w:nsid w:val="6AA78F7F"/>
    <w:multiLevelType w:val="hybridMultilevel"/>
    <w:lvl w:ilvl="0">
      <w:lvlJc w:val="left"/>
      <w:lvlText w:val="(%1)"/>
      <w:numFmt w:val="decimal"/>
      <w:start w:val="3"/>
    </w:lvl>
  </w:abstractNum>
  <w:abstractNum w:abstractNumId="44">
    <w:nsid w:val="7672BD23"/>
    <w:multiLevelType w:val="hybridMultilevel"/>
    <w:lvl w:ilvl="0">
      <w:lvlJc w:val="left"/>
      <w:lvlText w:val="(%1)"/>
      <w:numFmt w:val="lowerRoman"/>
      <w:start w:val="3"/>
    </w:lvl>
  </w:abstractNum>
  <w:abstractNum w:abstractNumId="45">
    <w:nsid w:val="6FC75AF8"/>
    <w:multiLevelType w:val="hybridMultilevel"/>
    <w:lvl w:ilvl="0">
      <w:lvlJc w:val="left"/>
      <w:lvlText w:val="(%1)"/>
      <w:numFmt w:val="lowerRoman"/>
      <w:start w:val="2"/>
    </w:lvl>
  </w:abstractNum>
  <w:abstractNum w:abstractNumId="46">
    <w:nsid w:val="6A5F7029"/>
    <w:multiLevelType w:val="hybridMultilevel"/>
    <w:lvl w:ilvl="0">
      <w:lvlJc w:val="left"/>
      <w:lvlText w:val="(%1)"/>
      <w:numFmt w:val="lowerRoman"/>
      <w:start w:val="7"/>
    </w:lvl>
  </w:abstractNum>
  <w:abstractNum w:abstractNumId="47">
    <w:nsid w:val="7D5E18F8"/>
    <w:multiLevelType w:val="hybridMultilevel"/>
    <w:lvl w:ilvl="0">
      <w:lvlJc w:val="left"/>
      <w:lvlText w:val="(%1)"/>
      <w:numFmt w:val="lowerRoman"/>
      <w:start w:val="1"/>
    </w:lvl>
  </w:abstractNum>
  <w:abstractNum w:abstractNumId="48">
    <w:nsid w:val="5F3534A4"/>
    <w:multiLevelType w:val="hybridMultilevel"/>
    <w:lvl w:ilvl="0">
      <w:lvlJc w:val="left"/>
      <w:lvlText w:val="(%1)"/>
      <w:numFmt w:val="upperLetter"/>
      <w:start w:val="2"/>
    </w:lvl>
  </w:abstractNum>
  <w:abstractNum w:abstractNumId="49">
    <w:nsid w:val="73A1821B"/>
    <w:multiLevelType w:val="hybridMultilevel"/>
    <w:lvl w:ilvl="0">
      <w:lvlJc w:val="left"/>
      <w:lvlText w:val="(%1)"/>
      <w:numFmt w:val="lowerLetter"/>
      <w:start w:val="2"/>
    </w:lvl>
  </w:abstractNum>
  <w:abstractNum w:abstractNumId="50">
    <w:nsid w:val="7DE67713"/>
    <w:multiLevelType w:val="hybridMultilevel"/>
    <w:lvl w:ilvl="0">
      <w:lvlJc w:val="left"/>
      <w:lvlText w:val="(%1)"/>
      <w:numFmt w:val="upperLetter"/>
      <w:start w:val="2"/>
    </w:lvl>
  </w:abstractNum>
  <w:abstractNum w:abstractNumId="51">
    <w:nsid w:val="555C55B5"/>
    <w:multiLevelType w:val="hybridMultilevel"/>
    <w:lvl w:ilvl="0">
      <w:lvlJc w:val="left"/>
      <w:lvlText w:val="(%1)"/>
      <w:numFmt w:val="upperLetter"/>
      <w:start w:val="3"/>
    </w:lvl>
  </w:abstractNum>
  <w:abstractNum w:abstractNumId="52">
    <w:nsid w:val="3FA62ACA"/>
    <w:multiLevelType w:val="hybridMultilevel"/>
    <w:lvl w:ilvl="0">
      <w:lvlJc w:val="left"/>
      <w:lvlText w:val="(%1)"/>
      <w:numFmt w:val="lowerRoman"/>
      <w:start w:val="1"/>
    </w:lvl>
  </w:abstractNum>
  <w:abstractNum w:abstractNumId="53">
    <w:nsid w:val="14FCE74E"/>
    <w:multiLevelType w:val="hybridMultilevel"/>
    <w:lvl w:ilvl="0">
      <w:lvlJc w:val="left"/>
      <w:lvlText w:val="(%1)"/>
      <w:numFmt w:val="lowerRoman"/>
      <w:start w:val="2"/>
    </w:lvl>
  </w:abstractNum>
  <w:abstractNum w:abstractNumId="54">
    <w:nsid w:val="6A3DD3E8"/>
    <w:multiLevelType w:val="hybridMultilevel"/>
    <w:lvl w:ilvl="0">
      <w:lvlJc w:val="left"/>
      <w:lvlText w:val="(%1)"/>
      <w:numFmt w:val="lowerRoman"/>
      <w:start w:val="2"/>
    </w:lvl>
  </w:abstractNum>
  <w:abstractNum w:abstractNumId="55">
    <w:nsid w:val="71C91298"/>
    <w:multiLevelType w:val="hybridMultilevel"/>
    <w:lvl w:ilvl="0">
      <w:lvlJc w:val="left"/>
      <w:lvlText w:val="(%1)"/>
      <w:numFmt w:val="lowerRoman"/>
      <w:start w:val="2"/>
    </w:lvl>
  </w:abstractNum>
  <w:abstractNum w:abstractNumId="56">
    <w:nsid w:val="9DAF632"/>
    <w:multiLevelType w:val="hybridMultilevel"/>
    <w:lvl w:ilvl="0">
      <w:lvlJc w:val="left"/>
      <w:lvlText w:val="(%1)"/>
      <w:numFmt w:val="lowerRoman"/>
      <w:start w:val="1"/>
    </w:lvl>
  </w:abstractNum>
  <w:abstractNum w:abstractNumId="57">
    <w:nsid w:val="53299938"/>
    <w:multiLevelType w:val="hybridMultilevel"/>
    <w:lvl w:ilvl="0">
      <w:lvlJc w:val="left"/>
      <w:lvlText w:val="%1"/>
      <w:numFmt w:val="decimal"/>
      <w:start w:val="200"/>
    </w:lvl>
  </w:abstractNum>
  <w:abstractNum w:abstractNumId="58">
    <w:nsid w:val="1FBFE8E0"/>
    <w:multiLevelType w:val="hybridMultilevel"/>
    <w:lvl w:ilvl="0">
      <w:lvlJc w:val="left"/>
      <w:lvlText w:val="1"/>
      <w:numFmt w:val="bullet"/>
      <w:start w:val="1"/>
    </w:lvl>
    <w:lvl w:ilvl="1">
      <w:lvlJc w:val="left"/>
      <w:lvlText w:val="-"/>
      <w:numFmt w:val="bullet"/>
      <w:start w:val="1"/>
    </w:lvl>
  </w:abstractNum>
  <w:abstractNum w:abstractNumId="59">
    <w:nsid w:val="5092CA79"/>
    <w:multiLevelType w:val="hybridMultilevel"/>
    <w:lvl w:ilvl="0">
      <w:lvlJc w:val="left"/>
      <w:lvlText w:val="(%1)"/>
      <w:numFmt w:val="lowerLetter"/>
      <w:start w:val="1"/>
    </w:lvl>
    <w:lvl w:ilvl="1">
      <w:lvlJc w:val="left"/>
      <w:lvlText w:val="(%2)"/>
      <w:numFmt w:val="decimal"/>
      <w:start w:val="1"/>
    </w:lvl>
  </w:abstractNum>
  <w:abstractNum w:abstractNumId="60">
    <w:nsid w:val="1D545C4D"/>
    <w:multiLevelType w:val="hybridMultilevel"/>
    <w:lvl w:ilvl="0">
      <w:lvlJc w:val="left"/>
      <w:lvlText w:val="(%1)"/>
      <w:numFmt w:val="decimal"/>
      <w:start w:val="2"/>
    </w:lvl>
  </w:abstractNum>
  <w:abstractNum w:abstractNumId="61">
    <w:nsid w:val="59ADEA3D"/>
    <w:multiLevelType w:val="hybridMultilevel"/>
    <w:lvl w:ilvl="0">
      <w:lvlJc w:val="left"/>
      <w:lvlText w:val="(%1)"/>
      <w:numFmt w:val="decimal"/>
      <w:start w:val="13"/>
    </w:lvl>
  </w:abstractNum>
  <w:abstractNum w:abstractNumId="62">
    <w:nsid w:val="288F1A34"/>
    <w:multiLevelType w:val="hybridMultilevel"/>
    <w:lvl w:ilvl="0">
      <w:lvlJc w:val="left"/>
      <w:lvlText w:val="(%1)"/>
      <w:numFmt w:val="decimal"/>
      <w:start w:val="1"/>
    </w:lvl>
  </w:abstractNum>
  <w:abstractNum w:abstractNumId="63">
    <w:nsid w:val="2A155DBC"/>
    <w:multiLevelType w:val="hybridMultilevel"/>
    <w:lvl w:ilvl="0">
      <w:lvlJc w:val="left"/>
      <w:lvlText w:val="(%1)"/>
      <w:numFmt w:val="lowerLetter"/>
      <w:start w:val="1"/>
    </w:lvl>
  </w:abstractNum>
  <w:abstractNum w:abstractNumId="64">
    <w:nsid w:val="1D9F6E5F"/>
    <w:multiLevelType w:val="hybridMultilevel"/>
    <w:lvl w:ilvl="0">
      <w:lvlJc w:val="left"/>
      <w:lvlText w:val="(%1)"/>
      <w:numFmt w:val="lowerLetter"/>
      <w:start w:val="3"/>
    </w:lvl>
  </w:abstractNum>
  <w:abstractNum w:abstractNumId="65">
    <w:nsid w:val="97E1B4E"/>
    <w:multiLevelType w:val="hybridMultilevel"/>
    <w:lvl w:ilvl="0">
      <w:lvlJc w:val="left"/>
      <w:lvlText w:val="(%1)"/>
      <w:numFmt w:val="lowerLetter"/>
      <w:start w:val="1"/>
    </w:lvl>
  </w:abstractNum>
  <w:abstractNum w:abstractNumId="66">
    <w:nsid w:val="51088277"/>
    <w:multiLevelType w:val="hybridMultilevel"/>
    <w:lvl w:ilvl="0">
      <w:lvlJc w:val="left"/>
      <w:lvlText w:val="(%1)"/>
      <w:numFmt w:val="lowerLetter"/>
      <w:start w:val="2"/>
    </w:lvl>
  </w:abstractNum>
  <w:abstractNum w:abstractNumId="67">
    <w:nsid w:val="1CA0C5FA"/>
    <w:multiLevelType w:val="hybridMultilevel"/>
    <w:lvl w:ilvl="0">
      <w:lvlJc w:val="left"/>
      <w:lvlText w:val="(%1)"/>
      <w:numFmt w:val="lowerLetter"/>
      <w:start w:val="1"/>
    </w:lvl>
  </w:abstractNum>
  <w:abstractNum w:abstractNumId="68">
    <w:nsid w:val="53584BCB"/>
    <w:multiLevelType w:val="hybridMultilevel"/>
    <w:lvl w:ilvl="0">
      <w:lvlJc w:val="left"/>
      <w:lvlText w:val="(%1)"/>
      <w:numFmt w:val="lowerLetter"/>
      <w:start w:val="2"/>
    </w:lvl>
  </w:abstractNum>
  <w:abstractNum w:abstractNumId="69">
    <w:nsid w:val="415E286C"/>
    <w:multiLevelType w:val="hybridMultilevel"/>
    <w:lvl w:ilvl="0">
      <w:lvlJc w:val="left"/>
      <w:lvlText w:val="(%1)"/>
      <w:numFmt w:val="lowerLetter"/>
      <w:start w:val="1"/>
    </w:lvl>
  </w:abstractNum>
  <w:abstractNum w:abstractNumId="70">
    <w:nsid w:val="7C58FD05"/>
    <w:multiLevelType w:val="hybridMultilevel"/>
    <w:lvl w:ilvl="0">
      <w:lvlJc w:val="left"/>
      <w:lvlText w:val="(%1)"/>
      <w:numFmt w:val="lowerLetter"/>
      <w:start w:val="1"/>
    </w:lvl>
    <w:lvl w:ilvl="1">
      <w:lvlJc w:val="left"/>
      <w:lvlText w:val="(%2)"/>
      <w:numFmt w:val="decimal"/>
      <w:start w:val="1"/>
    </w:lvl>
  </w:abstractNum>
  <w:abstractNum w:abstractNumId="71">
    <w:nsid w:val="23D86AAC"/>
    <w:multiLevelType w:val="hybridMultilevel"/>
    <w:lvl w:ilvl="0">
      <w:lvlJc w:val="left"/>
      <w:lvlText w:val="%1"/>
      <w:numFmt w:val="lowerLetter"/>
      <w:start w:val="1"/>
    </w:lvl>
    <w:lvl w:ilvl="1">
      <w:lvlJc w:val="left"/>
      <w:lvlText w:val="(%2)"/>
      <w:numFmt w:val="decimal"/>
      <w:start w:val="3"/>
    </w:lvl>
  </w:abstractNum>
  <w:abstractNum w:abstractNumId="72">
    <w:nsid w:val="45E6D486"/>
    <w:multiLevelType w:val="hybridMultilevel"/>
    <w:lvl w:ilvl="0">
      <w:lvlJc w:val="left"/>
      <w:lvlText w:val="(%1)"/>
      <w:numFmt w:val="lowerLetter"/>
      <w:start w:val="2"/>
    </w:lvl>
    <w:lvl w:ilvl="1">
      <w:lvlJc w:val="left"/>
      <w:lvlText w:val="%2"/>
      <w:numFmt w:val="decimal"/>
      <w:start w:val="1"/>
    </w:lvl>
  </w:abstractNum>
  <w:abstractNum w:abstractNumId="73">
    <w:nsid w:val="5C10FE21"/>
    <w:multiLevelType w:val="hybridMultilevel"/>
    <w:lvl w:ilvl="0">
      <w:lvlJc w:val="left"/>
      <w:lvlText w:val="(%1)"/>
      <w:numFmt w:val="lowerLetter"/>
      <w:start w:val="1"/>
    </w:lvl>
  </w:abstractNum>
  <w:abstractNum w:abstractNumId="74">
    <w:nsid w:val="E7FFA2B"/>
    <w:multiLevelType w:val="hybridMultilevel"/>
    <w:lvl w:ilvl="0">
      <w:lvlJc w:val="left"/>
      <w:lvlText w:val="(%1)"/>
      <w:numFmt w:val="lowerLetter"/>
      <w:start w:val="1"/>
    </w:lvl>
  </w:abstractNum>
  <w:abstractNum w:abstractNumId="75">
    <w:nsid w:val="3C5991AA"/>
    <w:multiLevelType w:val="hybridMultilevel"/>
    <w:lvl w:ilvl="0">
      <w:lvlJc w:val="left"/>
      <w:lvlText w:val="(%1)"/>
      <w:numFmt w:val="lowerLetter"/>
      <w:start w:val="3"/>
    </w:lvl>
  </w:abstractNum>
  <w:abstractNum w:abstractNumId="76">
    <w:nsid w:val="4BD8591A"/>
    <w:multiLevelType w:val="hybridMultilevel"/>
    <w:lvl w:ilvl="0">
      <w:lvlJc w:val="left"/>
      <w:lvlText w:val="(%1)"/>
      <w:numFmt w:val="lowerLetter"/>
      <w:start w:val="1"/>
    </w:lvl>
  </w:abstractNum>
  <w:abstractNum w:abstractNumId="77">
    <w:nsid w:val="78DF6A55"/>
    <w:multiLevelType w:val="hybridMultilevel"/>
    <w:lvl w:ilvl="0">
      <w:lvlJc w:val="left"/>
      <w:lvlText w:val="(%1)"/>
      <w:numFmt w:val="lowerLetter"/>
      <w:start w:val="1"/>
    </w:lvl>
    <w:lvl w:ilvl="1">
      <w:lvlJc w:val="left"/>
      <w:lvlText w:val="(%2)"/>
      <w:numFmt w:val="decimal"/>
      <w:start w:val="1"/>
    </w:lvl>
  </w:abstractNum>
  <w:abstractNum w:abstractNumId="78">
    <w:nsid w:val="39B7AAA2"/>
    <w:multiLevelType w:val="hybridMultilevel"/>
    <w:lvl w:ilvl="0">
      <w:lvlJc w:val="left"/>
      <w:lvlText w:val="%1"/>
      <w:numFmt w:val="lowerLetter"/>
      <w:start w:val="1"/>
    </w:lvl>
    <w:lvl w:ilvl="1">
      <w:lvlJc w:val="left"/>
      <w:lvlText w:val="(%2)"/>
      <w:numFmt w:val="decimal"/>
      <w:start w:val="4"/>
    </w:lvl>
  </w:abstractNum>
  <w:abstractNum w:abstractNumId="79">
    <w:nsid w:val="2B0D8DBE"/>
    <w:multiLevelType w:val="hybridMultilevel"/>
    <w:lvl w:ilvl="0">
      <w:lvlJc w:val="left"/>
      <w:lvlText w:val="(%1)"/>
      <w:numFmt w:val="lowerLetter"/>
      <w:start w:val="2"/>
    </w:lvl>
    <w:lvl w:ilvl="1">
      <w:lvlJc w:val="left"/>
      <w:lvlText w:val="%2"/>
      <w:numFmt w:val="decimal"/>
      <w:start w:val="1"/>
    </w:lvl>
  </w:abstractNum>
  <w:abstractNum w:abstractNumId="80">
    <w:nsid w:val="6C80EC70"/>
    <w:multiLevelType w:val="hybridMultilevel"/>
    <w:lvl w:ilvl="0">
      <w:lvlJc w:val="left"/>
      <w:lvlText w:val="(%1)"/>
      <w:numFmt w:val="lowerLetter"/>
      <w:start w:val="1"/>
    </w:lvl>
  </w:abstractNum>
  <w:abstractNum w:abstractNumId="81">
    <w:nsid w:val="379E21B5"/>
    <w:multiLevelType w:val="hybridMultilevel"/>
    <w:lvl w:ilvl="0">
      <w:lvlJc w:val="left"/>
      <w:lvlText w:val=" "/>
      <w:numFmt w:val="bullet"/>
      <w:start w:val="1"/>
    </w:lvl>
  </w:abstractNum>
  <w:abstractNum w:abstractNumId="82">
    <w:nsid w:val="69E373"/>
    <w:multiLevelType w:val="hybridMultilevel"/>
    <w:lvl w:ilvl="0">
      <w:lvlJc w:val="left"/>
      <w:lvlText w:val="(%1)"/>
      <w:numFmt w:val="lowerLetter"/>
      <w:start w:val="1"/>
    </w:lvl>
  </w:abstractNum>
  <w:abstractNum w:abstractNumId="83">
    <w:nsid w:val="2C27173B"/>
    <w:multiLevelType w:val="hybridMultilevel"/>
    <w:lvl w:ilvl="0">
      <w:lvlJc w:val="left"/>
      <w:lvlText w:val="(%1)"/>
      <w:numFmt w:val="lowerLetter"/>
      <w:start w:val="1"/>
    </w:lvl>
  </w:abstractNum>
  <w:abstractNum w:abstractNumId="84">
    <w:nsid w:val="4C9B0904"/>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85">
    <w:nsid w:val="6AA7B75C"/>
    <w:multiLevelType w:val="hybridMultilevel"/>
    <w:lvl w:ilvl="0">
      <w:lvlJc w:val="left"/>
      <w:lvlText w:val="(%1)"/>
      <w:numFmt w:val="lowerLetter"/>
      <w:start w:val="1"/>
    </w:lvl>
  </w:abstractNum>
  <w:abstractNum w:abstractNumId="86">
    <w:nsid w:val="1DF029D3"/>
    <w:multiLevelType w:val="hybridMultilevel"/>
    <w:lvl w:ilvl="0">
      <w:lvlJc w:val="left"/>
      <w:lvlText w:val="(%1)"/>
      <w:numFmt w:val="lowerLetter"/>
      <w:start w:val="2"/>
    </w:lvl>
  </w:abstractNum>
  <w:abstractNum w:abstractNumId="87">
    <w:nsid w:val="5675FF36"/>
    <w:multiLevelType w:val="hybridMultilevel"/>
    <w:lvl w:ilvl="0">
      <w:lvlJc w:val="left"/>
      <w:lvlText w:val="(%1)"/>
      <w:numFmt w:val="lowerLetter"/>
      <w:start w:val="1"/>
    </w:lvl>
  </w:abstractNum>
  <w:abstractNum w:abstractNumId="88">
    <w:nsid w:val="3DD15094"/>
    <w:multiLevelType w:val="hybridMultilevel"/>
    <w:lvl w:ilvl="0">
      <w:lvlJc w:val="left"/>
      <w:lvlText w:val="(%1)"/>
      <w:numFmt w:val="lowerLetter"/>
      <w:start w:val="3"/>
    </w:lvl>
  </w:abstractNum>
  <w:abstractNum w:abstractNumId="89">
    <w:nsid w:val="3DB012B3"/>
    <w:multiLevelType w:val="hybridMultilevel"/>
    <w:lvl w:ilvl="0">
      <w:lvlJc w:val="left"/>
      <w:lvlText w:val="(%1)"/>
      <w:numFmt w:val="lowerLetter"/>
      <w:start w:val="1"/>
    </w:lvl>
  </w:abstractNum>
  <w:abstractNum w:abstractNumId="90">
    <w:nsid w:val="2708C9AF"/>
    <w:multiLevelType w:val="hybridMultilevel"/>
    <w:lvl w:ilvl="0">
      <w:lvlJc w:val="left"/>
      <w:lvlText w:val="(%1)"/>
      <w:numFmt w:val="lowerLetter"/>
      <w:start w:val="1"/>
    </w:lvl>
    <w:lvl w:ilvl="1">
      <w:lvlJc w:val="left"/>
      <w:lvlText w:val="(%2)"/>
      <w:numFmt w:val="decimal"/>
      <w:start w:val="1"/>
    </w:lvl>
  </w:abstractNum>
  <w:abstractNum w:abstractNumId="91">
    <w:nsid w:val="5B25ACE2"/>
    <w:multiLevelType w:val="hybridMultilevel"/>
    <w:lvl w:ilvl="0">
      <w:lvlJc w:val="left"/>
      <w:lvlText w:val="%1"/>
      <w:numFmt w:val="lowerLetter"/>
      <w:start w:val="1"/>
    </w:lvl>
    <w:lvl w:ilvl="1">
      <w:lvlJc w:val="left"/>
      <w:lvlText w:val="(%2)"/>
      <w:numFmt w:val="decimal"/>
      <w:start w:val="2"/>
    </w:lvl>
  </w:abstractNum>
  <w:abstractNum w:abstractNumId="92">
    <w:nsid w:val="175DFCF0"/>
    <w:multiLevelType w:val="hybridMultilevel"/>
    <w:lvl w:ilvl="0">
      <w:lvlJc w:val="left"/>
      <w:lvlText w:val="(%1)"/>
      <w:numFmt w:val="lowerLetter"/>
      <w:start w:val="3"/>
    </w:lvl>
    <w:lvl w:ilvl="1">
      <w:lvlJc w:val="left"/>
      <w:lvlText w:val="%2"/>
      <w:numFmt w:val="decimal"/>
      <w:start w:val="1"/>
    </w:lvl>
  </w:abstractNum>
  <w:abstractNum w:abstractNumId="93">
    <w:nsid w:val="4F97E3E4"/>
    <w:multiLevelType w:val="hybridMultilevel"/>
    <w:lvl w:ilvl="0">
      <w:lvlJc w:val="left"/>
      <w:lvlText w:val="(%1)"/>
      <w:numFmt w:val="lowerLetter"/>
      <w:start w:val="1"/>
    </w:lvl>
  </w:abstractNum>
  <w:abstractNum w:abstractNumId="94">
    <w:nsid w:val="53B0A9E"/>
    <w:multiLevelType w:val="hybridMultilevel"/>
    <w:lvl w:ilvl="0">
      <w:lvlJc w:val="left"/>
      <w:lvlText w:val="(%1)"/>
      <w:numFmt w:val="lowerLetter"/>
      <w:start w:val="3"/>
    </w:lvl>
  </w:abstractNum>
  <w:abstractNum w:abstractNumId="95">
    <w:nsid w:val="34FD6B4F"/>
    <w:multiLevelType w:val="hybridMultilevel"/>
    <w:lvl w:ilvl="0">
      <w:lvlJc w:val="left"/>
      <w:lvlText w:val="(%1)"/>
      <w:numFmt w:val="lowerLetter"/>
      <w:start w:val="1"/>
    </w:lvl>
  </w:abstractNum>
  <w:abstractNum w:abstractNumId="96">
    <w:nsid w:val="5915FF32"/>
    <w:multiLevelType w:val="hybridMultilevel"/>
    <w:lvl w:ilvl="0">
      <w:lvlJc w:val="left"/>
      <w:lvlText w:val="(%1)"/>
      <w:numFmt w:val="lowerLetter"/>
      <w:start w:val="3"/>
    </w:lvl>
  </w:abstractNum>
  <w:abstractNum w:abstractNumId="97">
    <w:nsid w:val="56438D15"/>
    <w:multiLevelType w:val="hybridMultilevel"/>
    <w:lvl w:ilvl="0">
      <w:lvlJc w:val="left"/>
      <w:lvlText w:val="(%1)"/>
      <w:numFmt w:val="lowerLetter"/>
      <w:start w:val="1"/>
    </w:lvl>
  </w:abstractNum>
  <w:abstractNum w:abstractNumId="98">
    <w:nsid w:val="519E3149"/>
    <w:multiLevelType w:val="hybridMultilevel"/>
    <w:lvl w:ilvl="0">
      <w:lvlJc w:val="left"/>
      <w:lvlText w:val="(%1)"/>
      <w:numFmt w:val="lowerLetter"/>
      <w:start w:val="1"/>
    </w:lvl>
  </w:abstractNum>
  <w:abstractNum w:abstractNumId="99">
    <w:nsid w:val="2C6E4AFD"/>
    <w:multiLevelType w:val="hybridMultilevel"/>
    <w:lvl w:ilvl="0">
      <w:lvlJc w:val="left"/>
      <w:lvlText w:val="(%1)"/>
      <w:numFmt w:val="lowerLetter"/>
      <w:start w:val="1"/>
    </w:lvl>
  </w:abstractNum>
  <w:abstractNum w:abstractNumId="100">
    <w:nsid w:val="17A1B582"/>
    <w:multiLevelType w:val="hybridMultilevel"/>
    <w:lvl w:ilvl="0">
      <w:lvlJc w:val="left"/>
      <w:lvlText w:val="(%1)"/>
      <w:numFmt w:val="lowerLetter"/>
      <w:start w:val="8"/>
    </w:lvl>
  </w:abstractNum>
  <w:abstractNum w:abstractNumId="101">
    <w:nsid w:val="4DF72E4E"/>
    <w:multiLevelType w:val="hybridMultilevel"/>
    <w:lvl w:ilvl="0">
      <w:lvlJc w:val="left"/>
      <w:lvlText w:val="(%1)"/>
      <w:numFmt w:val="lowerLetter"/>
      <w:start w:val="1"/>
    </w:lvl>
  </w:abstractNum>
  <w:abstractNum w:abstractNumId="102">
    <w:nsid w:val="5046B5A9"/>
    <w:multiLevelType w:val="hybridMultilevel"/>
    <w:lvl w:ilvl="0">
      <w:lvlJc w:val="left"/>
      <w:lvlText w:val="(%1)"/>
      <w:numFmt w:val="lowerLetter"/>
      <w:start w:val="1"/>
    </w:lvl>
  </w:abstractNum>
  <w:abstractNum w:abstractNumId="103">
    <w:nsid w:val="5D888A08"/>
    <w:multiLevelType w:val="hybridMultilevel"/>
    <w:lvl w:ilvl="0">
      <w:lvlJc w:val="left"/>
      <w:lvlText w:val="1"/>
      <w:numFmt w:val="bullet"/>
      <w:start w:val="1"/>
    </w:lvl>
    <w:lvl w:ilvl="1">
      <w:lvlJc w:val="left"/>
      <w:lvlText w:val="-"/>
      <w:numFmt w:val="bullet"/>
      <w:start w:val="1"/>
    </w:lvl>
  </w:abstractNum>
  <w:abstractNum w:abstractNumId="104">
    <w:nsid w:val="2A082C70"/>
    <w:multiLevelType w:val="hybridMultilevel"/>
    <w:lvl w:ilvl="0">
      <w:lvlJc w:val="left"/>
      <w:lvlText w:val="(%1)"/>
      <w:numFmt w:val="lowerLetter"/>
      <w:start w:val="1"/>
    </w:lvl>
    <w:lvl w:ilvl="1">
      <w:lvlJc w:val="left"/>
      <w:lvlText w:val="(%2)"/>
      <w:numFmt w:val="decimal"/>
      <w:start w:val="1"/>
    </w:lvl>
  </w:abstractNum>
  <w:abstractNum w:abstractNumId="105">
    <w:nsid w:val="5EC6AFD4"/>
    <w:multiLevelType w:val="hybridMultilevel"/>
    <w:lvl w:ilvl="0">
      <w:lvlJc w:val="left"/>
      <w:lvlText w:val="(%1)"/>
      <w:numFmt w:val="decimal"/>
      <w:start w:val="2"/>
    </w:lvl>
  </w:abstractNum>
  <w:abstractNum w:abstractNumId="106">
    <w:nsid w:val="19E21BB2"/>
    <w:multiLevelType w:val="hybridMultilevel"/>
    <w:lvl w:ilvl="0">
      <w:lvlJc w:val="left"/>
      <w:lvlText w:val="(%1)"/>
      <w:numFmt w:val="decimal"/>
      <w:start w:val="14"/>
    </w:lvl>
  </w:abstractNum>
  <w:abstractNum w:abstractNumId="107">
    <w:nsid w:val="75E0858A"/>
    <w:multiLevelType w:val="hybridMultilevel"/>
    <w:lvl w:ilvl="0">
      <w:lvlJc w:val="left"/>
      <w:lvlText w:val="(%1)"/>
      <w:numFmt w:val="decimal"/>
      <w:start w:val="1"/>
    </w:lvl>
  </w:abstractNum>
  <w:abstractNum w:abstractNumId="108">
    <w:nsid w:val="57A61A29"/>
    <w:multiLevelType w:val="hybridMultilevel"/>
    <w:lvl w:ilvl="0">
      <w:lvlJc w:val="left"/>
      <w:lvlText w:val="(%1)"/>
      <w:numFmt w:val="lowerLetter"/>
      <w:start w:val="1"/>
    </w:lvl>
  </w:abstractNum>
  <w:abstractNum w:abstractNumId="109">
    <w:nsid w:val="5399C654"/>
    <w:multiLevelType w:val="hybridMultilevel"/>
    <w:lvl w:ilvl="0">
      <w:lvlJc w:val="left"/>
      <w:lvlText w:val="(%1)"/>
      <w:numFmt w:val="lowerLetter"/>
      <w:start w:val="1"/>
    </w:lvl>
  </w:abstractNum>
  <w:abstractNum w:abstractNumId="110">
    <w:nsid w:val="20EE1348"/>
    <w:multiLevelType w:val="hybridMultilevel"/>
    <w:lvl w:ilvl="0">
      <w:lvlJc w:val="left"/>
      <w:lvlText w:val="(%1)"/>
      <w:numFmt w:val="lowerLetter"/>
      <w:start w:val="2"/>
    </w:lvl>
  </w:abstractNum>
  <w:abstractNum w:abstractNumId="111">
    <w:nsid w:val="4427069A"/>
    <w:multiLevelType w:val="hybridMultilevel"/>
    <w:lvl w:ilvl="0">
      <w:lvlJc w:val="left"/>
      <w:lvlText w:val="(%1)"/>
      <w:numFmt w:val="lowerLetter"/>
      <w:start w:val="1"/>
    </w:lvl>
  </w:abstractNum>
  <w:abstractNum w:abstractNumId="112">
    <w:nsid w:val="B37E80A"/>
    <w:multiLevelType w:val="hybridMultilevel"/>
    <w:lvl w:ilvl="0">
      <w:lvlJc w:val="left"/>
      <w:lvlText w:val="(%1)"/>
      <w:numFmt w:val="lowerLetter"/>
      <w:start w:val="2"/>
    </w:lvl>
  </w:abstractNum>
  <w:abstractNum w:abstractNumId="113">
    <w:nsid w:val="2157F6BC"/>
    <w:multiLevelType w:val="hybridMultilevel"/>
    <w:lvl w:ilvl="0">
      <w:lvlJc w:val="left"/>
      <w:lvlText w:val="(%1)"/>
      <w:numFmt w:val="lowerLetter"/>
      <w:start w:val="1"/>
    </w:lvl>
  </w:abstractNum>
  <w:abstractNum w:abstractNumId="114">
    <w:nsid w:val="704E1DD5"/>
    <w:multiLevelType w:val="hybridMultilevel"/>
    <w:lvl w:ilvl="0">
      <w:lvlJc w:val="left"/>
      <w:lvlText w:val="(%1)"/>
      <w:numFmt w:val="lowerLetter"/>
      <w:start w:val="1"/>
    </w:lvl>
    <w:lvl w:ilvl="1">
      <w:lvlJc w:val="left"/>
      <w:lvlText w:val="(%2)"/>
      <w:numFmt w:val="decimal"/>
      <w:start w:val="1"/>
    </w:lvl>
  </w:abstractNum>
  <w:abstractNum w:abstractNumId="115">
    <w:nsid w:val="57D2F10E"/>
    <w:multiLevelType w:val="hybridMultilevel"/>
    <w:lvl w:ilvl="0">
      <w:lvlJc w:val="left"/>
      <w:lvlText w:val="%1"/>
      <w:numFmt w:val="lowerLetter"/>
      <w:start w:val="1"/>
    </w:lvl>
    <w:lvl w:ilvl="1">
      <w:lvlJc w:val="left"/>
      <w:lvlText w:val="(%2)"/>
      <w:numFmt w:val="decimal"/>
      <w:start w:val="3"/>
    </w:lvl>
  </w:abstractNum>
  <w:abstractNum w:abstractNumId="116">
    <w:nsid w:val="BFFAE18"/>
    <w:multiLevelType w:val="hybridMultilevel"/>
    <w:lvl w:ilvl="0">
      <w:lvlJc w:val="left"/>
      <w:lvlText w:val="(%1)"/>
      <w:numFmt w:val="lowerLetter"/>
      <w:start w:val="2"/>
    </w:lvl>
    <w:lvl w:ilvl="1">
      <w:lvlJc w:val="left"/>
      <w:lvlText w:val="%2"/>
      <w:numFmt w:val="decimal"/>
      <w:start w:val="1"/>
    </w:lvl>
  </w:abstractNum>
  <w:abstractNum w:abstractNumId="117">
    <w:nsid w:val="E3E47A8"/>
    <w:multiLevelType w:val="hybridMultilevel"/>
    <w:lvl w:ilvl="0">
      <w:lvlJc w:val="left"/>
      <w:lvlText w:val="(%1)"/>
      <w:numFmt w:val="lowerLetter"/>
      <w:start w:val="1"/>
    </w:lvl>
  </w:abstractNum>
  <w:abstractNum w:abstractNumId="118">
    <w:nsid w:val="2E48F044"/>
    <w:multiLevelType w:val="hybridMultilevel"/>
    <w:lvl w:ilvl="0">
      <w:lvlJc w:val="left"/>
      <w:lvlText w:val="(%1)"/>
      <w:numFmt w:val="lowerLetter"/>
      <w:start w:val="1"/>
    </w:lvl>
  </w:abstractNum>
  <w:abstractNum w:abstractNumId="119">
    <w:nsid w:val="49D0FEAC"/>
    <w:multiLevelType w:val="hybridMultilevel"/>
    <w:lvl w:ilvl="0">
      <w:lvlJc w:val="left"/>
      <w:lvlText w:val="(%1)"/>
      <w:numFmt w:val="lowerLetter"/>
      <w:start w:val="3"/>
    </w:lvl>
  </w:abstractNum>
  <w:abstractNum w:abstractNumId="120">
    <w:nsid w:val="4BEE5A5B"/>
    <w:multiLevelType w:val="hybridMultilevel"/>
    <w:lvl w:ilvl="0">
      <w:lvlJc w:val="left"/>
      <w:lvlText w:val="(%1)"/>
      <w:numFmt w:val="lowerLetter"/>
      <w:start w:val="1"/>
    </w:lvl>
  </w:abstractNum>
  <w:abstractNum w:abstractNumId="121">
    <w:nsid w:val="5551B9F3"/>
    <w:multiLevelType w:val="hybridMultilevel"/>
    <w:lvl w:ilvl="0">
      <w:lvlJc w:val="left"/>
      <w:lvlText w:val="(%1)"/>
      <w:numFmt w:val="lowerLetter"/>
      <w:start w:val="1"/>
    </w:lvl>
    <w:lvl w:ilvl="1">
      <w:lvlJc w:val="left"/>
      <w:lvlText w:val="(%2)"/>
      <w:numFmt w:val="decimal"/>
      <w:start w:val="1"/>
    </w:lvl>
  </w:abstractNum>
  <w:abstractNum w:abstractNumId="122">
    <w:nsid w:val="24F6AB8E"/>
    <w:multiLevelType w:val="hybridMultilevel"/>
    <w:lvl w:ilvl="0">
      <w:lvlJc w:val="left"/>
      <w:lvlText w:val="%1"/>
      <w:numFmt w:val="lowerLetter"/>
      <w:start w:val="1"/>
    </w:lvl>
    <w:lvl w:ilvl="1">
      <w:lvlJc w:val="left"/>
      <w:lvlText w:val="(%2)"/>
      <w:numFmt w:val="decimal"/>
      <w:start w:val="4"/>
    </w:lvl>
  </w:abstractNum>
  <w:abstractNum w:abstractNumId="123">
    <w:nsid w:val="634C574C"/>
    <w:multiLevelType w:val="hybridMultilevel"/>
    <w:lvl w:ilvl="0">
      <w:lvlJc w:val="left"/>
      <w:lvlText w:val="(%1)"/>
      <w:numFmt w:val="lowerLetter"/>
      <w:start w:val="2"/>
    </w:lvl>
    <w:lvl w:ilvl="1">
      <w:lvlJc w:val="left"/>
      <w:lvlText w:val="%2"/>
      <w:numFmt w:val="decimal"/>
      <w:start w:val="1"/>
    </w:lvl>
  </w:abstractNum>
  <w:abstractNum w:abstractNumId="124">
    <w:nsid w:val="24E99DD7"/>
    <w:multiLevelType w:val="hybridMultilevel"/>
    <w:lvl w:ilvl="0">
      <w:lvlJc w:val="left"/>
      <w:lvlText w:val="(%1)"/>
      <w:numFmt w:val="lowerLetter"/>
      <w:start w:val="4"/>
    </w:lvl>
  </w:abstractNum>
  <w:abstractNum w:abstractNumId="125">
    <w:nsid w:val="2A31B62D"/>
    <w:multiLevelType w:val="hybridMultilevel"/>
    <w:lvl w:ilvl="0">
      <w:lvlJc w:val="left"/>
      <w:lvlText w:val="(%1)"/>
      <w:numFmt w:val="lowerLetter"/>
      <w:start w:val="1"/>
    </w:lvl>
  </w:abstractNum>
  <w:abstractNum w:abstractNumId="126">
    <w:nsid w:val="1849C29B"/>
    <w:multiLevelType w:val="hybridMultilevel"/>
    <w:lvl w:ilvl="0">
      <w:lvlJc w:val="left"/>
      <w:lvlText w:val="(%1)"/>
      <w:numFmt w:val="lowerLetter"/>
      <w:start w:val="4"/>
    </w:lvl>
  </w:abstractNum>
  <w:abstractNum w:abstractNumId="127">
    <w:nsid w:val="7DFF9D09"/>
    <w:multiLevelType w:val="hybridMultilevel"/>
    <w:lvl w:ilvl="0">
      <w:lvlJc w:val="left"/>
      <w:lvlText w:val="(%1)"/>
      <w:numFmt w:val="lowerLetter"/>
      <w:start w:val="1"/>
    </w:lvl>
  </w:abstractNum>
  <w:abstractNum w:abstractNumId="128">
    <w:nsid w:val="754342"/>
    <w:multiLevelType w:val="hybridMultilevel"/>
    <w:lvl w:ilvl="0">
      <w:lvlJc w:val="left"/>
      <w:lvlText w:val="(%1)"/>
      <w:numFmt w:val="lowerLetter"/>
      <w:start w:val="1"/>
    </w:lvl>
  </w:abstractNum>
  <w:abstractNum w:abstractNumId="129">
    <w:nsid w:val="69E7F3E5"/>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30">
    <w:nsid w:val="2A6DE806"/>
    <w:multiLevelType w:val="hybridMultilevel"/>
    <w:lvl w:ilvl="0">
      <w:lvlJc w:val="left"/>
      <w:lvlText w:val="(%1)"/>
      <w:numFmt w:val="lowerLetter"/>
      <w:start w:val="1"/>
    </w:lvl>
  </w:abstractNum>
  <w:abstractNum w:abstractNumId="131">
    <w:nsid w:val="1816F8C4"/>
    <w:multiLevelType w:val="hybridMultilevel"/>
    <w:lvl w:ilvl="0">
      <w:lvlJc w:val="left"/>
      <w:lvlText w:val="(%1)"/>
      <w:numFmt w:val="lowerLetter"/>
      <w:start w:val="1"/>
    </w:lvl>
  </w:abstractNum>
  <w:abstractNum w:abstractNumId="132">
    <w:nsid w:val="37DF2233"/>
    <w:multiLevelType w:val="hybridMultilevel"/>
    <w:lvl w:ilvl="0">
      <w:lvlJc w:val="left"/>
      <w:lvlText w:val="(%1)"/>
      <w:numFmt w:val="lowerLetter"/>
      <w:start w:val="1"/>
    </w:lvl>
  </w:abstractNum>
  <w:abstractNum w:abstractNumId="133">
    <w:nsid w:val="7AB49DAF"/>
    <w:multiLevelType w:val="hybridMultilevel"/>
    <w:lvl w:ilvl="0">
      <w:lvlJc w:val="left"/>
      <w:lvlText w:val="(%1)"/>
      <w:numFmt w:val="lowerLetter"/>
      <w:start w:val="1"/>
    </w:lvl>
  </w:abstractNum>
  <w:abstractNum w:abstractNumId="134">
    <w:nsid w:val="759F82CD"/>
    <w:multiLevelType w:val="hybridMultilevel"/>
    <w:lvl w:ilvl="0">
      <w:lvlJc w:val="left"/>
      <w:lvlText w:val="(%1)"/>
      <w:numFmt w:val="lowerLetter"/>
      <w:start w:val="2"/>
    </w:lvl>
    <w:lvl w:ilvl="1">
      <w:lvlJc w:val="left"/>
      <w:lvlText w:val="(%2)"/>
      <w:numFmt w:val="decimal"/>
      <w:start w:val="1"/>
    </w:lvl>
  </w:abstractNum>
  <w:abstractNum w:abstractNumId="135">
    <w:nsid w:val="61E74EA3"/>
    <w:multiLevelType w:val="hybridMultilevel"/>
    <w:lvl w:ilvl="0">
      <w:lvlJc w:val="left"/>
      <w:lvlText w:val="(%1)"/>
      <w:numFmt w:val="lowerLetter"/>
      <w:start w:val="1"/>
    </w:lvl>
  </w:abstractNum>
  <w:abstractNum w:abstractNumId="136">
    <w:nsid w:val="597B4D84"/>
    <w:multiLevelType w:val="hybridMultilevel"/>
    <w:lvl w:ilvl="0">
      <w:lvlJc w:val="left"/>
      <w:lvlText w:val="(%1)"/>
      <w:numFmt w:val="lowerLetter"/>
      <w:start w:val="2"/>
    </w:lvl>
  </w:abstractNum>
  <w:abstractNum w:abstractNumId="137">
    <w:nsid w:val="F819E7F"/>
    <w:multiLevelType w:val="hybridMultilevel"/>
    <w:lvl w:ilvl="0">
      <w:lvlJc w:val="left"/>
      <w:lvlText w:val="(%1)"/>
      <w:numFmt w:val="lowerLetter"/>
      <w:start w:val="1"/>
    </w:lvl>
  </w:abstractNum>
  <w:abstractNum w:abstractNumId="138">
    <w:nsid w:val="57C7D42D"/>
    <w:multiLevelType w:val="hybridMultilevel"/>
    <w:lvl w:ilvl="0">
      <w:lvlJc w:val="left"/>
      <w:lvlText w:val="(%1)"/>
      <w:numFmt w:val="lowerLetter"/>
      <w:start w:val="1"/>
    </w:lvl>
  </w:abstractNum>
  <w:abstractNum w:abstractNumId="139">
    <w:nsid w:val="312167AD"/>
    <w:multiLevelType w:val="hybridMultilevel"/>
    <w:lvl w:ilvl="0">
      <w:lvlJc w:val="left"/>
      <w:lvlText w:val="(%1)"/>
      <w:numFmt w:val="lowerLetter"/>
      <w:start w:val="1"/>
    </w:lvl>
  </w:abstractNum>
  <w:abstractNum w:abstractNumId="140">
    <w:nsid w:val="631B64D4"/>
    <w:multiLevelType w:val="hybridMultilevel"/>
    <w:lvl w:ilvl="0">
      <w:lvlJc w:val="left"/>
      <w:lvlText w:val="(%1)"/>
      <w:numFmt w:val="lowerLetter"/>
      <w:start w:val="4"/>
    </w:lvl>
  </w:abstractNum>
  <w:abstractNum w:abstractNumId="141">
    <w:nsid w:val="78B5E776"/>
    <w:multiLevelType w:val="hybridMultilevel"/>
    <w:lvl w:ilvl="0">
      <w:lvlJc w:val="left"/>
      <w:lvlText w:val="(%1)"/>
      <w:numFmt w:val="lowerLetter"/>
      <w:start w:val="1"/>
    </w:lvl>
  </w:abstractNum>
  <w:abstractNum w:abstractNumId="142">
    <w:nsid w:val="75486E47"/>
    <w:multiLevelType w:val="hybridMultilevel"/>
    <w:lvl w:ilvl="0">
      <w:lvlJc w:val="left"/>
      <w:lvlText w:val="(%1)"/>
      <w:numFmt w:val="lowerLetter"/>
      <w:start w:val="5"/>
    </w:lvl>
  </w:abstractNum>
  <w:abstractNum w:abstractNumId="143">
    <w:nsid w:val="6E534CDE"/>
    <w:multiLevelType w:val="hybridMultilevel"/>
    <w:lvl w:ilvl="0">
      <w:lvlJc w:val="left"/>
      <w:lvlText w:val="(%1)"/>
      <w:numFmt w:val="lowerLetter"/>
      <w:start w:val="1"/>
    </w:lvl>
  </w:abstractNum>
  <w:abstractNum w:abstractNumId="144">
    <w:nsid w:val="1A0DDE32"/>
    <w:multiLevelType w:val="hybridMultilevel"/>
    <w:lvl w:ilvl="0">
      <w:lvlJc w:val="left"/>
      <w:lvlText w:val="(%1)"/>
      <w:numFmt w:val="lowerLetter"/>
      <w:start w:val="1"/>
    </w:lvl>
  </w:abstractNum>
  <w:abstractNum w:abstractNumId="145">
    <w:nsid w:val="65968C1C"/>
    <w:multiLevelType w:val="hybridMultilevel"/>
    <w:lvl w:ilvl="0">
      <w:lvlJc w:val="left"/>
      <w:lvlText w:val="(%1)"/>
      <w:numFmt w:val="lowerRoman"/>
      <w:start w:val="1"/>
    </w:lvl>
  </w:abstractNum>
  <w:abstractNum w:abstractNumId="146">
    <w:nsid w:val="46263DEC"/>
    <w:multiLevelType w:val="hybridMultilevel"/>
    <w:lvl w:ilvl="0">
      <w:lvlJc w:val="left"/>
      <w:lvlText w:val="%1."/>
      <w:numFmt w:val="decimal"/>
      <w:start w:val="1"/>
    </w:lvl>
  </w:abstractNum>
  <w:abstractNum w:abstractNumId="147">
    <w:nsid w:val="260D8C4A"/>
    <w:multiLevelType w:val="hybridMultilevel"/>
    <w:lvl w:ilvl="0">
      <w:lvlJc w:val="left"/>
      <w:lvlText w:val="(%1)"/>
      <w:numFmt w:val="lowerRoman"/>
      <w:start w:val="7"/>
    </w:lvl>
    <w:lvl w:ilvl="1">
      <w:lvlJc w:val="left"/>
      <w:lvlText w:val="%2."/>
      <w:numFmt w:val="decimal"/>
      <w:start w:val="2"/>
    </w:lvl>
  </w:abstractNum>
  <w:abstractNum w:abstractNumId="148">
    <w:nsid w:val="73D4D3C4"/>
    <w:multiLevelType w:val="hybridMultilevel"/>
    <w:lvl w:ilvl="0">
      <w:lvlJc w:val="left"/>
      <w:lvlText w:val="(%1)"/>
      <w:numFmt w:val="lowerRoman"/>
      <w:start w:val="6"/>
    </w:lvl>
    <w:lvl w:ilvl="1">
      <w:lvlJc w:val="left"/>
      <w:lvlText w:val="%2"/>
      <w:numFmt w:val="decimal"/>
      <w:start w:val="1"/>
    </w:lvl>
  </w:abstractNum>
  <w:abstractNum w:abstractNumId="149">
    <w:nsid w:val="746F2E30"/>
    <w:multiLevelType w:val="hybridMultilevel"/>
    <w:lvl w:ilvl="0">
      <w:lvlJc w:val="left"/>
      <w:lvlText w:val="%1."/>
      <w:numFmt w:val="decimal"/>
      <w:start w:val="4"/>
    </w:lvl>
  </w:abstractNum>
  <w:abstractNum w:abstractNumId="150">
    <w:nsid w:val="6FDE8AF6"/>
    <w:multiLevelType w:val="hybridMultilevel"/>
    <w:lvl w:ilvl="0">
      <w:lvlJc w:val="left"/>
      <w:lvlText w:val="%1."/>
      <w:numFmt w:val="decimal"/>
      <w:start w:val="7"/>
    </w:lvl>
  </w:abstractNum>
  <w:abstractNum w:abstractNumId="151">
    <w:nsid w:val="3FC32E20"/>
    <w:multiLevelType w:val="hybridMultilevel"/>
    <w:lvl w:ilvl="0">
      <w:lvlJc w:val="left"/>
      <w:lvlText w:val="1"/>
      <w:numFmt w:val="bullet"/>
      <w:start w:val="1"/>
    </w:lvl>
  </w:abstractNum>
  <w:abstractNum w:abstractNumId="152">
    <w:nsid w:val="49C0E823"/>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jpe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jpe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02" Type="http://schemas.openxmlformats.org/officeDocument/2006/relationships/image" Target="media/image182.png"/><Relationship Id="rId203" Type="http://schemas.openxmlformats.org/officeDocument/2006/relationships/image" Target="media/image183.png"/><Relationship Id="rId204" Type="http://schemas.openxmlformats.org/officeDocument/2006/relationships/image" Target="media/image184.png"/><Relationship Id="rId205" Type="http://schemas.openxmlformats.org/officeDocument/2006/relationships/image" Target="media/image185.png"/><Relationship Id="rId206" Type="http://schemas.openxmlformats.org/officeDocument/2006/relationships/image" Target="media/image186.png"/><Relationship Id="rId207" Type="http://schemas.openxmlformats.org/officeDocument/2006/relationships/image" Target="media/image187.png"/><Relationship Id="rId208" Type="http://schemas.openxmlformats.org/officeDocument/2006/relationships/image" Target="media/image188.png"/><Relationship Id="rId209" Type="http://schemas.openxmlformats.org/officeDocument/2006/relationships/image" Target="media/image189.png"/><Relationship Id="rId210" Type="http://schemas.openxmlformats.org/officeDocument/2006/relationships/image" Target="media/image190.png"/><Relationship Id="rId211" Type="http://schemas.openxmlformats.org/officeDocument/2006/relationships/image" Target="media/image191.png"/><Relationship Id="rId212" Type="http://schemas.openxmlformats.org/officeDocument/2006/relationships/image" Target="media/image192.png"/><Relationship Id="rId213" Type="http://schemas.openxmlformats.org/officeDocument/2006/relationships/image" Target="media/image193.png"/><Relationship Id="rId214" Type="http://schemas.openxmlformats.org/officeDocument/2006/relationships/image" Target="media/image194.png"/><Relationship Id="rId215" Type="http://schemas.openxmlformats.org/officeDocument/2006/relationships/image" Target="media/image195.png"/><Relationship Id="rId216" Type="http://schemas.openxmlformats.org/officeDocument/2006/relationships/image" Target="media/image196.png"/><Relationship Id="rId217" Type="http://schemas.openxmlformats.org/officeDocument/2006/relationships/image" Target="media/image197.png"/><Relationship Id="rId218" Type="http://schemas.openxmlformats.org/officeDocument/2006/relationships/image" Target="media/image198.png"/><Relationship Id="rId219" Type="http://schemas.openxmlformats.org/officeDocument/2006/relationships/image" Target="media/image199.png"/><Relationship Id="rId220" Type="http://schemas.openxmlformats.org/officeDocument/2006/relationships/image" Target="media/image200.png"/><Relationship Id="rId221" Type="http://schemas.openxmlformats.org/officeDocument/2006/relationships/image" Target="media/image201.png"/><Relationship Id="rId222" Type="http://schemas.openxmlformats.org/officeDocument/2006/relationships/image" Target="media/image202.png"/><Relationship Id="rId223" Type="http://schemas.openxmlformats.org/officeDocument/2006/relationships/image" Target="media/image203.png"/><Relationship Id="rId224" Type="http://schemas.openxmlformats.org/officeDocument/2006/relationships/image" Target="media/image204.png"/><Relationship Id="rId225" Type="http://schemas.openxmlformats.org/officeDocument/2006/relationships/image" Target="media/image205.png"/><Relationship Id="rId226" Type="http://schemas.openxmlformats.org/officeDocument/2006/relationships/image" Target="media/image206.png"/><Relationship Id="rId227" Type="http://schemas.openxmlformats.org/officeDocument/2006/relationships/image" Target="media/image207.png"/><Relationship Id="rId228" Type="http://schemas.openxmlformats.org/officeDocument/2006/relationships/image" Target="media/image208.png"/><Relationship Id="rId229" Type="http://schemas.openxmlformats.org/officeDocument/2006/relationships/image" Target="media/image209.png"/><Relationship Id="rId230" Type="http://schemas.openxmlformats.org/officeDocument/2006/relationships/image" Target="media/image210.png"/><Relationship Id="rId231" Type="http://schemas.openxmlformats.org/officeDocument/2006/relationships/image" Target="media/image211.png"/><Relationship Id="rId232" Type="http://schemas.openxmlformats.org/officeDocument/2006/relationships/image" Target="media/image212.png"/><Relationship Id="rId233" Type="http://schemas.openxmlformats.org/officeDocument/2006/relationships/image" Target="media/image213.png"/><Relationship Id="rId234" Type="http://schemas.openxmlformats.org/officeDocument/2006/relationships/image" Target="media/image214.png"/><Relationship Id="rId235" Type="http://schemas.openxmlformats.org/officeDocument/2006/relationships/image" Target="media/image215.png"/><Relationship Id="rId236" Type="http://schemas.openxmlformats.org/officeDocument/2006/relationships/image" Target="media/image216.png"/><Relationship Id="rId237" Type="http://schemas.openxmlformats.org/officeDocument/2006/relationships/image" Target="media/image217.png"/><Relationship Id="rId238" Type="http://schemas.openxmlformats.org/officeDocument/2006/relationships/image" Target="media/image218.png"/><Relationship Id="rId239" Type="http://schemas.openxmlformats.org/officeDocument/2006/relationships/image" Target="media/image219.png"/><Relationship Id="rId240" Type="http://schemas.openxmlformats.org/officeDocument/2006/relationships/image" Target="media/image220.png"/><Relationship Id="rId241" Type="http://schemas.openxmlformats.org/officeDocument/2006/relationships/image" Target="media/image221.png"/><Relationship Id="rId242" Type="http://schemas.openxmlformats.org/officeDocument/2006/relationships/image" Target="media/image222.png"/><Relationship Id="rId243" Type="http://schemas.openxmlformats.org/officeDocument/2006/relationships/image" Target="media/image223.png"/><Relationship Id="rId244" Type="http://schemas.openxmlformats.org/officeDocument/2006/relationships/image" Target="media/image224.png"/><Relationship Id="rId245" Type="http://schemas.openxmlformats.org/officeDocument/2006/relationships/image" Target="media/image225.png"/><Relationship Id="rId246" Type="http://schemas.openxmlformats.org/officeDocument/2006/relationships/image" Target="media/image226.png"/><Relationship Id="rId247" Type="http://schemas.openxmlformats.org/officeDocument/2006/relationships/image" Target="media/image227.png"/><Relationship Id="rId248" Type="http://schemas.openxmlformats.org/officeDocument/2006/relationships/image" Target="media/image228.png"/><Relationship Id="rId249" Type="http://schemas.openxmlformats.org/officeDocument/2006/relationships/image" Target="media/image229.png"/><Relationship Id="rId250" Type="http://schemas.openxmlformats.org/officeDocument/2006/relationships/image" Target="media/image230.png"/><Relationship Id="rId251" Type="http://schemas.openxmlformats.org/officeDocument/2006/relationships/image" Target="media/image231.png"/><Relationship Id="rId252" Type="http://schemas.openxmlformats.org/officeDocument/2006/relationships/image" Target="media/image232.png"/><Relationship Id="rId253" Type="http://schemas.openxmlformats.org/officeDocument/2006/relationships/image" Target="media/image233.png"/><Relationship Id="rId254" Type="http://schemas.openxmlformats.org/officeDocument/2006/relationships/image" Target="media/image234.png"/><Relationship Id="rId255" Type="http://schemas.openxmlformats.org/officeDocument/2006/relationships/image" Target="media/image235.png"/><Relationship Id="rId256" Type="http://schemas.openxmlformats.org/officeDocument/2006/relationships/image" Target="media/image236.png"/><Relationship Id="rId257" Type="http://schemas.openxmlformats.org/officeDocument/2006/relationships/image" Target="media/image237.png"/><Relationship Id="rId258" Type="http://schemas.openxmlformats.org/officeDocument/2006/relationships/image" Target="media/image238.png"/><Relationship Id="rId259" Type="http://schemas.openxmlformats.org/officeDocument/2006/relationships/image" Target="media/image239.png"/><Relationship Id="rId260" Type="http://schemas.openxmlformats.org/officeDocument/2006/relationships/image" Target="media/image240.png"/><Relationship Id="rId261" Type="http://schemas.openxmlformats.org/officeDocument/2006/relationships/image" Target="media/image241.png"/><Relationship Id="rId262" Type="http://schemas.openxmlformats.org/officeDocument/2006/relationships/image" Target="media/image242.png"/><Relationship Id="rId263" Type="http://schemas.openxmlformats.org/officeDocument/2006/relationships/image" Target="media/image243.jpeg"/><Relationship Id="rId264" Type="http://schemas.openxmlformats.org/officeDocument/2006/relationships/image" Target="media/image244.png"/><Relationship Id="rId265" Type="http://schemas.openxmlformats.org/officeDocument/2006/relationships/image" Target="media/image245.png"/><Relationship Id="rId266" Type="http://schemas.openxmlformats.org/officeDocument/2006/relationships/image" Target="media/image246.jpeg"/><Relationship Id="rId267" Type="http://schemas.openxmlformats.org/officeDocument/2006/relationships/image" Target="media/image247.png"/><Relationship Id="rId268" Type="http://schemas.openxmlformats.org/officeDocument/2006/relationships/image" Target="media/image248.jpeg"/><Relationship Id="rId269" Type="http://schemas.openxmlformats.org/officeDocument/2006/relationships/image" Target="media/image249.png"/><Relationship Id="rId270" Type="http://schemas.openxmlformats.org/officeDocument/2006/relationships/image" Target="media/image250.jpeg"/><Relationship Id="rId271" Type="http://schemas.openxmlformats.org/officeDocument/2006/relationships/image" Target="media/image251.png"/><Relationship Id="rId272" Type="http://schemas.openxmlformats.org/officeDocument/2006/relationships/image" Target="media/image252.jpeg"/><Relationship Id="rId273" Type="http://schemas.openxmlformats.org/officeDocument/2006/relationships/image" Target="media/image253.png"/><Relationship Id="rId274" Type="http://schemas.openxmlformats.org/officeDocument/2006/relationships/image" Target="media/image254.jpeg"/><Relationship Id="rId275" Type="http://schemas.openxmlformats.org/officeDocument/2006/relationships/image" Target="media/image255.png"/><Relationship Id="rId276" Type="http://schemas.openxmlformats.org/officeDocument/2006/relationships/image" Target="media/image256.png"/><Relationship Id="rId277" Type="http://schemas.openxmlformats.org/officeDocument/2006/relationships/image" Target="media/image257.png"/><Relationship Id="rId278" Type="http://schemas.openxmlformats.org/officeDocument/2006/relationships/image" Target="media/image258.png"/><Relationship Id="rId279" Type="http://schemas.openxmlformats.org/officeDocument/2006/relationships/image" Target="media/image259.png"/><Relationship Id="rId280" Type="http://schemas.openxmlformats.org/officeDocument/2006/relationships/image" Target="media/image260.png"/><Relationship Id="rId57" Type="http://schemas.openxmlformats.org/officeDocument/2006/relationships/hyperlink" Target="http://www.sec.gov/ix?doc=/Archives/edgar/data/1850270/000119312526113881/prok-20251231.htm" TargetMode="External"/><Relationship Id="rId58" Type="http://schemas.openxmlformats.org/officeDocument/2006/relationships/hyperlink" Target="http://www.sec.gov/ix?doc=/Archives/edgar/data/1850270/000119312526225841/prok-20260331.htm" TargetMode="External"/><Relationship Id="rId59" Type="http://schemas.openxmlformats.org/officeDocument/2006/relationships/hyperlink" Target="http://www.sec.gov/ix?doc=/Archives/edgar/data/1850270/000119312526342373/prok-20260630.htm" TargetMode="External"/><Relationship Id="rId60" Type="http://schemas.openxmlformats.org/officeDocument/2006/relationships/hyperlink" Target="http://www.sec.gov/ix?doc=/Archives/edgar/data/1850270/000114036126015362/ny20066059x1_def14a.htm" TargetMode="External"/><Relationship Id="rId61" Type="http://schemas.openxmlformats.org/officeDocument/2006/relationships/hyperlink" Target="http://www.sec.gov/ix?doc=/Archives/edgar/data/1850270/000119312526033594/prok-20260202.htm" TargetMode="External"/><Relationship Id="rId62" Type="http://schemas.openxmlformats.org/officeDocument/2006/relationships/hyperlink" Target="http://www.sec.gov/ix?doc=/Archives/edgar/data/1850270/000119312526225848/prok-20260515.htm" TargetMode="External"/><Relationship Id="rId63" Type="http://schemas.openxmlformats.org/officeDocument/2006/relationships/hyperlink" Target="http://www.sec.gov/ix?doc=/Archives/edgar/data/1850270/000119312526248210/prok-20260528.htm" TargetMode="External"/><Relationship Id="rId64" Type="http://schemas.openxmlformats.org/officeDocument/2006/relationships/hyperlink" Target="http://www.sec.gov/Archives/edgar/data/1850270/000119312526113881/prok-ex4_1.htm" TargetMode="External"/><Relationship Id="rId117" Type="http://schemas.openxmlformats.org/officeDocument/2006/relationships/hyperlink" Target="http://www.sec.gov/Archives/edgar/data/1850270/000119312522014862/d259568dex21.htm" TargetMode="External"/><Relationship Id="rId118" Type="http://schemas.openxmlformats.org/officeDocument/2006/relationships/hyperlink" Target="http://www.sec.gov/Archives/edgar/data/1850270/000114036125024839/ef20051439_ex3-1.htm" TargetMode="External"/><Relationship Id="rId119" Type="http://schemas.openxmlformats.org/officeDocument/2006/relationships/hyperlink" Target="http://www.sec.gov/Archives/edgar/data/1850270/000114036125024839/ef20051439_ex3-2.htm" TargetMode="External"/><Relationship Id="rId120" Type="http://schemas.openxmlformats.org/officeDocument/2006/relationships/hyperlink" Target="http://www.sec.gov/Archives/edgar/data/1850270/000114036125024839/ef20051439_ex4-1.htm" TargetMode="External"/><Relationship Id="rId121" Type="http://schemas.openxmlformats.org/officeDocument/2006/relationships/hyperlink" Target="http://www.sec.gov/Archives/edgar/data/1850270/000114036125024839/ef20051439_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2026-10-29T17:01:48Z</dcterms:created>
  <dcterms:modified xsi:type="dcterms:W3CDTF">2026-10-29T17:01:48Z</dcterms:modified>
</cp:coreProperties>
</file>