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5" w:lineRule="exact"/>
        <w:rPr>
          <w:sz w:val="24"/>
          <w:szCs w:val="24"/>
          <w:color w:val="auto"/>
        </w:rPr>
      </w:pPr>
    </w:p>
    <w:p>
      <w:pPr>
        <w:ind w:left="340" w:right="140"/>
        <w:spacing w:after="0" w:line="24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-217805</wp:posOffset>
            </wp:positionV>
            <wp:extent cx="117475" cy="1174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4"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-551815</wp:posOffset>
            </wp:positionV>
            <wp:extent cx="117475" cy="117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7475" cy="1174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0"/>
        </w:trPr>
        <w:tc>
          <w:tcPr>
            <w:tcW w:w="6160" w:type="dxa"/>
            <w:vAlign w:val="bottom"/>
          </w:tcPr>
          <w:p>
            <w:pPr>
              <w:jc w:val="center"/>
              <w:ind w:right="30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line="13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2"/>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28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5183505</wp:posOffset>
            </wp:positionH>
            <wp:positionV relativeFrom="paragraph">
              <wp:posOffset>-599440</wp:posOffset>
            </wp:positionV>
            <wp:extent cx="56515" cy="612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277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-599440</wp:posOffset>
            </wp:positionV>
            <wp:extent cx="56515" cy="612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277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636270</wp:posOffset>
            </wp:positionV>
            <wp:extent cx="6999605" cy="5158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9605" cy="5158105"/>
                    </a:xfrm>
                    <a:prstGeom prst="rect">
                      <a:avLst/>
                    </a:prstGeom>
                    <a:noFill/>
                  </pic:spPr>
                </pic:pic>
              </a:graphicData>
            </a:graphic>
          </wp:anchor>
        </w:drawing>
      </w:r>
    </w:p>
    <w:p>
      <w:pPr>
        <w:spacing w:after="0" w:line="1068" w:lineRule="exact"/>
        <w:rPr>
          <w:sz w:val="24"/>
          <w:szCs w:val="24"/>
          <w:color w:val="auto"/>
        </w:rPr>
      </w:pPr>
    </w:p>
    <w:p>
      <w:pPr>
        <w:sectPr>
          <w:pgSz w:w="11900" w:h="16838" w:orient="portrait"/>
          <w:cols w:equalWidth="0" w:num="2">
            <w:col w:w="2280" w:space="420"/>
            <w:col w:w="8380"/>
          </w:cols>
          <w:pgMar w:left="460" w:top="213"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right="380"/>
        <w:spacing w:after="0" w:line="238"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Control Empresarial de Capitales S.A. de</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C.V.</w:t>
        </w:r>
      </w:hyperlink>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(Last)</w:t>
            </w:r>
          </w:p>
        </w:tc>
        <w:tc>
          <w:tcPr>
            <w:tcW w:w="1160" w:type="dxa"/>
            <w:vAlign w:val="bottom"/>
          </w:tcPr>
          <w:p>
            <w:pPr>
              <w:ind w:left="180"/>
              <w:spacing w:after="0"/>
              <w:rPr>
                <w:sz w:val="20"/>
                <w:szCs w:val="20"/>
                <w:color w:val="auto"/>
              </w:rPr>
            </w:pPr>
            <w:r>
              <w:rPr>
                <w:rFonts w:ascii="Arial" w:cs="Arial" w:eastAsia="Arial" w:hAnsi="Arial"/>
                <w:sz w:val="12"/>
                <w:szCs w:val="12"/>
                <w:color w:val="auto"/>
              </w:rPr>
              <w:t>(First)</w:t>
            </w:r>
          </w:p>
        </w:tc>
        <w:tc>
          <w:tcPr>
            <w:tcW w:w="1440" w:type="dxa"/>
            <w:vAlign w:val="bottom"/>
          </w:tcPr>
          <w:p>
            <w:pPr>
              <w:ind w:left="240"/>
              <w:spacing w:after="0"/>
              <w:rPr>
                <w:sz w:val="20"/>
                <w:szCs w:val="20"/>
                <w:color w:val="auto"/>
              </w:rPr>
            </w:pPr>
            <w:r>
              <w:rPr>
                <w:rFonts w:ascii="Arial" w:cs="Arial" w:eastAsia="Arial" w:hAnsi="Arial"/>
                <w:sz w:val="12"/>
                <w:szCs w:val="12"/>
                <w:color w:val="auto"/>
              </w:rPr>
              <w:t>(Middle)</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PASEO DE LAS PALMAS 781, PISO 6</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22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LOMAS DE CHAPULTEPEC</w:t>
            </w: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10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6"/>
                <w:szCs w:val="16"/>
                <w:color w:val="0000FF"/>
              </w:rPr>
              <w:t>CIUDAD DE</w:t>
            </w:r>
          </w:p>
        </w:tc>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O5</w:t>
            </w:r>
          </w:p>
        </w:tc>
        <w:tc>
          <w:tcPr>
            <w:tcW w:w="144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rPr>
              <w:t>11000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MEXICO</w:t>
            </w:r>
          </w:p>
        </w:tc>
        <w:tc>
          <w:tcPr>
            <w:tcW w:w="11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36"/>
        </w:trPr>
        <w:tc>
          <w:tcPr>
            <w:tcW w:w="60" w:type="dxa"/>
            <w:vAlign w:val="bottom"/>
          </w:tcPr>
          <w:p>
            <w:pPr>
              <w:spacing w:after="0"/>
              <w:rPr>
                <w:sz w:val="11"/>
                <w:szCs w:val="11"/>
                <w:color w:val="auto"/>
              </w:rPr>
            </w:pPr>
          </w:p>
        </w:tc>
        <w:tc>
          <w:tcPr>
            <w:tcW w:w="3760" w:type="dxa"/>
            <w:vAlign w:val="bottom"/>
            <w:gridSpan w:val="3"/>
          </w:tcPr>
          <w:p>
            <w:pPr>
              <w:spacing w:after="0" w:line="136"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PROKIDNEY CORP.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PROK</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vMerge w:val="restart"/>
          </w:tcPr>
          <w:p>
            <w:pPr>
              <w:ind w:left="600"/>
              <w:spacing w:after="0"/>
              <w:rPr>
                <w:sz w:val="20"/>
                <w:szCs w:val="20"/>
                <w:color w:val="auto"/>
              </w:rPr>
            </w:pPr>
            <w:r>
              <w:rPr>
                <w:rFonts w:ascii="Arial" w:cs="Arial" w:eastAsia="Arial" w:hAnsi="Arial"/>
                <w:sz w:val="12"/>
                <w:szCs w:val="12"/>
                <w:color w:val="auto"/>
              </w:rPr>
              <w:t>Director</w:t>
            </w:r>
          </w:p>
        </w:tc>
        <w:tc>
          <w:tcPr>
            <w:tcW w:w="1480" w:type="dxa"/>
            <w:vAlign w:val="bottom"/>
            <w:vMerge w:val="restart"/>
          </w:tcPr>
          <w:p>
            <w:pPr>
              <w:ind w:left="36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41"/>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2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480" w:type="dxa"/>
            <w:vAlign w:val="bottom"/>
          </w:tcPr>
          <w:p>
            <w:pPr>
              <w:ind w:left="36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20" w:type="dxa"/>
            <w:vAlign w:val="bottom"/>
          </w:tcPr>
          <w:p>
            <w:pPr>
              <w:ind w:left="600"/>
              <w:spacing w:after="0"/>
              <w:rPr>
                <w:sz w:val="20"/>
                <w:szCs w:val="20"/>
                <w:color w:val="auto"/>
              </w:rPr>
            </w:pPr>
            <w:r>
              <w:rPr>
                <w:rFonts w:ascii="Arial" w:cs="Arial" w:eastAsia="Arial" w:hAnsi="Arial"/>
                <w:sz w:val="12"/>
                <w:szCs w:val="12"/>
                <w:color w:val="auto"/>
              </w:rPr>
              <w:t>below)</w:t>
            </w:r>
          </w:p>
        </w:tc>
        <w:tc>
          <w:tcPr>
            <w:tcW w:w="1480" w:type="dxa"/>
            <w:vAlign w:val="bottom"/>
          </w:tcPr>
          <w:p>
            <w:pPr>
              <w:ind w:left="36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65"/>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33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6"/>
                <w:szCs w:val="16"/>
                <w:color w:val="0000FF"/>
              </w:rPr>
              <w:t>Add'l Rep. Persons-see Ex.99-1</w:t>
            </w:r>
          </w:p>
        </w:tc>
        <w:tc>
          <w:tcPr>
            <w:tcW w:w="0" w:type="dxa"/>
            <w:vAlign w:val="bottom"/>
          </w:tcPr>
          <w:p>
            <w:pPr>
              <w:spacing w:after="0"/>
              <w:rPr>
                <w:sz w:val="1"/>
                <w:szCs w:val="1"/>
                <w:color w:val="auto"/>
              </w:rPr>
            </w:pPr>
          </w:p>
        </w:tc>
      </w:tr>
      <w:tr>
        <w:trPr>
          <w:trHeight w:val="147"/>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8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04/28/2026</w:t>
            </w:r>
          </w:p>
        </w:tc>
        <w:tc>
          <w:tcPr>
            <w:tcW w:w="20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9"/>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760" w:space="80"/>
            <w:col w:w="7240"/>
          </w:cols>
          <w:pgMar w:left="460" w:top="213" w:right="359" w:bottom="1440" w:gutter="0" w:footer="0" w:header="0"/>
          <w:type w:val="continuous"/>
        </w:sectPr>
      </w:pPr>
    </w:p>
    <w:p>
      <w:pPr>
        <w:spacing w:after="0" w:line="46" w:lineRule="exact"/>
        <w:rPr>
          <w:sz w:val="20"/>
          <w:szCs w:val="20"/>
          <w:color w:val="auto"/>
        </w:rPr>
      </w:pPr>
    </w:p>
    <w:p>
      <w:pPr>
        <w:ind w:left="100"/>
        <w:spacing w:after="0"/>
        <w:tabs>
          <w:tab w:leader="none" w:pos="1320" w:val="left"/>
          <w:tab w:leader="none" w:pos="254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20" w:type="dxa"/>
            <w:vAlign w:val="bottom"/>
            <w:gridSpan w:val="6"/>
          </w:tcPr>
          <w:p>
            <w:pPr>
              <w:jc w:val="center"/>
              <w:ind w:right="24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4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3"/>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2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700" w:type="dxa"/>
            <w:vAlign w:val="bottom"/>
            <w:gridSpan w:val="3"/>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86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42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Class A Common Shares (as defined in Exhibit</w:t>
            </w:r>
          </w:p>
        </w:tc>
        <w:tc>
          <w:tcPr>
            <w:tcW w:w="860" w:type="dxa"/>
            <w:vAlign w:val="bottom"/>
            <w:gridSpan w:val="2"/>
            <w:vMerge w:val="restart"/>
          </w:tcPr>
          <w:p>
            <w:pPr>
              <w:jc w:val="right"/>
              <w:ind w:right="67"/>
              <w:spacing w:after="0"/>
              <w:rPr>
                <w:sz w:val="20"/>
                <w:szCs w:val="20"/>
                <w:color w:val="auto"/>
              </w:rPr>
            </w:pPr>
            <w:r>
              <w:rPr>
                <w:rFonts w:ascii="Times New Roman" w:cs="Times New Roman" w:eastAsia="Times New Roman" w:hAnsi="Times New Roman"/>
                <w:sz w:val="16"/>
                <w:szCs w:val="16"/>
                <w:color w:val="0000FF"/>
                <w:w w:val="98"/>
              </w:rPr>
              <w:t>04/28/2026</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color w:val="0000FF"/>
              </w:rPr>
              <w:t>63,118,645</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86"/>
              </w:rPr>
              <w:t>A</w:t>
            </w:r>
          </w:p>
        </w:tc>
        <w:tc>
          <w:tcPr>
            <w:tcW w:w="200" w:type="dxa"/>
            <w:vAlign w:val="bottom"/>
          </w:tcPr>
          <w:p>
            <w:pPr>
              <w:spacing w:after="0"/>
              <w:rPr>
                <w:sz w:val="20"/>
                <w:szCs w:val="2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Pr>
          <w:p>
            <w:pPr>
              <w:spacing w:after="0"/>
              <w:rPr>
                <w:sz w:val="20"/>
                <w:szCs w:val="20"/>
                <w:color w:val="auto"/>
              </w:rPr>
            </w:pPr>
          </w:p>
        </w:tc>
        <w:tc>
          <w:tcPr>
            <w:tcW w:w="12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0000FF"/>
              </w:rPr>
              <w:t>73,842,723</w:t>
            </w:r>
            <w:r>
              <w:rPr>
                <w:rFonts w:ascii="Times New Roman" w:cs="Times New Roman" w:eastAsia="Times New Roman" w:hAnsi="Times New Roman"/>
                <w:sz w:val="20"/>
                <w:szCs w:val="20"/>
                <w:color w:val="008000"/>
                <w:vertAlign w:val="superscript"/>
              </w:rPr>
              <w:t>(2)</w:t>
            </w:r>
          </w:p>
        </w:tc>
        <w:tc>
          <w:tcPr>
            <w:tcW w:w="260" w:type="dxa"/>
            <w:vAlign w:val="bottom"/>
          </w:tcPr>
          <w:p>
            <w:pPr>
              <w:spacing w:after="0"/>
              <w:rPr>
                <w:sz w:val="20"/>
                <w:szCs w:val="20"/>
                <w:color w:val="auto"/>
              </w:rPr>
            </w:pP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32"/>
                <w:szCs w:val="32"/>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99.1 hereto)</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1880" w:type="dxa"/>
            <w:vAlign w:val="bottom"/>
            <w:tcBorders>
              <w:bottom w:val="single" w:sz="8" w:color="2C2C2C"/>
            </w:tcBorders>
            <w:gridSpan w:val="3"/>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680" w:type="dxa"/>
            <w:vAlign w:val="bottom"/>
            <w:tcBorders>
              <w:bottom w:val="single" w:sz="8" w:color="2C2C2C"/>
            </w:tcBorders>
            <w:gridSpan w:val="2"/>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320" w:type="dxa"/>
            <w:vAlign w:val="bottom"/>
            <w:tcBorders>
              <w:top w:val="single" w:sz="8" w:color="2C2C2C"/>
            </w:tcBorders>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60" w:type="dxa"/>
            <w:vAlign w:val="bottom"/>
            <w:gridSpan w:val="12"/>
          </w:tcPr>
          <w:p>
            <w:pPr>
              <w:ind w:left="8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80" w:type="dxa"/>
            <w:vAlign w:val="bottom"/>
            <w:tcBorders>
              <w:right w:val="single" w:sz="8" w:color="2C2C2C"/>
            </w:tcBorders>
            <w:gridSpan w:val="4"/>
          </w:tcPr>
          <w:p>
            <w:pPr>
              <w:ind w:left="12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8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8)</w:t>
            </w: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3, 4 and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80" w:type="dxa"/>
            <w:vAlign w:val="bottom"/>
            <w:tcBorders>
              <w:right w:val="single" w:sz="8" w:color="2C2C2C"/>
            </w:tcBorders>
            <w:gridSpan w:val="4"/>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20" w:type="dxa"/>
            <w:vAlign w:val="bottom"/>
          </w:tcPr>
          <w:p>
            <w:pPr>
              <w:spacing w:after="0"/>
              <w:rPr>
                <w:sz w:val="13"/>
                <w:szCs w:val="13"/>
                <w:color w:val="auto"/>
              </w:rPr>
            </w:pPr>
          </w:p>
        </w:tc>
        <w:tc>
          <w:tcPr>
            <w:tcW w:w="8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C</w:t>
            </w:r>
            <w:r>
              <w:rPr>
                <w:rFonts w:ascii="Times New Roman" w:cs="Times New Roman" w:eastAsia="Times New Roman" w:hAnsi="Times New Roman"/>
                <w:sz w:val="10"/>
                <w:szCs w:val="10"/>
                <w:color w:val="008000"/>
              </w:rPr>
              <w:t>(1)</w:t>
            </w:r>
          </w:p>
        </w:tc>
        <w:tc>
          <w:tcPr>
            <w:tcW w:w="960" w:type="dxa"/>
            <w:vAlign w:val="bottom"/>
          </w:tcPr>
          <w:p>
            <w:pPr>
              <w:spacing w:after="0"/>
              <w:rPr>
                <w:sz w:val="14"/>
                <w:szCs w:val="14"/>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(4)</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54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63,118,645</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24"/>
                <w:szCs w:val="24"/>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right"/>
              <w:ind w:right="182"/>
              <w:spacing w:after="0" w:line="137" w:lineRule="exact"/>
              <w:rPr>
                <w:sz w:val="20"/>
                <w:szCs w:val="20"/>
                <w:color w:val="auto"/>
              </w:rPr>
            </w:pPr>
            <w:r>
              <w:rPr>
                <w:rFonts w:ascii="Times New Roman" w:cs="Times New Roman" w:eastAsia="Times New Roman" w:hAnsi="Times New Roman"/>
                <w:sz w:val="12"/>
                <w:szCs w:val="12"/>
                <w:color w:val="0000FF"/>
              </w:rPr>
              <w:t>04/28/2026</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tcPr>
          <w:p>
            <w:pPr>
              <w:ind w:left="320"/>
              <w:spacing w:after="0" w:line="137" w:lineRule="exact"/>
              <w:rPr>
                <w:sz w:val="20"/>
                <w:szCs w:val="20"/>
                <w:color w:val="auto"/>
              </w:rPr>
            </w:pPr>
            <w:r>
              <w:rPr>
                <w:rFonts w:ascii="Times New Roman" w:cs="Times New Roman" w:eastAsia="Times New Roman" w:hAnsi="Times New Roman"/>
                <w:sz w:val="12"/>
                <w:szCs w:val="12"/>
                <w:color w:val="0000FF"/>
              </w:rPr>
              <w:t>63,118,645</w:t>
            </w:r>
          </w:p>
        </w:tc>
        <w:tc>
          <w:tcPr>
            <w:tcW w:w="74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40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26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Shares</w:t>
            </w:r>
          </w:p>
        </w:tc>
        <w:tc>
          <w:tcPr>
            <w:tcW w:w="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jc w:val="center"/>
              <w:ind w:left="2"/>
              <w:spacing w:after="0"/>
              <w:rPr>
                <w:sz w:val="20"/>
                <w:szCs w:val="20"/>
                <w:color w:val="auto"/>
              </w:rPr>
            </w:pPr>
            <w:r>
              <w:rPr>
                <w:rFonts w:ascii="Times New Roman" w:cs="Times New Roman" w:eastAsia="Times New Roman" w:hAnsi="Times New Roman"/>
                <w:sz w:val="12"/>
                <w:szCs w:val="12"/>
                <w:color w:val="0000FF"/>
                <w:w w:val="99"/>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vMerge w:val="restart"/>
          </w:tcPr>
          <w:p>
            <w:pPr>
              <w:jc w:val="center"/>
              <w:ind w:left="2"/>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Units in</w:t>
            </w:r>
          </w:p>
        </w:tc>
        <w:tc>
          <w:tcPr>
            <w:tcW w:w="7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(3)</w:t>
            </w:r>
          </w:p>
        </w:tc>
        <w:tc>
          <w:tcPr>
            <w:tcW w:w="1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restart"/>
          </w:tcPr>
          <w:p>
            <w:pPr>
              <w:ind w:left="100"/>
              <w:spacing w:after="0" w:line="198" w:lineRule="exact"/>
              <w:rPr>
                <w:sz w:val="20"/>
                <w:szCs w:val="20"/>
                <w:color w:val="auto"/>
              </w:rPr>
            </w:pPr>
            <w:r>
              <w:rPr>
                <w:rFonts w:ascii="Times New Roman" w:cs="Times New Roman" w:eastAsia="Times New Roman" w:hAnsi="Times New Roman"/>
                <w:sz w:val="22"/>
                <w:szCs w:val="22"/>
                <w:color w:val="0000FF"/>
                <w:vertAlign w:val="subscript"/>
              </w:rPr>
              <w:t>C</w:t>
            </w:r>
            <w:r>
              <w:rPr>
                <w:rFonts w:ascii="Times New Roman" w:cs="Times New Roman" w:eastAsia="Times New Roman" w:hAnsi="Times New Roman"/>
                <w:sz w:val="10"/>
                <w:szCs w:val="10"/>
                <w:color w:val="008000"/>
              </w:rPr>
              <w:t>(1)</w:t>
            </w:r>
          </w:p>
        </w:tc>
        <w:tc>
          <w:tcPr>
            <w:tcW w:w="960" w:type="dxa"/>
            <w:vAlign w:val="bottom"/>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(5)</w:t>
            </w: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63,118,645</w:t>
            </w:r>
          </w:p>
        </w:tc>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restart"/>
          </w:tcPr>
          <w:p>
            <w:pPr>
              <w:ind w:left="300"/>
              <w:spacing w:after="0" w:line="198"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(6)</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40" w:type="dxa"/>
            <w:vAlign w:val="bottom"/>
            <w:vMerge w:val="restart"/>
          </w:tcPr>
          <w:p>
            <w:pPr>
              <w:jc w:val="right"/>
              <w:ind w:right="182"/>
              <w:spacing w:after="0" w:line="137" w:lineRule="exact"/>
              <w:rPr>
                <w:sz w:val="20"/>
                <w:szCs w:val="20"/>
                <w:color w:val="auto"/>
              </w:rPr>
            </w:pPr>
            <w:r>
              <w:rPr>
                <w:rFonts w:ascii="Times New Roman" w:cs="Times New Roman" w:eastAsia="Times New Roman" w:hAnsi="Times New Roman"/>
                <w:sz w:val="12"/>
                <w:szCs w:val="12"/>
                <w:color w:val="0000FF"/>
              </w:rPr>
              <w:t>04/28/2026</w:t>
            </w: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96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63,118,645</w:t>
            </w:r>
          </w:p>
        </w:tc>
        <w:tc>
          <w:tcPr>
            <w:tcW w:w="74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restart"/>
          </w:tcPr>
          <w:p>
            <w:pPr>
              <w:ind w:left="26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400"/>
              <w:spacing w:after="0" w:line="137" w:lineRule="exact"/>
              <w:rPr>
                <w:sz w:val="20"/>
                <w:szCs w:val="20"/>
                <w:color w:val="auto"/>
              </w:rPr>
            </w:pPr>
            <w:r>
              <w:rPr>
                <w:rFonts w:ascii="Times New Roman" w:cs="Times New Roman" w:eastAsia="Times New Roman" w:hAnsi="Times New Roman"/>
                <w:sz w:val="12"/>
                <w:szCs w:val="12"/>
                <w:color w:val="0000FF"/>
              </w:rPr>
              <w:t>0</w:t>
            </w: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ProKidney</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jc w:val="center"/>
              <w:ind w:left="2"/>
              <w:spacing w:after="0"/>
              <w:rPr>
                <w:sz w:val="20"/>
                <w:szCs w:val="20"/>
                <w:color w:val="auto"/>
              </w:rPr>
            </w:pPr>
            <w:r>
              <w:rPr>
                <w:rFonts w:ascii="Times New Roman" w:cs="Times New Roman" w:eastAsia="Times New Roman" w:hAnsi="Times New Roman"/>
                <w:sz w:val="12"/>
                <w:szCs w:val="12"/>
                <w:color w:val="0000FF"/>
                <w:w w:val="99"/>
              </w:rPr>
              <w:t>Shares</w:t>
            </w: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LLC</w:t>
            </w: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-2033905</wp:posOffset>
            </wp:positionV>
            <wp:extent cx="28575" cy="2038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3898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00" w:hanging="4"/>
        <w:spacing w:after="0" w:line="245"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Prior to April 28, 2026 (the "Transaction Date"), the reporting persons beneficially owned 63,118,645 Class B Common Shares, $0.0001 par value per share (the "Class B Common Shares") of ProKidney Corp. (the "Issuer"), each of which may, subject to the limitations set forth in the Amended and Restated Exchange Agreement (the "Exchange Agreement") and the Second Amended and Restated Limited Liability Company Agreement of ProKidney Holdings, be exchanged, together with the paired common unit (a "Common Unit," and together with the Class B Common Shares, the "Paired Interests") in ProKidney Holdings, LLC ( "ProKidney LLC"), for a Class A Common Share on a one-for-one basis. Prior to the Transaction Date, the reporting person owned 63,118,645 Paired Interests. On the Transaction Date, the reporting person exchanged 63,118,645 Paired Interests for 63,118,645 Class A Common Shares.</w:t>
      </w:r>
    </w:p>
    <w:p>
      <w:pPr>
        <w:spacing w:after="0" w:line="2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Form 4 filed by the reporting person on March 16, 2024 and prior to the date hereof inadvertently aggregated 63,118,645 Paired Interests in Table I.</w:t>
      </w:r>
    </w:p>
    <w:p>
      <w:pPr>
        <w:spacing w:after="0" w:line="47" w:lineRule="exact"/>
        <w:rPr>
          <w:rFonts w:ascii="Times New Roman" w:cs="Times New Roman" w:eastAsia="Times New Roman" w:hAnsi="Times New Roman"/>
          <w:sz w:val="12"/>
          <w:szCs w:val="12"/>
          <w:color w:val="008000"/>
        </w:rPr>
      </w:pPr>
    </w:p>
    <w:p>
      <w:pPr>
        <w:ind w:left="40" w:right="200" w:hanging="4"/>
        <w:spacing w:after="0" w:line="27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At the election of the reporting person and subject to the limitations set forth in the Exchange Agreement, each Class B Common Share, together with a paired Common Unit, may be exchanged for a Class A Common Share on a one-for-one basis.</w:t>
      </w:r>
    </w:p>
    <w:p>
      <w:pPr>
        <w:spacing w:after="0" w:line="5" w:lineRule="exact"/>
        <w:rPr>
          <w:rFonts w:ascii="Times New Roman" w:cs="Times New Roman" w:eastAsia="Times New Roman" w:hAnsi="Times New Roman"/>
          <w:sz w:val="12"/>
          <w:szCs w:val="12"/>
          <w:color w:val="008000"/>
        </w:rPr>
      </w:pPr>
    </w:p>
    <w:p>
      <w:pPr>
        <w:ind w:left="40" w:right="200" w:hanging="4"/>
        <w:spacing w:after="0" w:line="274" w:lineRule="auto"/>
        <w:tabs>
          <w:tab w:leader="none" w:pos="163"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Class B Common Shares were received pursuant to the terms of the Business Combination Agreement by and between the Issuer (formerly known as Social Capital Suvretta Holdings Corp. III) and ProKidney LP, dated as of January 18, 2022 (the "Business Combination Agreement"), in exchange for historical interests held by the reporting person in ProKidney LP. The Class B Common Shares do not expire.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Common Units were received pursuant to the terms of the Business Combination Agreement in exchange for historical interests held by the reporting person in ProKidney LP. The Common Units do not expire.</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See attached Exhibit 99.1 to this Form 4, which is hereby incorporated herein by reference.</w:t>
      </w:r>
    </w:p>
    <w:p>
      <w:pPr>
        <w:spacing w:after="0" w:line="61"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Victor Manuel Gutierrez</w:t>
            </w: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04/30/2026</w:t>
            </w:r>
          </w:p>
        </w:tc>
        <w:tc>
          <w:tcPr>
            <w:tcW w:w="0" w:type="dxa"/>
            <w:vAlign w:val="bottom"/>
          </w:tcPr>
          <w:p>
            <w:pPr>
              <w:spacing w:after="0"/>
              <w:rPr>
                <w:sz w:val="1"/>
                <w:szCs w:val="1"/>
                <w:color w:val="auto"/>
              </w:rPr>
            </w:pPr>
          </w:p>
        </w:tc>
      </w:tr>
      <w:tr>
        <w:trPr>
          <w:trHeight w:val="84"/>
        </w:trPr>
        <w:tc>
          <w:tcPr>
            <w:tcW w:w="1560" w:type="dxa"/>
            <w:vAlign w:val="bottom"/>
            <w:tcBorders>
              <w:top w:val="single" w:sz="8" w:color="auto"/>
              <w:bottom w:val="single" w:sz="8" w:color="auto"/>
            </w:tcBorders>
            <w:vMerge w:val="restart"/>
          </w:tcPr>
          <w:p>
            <w:pPr>
              <w:spacing w:after="0" w:line="178" w:lineRule="exact"/>
              <w:rPr>
                <w:sz w:val="20"/>
                <w:szCs w:val="20"/>
                <w:color w:val="auto"/>
              </w:rPr>
            </w:pPr>
            <w:r>
              <w:rPr>
                <w:rFonts w:ascii="Times New Roman" w:cs="Times New Roman" w:eastAsia="Times New Roman" w:hAnsi="Times New Roman"/>
                <w:sz w:val="16"/>
                <w:szCs w:val="16"/>
                <w:color w:val="0000FF"/>
                <w:w w:val="98"/>
              </w:rPr>
              <w:t>Lopez, Attorney-in-Fact</w:t>
            </w:r>
          </w:p>
        </w:tc>
        <w:tc>
          <w:tcPr>
            <w:tcW w:w="200" w:type="dxa"/>
            <w:vAlign w:val="bottom"/>
            <w:tcBorders>
              <w:top w:val="single" w:sz="8" w:color="auto"/>
              <w:bottom w:val="single" w:sz="8" w:color="auto"/>
            </w:tcBorders>
            <w:vMerge w:val="restart"/>
          </w:tcPr>
          <w:p>
            <w:pPr>
              <w:spacing w:after="0"/>
              <w:rPr>
                <w:sz w:val="6"/>
                <w:szCs w:val="6"/>
                <w:color w:val="auto"/>
              </w:rPr>
            </w:pPr>
          </w:p>
        </w:tc>
        <w:tc>
          <w:tcPr>
            <w:tcW w:w="44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1560" w:type="dxa"/>
            <w:vAlign w:val="bottom"/>
            <w:tcBorders>
              <w:bottom w:val="single" w:sz="8" w:color="auto"/>
            </w:tcBorders>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40" w:right="3920" w:hanging="4"/>
        <w:spacing w:after="0" w:line="321" w:lineRule="auto"/>
        <w:tabs>
          <w:tab w:leader="none" w:pos="17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3" w:right="359" w:bottom="1440" w:gutter="0" w:footer="0" w:header="0"/>
          <w:type w:val="continuous"/>
        </w:sectPr>
      </w:pPr>
    </w:p>
    <w:bookmarkStart w:id="1" w:name="page2"/>
    <w:bookmarkEnd w:id="1"/>
    <w:p>
      <w:pPr>
        <w:ind w:left="100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291465</wp:posOffset>
            </wp:positionH>
            <wp:positionV relativeFrom="page">
              <wp:posOffset>88900</wp:posOffset>
            </wp:positionV>
            <wp:extent cx="6974205"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74205" cy="31115"/>
                    </a:xfrm>
                    <a:prstGeom prst="rect">
                      <a:avLst/>
                    </a:prstGeom>
                    <a:noFill/>
                  </pic:spPr>
                </pic:pic>
              </a:graphicData>
            </a:graphic>
          </wp:anchor>
        </w:drawing>
        <w:t>Exhibit 99.1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Name and Address of Additional Reporting Persons:</w:t>
      </w:r>
    </w:p>
    <w:p>
      <w:pPr>
        <w:spacing w:after="0" w:line="211" w:lineRule="exact"/>
        <w:rPr>
          <w:sz w:val="20"/>
          <w:szCs w:val="20"/>
          <w:color w:val="auto"/>
        </w:rPr>
      </w:pPr>
    </w:p>
    <w:p>
      <w:pPr>
        <w:ind w:right="260"/>
        <w:spacing w:after="0" w:line="297" w:lineRule="auto"/>
        <w:rPr>
          <w:sz w:val="20"/>
          <w:szCs w:val="20"/>
          <w:color w:val="auto"/>
        </w:rPr>
      </w:pPr>
      <w:r>
        <w:rPr>
          <w:rFonts w:ascii="Times New Roman" w:cs="Times New Roman" w:eastAsia="Times New Roman" w:hAnsi="Times New Roman"/>
          <w:sz w:val="16"/>
          <w:szCs w:val="16"/>
          <w:color w:val="auto"/>
        </w:rPr>
        <w:t>Mr. Carlos Slim Helú, Mr. Carlos Slim Domit, Mr. Marco Antonio Slim Domit, Mr. Patrick Slim Domit, Ms. María Soumaya Slim Domit, Ms. Vanessa Paola Slim Domit and Ms. Johanna Monique Slim Domit (collectively, the “Slim Family”), each with the following address: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Paseo de Las Palmas #736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Colonia Lomas de Chapultepec</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11000 Ciudad de México, México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Explanation of Responses: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Beneficial Ownership</w:t>
      </w:r>
    </w:p>
    <w:p>
      <w:pPr>
        <w:spacing w:after="0" w:line="21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6"/>
          <w:szCs w:val="16"/>
          <w:color w:val="auto"/>
        </w:rPr>
        <w:t>As of the date of this filing, (i) Control Empresarial de Capitales S.A. de C.V. (“Control Empresarial”) owns 73,842,723 shares of Class A Common Stock, $0.0001 par value per share (the “Class A Common Shares”) and (ii) the Slim Family, which are beneficiaries of a Mexican trust that in turn owns all of the issued and outstanding voting equity securities of Control Empresarial, may be deemed to beneficially own indirectly the Class A Common Shares beneficially owned by Control Empresarial. The Class A Common Shares beneficially owned by Control Empresarial constitute approximately 36.0% of the 205,061,550 Class A Common Shares issued and outstanding, which is the sum of (i) 141,942,905 shares of Class A Common Stock outstanding as of March 17, 2026, as disclosed in the Issuer’s Annual Report on Form 10-K filed with the SEC on March 18, 2026 and (ii) 63,118,645 shares of Class A Common Stock issued by the Issuer to Control Empresarial upon exchange of the Paired Interests (as defined above) held by Control Empresarial on the Transaction Date (as defined above). As a result, the Slim Family may also be deemed to beneficially own approximately 36.0% of the 205,061,550 Class A Common Shares issued and outstanding, which is the sum of (i) 141,942,905 shares of Class A Common Stock outstanding as of March 17, 2026, as disclosed in the Issuer’s Annual Report on Form 10-K filed with the SEC on March 18, 2026 and (ii) 63,118,645 shares of Class A Common Stock issued by the Issuer to Control Empresarial upon exchange of the Paired Interests (as defined above) held by Control Empresarial on the Transaction Date (as defined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6974205"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74205" cy="15875"/>
                    </a:xfrm>
                    <a:prstGeom prst="rect">
                      <a:avLst/>
                    </a:prstGeom>
                    <a:noFill/>
                  </pic:spPr>
                </pic:pic>
              </a:graphicData>
            </a:graphic>
          </wp:anchor>
        </w:drawing>
      </w:r>
    </w:p>
    <w:p>
      <w:pPr>
        <w:sectPr>
          <w:pgSz w:w="11900" w:h="16838" w:orient="portrait"/>
          <w:cols w:equalWidth="0" w:num="1">
            <w:col w:w="10980"/>
          </w:cols>
          <w:pgMar w:left="460" w:top="255" w:right="4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636270</wp:posOffset>
            </wp:positionH>
            <wp:positionV relativeFrom="page">
              <wp:posOffset>464820</wp:posOffset>
            </wp:positionV>
            <wp:extent cx="18726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Carlos Slim Helú</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144145</wp:posOffset>
            </wp:positionV>
            <wp:extent cx="18726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216"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Carlos Slim Domit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160020</wp:posOffset>
            </wp:positionV>
            <wp:extent cx="187261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240"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Marco Antonio Slim Domit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144145</wp:posOffset>
            </wp:positionV>
            <wp:extent cx="187261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216"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Patrick Slim Domit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144145</wp:posOffset>
            </wp:positionV>
            <wp:extent cx="18726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216"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María Soumaya Slim Domit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144145</wp:posOffset>
            </wp:positionV>
            <wp:extent cx="187261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216"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Vanessa Paola Slim Domit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144145</wp:posOffset>
            </wp:positionV>
            <wp:extent cx="187261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216"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Johanna Monique Slim Domit</w:t>
      </w:r>
    </w:p>
    <w:p>
      <w:pPr>
        <w:spacing w:after="0" w:line="211"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CONTROL EMPRESARIAL DE</w:t>
      </w:r>
    </w:p>
    <w:p>
      <w:pPr>
        <w:spacing w:after="0" w:line="31"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CAPITALES S.A. DE 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wp:posOffset>
            </wp:positionH>
            <wp:positionV relativeFrom="paragraph">
              <wp:posOffset>133350</wp:posOffset>
            </wp:positionV>
            <wp:extent cx="18726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1872615" cy="15875"/>
                    </a:xfrm>
                    <a:prstGeom prst="rect">
                      <a:avLst/>
                    </a:prstGeom>
                    <a:noFill/>
                  </pic:spPr>
                </pic:pic>
              </a:graphicData>
            </a:graphic>
          </wp:anchor>
        </w:drawing>
      </w:r>
    </w:p>
    <w:p>
      <w:pPr>
        <w:spacing w:after="0" w:line="198"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By: Víctor Manuel Gutierrez Lopez</w:t>
      </w:r>
    </w:p>
    <w:p>
      <w:pPr>
        <w:spacing w:after="0" w:line="31" w:lineRule="exact"/>
        <w:rPr>
          <w:sz w:val="20"/>
          <w:szCs w:val="20"/>
          <w:color w:val="auto"/>
        </w:rPr>
      </w:pPr>
    </w:p>
    <w:p>
      <w:pPr>
        <w:ind w:left="541"/>
        <w:spacing w:after="0"/>
        <w:rPr>
          <w:sz w:val="20"/>
          <w:szCs w:val="20"/>
          <w:color w:val="auto"/>
        </w:rPr>
      </w:pPr>
      <w:r>
        <w:rPr>
          <w:rFonts w:ascii="Times New Roman" w:cs="Times New Roman" w:eastAsia="Times New Roman" w:hAnsi="Times New Roman"/>
          <w:sz w:val="16"/>
          <w:szCs w:val="16"/>
          <w:color w:val="auto"/>
        </w:rPr>
        <w:t>Title: Attorney-in-Fact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16"/>
          <w:szCs w:val="16"/>
          <w:b w:val="1"/>
          <w:bCs w:val="1"/>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146685</wp:posOffset>
            </wp:positionV>
            <wp:extent cx="15875" cy="26485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1587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/s/ Victor Manuel Gutierrez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34925</wp:posOffset>
            </wp:positionV>
            <wp:extent cx="217043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170430" cy="15875"/>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Victor Manuel Gutierrez Lopez</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Attorney-in-Fact</w:t>
      </w:r>
      <w:r>
        <w:rPr>
          <w:rFonts w:ascii="Times New Roman" w:cs="Times New Roman" w:eastAsia="Times New Roman" w:hAnsi="Times New Roman"/>
          <w:sz w:val="16"/>
          <w:szCs w:val="16"/>
          <w:color w:val="auto"/>
        </w:rPr>
        <w:t>*</w:t>
      </w:r>
    </w:p>
    <w:p>
      <w:pPr>
        <w:spacing w:after="0" w:line="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April 30, 2026</w:t>
      </w:r>
    </w:p>
    <w:p>
      <w:pPr>
        <w:spacing w:after="0" w:line="2894" w:lineRule="exact"/>
        <w:rPr>
          <w:sz w:val="20"/>
          <w:szCs w:val="20"/>
          <w:color w:val="auto"/>
        </w:rPr>
      </w:pPr>
    </w:p>
    <w:p>
      <w:pPr>
        <w:sectPr>
          <w:pgSz w:w="11900" w:h="16838" w:orient="portrait"/>
          <w:cols w:equalWidth="0" w:num="2">
            <w:col w:w="4281" w:space="720"/>
            <w:col w:w="5980"/>
          </w:cols>
          <w:pgMar w:left="459" w:top="119" w:right="459" w:bottom="1440" w:gutter="0" w:footer="0" w:header="0"/>
        </w:sectPr>
      </w:pPr>
    </w:p>
    <w:p>
      <w:pPr>
        <w:ind w:left="1" w:hanging="1"/>
        <w:spacing w:after="0" w:line="278" w:lineRule="auto"/>
        <w:tabs>
          <w:tab w:leader="none" w:pos="124"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 xml:space="preserve">See </w:t>
      </w:r>
      <w:r>
        <w:rPr>
          <w:rFonts w:ascii="Times New Roman" w:cs="Times New Roman" w:eastAsia="Times New Roman" w:hAnsi="Times New Roman"/>
          <w:sz w:val="16"/>
          <w:szCs w:val="16"/>
          <w:color w:val="auto"/>
        </w:rPr>
        <w:t>the Powers of Attorney for the members of the Slim Family and Control Empresarial, which are filed as exhibits to the Schedule 13D/A filed by the Slim Family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Control Empresarial with the SEC on March 4, 2026 in connection with their beneficial ownership of shares of Class A Common Stock, $0.001 par value per share of PBF Energy Inc., are hereby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697420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6974205" cy="15875"/>
                    </a:xfrm>
                    <a:prstGeom prst="rect">
                      <a:avLst/>
                    </a:prstGeom>
                    <a:noFill/>
                  </pic:spPr>
                </pic:pic>
              </a:graphicData>
            </a:graphic>
          </wp:anchor>
        </w:drawing>
      </w:r>
    </w:p>
    <w:sectPr>
      <w:pgSz w:w="11900" w:h="16838" w:orient="portrait"/>
      <w:cols w:equalWidth="0" w:num="1">
        <w:col w:w="10981"/>
      </w:cols>
      <w:pgMar w:left="459" w:top="119"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13" Type="http://schemas.openxmlformats.org/officeDocument/2006/relationships/hyperlink" Target="http://www.sec.gov/cgi-bin/browse-edgar?action=getcompany&amp;CIK=0001273693" TargetMode="External"/><Relationship Id="rId14" Type="http://schemas.openxmlformats.org/officeDocument/2006/relationships/hyperlink" Target="http://www.sec.gov/cgi-bin/browse-edgar?action=getcompany&amp;CIK=00018502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2026-04-30T15:27:09Z</dcterms:created>
  <dcterms:modified xsi:type="dcterms:W3CDTF">2026-04-30T15:27:09Z</dcterms:modified>
</cp:coreProperties>
</file>