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PROKIDNEY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001-40560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98-1586514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2000 Frontis Plaza Blvd.</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Suite 250</w:t>
      </w:r>
    </w:p>
    <w:p>
      <w:pPr>
        <w:spacing w:after="0" w:line="9"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Winston-Salem, North Carolina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27103</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336 999-7019</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PROK</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8"/>
          <w:szCs w:val="18"/>
          <w:color w:val="auto"/>
        </w:rPr>
        <w:t>On October 29, 2026, ProKidney Corp. (the “Company”) entered into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(the “Sales Agreement”) with Jefferies LLC (the “Sales Agent”), pursuant to which the Company may offer and sell, from time to time, shares (the “Shares”) of its Class A common stock, par value $0.0001 per share, through the Sales Agent, acting as agent.</w:t>
      </w:r>
    </w:p>
    <w:p>
      <w:pPr>
        <w:spacing w:after="0" w:line="19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Pursuant to the Sales Agreement, sales of the Shares may be made by any method permitted that is deemed to be an “at the market” offering as defined in Rule 415(a)(4) under the Securities Act of 1933, as amended (the “Securities Act”), in ordinary brokers’ transactions, to or through a market maker, on or through The Nasdaq Capital Market or any other market venue where the securities may be traded, in the over-the-counter market, in privately negotiated transactions or through a combination of any such methods of sale. Under the Sales Agreement, the Sales Agent will be entitled to compensation of up to 3.0% of the gross offering proceeds of all Shares sold through it pursuant to the Sales Agreement. The Company also will reimburse the Sales Agent for certain specified expenses in connection with entering into the Sales Agreement and certain ongoing expenses. The Company has no obligation to sell any of the Shares under the Sales Agreement and may at any time and from time to time suspend the offering of the Shares under the Sales Agreement.</w:t>
      </w:r>
    </w:p>
    <w:p>
      <w:pPr>
        <w:spacing w:after="0" w:line="19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The Sales Agreement contains customary representations, warranties and covenants by the Company. The Company also agreed to provide indemnification and contribution to the Sales Agent against certain liabilities, including under the Securities Act and the Securities Exchange Act of 1934, as amended. From time to time, in the ordinary course of business, the Sales Agent has provided, and in the future may provide, various financial advisory and investment banking services to the Company, for which they have received or will receive customary fees and reimbursement of expenses.</w:t>
      </w:r>
    </w:p>
    <w:p>
      <w:pPr>
        <w:spacing w:after="0" w:line="1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issuance and sale, if any, of the Shares under the Sales Agreement is subject to the effectiveness of the Company’s shelf registration statement on Form S-3, which was filed with the United States Securities and Exchange Commission (the “SEC”) on October 29, 2026 (the “Registration Statement”), including the prospectus of the Company relating to the offering and sale by the Company of the Shares under the Sales Agreement (the “Sales Agreement Prospectus”). The Company makes no assurances as to whether the Registration Statement will become effective or, if it does become effective, as to the continued effectiveness of the Registration Statement. Once the Registration Statement is effective, the Company may offer and sell Shares pursuant to the Sales Agreement Prospectus of up to a maximum aggregate offering price of $200,000,000 from time to time under the Sales Agreement with the Sales Agent.</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certain provisions of the Sales Agreement does not purport to be complete and is qualified in its entirety by reference to the Sales Agreement, which was previously filed as Exhibit 1.2 to the Company’s Registration Statement and is incorporated herein by reference.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legal opinion of Mintz, Levin, Cohn, Ferris, Glovsky &amp; Popeo, P.C., counsel to the Company, relating to the validity of the Shares was previously filed as Exhibit 5.1 to the Company’s Registration Statement and is incorporated herein by reference.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Shares, nor shall there be any offer, solicitation, or sale of the Shares in any jurisdiction in which such offer, solicitation or sale would be unlawful prior to registration or qualification under the securities laws of any such jurisdiction.</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14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29"/>
        </w:trPr>
        <w:tc>
          <w:tcPr>
            <w:tcW w:w="7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tcPr>
          <w:p>
            <w:pPr>
              <w:spacing w:after="0"/>
              <w:rPr>
                <w:sz w:val="19"/>
                <w:szCs w:val="19"/>
                <w:color w:val="auto"/>
              </w:rPr>
            </w:pPr>
          </w:p>
        </w:tc>
        <w:tc>
          <w:tcPr>
            <w:tcW w:w="2140" w:type="dxa"/>
            <w:vAlign w:val="bottom"/>
            <w:tcBorders>
              <w:top w:val="single" w:sz="8" w:color="auto"/>
              <w:bottom w:val="single" w:sz="8" w:color="auto"/>
            </w:tcBorders>
            <w:gridSpan w:val="2"/>
            <w:vMerge w:val="restart"/>
          </w:tcPr>
          <w:p>
            <w:pPr>
              <w:spacing w:after="0"/>
              <w:rPr>
                <w:rFonts w:ascii="Times New Roman" w:cs="Times New Roman" w:eastAsia="Times New Roman" w:hAnsi="Times New Roman"/>
                <w:sz w:val="18"/>
                <w:szCs w:val="18"/>
                <w:color w:val="0000EE"/>
                <w:w w:val="98"/>
              </w:rPr>
            </w:pPr>
            <w:hyperlink r:id="rId19">
              <w:r>
                <w:rPr>
                  <w:rFonts w:ascii="Times New Roman" w:cs="Times New Roman" w:eastAsia="Times New Roman" w:hAnsi="Times New Roman"/>
                  <w:sz w:val="18"/>
                  <w:szCs w:val="18"/>
                  <w:color w:val="0000EE"/>
                  <w:w w:val="98"/>
                </w:rPr>
                <w:t>Open Market Sale Agreement</w:t>
              </w:r>
            </w:hyperlink>
          </w:p>
        </w:tc>
        <w:tc>
          <w:tcPr>
            <w:tcW w:w="240" w:type="dxa"/>
            <w:vAlign w:val="bottom"/>
            <w:tcBorders>
              <w:bottom w:val="single" w:sz="8" w:color="0000EE"/>
            </w:tcBorders>
            <w:gridSpan w:val="2"/>
          </w:tcPr>
          <w:p>
            <w:pPr>
              <w:spacing w:after="0"/>
              <w:rPr>
                <w:rFonts w:ascii="Times New Roman" w:cs="Times New Roman" w:eastAsia="Times New Roman" w:hAnsi="Times New Roman"/>
                <w:sz w:val="13"/>
                <w:szCs w:val="13"/>
                <w:color w:val="0000EE"/>
              </w:rPr>
            </w:pPr>
            <w:hyperlink r:id="rId19">
              <w:r>
                <w:rPr>
                  <w:rFonts w:ascii="Times New Roman" w:cs="Times New Roman" w:eastAsia="Times New Roman" w:hAnsi="Times New Roman"/>
                  <w:sz w:val="13"/>
                  <w:szCs w:val="13"/>
                  <w:color w:val="0000EE"/>
                </w:rPr>
                <w:t>SM</w:t>
              </w:r>
            </w:hyperlink>
          </w:p>
        </w:tc>
        <w:tc>
          <w:tcPr>
            <w:tcW w:w="6760" w:type="dxa"/>
            <w:vAlign w:val="bottom"/>
            <w:gridSpan w:val="5"/>
            <w:vMerge w:val="restart"/>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dated October 29, 2026, by and between ProKidney Corp. and Jefferies LLC (incorporated by</w:t>
              </w:r>
            </w:hyperlink>
          </w:p>
        </w:tc>
        <w:tc>
          <w:tcPr>
            <w:tcW w:w="0" w:type="dxa"/>
            <w:vAlign w:val="bottom"/>
          </w:tcPr>
          <w:p>
            <w:pPr>
              <w:spacing w:after="0"/>
              <w:rPr>
                <w:sz w:val="1"/>
                <w:szCs w:val="1"/>
                <w:color w:val="auto"/>
              </w:rPr>
            </w:pPr>
          </w:p>
        </w:tc>
      </w:tr>
      <w:tr>
        <w:trPr>
          <w:trHeight w:val="21"/>
        </w:trPr>
        <w:tc>
          <w:tcPr>
            <w:tcW w:w="7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Borders>
              <w:bottom w:val="single" w:sz="8" w:color="0000EE"/>
            </w:tcBorders>
            <w:gridSpan w:val="2"/>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60" w:type="dxa"/>
            <w:vAlign w:val="bottom"/>
            <w:tcBorders>
              <w:bottom w:val="single" w:sz="8" w:color="0000EE"/>
            </w:tcBorders>
            <w:gridSpan w:val="5"/>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9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reference from Exhibit 1.2 to the Company’s Registration Statement on Form S-3, filed with the SEC on October 29, 2026).</w:t>
              </w:r>
            </w:hyperlink>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740" w:type="dxa"/>
            <w:vAlign w:val="bottom"/>
          </w:tcPr>
          <w:p>
            <w:pPr>
              <w:spacing w:after="0"/>
              <w:rPr>
                <w:sz w:val="24"/>
                <w:szCs w:val="24"/>
                <w:color w:val="auto"/>
              </w:rPr>
            </w:pPr>
          </w:p>
        </w:tc>
        <w:tc>
          <w:tcPr>
            <w:tcW w:w="90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Opinion of Mintz, Levin, Cohn, Ferris, Glovsky &amp; Popeo, P.C. (incorporated by reference from Exhibit 5.1 to the Company’s</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40" w:type="dxa"/>
            <w:vAlign w:val="bottom"/>
            <w:gridSpan w:val="9"/>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Registration Statement on Form S-3, filed with the SEC on October 29, 2026).</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40" w:type="dxa"/>
            <w:vAlign w:val="bottom"/>
            <w:gridSpan w:val="5"/>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40" w:type="dxa"/>
            <w:vAlign w:val="bottom"/>
          </w:tcPr>
          <w:p>
            <w:pPr>
              <w:spacing w:after="0"/>
              <w:rPr>
                <w:sz w:val="24"/>
                <w:szCs w:val="24"/>
                <w:color w:val="auto"/>
              </w:rPr>
            </w:pPr>
          </w:p>
        </w:tc>
        <w:tc>
          <w:tcPr>
            <w:tcW w:w="9140" w:type="dxa"/>
            <w:vAlign w:val="bottom"/>
            <w:gridSpan w:val="9"/>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Consent of Mintz, Levin, Cohn, Ferris, Glovsky &amp; Popeo, P.C. (contained in Exhibit 5.1 hereto).</w:t>
              </w:r>
            </w:hyperlink>
          </w:p>
        </w:tc>
        <w:tc>
          <w:tcPr>
            <w:tcW w:w="0" w:type="dxa"/>
            <w:vAlign w:val="bottom"/>
          </w:tcPr>
          <w:p>
            <w:pPr>
              <w:spacing w:after="0"/>
              <w:rPr>
                <w:sz w:val="1"/>
                <w:szCs w:val="1"/>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4"/>
                <w:szCs w:val="24"/>
                <w:color w:val="auto"/>
              </w:rPr>
            </w:pPr>
          </w:p>
        </w:tc>
        <w:tc>
          <w:tcPr>
            <w:tcW w:w="69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c>
          <w:tcPr>
            <w:tcW w:w="2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440" w:top="293" w:right="85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PROKIDNEY CORP.</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Girolamo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Todd Girolamo</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9" Type="http://schemas.openxmlformats.org/officeDocument/2006/relationships/hyperlink" Target="http://www.sec.gov/Archives/edgar/data/1850270/000119312526437924/d81716dex12.htm" TargetMode="External"/><Relationship Id="rId20" Type="http://schemas.openxmlformats.org/officeDocument/2006/relationships/hyperlink" Target="http://www.sec.gov/Archives/edgar/data/1850270/000119312526437924/d81716dex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2026-10-29T17:12:21Z</dcterms:created>
  <dcterms:modified xsi:type="dcterms:W3CDTF">2026-10-29T17:12:21Z</dcterms:modified>
</cp:coreProperties>
</file>