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20, 2023</w:t>
      </w:r>
    </w:p>
    <w:p>
      <w:pPr>
        <w:spacing w:after="0" w:line="200" w:lineRule="exact"/>
        <w:rPr>
          <w:sz w:val="24"/>
          <w:szCs w:val="24"/>
          <w:color w:val="auto"/>
        </w:rPr>
      </w:pPr>
    </w:p>
    <w:p>
      <w:pPr>
        <w:spacing w:after="0" w:line="22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333-266683</w:t>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PROKIDNEY CORP.</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Up to 239,448,300 Class A Ordinary Shares</w:t>
      </w:r>
    </w:p>
    <w:p>
      <w:pPr>
        <w:spacing w:after="0" w:line="239" w:lineRule="exact"/>
        <w:rPr>
          <w:sz w:val="24"/>
          <w:szCs w:val="24"/>
          <w:color w:val="auto"/>
        </w:rPr>
      </w:pPr>
    </w:p>
    <w:p>
      <w:pPr>
        <w:spacing w:after="0" w:line="269" w:lineRule="auto"/>
        <w:rPr>
          <w:sz w:val="20"/>
          <w:szCs w:val="20"/>
          <w:color w:val="auto"/>
        </w:rPr>
      </w:pPr>
      <w:r>
        <w:rPr>
          <w:rFonts w:ascii="Arial" w:cs="Arial" w:eastAsia="Arial" w:hAnsi="Arial"/>
          <w:sz w:val="17"/>
          <w:szCs w:val="17"/>
          <w:color w:val="auto"/>
        </w:rPr>
        <w:t>This prospectus supplement no. 1 supplements the prospectus dated April 20, 2023, as supplemented from time to time (the “Prospectus”), relating to (i) the resale from time to time by certain of the selling securityholders named in the Prospectus (the “Selling Securityholders”) of 6,890,000 Class A ordinary shares, par value $0.0001 per share (“Class A ordinary shares”) of ProKidney Corp. (formerly known as Social Capital Suvretta Holdings Corp. III, “SCS” or the “Company”), collectively held by certain holders of the Company’s securities (the “Holders”) party to that certain Amended and Restated Registration Rights Agreement, dated as of July 11, 2022, by and among the Company, SCS Sponsor III LLC (the “Sponsor”), and the Holders (the “Amended and Restated Registration Rights Agreement”), their permitted transferees and certain Additional Holders (as defined in the Amended and Restated Registration Rights Agreement); (ii) the resale from time to time of 180,000,000 Class A ordinary shares issued or issuable to former holders of units in ProKidney LP pursuant to that certain Exchange Agreement, dated as of July 11, 2022, by and among the Company, ProKidney LP, and certain holders of the Company’s securities party thereto (the “Exchange Agreement”); (iii) the resale from time to time by certain of the Selling Securityholders of 52,508,300 Class A ordinary shares, purchased by certain investors at a purchase price of $10.00 per share, pursuant to subscription agreements with the Company; and (iv) the issuance by us and the resale from time to time by certain of the Selling Securityholders of 50,000 Class A ordinary shares reserved for issuance upon the settlement of restricted stock units.</w:t>
      </w:r>
    </w:p>
    <w:p>
      <w:pPr>
        <w:spacing w:after="0" w:line="179"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7"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We will not receive any proceeds from the sale of Class A ordinary shares by the Selling Securityholders. However, we will pay the expenses, other than any underwriting discounts and commissions, associated with the sale of securities pursuant to the Prospectus.</w:t>
      </w:r>
    </w:p>
    <w:p>
      <w:pPr>
        <w:spacing w:after="0" w:line="170" w:lineRule="exact"/>
        <w:rPr>
          <w:sz w:val="24"/>
          <w:szCs w:val="24"/>
          <w:color w:val="auto"/>
        </w:rPr>
      </w:pPr>
    </w:p>
    <w:p>
      <w:pPr>
        <w:ind w:right="100"/>
        <w:spacing w:after="0" w:line="257" w:lineRule="auto"/>
        <w:rPr>
          <w:sz w:val="20"/>
          <w:szCs w:val="20"/>
          <w:color w:val="auto"/>
        </w:rPr>
      </w:pPr>
      <w:r>
        <w:rPr>
          <w:rFonts w:ascii="Arial" w:cs="Arial" w:eastAsia="Arial" w:hAnsi="Arial"/>
          <w:sz w:val="18"/>
          <w:szCs w:val="18"/>
          <w:color w:val="auto"/>
        </w:rPr>
        <w:t>We registered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in the section entitled “Plan of Distribution” in the Prospectus.</w:t>
      </w:r>
    </w:p>
    <w:p>
      <w:pPr>
        <w:spacing w:after="0" w:line="18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This prospectus supplement incorporates into the Prospectus the information contained in our attached quarterly report on Form 10-Q, which was filed with the Securities and Exchange Commission on May 11, 2023.</w:t>
      </w:r>
    </w:p>
    <w:p>
      <w:pPr>
        <w:spacing w:after="0" w:line="170"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 This prospectus supplement is not complete without, and may not be delivered or utilized except in connection with, the Prospectus, including any supplements and amendments thereto.</w:t>
      </w:r>
    </w:p>
    <w:p>
      <w:pPr>
        <w:spacing w:after="0" w:line="18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Our Class A ordinary shares are listed on the Nasdaq Capital Market under the symbol “PROK.” On May 25, 2023, the closing price of our Class A ordinary shares was $10.25.</w:t>
      </w:r>
    </w:p>
    <w:p>
      <w:pPr>
        <w:spacing w:after="0" w:line="166" w:lineRule="exact"/>
        <w:rPr>
          <w:sz w:val="24"/>
          <w:szCs w:val="24"/>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“Risk Factors” beginning on page 6 of the Prospectus and in the documents that are incorporated by reference in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of the Prospectus is truthful or complete. Any representation to the contrary is a criminal offense.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prospectus supplement is May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553" w:right="89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590550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0"/>
          <w:szCs w:val="20"/>
          <w:color w:val="auto"/>
        </w:rPr>
      </w:pPr>
    </w:p>
    <w:p>
      <w:pPr>
        <w:ind w:left="3820" w:right="1640" w:hanging="3799"/>
        <w:spacing w:after="0" w:line="383" w:lineRule="auto"/>
        <w:tabs>
          <w:tab w:leader="none" w:pos="50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8" w:lineRule="exact"/>
        <w:rPr>
          <w:sz w:val="20"/>
          <w:szCs w:val="20"/>
          <w:color w:val="auto"/>
        </w:rPr>
      </w:pPr>
    </w:p>
    <w:p>
      <w:pPr>
        <w:ind w:left="500" w:hanging="479"/>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0"/>
          <w:szCs w:val="20"/>
          <w:color w:val="auto"/>
        </w:rPr>
      </w:pPr>
    </w:p>
    <w:p>
      <w:pPr>
        <w:ind w:left="41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ProKidney Corp.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0"/>
          <w:szCs w:val="20"/>
          <w:color w:val="auto"/>
        </w:rPr>
      </w:pPr>
    </w:p>
    <w:tbl>
      <w:tblPr>
        <w:tblLayout w:type="fixed"/>
        <w:tblInd w:w="1480" w:type="dxa"/>
        <w:tblCellMar>
          <w:top w:w="0" w:type="dxa"/>
          <w:left w:w="0" w:type="dxa"/>
          <w:bottom w:w="0" w:type="dxa"/>
          <w:right w:w="0" w:type="dxa"/>
        </w:tblCellMar>
      </w:tblPr>
      <w:tr>
        <w:trPr>
          <w:trHeight w:val="234"/>
        </w:trPr>
        <w:tc>
          <w:tcPr>
            <w:tcW w:w="4560" w:type="dxa"/>
            <w:vAlign w:val="bottom"/>
          </w:tcPr>
          <w:p>
            <w:pPr>
              <w:jc w:val="center"/>
              <w:ind w:right="1804"/>
              <w:spacing w:after="0"/>
              <w:rPr>
                <w:sz w:val="20"/>
                <w:szCs w:val="20"/>
                <w:color w:val="auto"/>
              </w:rPr>
            </w:pPr>
            <w:r>
              <w:rPr>
                <w:rFonts w:ascii="Arial" w:cs="Arial" w:eastAsia="Arial" w:hAnsi="Arial"/>
                <w:sz w:val="18"/>
                <w:szCs w:val="18"/>
                <w:b w:val="1"/>
                <w:bCs w:val="1"/>
                <w:color w:val="auto"/>
                <w:w w:val="90"/>
              </w:rPr>
              <w:t>Cayman Islands</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98-1586514</w:t>
            </w:r>
          </w:p>
        </w:tc>
      </w:tr>
      <w:tr>
        <w:trPr>
          <w:trHeight w:val="148"/>
        </w:trPr>
        <w:tc>
          <w:tcPr>
            <w:tcW w:w="4560" w:type="dxa"/>
            <w:vAlign w:val="bottom"/>
          </w:tcPr>
          <w:p>
            <w:pPr>
              <w:jc w:val="center"/>
              <w:ind w:right="1804"/>
              <w:spacing w:after="0"/>
              <w:rPr>
                <w:sz w:val="20"/>
                <w:szCs w:val="20"/>
                <w:color w:val="auto"/>
              </w:rPr>
            </w:pPr>
            <w:r>
              <w:rPr>
                <w:rFonts w:ascii="Arial" w:cs="Arial" w:eastAsia="Arial" w:hAnsi="Arial"/>
                <w:sz w:val="13"/>
                <w:szCs w:val="13"/>
                <w:b w:val="1"/>
                <w:bCs w:val="1"/>
                <w:color w:val="auto"/>
                <w:w w:val="87"/>
              </w:rPr>
              <w:t>( State or other jurisdiction of</w:t>
            </w:r>
          </w:p>
        </w:tc>
        <w:tc>
          <w:tcPr>
            <w:tcW w:w="2880" w:type="dxa"/>
            <w:vAlign w:val="bottom"/>
          </w:tcPr>
          <w:p>
            <w:pPr>
              <w:jc w:val="center"/>
              <w:ind w:left="1826"/>
              <w:spacing w:after="0"/>
              <w:rPr>
                <w:sz w:val="20"/>
                <w:szCs w:val="20"/>
                <w:color w:val="auto"/>
              </w:rPr>
            </w:pPr>
            <w:r>
              <w:rPr>
                <w:rFonts w:ascii="Arial" w:cs="Arial" w:eastAsia="Arial" w:hAnsi="Arial"/>
                <w:sz w:val="13"/>
                <w:szCs w:val="13"/>
                <w:b w:val="1"/>
                <w:bCs w:val="1"/>
                <w:color w:val="auto"/>
                <w:w w:val="90"/>
              </w:rPr>
              <w:t>(I.R.S. Employer</w:t>
            </w:r>
          </w:p>
        </w:tc>
      </w:tr>
      <w:tr>
        <w:trPr>
          <w:trHeight w:val="171"/>
        </w:trPr>
        <w:tc>
          <w:tcPr>
            <w:tcW w:w="4560" w:type="dxa"/>
            <w:vAlign w:val="bottom"/>
          </w:tcPr>
          <w:p>
            <w:pPr>
              <w:jc w:val="center"/>
              <w:ind w:right="1804"/>
              <w:spacing w:after="0"/>
              <w:rPr>
                <w:sz w:val="20"/>
                <w:szCs w:val="20"/>
                <w:color w:val="auto"/>
              </w:rPr>
            </w:pPr>
            <w:r>
              <w:rPr>
                <w:rFonts w:ascii="Arial" w:cs="Arial" w:eastAsia="Arial" w:hAnsi="Arial"/>
                <w:sz w:val="13"/>
                <w:szCs w:val="13"/>
                <w:b w:val="1"/>
                <w:bCs w:val="1"/>
                <w:color w:val="auto"/>
                <w:w w:val="88"/>
              </w:rPr>
              <w:t>incorporation or organization)</w:t>
            </w:r>
          </w:p>
        </w:tc>
        <w:tc>
          <w:tcPr>
            <w:tcW w:w="2880" w:type="dxa"/>
            <w:vAlign w:val="bottom"/>
          </w:tcPr>
          <w:p>
            <w:pPr>
              <w:jc w:val="center"/>
              <w:ind w:left="1826"/>
              <w:spacing w:after="0"/>
              <w:rPr>
                <w:sz w:val="20"/>
                <w:szCs w:val="20"/>
                <w:color w:val="auto"/>
              </w:rPr>
            </w:pPr>
            <w:r>
              <w:rPr>
                <w:rFonts w:ascii="Arial" w:cs="Arial" w:eastAsia="Arial" w:hAnsi="Arial"/>
                <w:sz w:val="13"/>
                <w:szCs w:val="13"/>
                <w:b w:val="1"/>
                <w:bCs w:val="1"/>
                <w:color w:val="auto"/>
                <w:w w:val="89"/>
              </w:rPr>
              <w:t>Identification No.)</w:t>
            </w:r>
          </w:p>
        </w:tc>
      </w:tr>
      <w:tr>
        <w:trPr>
          <w:trHeight w:val="230"/>
        </w:trPr>
        <w:tc>
          <w:tcPr>
            <w:tcW w:w="4560" w:type="dxa"/>
            <w:vAlign w:val="bottom"/>
          </w:tcPr>
          <w:p>
            <w:pPr>
              <w:jc w:val="center"/>
              <w:ind w:right="1804"/>
              <w:spacing w:after="0"/>
              <w:rPr>
                <w:sz w:val="20"/>
                <w:szCs w:val="20"/>
                <w:color w:val="auto"/>
              </w:rPr>
            </w:pPr>
            <w:r>
              <w:rPr>
                <w:rFonts w:ascii="Arial" w:cs="Arial" w:eastAsia="Arial" w:hAnsi="Arial"/>
                <w:sz w:val="18"/>
                <w:szCs w:val="18"/>
                <w:b w:val="1"/>
                <w:bCs w:val="1"/>
                <w:color w:val="auto"/>
                <w:w w:val="90"/>
              </w:rPr>
              <w:t>2000 Frontis Plaza Blvd., Suite 250</w:t>
            </w:r>
          </w:p>
        </w:tc>
        <w:tc>
          <w:tcPr>
            <w:tcW w:w="2880" w:type="dxa"/>
            <w:vAlign w:val="bottom"/>
          </w:tcPr>
          <w:p>
            <w:pPr>
              <w:spacing w:after="0"/>
              <w:rPr>
                <w:sz w:val="19"/>
                <w:szCs w:val="19"/>
                <w:color w:val="auto"/>
              </w:rPr>
            </w:pPr>
          </w:p>
        </w:tc>
      </w:tr>
      <w:tr>
        <w:trPr>
          <w:trHeight w:val="248"/>
        </w:trPr>
        <w:tc>
          <w:tcPr>
            <w:tcW w:w="4560" w:type="dxa"/>
            <w:vAlign w:val="bottom"/>
          </w:tcPr>
          <w:p>
            <w:pPr>
              <w:jc w:val="center"/>
              <w:ind w:right="1804"/>
              <w:spacing w:after="0"/>
              <w:rPr>
                <w:sz w:val="20"/>
                <w:szCs w:val="20"/>
                <w:color w:val="auto"/>
              </w:rPr>
            </w:pPr>
            <w:r>
              <w:rPr>
                <w:rFonts w:ascii="Arial" w:cs="Arial" w:eastAsia="Arial" w:hAnsi="Arial"/>
                <w:sz w:val="18"/>
                <w:szCs w:val="18"/>
                <w:b w:val="1"/>
                <w:bCs w:val="1"/>
                <w:color w:val="auto"/>
                <w:w w:val="91"/>
              </w:rPr>
              <w:t>Winston-Salem, NC</w:t>
            </w:r>
          </w:p>
        </w:tc>
        <w:tc>
          <w:tcPr>
            <w:tcW w:w="2880" w:type="dxa"/>
            <w:vAlign w:val="bottom"/>
          </w:tcPr>
          <w:p>
            <w:pPr>
              <w:jc w:val="right"/>
              <w:ind w:right="186"/>
              <w:spacing w:after="0"/>
              <w:rPr>
                <w:sz w:val="20"/>
                <w:szCs w:val="20"/>
                <w:color w:val="auto"/>
              </w:rPr>
            </w:pPr>
            <w:r>
              <w:rPr>
                <w:rFonts w:ascii="Arial" w:cs="Arial" w:eastAsia="Arial" w:hAnsi="Arial"/>
                <w:sz w:val="18"/>
                <w:szCs w:val="18"/>
                <w:b w:val="1"/>
                <w:bCs w:val="1"/>
                <w:color w:val="auto"/>
              </w:rPr>
              <w:t>27103</w:t>
            </w:r>
          </w:p>
        </w:tc>
      </w:tr>
      <w:tr>
        <w:trPr>
          <w:trHeight w:val="173"/>
        </w:trPr>
        <w:tc>
          <w:tcPr>
            <w:tcW w:w="4560" w:type="dxa"/>
            <w:vAlign w:val="bottom"/>
          </w:tcPr>
          <w:p>
            <w:pPr>
              <w:jc w:val="center"/>
              <w:ind w:right="180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880" w:type="dxa"/>
            <w:vAlign w:val="bottom"/>
          </w:tcPr>
          <w:p>
            <w:pPr>
              <w:jc w:val="center"/>
              <w:ind w:left="182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(336) 999-7028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5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20"/>
              <w:spacing w:after="0"/>
              <w:rPr>
                <w:sz w:val="20"/>
                <w:szCs w:val="20"/>
                <w:color w:val="auto"/>
              </w:rPr>
            </w:pPr>
            <w:r>
              <w:rPr>
                <w:rFonts w:ascii="Arial" w:cs="Arial" w:eastAsia="Arial" w:hAnsi="Arial"/>
                <w:sz w:val="16"/>
                <w:szCs w:val="16"/>
                <w:color w:val="auto"/>
              </w:rPr>
              <w:t>Class A ordinary shares, $0.0001 par value per share</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PROK</w:t>
            </w:r>
          </w:p>
        </w:tc>
        <w:tc>
          <w:tcPr>
            <w:tcW w:w="140" w:type="dxa"/>
            <w:vAlign w:val="bottom"/>
          </w:tcPr>
          <w:p>
            <w:pPr>
              <w:spacing w:after="0"/>
              <w:rPr>
                <w:sz w:val="17"/>
                <w:szCs w:val="17"/>
                <w:color w:val="auto"/>
              </w:rPr>
            </w:pPr>
          </w:p>
        </w:tc>
        <w:tc>
          <w:tcPr>
            <w:tcW w:w="5020" w:type="dxa"/>
            <w:vAlign w:val="bottom"/>
          </w:tcPr>
          <w:p>
            <w:pPr>
              <w:jc w:val="center"/>
              <w:spacing w:after="0"/>
              <w:rPr>
                <w:sz w:val="20"/>
                <w:szCs w:val="20"/>
                <w:color w:val="auto"/>
              </w:rPr>
            </w:pPr>
            <w:r>
              <w:rPr>
                <w:rFonts w:ascii="Arial" w:cs="Arial" w:eastAsia="Arial" w:hAnsi="Arial"/>
                <w:sz w:val="16"/>
                <w:szCs w:val="16"/>
                <w:color w:val="auto"/>
                <w:w w:val="91"/>
              </w:rPr>
              <w:t>The Nasdaq Stock Market</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0"/>
          <w:szCs w:val="20"/>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0"/>
          <w:szCs w:val="20"/>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65" w:lineRule="exact"/>
        <w:rPr>
          <w:sz w:val="20"/>
          <w:szCs w:val="20"/>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0"/>
          <w:szCs w:val="20"/>
          <w:color w:val="auto"/>
        </w:rPr>
      </w:pPr>
    </w:p>
    <w:p>
      <w:pPr>
        <w:ind w:left="600"/>
        <w:spacing w:after="0" w:line="184" w:lineRule="exact"/>
        <w:tabs>
          <w:tab w:leader="none" w:pos="8140" w:val="left"/>
          <w:tab w:leader="none" w:pos="87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7" w:lineRule="exact"/>
        <w:rPr>
          <w:sz w:val="20"/>
          <w:szCs w:val="20"/>
          <w:color w:val="auto"/>
        </w:rPr>
      </w:pPr>
    </w:p>
    <w:p>
      <w:pPr>
        <w:ind w:left="600"/>
        <w:spacing w:after="0"/>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480" w:type="dxa"/>
            <w:vAlign w:val="bottom"/>
            <w:gridSpan w:val="2"/>
          </w:tcPr>
          <w:p>
            <w:pPr>
              <w:spacing w:after="0"/>
              <w:rPr>
                <w:sz w:val="20"/>
                <w:szCs w:val="20"/>
                <w:color w:val="auto"/>
              </w:rPr>
            </w:pPr>
            <w:r>
              <w:rPr>
                <w:rFonts w:ascii="Arial" w:cs="Arial" w:eastAsia="Arial" w:hAnsi="Arial"/>
                <w:sz w:val="16"/>
                <w:szCs w:val="16"/>
                <w:color w:val="auto"/>
                <w:w w:val="93"/>
              </w:rPr>
              <w:t>1934 subsequent to the distribution of securities under a plan confirmed by a court.</w:t>
            </w:r>
          </w:p>
        </w:tc>
        <w:tc>
          <w:tcPr>
            <w:tcW w:w="5720" w:type="dxa"/>
            <w:vAlign w:val="bottom"/>
            <w:gridSpan w:val="3"/>
          </w:tcPr>
          <w:p>
            <w:pPr>
              <w:jc w:val="right"/>
              <w:ind w:right="4479"/>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40" w:type="dxa"/>
            <w:vAlign w:val="bottom"/>
          </w:tcPr>
          <w:p>
            <w:pPr>
              <w:spacing w:after="0"/>
              <w:rPr>
                <w:sz w:val="23"/>
                <w:szCs w:val="23"/>
                <w:color w:val="auto"/>
              </w:rPr>
            </w:pPr>
          </w:p>
        </w:tc>
      </w:tr>
      <w:tr>
        <w:trPr>
          <w:trHeight w:val="254"/>
        </w:trPr>
        <w:tc>
          <w:tcPr>
            <w:tcW w:w="1320" w:type="dxa"/>
            <w:vAlign w:val="bottom"/>
          </w:tcPr>
          <w:p>
            <w:pPr>
              <w:spacing w:after="0"/>
              <w:rPr>
                <w:sz w:val="22"/>
                <w:szCs w:val="22"/>
                <w:color w:val="auto"/>
              </w:rPr>
            </w:pPr>
          </w:p>
        </w:tc>
        <w:tc>
          <w:tcPr>
            <w:tcW w:w="41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Class of Stock</w:t>
            </w:r>
          </w:p>
        </w:tc>
        <w:tc>
          <w:tcPr>
            <w:tcW w:w="10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4420" w:type="dxa"/>
            <w:vAlign w:val="bottom"/>
            <w:tcBorders>
              <w:bottom w:val="single" w:sz="8" w:color="auto"/>
            </w:tcBorders>
          </w:tcPr>
          <w:p>
            <w:pPr>
              <w:jc w:val="right"/>
              <w:ind w:right="1559"/>
              <w:spacing w:after="0"/>
              <w:rPr>
                <w:sz w:val="20"/>
                <w:szCs w:val="20"/>
                <w:color w:val="auto"/>
              </w:rPr>
            </w:pPr>
            <w:r>
              <w:rPr>
                <w:rFonts w:ascii="Arial" w:cs="Arial" w:eastAsia="Arial" w:hAnsi="Arial"/>
                <w:sz w:val="16"/>
                <w:szCs w:val="16"/>
                <w:b w:val="1"/>
                <w:bCs w:val="1"/>
                <w:color w:val="auto"/>
                <w:w w:val="93"/>
              </w:rPr>
              <w:t>Shares Outstanding as of May 11, 2023</w:t>
            </w:r>
          </w:p>
        </w:tc>
        <w:tc>
          <w:tcPr>
            <w:tcW w:w="40" w:type="dxa"/>
            <w:vAlign w:val="bottom"/>
          </w:tcPr>
          <w:p>
            <w:pPr>
              <w:spacing w:after="0"/>
              <w:rPr>
                <w:sz w:val="22"/>
                <w:szCs w:val="22"/>
                <w:color w:val="auto"/>
              </w:rPr>
            </w:pPr>
          </w:p>
        </w:tc>
      </w:tr>
      <w:tr>
        <w:trPr>
          <w:trHeight w:val="277"/>
        </w:trPr>
        <w:tc>
          <w:tcPr>
            <w:tcW w:w="1320" w:type="dxa"/>
            <w:vAlign w:val="bottom"/>
          </w:tcPr>
          <w:p>
            <w:pPr>
              <w:spacing w:after="0"/>
              <w:rPr>
                <w:sz w:val="24"/>
                <w:szCs w:val="24"/>
                <w:color w:val="auto"/>
              </w:rPr>
            </w:pPr>
          </w:p>
        </w:tc>
        <w:tc>
          <w:tcPr>
            <w:tcW w:w="4160" w:type="dxa"/>
            <w:vAlign w:val="bottom"/>
          </w:tcPr>
          <w:p>
            <w:pPr>
              <w:ind w:left="100"/>
              <w:spacing w:after="0"/>
              <w:rPr>
                <w:sz w:val="20"/>
                <w:szCs w:val="20"/>
                <w:color w:val="auto"/>
              </w:rPr>
            </w:pPr>
            <w:r>
              <w:rPr>
                <w:rFonts w:ascii="Arial" w:cs="Arial" w:eastAsia="Arial" w:hAnsi="Arial"/>
                <w:sz w:val="16"/>
                <w:szCs w:val="16"/>
                <w:color w:val="auto"/>
              </w:rPr>
              <w:t>Class A ordinary shares, par value $0.0001 per share</w:t>
            </w:r>
          </w:p>
        </w:tc>
        <w:tc>
          <w:tcPr>
            <w:tcW w:w="5720" w:type="dxa"/>
            <w:vAlign w:val="bottom"/>
            <w:gridSpan w:val="3"/>
          </w:tcPr>
          <w:p>
            <w:pPr>
              <w:jc w:val="right"/>
              <w:ind w:right="19"/>
              <w:spacing w:after="0"/>
              <w:rPr>
                <w:sz w:val="20"/>
                <w:szCs w:val="20"/>
                <w:color w:val="auto"/>
              </w:rPr>
            </w:pPr>
            <w:r>
              <w:rPr>
                <w:rFonts w:ascii="Arial" w:cs="Arial" w:eastAsia="Arial" w:hAnsi="Arial"/>
                <w:sz w:val="16"/>
                <w:szCs w:val="16"/>
                <w:color w:val="auto"/>
              </w:rPr>
              <w:t>61,590,231</w:t>
            </w:r>
          </w:p>
        </w:tc>
        <w:tc>
          <w:tcPr>
            <w:tcW w:w="40" w:type="dxa"/>
            <w:vAlign w:val="bottom"/>
          </w:tcPr>
          <w:p>
            <w:pPr>
              <w:spacing w:after="0"/>
              <w:rPr>
                <w:sz w:val="24"/>
                <w:szCs w:val="24"/>
                <w:color w:val="auto"/>
              </w:rPr>
            </w:pPr>
          </w:p>
        </w:tc>
      </w:tr>
      <w:tr>
        <w:trPr>
          <w:trHeight w:val="351"/>
        </w:trPr>
        <w:tc>
          <w:tcPr>
            <w:tcW w:w="132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tbl>
      <w:tblPr>
        <w:tblLayout w:type="fixed"/>
        <w:tblInd w:w="1420" w:type="dxa"/>
        <w:tblCellMar>
          <w:top w:w="0" w:type="dxa"/>
          <w:left w:w="0" w:type="dxa"/>
          <w:bottom w:w="0" w:type="dxa"/>
          <w:right w:w="0" w:type="dxa"/>
        </w:tblCellMar>
      </w:tblPr>
      <w:tr>
        <w:trPr>
          <w:trHeight w:val="206"/>
        </w:trPr>
        <w:tc>
          <w:tcPr>
            <w:tcW w:w="6120" w:type="dxa"/>
            <w:vAlign w:val="bottom"/>
          </w:tcPr>
          <w:p>
            <w:pPr>
              <w:spacing w:after="0"/>
              <w:rPr>
                <w:sz w:val="20"/>
                <w:szCs w:val="20"/>
                <w:color w:val="auto"/>
              </w:rPr>
            </w:pPr>
            <w:r>
              <w:rPr>
                <w:rFonts w:ascii="Arial" w:cs="Arial" w:eastAsia="Arial" w:hAnsi="Arial"/>
                <w:sz w:val="16"/>
                <w:szCs w:val="16"/>
                <w:color w:val="auto"/>
              </w:rPr>
              <w:t>Class B ordinary shares, par value $0.0001 per share</w:t>
            </w:r>
          </w:p>
        </w:tc>
        <w:tc>
          <w:tcPr>
            <w:tcW w:w="3520" w:type="dxa"/>
            <w:vAlign w:val="bottom"/>
          </w:tcPr>
          <w:p>
            <w:pPr>
              <w:jc w:val="right"/>
              <w:spacing w:after="0"/>
              <w:rPr>
                <w:sz w:val="20"/>
                <w:szCs w:val="20"/>
                <w:color w:val="auto"/>
              </w:rPr>
            </w:pPr>
            <w:r>
              <w:rPr>
                <w:rFonts w:ascii="Arial" w:cs="Arial" w:eastAsia="Arial" w:hAnsi="Arial"/>
                <w:sz w:val="16"/>
                <w:szCs w:val="16"/>
                <w:color w:val="auto"/>
              </w:rPr>
              <w:t>173,537,435</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54" w:right="5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6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260" w:type="dxa"/>
            <w:vAlign w:val="bottom"/>
            <w:gridSpan w:val="18"/>
          </w:tcPr>
          <w:p>
            <w:pPr>
              <w:spacing w:after="0" w:line="182" w:lineRule="exact"/>
              <w:rPr>
                <w:sz w:val="20"/>
                <w:szCs w:val="20"/>
                <w:color w:val="auto"/>
              </w:rPr>
            </w:pPr>
            <w:r>
              <w:rPr>
                <w:rFonts w:ascii="Arial" w:cs="Arial" w:eastAsia="Arial" w:hAnsi="Arial"/>
                <w:sz w:val="18"/>
                <w:szCs w:val="18"/>
                <w:color w:val="0000FF"/>
              </w:rPr>
              <w:t>Financial Information (Unaudited)</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8"/>
          </w:tcPr>
          <w:p>
            <w:pPr>
              <w:spacing w:after="0"/>
              <w:rPr>
                <w:sz w:val="20"/>
                <w:szCs w:val="20"/>
                <w:color w:val="auto"/>
              </w:rPr>
            </w:pPr>
            <w:r>
              <w:rPr>
                <w:rFonts w:ascii="Arial" w:cs="Arial" w:eastAsia="Arial" w:hAnsi="Arial"/>
                <w:sz w:val="18"/>
                <w:szCs w:val="18"/>
                <w:color w:val="0000FF"/>
              </w:rPr>
              <w:t>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w w:val="91"/>
              </w:rPr>
              <w:t>Condensed Consolidated Statements of Changes in Redeemable Noncontrolling Interest and Shareholders’ Deficit / Members’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60" w:type="dxa"/>
            <w:vAlign w:val="bottom"/>
            <w:gridSpan w:val="18"/>
          </w:tcPr>
          <w:p>
            <w:pPr>
              <w:spacing w:after="0" w:line="196" w:lineRule="exact"/>
              <w:rPr>
                <w:sz w:val="20"/>
                <w:szCs w:val="20"/>
                <w:color w:val="auto"/>
              </w:rPr>
            </w:pPr>
            <w:r>
              <w:rPr>
                <w:rFonts w:ascii="Arial" w:cs="Arial" w:eastAsia="Arial" w:hAnsi="Arial"/>
                <w:sz w:val="18"/>
                <w:szCs w:val="18"/>
                <w:color w:val="0000FF"/>
              </w:rPr>
              <w:t>Equity</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vMerge w:val="continue"/>
          </w:tcPr>
          <w:p>
            <w:pPr>
              <w:spacing w:after="0"/>
              <w:rPr>
                <w:sz w:val="19"/>
                <w:szCs w:val="19"/>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8"/>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69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750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March 31, 2023</w:t>
            </w:r>
          </w:p>
        </w:tc>
        <w:tc>
          <w:tcPr>
            <w:tcW w:w="220" w:type="dxa"/>
            <w:vAlign w:val="bottom"/>
          </w:tcPr>
          <w:p>
            <w:pPr>
              <w:spacing w:after="0"/>
              <w:rPr>
                <w:sz w:val="20"/>
                <w:szCs w:val="20"/>
                <w:color w:val="auto"/>
              </w:rPr>
            </w:pPr>
          </w:p>
        </w:tc>
        <w:tc>
          <w:tcPr>
            <w:tcW w:w="20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4"/>
              </w:rPr>
              <w:t>December 31, 2022</w:t>
            </w:r>
          </w:p>
        </w:tc>
      </w:tr>
      <w:tr>
        <w:trPr>
          <w:trHeight w:val="250"/>
        </w:trPr>
        <w:tc>
          <w:tcPr>
            <w:tcW w:w="6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FF0FC"/>
          </w:tcPr>
          <w:p>
            <w:pPr>
              <w:spacing w:after="0"/>
              <w:rPr>
                <w:sz w:val="21"/>
                <w:szCs w:val="21"/>
                <w:color w:val="auto"/>
              </w:rPr>
            </w:pPr>
          </w:p>
        </w:tc>
        <w:tc>
          <w:tcPr>
            <w:tcW w:w="18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8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271,635</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490,252</w:t>
            </w:r>
          </w:p>
        </w:tc>
        <w:tc>
          <w:tcPr>
            <w:tcW w:w="14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192,046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5,476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assets</w:t>
            </w:r>
          </w:p>
        </w:tc>
        <w:tc>
          <w:tcPr>
            <w:tcW w:w="2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w:t>
            </w:r>
          </w:p>
        </w:tc>
        <w:tc>
          <w:tcPr>
            <w:tcW w:w="14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Prepaid clinical</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5,828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10,459</w:t>
            </w:r>
          </w:p>
        </w:tc>
        <w:tc>
          <w:tcPr>
            <w:tcW w:w="140" w:type="dxa"/>
            <w:vAlign w:val="bottom"/>
          </w:tcPr>
          <w:p>
            <w:pPr>
              <w:spacing w:after="0"/>
              <w:rPr>
                <w:sz w:val="20"/>
                <w:szCs w:val="20"/>
                <w:color w:val="auto"/>
              </w:rPr>
            </w:pPr>
          </w:p>
        </w:tc>
      </w:tr>
      <w:tr>
        <w:trPr>
          <w:trHeight w:val="249"/>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24"/>
        </w:trPr>
        <w:tc>
          <w:tcPr>
            <w:tcW w:w="66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480,143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504,719</w:t>
            </w:r>
          </w:p>
        </w:tc>
        <w:tc>
          <w:tcPr>
            <w:tcW w:w="140" w:type="dxa"/>
            <w:vAlign w:val="bottom"/>
          </w:tcPr>
          <w:p>
            <w:pPr>
              <w:spacing w:after="0"/>
              <w:rPr>
                <w:sz w:val="19"/>
                <w:szCs w:val="19"/>
                <w:color w:val="auto"/>
              </w:rPr>
            </w:pPr>
          </w:p>
        </w:tc>
      </w:tr>
      <w:tr>
        <w:trPr>
          <w:trHeight w:val="256"/>
        </w:trPr>
        <w:tc>
          <w:tcPr>
            <w:tcW w:w="6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 assets, net</w:t>
            </w:r>
          </w:p>
        </w:tc>
        <w:tc>
          <w:tcPr>
            <w:tcW w:w="2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10,708</w:t>
            </w:r>
          </w:p>
        </w:tc>
        <w:tc>
          <w:tcPr>
            <w:tcW w:w="140" w:type="dxa"/>
            <w:vAlign w:val="bottom"/>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Right of use assets, net</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3,039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2,356</w:t>
            </w:r>
          </w:p>
        </w:tc>
        <w:tc>
          <w:tcPr>
            <w:tcW w:w="140" w:type="dxa"/>
            <w:vAlign w:val="bottom"/>
          </w:tcPr>
          <w:p>
            <w:pPr>
              <w:spacing w:after="0"/>
              <w:rPr>
                <w:sz w:val="20"/>
                <w:szCs w:val="20"/>
                <w:color w:val="auto"/>
              </w:rPr>
            </w:pPr>
          </w:p>
        </w:tc>
      </w:tr>
      <w:tr>
        <w:trPr>
          <w:trHeight w:val="24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662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495,151</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517,996</w:t>
            </w:r>
          </w:p>
        </w:tc>
        <w:tc>
          <w:tcPr>
            <w:tcW w:w="14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Shareholders' Deficit/Members' Equity</w:t>
            </w:r>
          </w:p>
        </w:tc>
        <w:tc>
          <w:tcPr>
            <w:tcW w:w="2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3,801</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3,044</w:t>
            </w:r>
          </w:p>
        </w:tc>
        <w:tc>
          <w:tcPr>
            <w:tcW w:w="14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Lease liabilities</w:t>
            </w:r>
          </w:p>
        </w:tc>
        <w:tc>
          <w:tcPr>
            <w:tcW w:w="2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FF0FC"/>
          </w:tcPr>
          <w:p>
            <w:pPr>
              <w:spacing w:after="0"/>
              <w:rPr>
                <w:sz w:val="21"/>
                <w:szCs w:val="21"/>
                <w:color w:val="auto"/>
              </w:rPr>
            </w:pPr>
          </w:p>
        </w:tc>
      </w:tr>
      <w:tr>
        <w:trPr>
          <w:trHeight w:val="243"/>
        </w:trPr>
        <w:tc>
          <w:tcPr>
            <w:tcW w:w="6620" w:type="dxa"/>
            <w:vAlign w:val="bottom"/>
          </w:tcPr>
          <w:p>
            <w:pPr>
              <w:ind w:left="200"/>
              <w:spacing w:after="0"/>
              <w:rPr>
                <w:sz w:val="20"/>
                <w:szCs w:val="20"/>
                <w:color w:val="auto"/>
              </w:rPr>
            </w:pPr>
            <w:r>
              <w:rPr>
                <w:rFonts w:ascii="Arial" w:cs="Arial" w:eastAsia="Arial" w:hAnsi="Arial"/>
                <w:sz w:val="18"/>
                <w:szCs w:val="18"/>
                <w:color w:val="auto"/>
              </w:rPr>
              <w:t>Accrued expenses and other</w:t>
            </w: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w:t>
            </w:r>
          </w:p>
        </w:tc>
        <w:tc>
          <w:tcPr>
            <w:tcW w:w="140" w:type="dxa"/>
            <w:vAlign w:val="bottom"/>
          </w:tcPr>
          <w:p>
            <w:pPr>
              <w:spacing w:after="0"/>
              <w:rPr>
                <w:sz w:val="21"/>
                <w:szCs w:val="21"/>
                <w:color w:val="auto"/>
              </w:rPr>
            </w:pPr>
          </w:p>
        </w:tc>
      </w:tr>
      <w:tr>
        <w:trPr>
          <w:trHeight w:val="236"/>
        </w:trPr>
        <w:tc>
          <w:tcPr>
            <w:tcW w:w="6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10,873</w:t>
            </w:r>
          </w:p>
        </w:tc>
        <w:tc>
          <w:tcPr>
            <w:tcW w:w="140" w:type="dxa"/>
            <w:vAlign w:val="bottom"/>
            <w:shd w:val="clear" w:color="auto" w:fill="CFF0FC"/>
          </w:tcPr>
          <w:p>
            <w:pPr>
              <w:spacing w:after="0"/>
              <w:rPr>
                <w:sz w:val="20"/>
                <w:szCs w:val="20"/>
                <w:color w:val="auto"/>
              </w:rPr>
            </w:pPr>
          </w:p>
        </w:tc>
      </w:tr>
      <w:tr>
        <w:trPr>
          <w:trHeight w:val="479"/>
        </w:trPr>
        <w:tc>
          <w:tcPr>
            <w:tcW w:w="6620" w:type="dxa"/>
            <w:vAlign w:val="bottom"/>
          </w:tcPr>
          <w:p>
            <w:pPr>
              <w:ind w:left="20"/>
              <w:spacing w:after="0"/>
              <w:rPr>
                <w:sz w:val="20"/>
                <w:szCs w:val="20"/>
                <w:color w:val="auto"/>
              </w:rPr>
            </w:pPr>
            <w:r>
              <w:rPr>
                <w:rFonts w:ascii="Arial" w:cs="Arial" w:eastAsia="Arial" w:hAnsi="Arial"/>
                <w:sz w:val="18"/>
                <w:szCs w:val="18"/>
                <w:color w:val="auto"/>
              </w:rPr>
              <w:t>Income tax payable, net of current portion</w:t>
            </w:r>
          </w:p>
        </w:tc>
        <w:tc>
          <w:tcPr>
            <w:tcW w:w="2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24"/>
                <w:szCs w:val="24"/>
                <w:color w:val="auto"/>
              </w:rPr>
            </w:pPr>
          </w:p>
        </w:tc>
      </w:tr>
      <w:tr>
        <w:trPr>
          <w:trHeight w:val="250"/>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2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66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14,173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13,057</w:t>
            </w:r>
          </w:p>
        </w:tc>
        <w:tc>
          <w:tcPr>
            <w:tcW w:w="14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2,082,488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1,601,555</w:t>
            </w:r>
          </w:p>
        </w:tc>
        <w:tc>
          <w:tcPr>
            <w:tcW w:w="140" w:type="dxa"/>
            <w:vAlign w:val="bottom"/>
          </w:tcPr>
          <w:p>
            <w:pPr>
              <w:spacing w:after="0"/>
              <w:rPr>
                <w:sz w:val="20"/>
                <w:szCs w:val="20"/>
                <w:color w:val="auto"/>
              </w:rPr>
            </w:pPr>
          </w:p>
        </w:tc>
      </w:tr>
      <w:tr>
        <w:trPr>
          <w:trHeight w:val="256"/>
        </w:trPr>
        <w:tc>
          <w:tcPr>
            <w:tcW w:w="6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Shareholders’ deficit / members' equity:</w:t>
            </w:r>
          </w:p>
        </w:tc>
        <w:tc>
          <w:tcPr>
            <w:tcW w:w="2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6620" w:type="dxa"/>
            <w:vAlign w:val="bottom"/>
          </w:tcPr>
          <w:p>
            <w:pPr>
              <w:ind w:left="120"/>
              <w:spacing w:after="0"/>
              <w:rPr>
                <w:sz w:val="20"/>
                <w:szCs w:val="20"/>
                <w:color w:val="auto"/>
              </w:rPr>
            </w:pPr>
            <w:r>
              <w:rPr>
                <w:rFonts w:ascii="Arial" w:cs="Arial" w:eastAsia="Arial" w:hAnsi="Arial"/>
                <w:sz w:val="18"/>
                <w:szCs w:val="18"/>
                <w:color w:val="auto"/>
              </w:rPr>
              <w:t>Class A ordinary shares, $0.0001 par value; 500,000,000 shares</w:t>
            </w: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authorized; 61,540,231 issued and outstanding as of March 31,</w:t>
            </w: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6620" w:type="dxa"/>
            <w:vAlign w:val="bottom"/>
          </w:tcPr>
          <w:p>
            <w:pPr>
              <w:ind w:left="240"/>
              <w:spacing w:after="0"/>
              <w:rPr>
                <w:sz w:val="20"/>
                <w:szCs w:val="20"/>
                <w:color w:val="auto"/>
              </w:rPr>
            </w:pPr>
            <w:r>
              <w:rPr>
                <w:rFonts w:ascii="Arial" w:cs="Arial" w:eastAsia="Arial" w:hAnsi="Arial"/>
                <w:sz w:val="18"/>
                <w:szCs w:val="18"/>
                <w:color w:val="auto"/>
              </w:rPr>
              <w:t>2023 and December 31, 2022</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r>
      <w:tr>
        <w:trPr>
          <w:trHeight w:val="222"/>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Class B ordinary shares, $0.0001 par value; 500,000,000 shares</w:t>
            </w: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authorized; 173,444,861and 171,578,320 issued and outstanding as</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 March 31, 2023 and December 31, 2022, respectively</w:t>
            </w:r>
          </w:p>
        </w:tc>
        <w:tc>
          <w:tcPr>
            <w:tcW w:w="2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21"/>
                <w:szCs w:val="21"/>
                <w:color w:val="auto"/>
              </w:rPr>
            </w:pPr>
          </w:p>
        </w:tc>
      </w:tr>
      <w:tr>
        <w:trPr>
          <w:trHeight w:val="237"/>
        </w:trPr>
        <w:tc>
          <w:tcPr>
            <w:tcW w:w="66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21,792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7,476</w:t>
            </w:r>
          </w:p>
        </w:tc>
        <w:tc>
          <w:tcPr>
            <w:tcW w:w="140" w:type="dxa"/>
            <w:vAlign w:val="bottom"/>
          </w:tcPr>
          <w:p>
            <w:pPr>
              <w:spacing w:after="0"/>
              <w:rPr>
                <w:sz w:val="20"/>
                <w:szCs w:val="20"/>
                <w:color w:val="auto"/>
              </w:rPr>
            </w:pPr>
          </w:p>
        </w:tc>
      </w:tr>
      <w:tr>
        <w:trPr>
          <w:trHeight w:val="249"/>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21"/>
                <w:szCs w:val="21"/>
                <w:color w:val="auto"/>
              </w:rPr>
            </w:pPr>
          </w:p>
        </w:tc>
        <w:tc>
          <w:tcPr>
            <w:tcW w:w="2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(19 )</w:t>
            </w:r>
          </w:p>
        </w:tc>
        <w:tc>
          <w:tcPr>
            <w:tcW w:w="22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2100" w:type="dxa"/>
            <w:vAlign w:val="bottom"/>
            <w:gridSpan w:val="2"/>
          </w:tcPr>
          <w:p>
            <w:pPr>
              <w:jc w:val="right"/>
              <w:ind w:right="110"/>
              <w:spacing w:after="0"/>
              <w:rPr>
                <w:sz w:val="20"/>
                <w:szCs w:val="20"/>
                <w:color w:val="auto"/>
              </w:rPr>
            </w:pPr>
            <w:r>
              <w:rPr>
                <w:rFonts w:ascii="Arial" w:cs="Arial" w:eastAsia="Arial" w:hAnsi="Arial"/>
                <w:sz w:val="18"/>
                <w:szCs w:val="18"/>
                <w:color w:val="auto"/>
              </w:rPr>
              <w:t>(1,623,307 )</w:t>
            </w:r>
          </w:p>
        </w:tc>
        <w:tc>
          <w:tcPr>
            <w:tcW w:w="22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(1,104,116 )</w:t>
            </w:r>
          </w:p>
        </w:tc>
      </w:tr>
      <w:tr>
        <w:trPr>
          <w:trHeight w:val="237"/>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shareholders' deficit / members’ equity</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(1,601,510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(1,096,616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Total liabilities and shareholders' deficit/members'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495,151</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517,996</w:t>
            </w:r>
          </w:p>
        </w:tc>
        <w:tc>
          <w:tcPr>
            <w:tcW w:w="14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-4817110</wp:posOffset>
            </wp:positionV>
            <wp:extent cx="93980"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3175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-4817110</wp:posOffset>
            </wp:positionV>
            <wp:extent cx="85725"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-4037330</wp:posOffset>
            </wp:positionV>
            <wp:extent cx="9398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-4037330</wp:posOffset>
            </wp:positionV>
            <wp:extent cx="85725"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-2451100</wp:posOffset>
            </wp:positionV>
            <wp:extent cx="939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-2451100</wp:posOffset>
            </wp:positionV>
            <wp:extent cx="8572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9398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8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 March 31,</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25,617</w:t>
            </w:r>
          </w:p>
        </w:tc>
        <w:tc>
          <w:tcPr>
            <w:tcW w:w="380" w:type="dxa"/>
            <w:vAlign w:val="bottom"/>
          </w:tcPr>
          <w:p>
            <w:pPr>
              <w:spacing w:after="0"/>
              <w:rPr>
                <w:sz w:val="20"/>
                <w:szCs w:val="20"/>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15,259</w:t>
            </w:r>
          </w:p>
        </w:tc>
        <w:tc>
          <w:tcPr>
            <w:tcW w:w="3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37,972</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40,876</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12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(40,876 )</w:t>
            </w:r>
          </w:p>
        </w:tc>
        <w:tc>
          <w:tcPr>
            <w:tcW w:w="13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(66,462 )</w:t>
            </w:r>
          </w:p>
        </w:tc>
        <w:tc>
          <w:tcPr>
            <w:tcW w:w="0" w:type="dxa"/>
            <w:vAlign w:val="bottom"/>
          </w:tcPr>
          <w:p>
            <w:pPr>
              <w:spacing w:after="0"/>
              <w:rPr>
                <w:sz w:val="1"/>
                <w:szCs w:val="1"/>
                <w:color w:val="auto"/>
              </w:rPr>
            </w:pPr>
          </w:p>
        </w:tc>
      </w:tr>
      <w:tr>
        <w:trPr>
          <w:trHeight w:val="479"/>
        </w:trPr>
        <w:tc>
          <w:tcPr>
            <w:tcW w:w="65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5,297</w:t>
            </w: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20"/>
                <w:szCs w:val="20"/>
                <w:color w:val="auto"/>
              </w:rPr>
            </w:pP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rPr>
              <w:t>(3 )</w:t>
            </w:r>
          </w:p>
        </w:tc>
        <w:tc>
          <w:tcPr>
            <w:tcW w:w="1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6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before income taxes</w:t>
            </w:r>
          </w:p>
        </w:tc>
        <w:tc>
          <w:tcPr>
            <w:tcW w:w="12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(35,582</w:t>
            </w:r>
          </w:p>
        </w:tc>
        <w:tc>
          <w:tcPr>
            <w:tcW w:w="3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3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before noncontrolling</w:t>
            </w:r>
          </w:p>
        </w:tc>
        <w:tc>
          <w:tcPr>
            <w:tcW w:w="124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210"/>
              <w:spacing w:after="0"/>
              <w:rPr>
                <w:sz w:val="20"/>
                <w:szCs w:val="20"/>
                <w:color w:val="auto"/>
              </w:rPr>
            </w:pPr>
            <w:r>
              <w:rPr>
                <w:rFonts w:ascii="Arial" w:cs="Arial" w:eastAsia="Arial" w:hAnsi="Arial"/>
                <w:sz w:val="18"/>
                <w:szCs w:val="18"/>
                <w:color w:val="auto"/>
              </w:rPr>
              <w:t>(36,909 )</w:t>
            </w:r>
          </w:p>
        </w:tc>
        <w:tc>
          <w:tcPr>
            <w:tcW w:w="1360" w:type="dxa"/>
            <w:vAlign w:val="bottom"/>
            <w:shd w:val="clear" w:color="auto" w:fill="CFF0FC"/>
          </w:tcPr>
          <w:p>
            <w:pPr>
              <w:spacing w:after="0"/>
              <w:rPr>
                <w:sz w:val="18"/>
                <w:szCs w:val="18"/>
                <w:color w:val="auto"/>
              </w:rPr>
            </w:pP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(67,486 )</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interest</w:t>
            </w:r>
          </w:p>
        </w:tc>
        <w:tc>
          <w:tcPr>
            <w:tcW w:w="1240" w:type="dxa"/>
            <w:vAlign w:val="bottom"/>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8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240" w:type="dxa"/>
            <w:vAlign w:val="bottom"/>
          </w:tcPr>
          <w:p>
            <w:pPr>
              <w:spacing w:after="0"/>
              <w:rPr>
                <w:sz w:val="20"/>
                <w:szCs w:val="20"/>
                <w:color w:val="auto"/>
              </w:rPr>
            </w:pP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rPr>
              <w:t>(27,244 )</w:t>
            </w:r>
          </w:p>
        </w:tc>
        <w:tc>
          <w:tcPr>
            <w:tcW w:w="1360" w:type="dxa"/>
            <w:vAlign w:val="bottom"/>
          </w:tcPr>
          <w:p>
            <w:pPr>
              <w:spacing w:after="0"/>
              <w:rPr>
                <w:sz w:val="20"/>
                <w:szCs w:val="20"/>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loss available to Class A ordinary shareholders</w:t>
            </w:r>
          </w:p>
        </w:tc>
        <w:tc>
          <w:tcPr>
            <w:tcW w:w="1240" w:type="dxa"/>
            <w:vAlign w:val="bottom"/>
            <w:tcBorders>
              <w:top w:val="single" w:sz="8" w:color="auto"/>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(9,665</w:t>
            </w:r>
          </w:p>
        </w:tc>
        <w:tc>
          <w:tcPr>
            <w:tcW w:w="38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ind w:right="11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67"/>
        </w:trPr>
        <w:tc>
          <w:tcPr>
            <w:tcW w:w="6560" w:type="dxa"/>
            <w:vAlign w:val="bottom"/>
          </w:tcPr>
          <w:p>
            <w:pPr>
              <w:ind w:left="20"/>
              <w:spacing w:after="0"/>
              <w:rPr>
                <w:sz w:val="20"/>
                <w:szCs w:val="20"/>
                <w:color w:val="auto"/>
              </w:rPr>
            </w:pPr>
            <w:r>
              <w:rPr>
                <w:rFonts w:ascii="Arial" w:cs="Arial" w:eastAsia="Arial" w:hAnsi="Arial"/>
                <w:sz w:val="18"/>
                <w:szCs w:val="18"/>
                <w:color w:val="auto"/>
              </w:rPr>
              <w:t xml:space="preserve">Weighted average Class A ordinary shares outstanding: </w:t>
            </w:r>
            <w:r>
              <w:rPr>
                <w:rFonts w:ascii="Arial" w:cs="Arial" w:eastAsia="Arial" w:hAnsi="Arial"/>
                <w:sz w:val="24"/>
                <w:szCs w:val="24"/>
                <w:color w:val="auto"/>
                <w:vertAlign w:val="superscript"/>
              </w:rPr>
              <w:t>(1)</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 and diluted</w:t>
            </w:r>
          </w:p>
        </w:tc>
        <w:tc>
          <w:tcPr>
            <w:tcW w:w="1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61,540,231</w:t>
            </w: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Net loss per share attributable to Class A ordinary shares: </w:t>
            </w:r>
            <w:r>
              <w:rPr>
                <w:rFonts w:ascii="Arial" w:cs="Arial" w:eastAsia="Arial" w:hAnsi="Arial"/>
                <w:sz w:val="24"/>
                <w:szCs w:val="24"/>
                <w:color w:val="auto"/>
                <w:vertAlign w:val="superscript"/>
              </w:rPr>
              <w:t>(1)</w:t>
            </w:r>
          </w:p>
        </w:tc>
        <w:tc>
          <w:tcPr>
            <w:tcW w:w="1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 and diluted</w:t>
            </w:r>
          </w:p>
        </w:tc>
        <w:tc>
          <w:tcPr>
            <w:tcW w:w="1240" w:type="dxa"/>
            <w:vAlign w:val="bottom"/>
            <w:shd w:val="clear" w:color="auto" w:fill="CFF0FC"/>
          </w:tcPr>
          <w:p>
            <w:pPr>
              <w:jc w:val="right"/>
              <w:ind w:right="103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(0.16 )</w:t>
            </w:r>
          </w:p>
        </w:tc>
        <w:tc>
          <w:tcPr>
            <w:tcW w:w="13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-2691130</wp:posOffset>
            </wp:positionV>
            <wp:extent cx="9461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-2691130</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-1148080</wp:posOffset>
            </wp:positionV>
            <wp:extent cx="9461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-1148080</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-822325</wp:posOffset>
            </wp:positionV>
            <wp:extent cx="1654810" cy="334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54810" cy="33464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946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946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1" w:lineRule="exact"/>
        <w:rPr>
          <w:sz w:val="20"/>
          <w:szCs w:val="20"/>
          <w:color w:val="auto"/>
        </w:rPr>
      </w:pPr>
    </w:p>
    <w:p>
      <w:pPr>
        <w:ind w:right="180" w:firstLine="8"/>
        <w:spacing w:after="0" w:line="271" w:lineRule="auto"/>
        <w:tabs>
          <w:tab w:leader="none" w:pos="182"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The Company analyzed the calculation of net loss per share for periods prior to the Business Combination, as defined in Note 1, on July 11, 2022 and determined that it resulted in values that would not be meaningful to the users of the consolidated financial statements, as the capital structure completely changed as a result of the Business Combination. Therefore, net loss per share information has not been presented for periods prior to the Business Combination. For more information refer to Note 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32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662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including noncontrolling interest</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(36,909</w:t>
            </w:r>
          </w:p>
        </w:tc>
        <w:tc>
          <w:tcPr>
            <w:tcW w:w="3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(67,486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Unrealized gain (loss) on marketable securities</w:t>
            </w:r>
          </w:p>
        </w:tc>
        <w:tc>
          <w:tcPr>
            <w:tcW w:w="1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(72 )</w:t>
            </w:r>
          </w:p>
        </w:tc>
        <w:tc>
          <w:tcPr>
            <w:tcW w:w="11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66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100" w:type="dxa"/>
            <w:vAlign w:val="bottom"/>
          </w:tcPr>
          <w:p>
            <w:pPr>
              <w:spacing w:after="0"/>
              <w:rPr>
                <w:sz w:val="20"/>
                <w:szCs w:val="20"/>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color w:val="auto"/>
                <w:highlight w:val="white"/>
              </w:rPr>
              <w:t>)</w:t>
            </w:r>
          </w:p>
        </w:tc>
        <w:tc>
          <w:tcPr>
            <w:tcW w:w="1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comprehensive loss including noncontrolling interest</w:t>
            </w:r>
          </w:p>
        </w:tc>
        <w:tc>
          <w:tcPr>
            <w:tcW w:w="1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94"/>
              </w:rPr>
              <w:t>(36,981 )</w:t>
            </w:r>
          </w:p>
        </w:tc>
        <w:tc>
          <w:tcPr>
            <w:tcW w:w="11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1"/>
              </w:rPr>
              <w:t>(67,486 )</w:t>
            </w: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Less: Total comprehensive loss attributable to noncontrolling interest</w:t>
            </w:r>
          </w:p>
        </w:tc>
        <w:tc>
          <w:tcPr>
            <w:tcW w:w="1100" w:type="dxa"/>
            <w:vAlign w:val="bottom"/>
          </w:tcPr>
          <w:p>
            <w:pPr>
              <w:spacing w:after="0"/>
              <w:rPr>
                <w:sz w:val="20"/>
                <w:szCs w:val="20"/>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w w:val="94"/>
              </w:rPr>
              <w:t>(27,297 )</w:t>
            </w:r>
          </w:p>
        </w:tc>
        <w:tc>
          <w:tcPr>
            <w:tcW w:w="110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76"/>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comprehensive loss attributable to Class A ordinary shareholders</w:t>
            </w:r>
          </w:p>
        </w:tc>
        <w:tc>
          <w:tcPr>
            <w:tcW w:w="1100" w:type="dxa"/>
            <w:vAlign w:val="bottom"/>
            <w:tcBorders>
              <w:top w:val="single" w:sz="8" w:color="auto"/>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(9,684</w:t>
            </w:r>
          </w:p>
        </w:tc>
        <w:tc>
          <w:tcPr>
            <w:tcW w:w="38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(67,486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6621780</wp:posOffset>
            </wp:positionH>
            <wp:positionV relativeFrom="paragraph">
              <wp:posOffset>-659130</wp:posOffset>
            </wp:positionV>
            <wp:extent cx="8572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-25400</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-7620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6621780</wp:posOffset>
            </wp:positionH>
            <wp:positionV relativeFrom="paragraph">
              <wp:posOffset>-25400</wp:posOffset>
            </wp:positionV>
            <wp:extent cx="85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6621780</wp:posOffset>
            </wp:positionH>
            <wp:positionV relativeFrom="paragraph">
              <wp:posOffset>-7620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661" w:right="6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Redeemable Noncontrolling Interest and Shareholders’ Deficit / Members’ Equity -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4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For the 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26035</wp:posOffset>
            </wp:positionV>
            <wp:extent cx="4886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7"/>
          </w:tcPr>
          <w:p>
            <w:pPr>
              <w:ind w:left="100"/>
              <w:spacing w:after="0"/>
              <w:rPr>
                <w:sz w:val="20"/>
                <w:szCs w:val="20"/>
                <w:color w:val="auto"/>
              </w:rPr>
            </w:pPr>
            <w:r>
              <w:rPr>
                <w:rFonts w:ascii="Arial" w:cs="Arial" w:eastAsia="Arial" w:hAnsi="Arial"/>
                <w:sz w:val="18"/>
                <w:szCs w:val="18"/>
                <w:b w:val="1"/>
                <w:bCs w:val="1"/>
                <w:color w:val="auto"/>
              </w:rPr>
              <w:t>Class A Ordinary</w:t>
            </w:r>
          </w:p>
        </w:tc>
        <w:tc>
          <w:tcPr>
            <w:tcW w:w="1480" w:type="dxa"/>
            <w:vAlign w:val="bottom"/>
            <w:gridSpan w:val="5"/>
          </w:tcPr>
          <w:p>
            <w:pPr>
              <w:spacing w:after="0"/>
              <w:rPr>
                <w:sz w:val="20"/>
                <w:szCs w:val="20"/>
                <w:color w:val="auto"/>
              </w:rPr>
            </w:pPr>
            <w:r>
              <w:rPr>
                <w:rFonts w:ascii="Arial" w:cs="Arial" w:eastAsia="Arial" w:hAnsi="Arial"/>
                <w:sz w:val="18"/>
                <w:szCs w:val="18"/>
                <w:b w:val="1"/>
                <w:bCs w:val="1"/>
                <w:color w:val="auto"/>
                <w:w w:val="99"/>
              </w:rPr>
              <w:t>Class B Ordinary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w w:val="86"/>
              </w:rPr>
              <w:t>Shares</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400" w:type="dxa"/>
            <w:vAlign w:val="bottom"/>
          </w:tcPr>
          <w:p>
            <w:pPr>
              <w:spacing w:after="0"/>
              <w:rPr>
                <w:sz w:val="18"/>
                <w:szCs w:val="18"/>
                <w:color w:val="auto"/>
              </w:rPr>
            </w:pPr>
          </w:p>
        </w:tc>
        <w:tc>
          <w:tcPr>
            <w:tcW w:w="76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6"/>
              </w:rPr>
              <w:t>Rede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76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9"/>
              </w:rPr>
              <w:t>emab</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5"/>
          </w:tcPr>
          <w:p>
            <w:pPr>
              <w:ind w:left="20"/>
              <w:spacing w:after="0"/>
              <w:rPr>
                <w:sz w:val="20"/>
                <w:szCs w:val="20"/>
                <w:color w:val="auto"/>
              </w:rPr>
            </w:pPr>
            <w:r>
              <w:rPr>
                <w:rFonts w:ascii="Arial" w:cs="Arial" w:eastAsia="Arial" w:hAnsi="Arial"/>
                <w:sz w:val="18"/>
                <w:szCs w:val="18"/>
                <w:b w:val="1"/>
                <w:bCs w:val="1"/>
                <w:color w:val="auto"/>
              </w:rPr>
              <w:t>Accum</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Shareh</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2"/>
              </w:rPr>
              <w:t>le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5"/>
          </w:tcPr>
          <w:p>
            <w:pPr>
              <w:ind w:left="20"/>
              <w:spacing w:after="0"/>
              <w:rPr>
                <w:sz w:val="20"/>
                <w:szCs w:val="20"/>
                <w:color w:val="auto"/>
              </w:rPr>
            </w:pPr>
            <w:r>
              <w:rPr>
                <w:rFonts w:ascii="Arial" w:cs="Arial" w:eastAsia="Arial" w:hAnsi="Arial"/>
                <w:sz w:val="18"/>
                <w:szCs w:val="18"/>
                <w:b w:val="1"/>
                <w:bCs w:val="1"/>
                <w:color w:val="auto"/>
              </w:rPr>
              <w:t>ulated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olders'</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76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8"/>
              </w:rPr>
              <w:t>Nonc</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7"/>
              </w:rPr>
              <w:t>Additi</w:t>
            </w:r>
          </w:p>
        </w:tc>
        <w:tc>
          <w:tcPr>
            <w:tcW w:w="860" w:type="dxa"/>
            <w:vAlign w:val="bottom"/>
            <w:gridSpan w:val="5"/>
          </w:tcPr>
          <w:p>
            <w:pPr>
              <w:ind w:left="4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Deficit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76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1"/>
              </w:rPr>
              <w:t>ontro</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onal</w:t>
            </w:r>
          </w:p>
        </w:tc>
        <w:tc>
          <w:tcPr>
            <w:tcW w:w="860" w:type="dxa"/>
            <w:vAlign w:val="bottom"/>
            <w:gridSpan w:val="5"/>
          </w:tcPr>
          <w:p>
            <w:pPr>
              <w:ind w:left="20"/>
              <w:spacing w:after="0"/>
              <w:rPr>
                <w:sz w:val="20"/>
                <w:szCs w:val="20"/>
                <w:color w:val="auto"/>
              </w:rPr>
            </w:pPr>
            <w:r>
              <w:rPr>
                <w:rFonts w:ascii="Arial" w:cs="Arial" w:eastAsia="Arial" w:hAnsi="Arial"/>
                <w:sz w:val="18"/>
                <w:szCs w:val="18"/>
                <w:b w:val="1"/>
                <w:bCs w:val="1"/>
                <w:color w:val="auto"/>
              </w:rPr>
              <w:t>Compr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78"/>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7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1"/>
              </w:rPr>
              <w:t>lling</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8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4"/>
              </w:rPr>
              <w:t>ehensi</w:t>
            </w:r>
          </w:p>
        </w:tc>
        <w:tc>
          <w:tcPr>
            <w:tcW w:w="680" w:type="dxa"/>
            <w:vAlign w:val="bottom"/>
            <w:gridSpan w:val="5"/>
          </w:tcPr>
          <w:p>
            <w:pPr>
              <w:ind w:left="20"/>
              <w:spacing w:after="0"/>
              <w:rPr>
                <w:sz w:val="20"/>
                <w:szCs w:val="20"/>
                <w:color w:val="auto"/>
              </w:rPr>
            </w:pPr>
            <w:r>
              <w:rPr>
                <w:rFonts w:ascii="Arial" w:cs="Arial" w:eastAsia="Arial" w:hAnsi="Arial"/>
                <w:sz w:val="18"/>
                <w:szCs w:val="18"/>
                <w:b w:val="1"/>
                <w:bCs w:val="1"/>
                <w:color w:val="auto"/>
              </w:rPr>
              <w:t>Accum</w:t>
            </w:r>
          </w:p>
        </w:tc>
        <w:tc>
          <w:tcPr>
            <w:tcW w:w="18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Memb</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76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7"/>
              </w:rPr>
              <w:t>Inter</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7"/>
              </w:rPr>
              <w:t>Amou</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w:t>
            </w:r>
          </w:p>
        </w:tc>
        <w:tc>
          <w:tcPr>
            <w:tcW w:w="260" w:type="dxa"/>
            <w:vAlign w:val="bottom"/>
          </w:tcPr>
          <w:p>
            <w:pPr>
              <w:spacing w:after="0"/>
              <w:rPr>
                <w:sz w:val="18"/>
                <w:szCs w:val="18"/>
                <w:color w:val="auto"/>
              </w:rPr>
            </w:pPr>
          </w:p>
        </w:tc>
        <w:tc>
          <w:tcPr>
            <w:tcW w:w="8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4"/>
              </w:rPr>
              <w:t>Capita</w:t>
            </w:r>
          </w:p>
        </w:tc>
        <w:tc>
          <w:tcPr>
            <w:tcW w:w="120" w:type="dxa"/>
            <w:vAlign w:val="bottom"/>
          </w:tcPr>
          <w:p>
            <w:pPr>
              <w:spacing w:after="0"/>
              <w:rPr>
                <w:sz w:val="18"/>
                <w:szCs w:val="18"/>
                <w:color w:val="auto"/>
              </w:rPr>
            </w:pPr>
          </w:p>
        </w:tc>
        <w:tc>
          <w:tcPr>
            <w:tcW w:w="7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ve</w:t>
            </w:r>
          </w:p>
        </w:tc>
        <w:tc>
          <w:tcPr>
            <w:tcW w:w="680" w:type="dxa"/>
            <w:vAlign w:val="bottom"/>
            <w:gridSpan w:val="5"/>
          </w:tcPr>
          <w:p>
            <w:pPr>
              <w:ind w:left="20"/>
              <w:spacing w:after="0"/>
              <w:rPr>
                <w:sz w:val="20"/>
                <w:szCs w:val="20"/>
                <w:color w:val="auto"/>
              </w:rPr>
            </w:pPr>
            <w:r>
              <w:rPr>
                <w:rFonts w:ascii="Arial" w:cs="Arial" w:eastAsia="Arial" w:hAnsi="Arial"/>
                <w:sz w:val="18"/>
                <w:szCs w:val="18"/>
                <w:b w:val="1"/>
                <w:bCs w:val="1"/>
                <w:color w:val="auto"/>
              </w:rPr>
              <w:t>ulated</w:t>
            </w:r>
          </w:p>
        </w:tc>
        <w:tc>
          <w:tcPr>
            <w:tcW w:w="18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ers'</w:t>
            </w: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4"/>
              </w:rPr>
              <w:t>est</w:t>
            </w:r>
          </w:p>
        </w:tc>
        <w:tc>
          <w:tcPr>
            <w:tcW w:w="12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w w:val="96"/>
              </w:rPr>
              <w:t>Shares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nt</w:t>
            </w: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w w:val="99"/>
              </w:rPr>
              <w:t>Shares</w:t>
            </w: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nt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l</w:t>
            </w:r>
          </w:p>
        </w:tc>
        <w:tc>
          <w:tcPr>
            <w:tcW w:w="860" w:type="dxa"/>
            <w:vAlign w:val="bottom"/>
            <w:gridSpan w:val="5"/>
          </w:tcPr>
          <w:p>
            <w:pPr>
              <w:ind w:left="120"/>
              <w:spacing w:after="0"/>
              <w:rPr>
                <w:sz w:val="20"/>
                <w:szCs w:val="20"/>
                <w:color w:val="auto"/>
              </w:rPr>
            </w:pPr>
            <w:r>
              <w:rPr>
                <w:rFonts w:ascii="Arial" w:cs="Arial" w:eastAsia="Arial" w:hAnsi="Arial"/>
                <w:sz w:val="18"/>
                <w:szCs w:val="18"/>
                <w:b w:val="1"/>
                <w:bCs w:val="1"/>
                <w:color w:val="auto"/>
              </w:rPr>
              <w:t>Loss</w:t>
            </w:r>
          </w:p>
        </w:tc>
        <w:tc>
          <w:tcPr>
            <w:tcW w:w="680" w:type="dxa"/>
            <w:vAlign w:val="bottom"/>
            <w:gridSpan w:val="5"/>
          </w:tcPr>
          <w:p>
            <w:pPr>
              <w:ind w:left="40"/>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5"/>
        </w:trPr>
        <w:tc>
          <w:tcPr>
            <w:tcW w:w="34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1,60</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as of January 1, 2023</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1,55</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61,540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171,57</w:t>
            </w:r>
          </w:p>
        </w:tc>
        <w:tc>
          <w:tcPr>
            <w:tcW w:w="26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8,320</w:t>
            </w:r>
          </w:p>
        </w:tc>
        <w:tc>
          <w:tcPr>
            <w:tcW w:w="260" w:type="dxa"/>
            <w:vAlign w:val="bottom"/>
            <w:shd w:val="clear" w:color="auto" w:fill="CFF0FC"/>
          </w:tcPr>
          <w:p>
            <w:pPr>
              <w:spacing w:after="0"/>
              <w:rPr>
                <w:sz w:val="21"/>
                <w:szCs w:val="21"/>
                <w:color w:val="auto"/>
              </w:rPr>
            </w:pPr>
          </w:p>
        </w:tc>
        <w:tc>
          <w:tcPr>
            <w:tcW w:w="3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4,116 )</w:t>
            </w: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6,616 )</w:t>
            </w:r>
          </w:p>
        </w:tc>
        <w:tc>
          <w:tcPr>
            <w:tcW w:w="0" w:type="dxa"/>
            <w:vAlign w:val="bottom"/>
          </w:tcPr>
          <w:p>
            <w:pPr>
              <w:spacing w:after="0"/>
              <w:rPr>
                <w:sz w:val="1"/>
                <w:szCs w:val="1"/>
                <w:color w:val="auto"/>
              </w:rPr>
            </w:pPr>
          </w:p>
        </w:tc>
      </w:tr>
      <w:tr>
        <w:trPr>
          <w:trHeight w:val="215"/>
        </w:trPr>
        <w:tc>
          <w:tcPr>
            <w:tcW w:w="3520" w:type="dxa"/>
            <w:vAlign w:val="bottom"/>
            <w:gridSpan w:val="2"/>
            <w:vMerge w:val="restart"/>
          </w:tcPr>
          <w:p>
            <w:pPr>
              <w:ind w:left="200"/>
              <w:spacing w:after="0"/>
              <w:rPr>
                <w:sz w:val="20"/>
                <w:szCs w:val="20"/>
                <w:color w:val="auto"/>
              </w:rPr>
            </w:pPr>
            <w:r>
              <w:rPr>
                <w:rFonts w:ascii="Arial" w:cs="Arial" w:eastAsia="Arial" w:hAnsi="Arial"/>
                <w:sz w:val="18"/>
                <w:szCs w:val="18"/>
                <w:color w:val="auto"/>
              </w:rPr>
              <w:t>Equity-based compensation</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2,45</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520" w:type="dxa"/>
            <w:vAlign w:val="bottom"/>
            <w:gridSpan w:val="2"/>
            <w:vMerge w:val="continue"/>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3"/>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520" w:type="dxa"/>
            <w:vAlign w:val="bottom"/>
            <w:gridSpan w:val="2"/>
            <w:vMerge w:val="restart"/>
            <w:shd w:val="clear" w:color="auto" w:fill="CFF0FC"/>
          </w:tcPr>
          <w:p>
            <w:pPr>
              <w:ind w:left="200"/>
              <w:spacing w:after="0"/>
              <w:rPr>
                <w:sz w:val="20"/>
                <w:szCs w:val="20"/>
                <w:color w:val="auto"/>
              </w:rPr>
            </w:pPr>
            <w:r>
              <w:rPr>
                <w:rFonts w:ascii="Arial" w:cs="Arial" w:eastAsia="Arial" w:hAnsi="Arial"/>
                <w:sz w:val="18"/>
                <w:szCs w:val="18"/>
                <w:color w:val="auto"/>
              </w:rPr>
              <w:t>Vesting of Class B restricted stock rights</w:t>
            </w:r>
          </w:p>
        </w:tc>
        <w:tc>
          <w:tcPr>
            <w:tcW w:w="380" w:type="dxa"/>
            <w:vAlign w:val="bottom"/>
            <w:shd w:val="clear" w:color="auto" w:fill="CFF0FC"/>
          </w:tcPr>
          <w:p>
            <w:pPr>
              <w:spacing w:after="0"/>
              <w:rPr>
                <w:sz w:val="19"/>
                <w:szCs w:val="19"/>
                <w:color w:val="auto"/>
              </w:rPr>
            </w:pPr>
          </w:p>
        </w:tc>
        <w:tc>
          <w:tcPr>
            <w:tcW w:w="26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1,866,</w:t>
            </w:r>
          </w:p>
        </w:tc>
        <w:tc>
          <w:tcPr>
            <w:tcW w:w="26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520" w:type="dxa"/>
            <w:vAlign w:val="bottom"/>
            <w:gridSpan w:val="2"/>
            <w:vMerge w:val="continue"/>
            <w:shd w:val="clear" w:color="auto" w:fill="CFF0FC"/>
          </w:tcPr>
          <w:p>
            <w:pPr>
              <w:spacing w:after="0"/>
              <w:rPr>
                <w:sz w:val="10"/>
                <w:szCs w:val="10"/>
                <w:color w:val="auto"/>
              </w:rPr>
            </w:pPr>
          </w:p>
        </w:tc>
        <w:tc>
          <w:tcPr>
            <w:tcW w:w="640" w:type="dxa"/>
            <w:vAlign w:val="bottom"/>
            <w:tcBorders>
              <w:right w:val="single" w:sz="8" w:color="auto"/>
            </w:tcBorders>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3"/>
            <w:vMerge w:val="restart"/>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60" w:type="dxa"/>
            <w:vAlign w:val="bottom"/>
            <w:shd w:val="clear" w:color="auto" w:fill="CFF0FC"/>
          </w:tcPr>
          <w:p>
            <w:pPr>
              <w:spacing w:after="0"/>
              <w:rPr>
                <w:sz w:val="10"/>
                <w:szCs w:val="10"/>
                <w:color w:val="auto"/>
              </w:rPr>
            </w:pPr>
          </w:p>
        </w:tc>
        <w:tc>
          <w:tcPr>
            <w:tcW w:w="380" w:type="dxa"/>
            <w:vAlign w:val="bottom"/>
            <w:tcBorders>
              <w:right w:val="single" w:sz="8" w:color="CFF0FC"/>
            </w:tcBorders>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gridSpan w:val="3"/>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gridSpan w:val="3"/>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3"/>
            <w:vMerge w:val="continue"/>
            <w:shd w:val="clear" w:color="auto" w:fill="CFF0FC"/>
          </w:tcPr>
          <w:p>
            <w:pPr>
              <w:spacing w:after="0"/>
              <w:rPr>
                <w:sz w:val="10"/>
                <w:szCs w:val="10"/>
                <w:color w:val="auto"/>
              </w:rPr>
            </w:pPr>
          </w:p>
        </w:tc>
        <w:tc>
          <w:tcPr>
            <w:tcW w:w="620" w:type="dxa"/>
            <w:vAlign w:val="bottom"/>
            <w:gridSpan w:val="2"/>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80" w:type="dxa"/>
            <w:vAlign w:val="bottom"/>
            <w:tcBorders>
              <w:right w:val="single" w:sz="8" w:color="CFF0FC"/>
            </w:tcBorders>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gridSpan w:val="3"/>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gridSpan w:val="3"/>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gridSpan w:val="3"/>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3520" w:type="dxa"/>
            <w:vAlign w:val="bottom"/>
            <w:gridSpan w:val="2"/>
          </w:tcPr>
          <w:p>
            <w:pPr>
              <w:ind w:left="200"/>
              <w:spacing w:after="0"/>
              <w:rPr>
                <w:sz w:val="20"/>
                <w:szCs w:val="20"/>
                <w:color w:val="auto"/>
              </w:rPr>
            </w:pPr>
            <w:r>
              <w:rPr>
                <w:rFonts w:ascii="Arial" w:cs="Arial" w:eastAsia="Arial" w:hAnsi="Arial"/>
                <w:sz w:val="18"/>
                <w:szCs w:val="18"/>
                <w:color w:val="auto"/>
              </w:rPr>
              <w:t>Impact of equity transactions on</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ind w:left="200"/>
              <w:spacing w:after="0"/>
              <w:rPr>
                <w:sz w:val="20"/>
                <w:szCs w:val="20"/>
                <w:color w:val="auto"/>
              </w:rPr>
            </w:pPr>
            <w:r>
              <w:rPr>
                <w:rFonts w:ascii="Arial" w:cs="Arial" w:eastAsia="Arial" w:hAnsi="Arial"/>
                <w:sz w:val="18"/>
                <w:szCs w:val="18"/>
                <w:color w:val="auto"/>
              </w:rPr>
              <w:t>redeemable noncontrolling interest</w:t>
            </w:r>
          </w:p>
        </w:tc>
        <w:tc>
          <w:tcPr>
            <w:tcW w:w="6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Unrealized loss on marketable securities</w:t>
            </w:r>
          </w:p>
        </w:tc>
        <w:tc>
          <w:tcPr>
            <w:tcW w:w="6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(53 )</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7"/>
              </w:rPr>
              <w:t>(19 )</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5"/>
        </w:trPr>
        <w:tc>
          <w:tcPr>
            <w:tcW w:w="352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520" w:type="dxa"/>
            <w:vAlign w:val="bottom"/>
            <w:gridSpan w:val="2"/>
            <w:vMerge w:val="continue"/>
          </w:tcPr>
          <w:p>
            <w:pPr>
              <w:spacing w:after="0"/>
              <w:rPr>
                <w:sz w:val="11"/>
                <w:szCs w:val="11"/>
                <w:color w:val="auto"/>
              </w:rPr>
            </w:pPr>
          </w:p>
        </w:tc>
        <w:tc>
          <w:tcPr>
            <w:tcW w:w="6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244 )</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5 )</w:t>
            </w: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3"/>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5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Change in redemption value of</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509,</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2"/>
              </w:rPr>
              <w:t>526 )</w:t>
            </w: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526 )</w:t>
            </w:r>
          </w:p>
        </w:tc>
        <w:tc>
          <w:tcPr>
            <w:tcW w:w="0" w:type="dxa"/>
            <w:vAlign w:val="bottom"/>
          </w:tcPr>
          <w:p>
            <w:pPr>
              <w:spacing w:after="0"/>
              <w:rPr>
                <w:sz w:val="1"/>
                <w:szCs w:val="1"/>
                <w:color w:val="auto"/>
              </w:rPr>
            </w:pPr>
          </w:p>
        </w:tc>
      </w:tr>
      <w:tr>
        <w:trPr>
          <w:trHeight w:val="209"/>
        </w:trPr>
        <w:tc>
          <w:tcPr>
            <w:tcW w:w="34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2,08</w:t>
            </w:r>
          </w:p>
        </w:tc>
        <w:tc>
          <w:tcPr>
            <w:tcW w:w="260" w:type="dxa"/>
            <w:vAlign w:val="bottom"/>
            <w:tcBorders>
              <w:top w:val="single" w:sz="8" w:color="CFF0FC"/>
              <w:right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Balance as of March 31, 2023</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2,48</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173,44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28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4,861</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18</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(19 )</w:t>
            </w:r>
          </w:p>
        </w:tc>
        <w:tc>
          <w:tcPr>
            <w:tcW w:w="20" w:type="dxa"/>
            <w:vAlign w:val="bottom"/>
          </w:tcPr>
          <w:p>
            <w:pPr>
              <w:spacing w:after="0"/>
              <w:rPr>
                <w:sz w:val="20"/>
                <w:szCs w:val="20"/>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w w:val="90"/>
              </w:rPr>
              <w:t>$ 3,307 )</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$ 1,510 )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7"/>
          </w:tcPr>
          <w:p>
            <w:pPr>
              <w:jc w:val="right"/>
              <w:ind w:right="120"/>
              <w:spacing w:after="0"/>
              <w:rPr>
                <w:sz w:val="20"/>
                <w:szCs w:val="20"/>
                <w:color w:val="auto"/>
              </w:rPr>
            </w:pPr>
            <w:r>
              <w:rPr>
                <w:rFonts w:ascii="Arial" w:cs="Arial" w:eastAsia="Arial" w:hAnsi="Arial"/>
                <w:sz w:val="18"/>
                <w:szCs w:val="18"/>
                <w:b w:val="1"/>
                <w:bCs w:val="1"/>
                <w:color w:val="auto"/>
                <w:w w:val="95"/>
              </w:rPr>
              <w:t>For the Three Months Ended March 31, 2022</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4"/>
            <w:vMerge w:val="restart"/>
          </w:tcPr>
          <w:p>
            <w:pPr>
              <w:jc w:val="right"/>
              <w:ind w:right="170"/>
              <w:spacing w:after="0"/>
              <w:rPr>
                <w:sz w:val="20"/>
                <w:szCs w:val="20"/>
                <w:color w:val="auto"/>
              </w:rPr>
            </w:pPr>
            <w:r>
              <w:rPr>
                <w:rFonts w:ascii="Arial" w:cs="Arial" w:eastAsia="Arial" w:hAnsi="Arial"/>
                <w:sz w:val="18"/>
                <w:szCs w:val="18"/>
                <w:b w:val="1"/>
                <w:bCs w:val="1"/>
                <w:color w:val="auto"/>
              </w:rPr>
              <w:t>Class A</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vMerge w:val="restart"/>
          </w:tcPr>
          <w:p>
            <w:pPr>
              <w:jc w:val="center"/>
              <w:ind w:right="140"/>
              <w:spacing w:after="0"/>
              <w:rPr>
                <w:sz w:val="20"/>
                <w:szCs w:val="20"/>
                <w:color w:val="auto"/>
              </w:rPr>
            </w:pPr>
            <w:r>
              <w:rPr>
                <w:rFonts w:ascii="Arial" w:cs="Arial" w:eastAsia="Arial" w:hAnsi="Arial"/>
                <w:sz w:val="18"/>
                <w:szCs w:val="18"/>
                <w:b w:val="1"/>
                <w:bCs w:val="1"/>
                <w:color w:val="auto"/>
                <w:w w:val="87"/>
              </w:rPr>
              <w:t>Class B</w:t>
            </w:r>
          </w:p>
        </w:tc>
        <w:tc>
          <w:tcPr>
            <w:tcW w:w="120" w:type="dxa"/>
            <w:vAlign w:val="bottom"/>
          </w:tcPr>
          <w:p>
            <w:pPr>
              <w:spacing w:after="0"/>
              <w:rPr>
                <w:sz w:val="18"/>
                <w:szCs w:val="18"/>
                <w:color w:val="auto"/>
              </w:rPr>
            </w:pPr>
          </w:p>
        </w:tc>
        <w:tc>
          <w:tcPr>
            <w:tcW w:w="104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Accumulate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4"/>
            <w:vMerge w:val="continue"/>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3"/>
              </w:rPr>
              <w:t>Members'</w:t>
            </w:r>
          </w:p>
        </w:tc>
        <w:tc>
          <w:tcPr>
            <w:tcW w:w="0" w:type="dxa"/>
            <w:vAlign w:val="bottom"/>
          </w:tcPr>
          <w:p>
            <w:pPr>
              <w:spacing w:after="0"/>
              <w:rPr>
                <w:sz w:val="1"/>
                <w:szCs w:val="1"/>
                <w:color w:val="auto"/>
              </w:rPr>
            </w:pPr>
          </w:p>
        </w:tc>
      </w:tr>
      <w:tr>
        <w:trPr>
          <w:trHeight w:val="205"/>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gridSpan w:val="4"/>
          </w:tcPr>
          <w:p>
            <w:pPr>
              <w:jc w:val="center"/>
              <w:spacing w:after="0" w:line="205" w:lineRule="exact"/>
              <w:rPr>
                <w:sz w:val="20"/>
                <w:szCs w:val="20"/>
                <w:color w:val="auto"/>
              </w:rPr>
            </w:pPr>
            <w:r>
              <w:rPr>
                <w:rFonts w:ascii="Arial" w:cs="Arial" w:eastAsia="Arial" w:hAnsi="Arial"/>
                <w:sz w:val="18"/>
                <w:szCs w:val="18"/>
                <w:b w:val="1"/>
                <w:bCs w:val="1"/>
                <w:color w:val="auto"/>
                <w:w w:val="91"/>
              </w:rPr>
              <w:t>Profits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Units</w:t>
            </w:r>
          </w:p>
        </w:tc>
        <w:tc>
          <w:tcPr>
            <w:tcW w:w="260" w:type="dxa"/>
            <w:vAlign w:val="bottom"/>
          </w:tcPr>
          <w:p>
            <w:pPr>
              <w:spacing w:after="0"/>
              <w:rPr>
                <w:sz w:val="20"/>
                <w:szCs w:val="20"/>
                <w:color w:val="auto"/>
              </w:rPr>
            </w:pPr>
          </w:p>
        </w:tc>
        <w:tc>
          <w:tcPr>
            <w:tcW w:w="10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5"/>
        </w:trPr>
        <w:tc>
          <w:tcPr>
            <w:tcW w:w="3520" w:type="dxa"/>
            <w:vAlign w:val="bottom"/>
            <w:gridSpan w:val="2"/>
            <w:vMerge w:val="restart"/>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3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8"/>
              </w:rPr>
              <w:t>186,500,00</w:t>
            </w: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520" w:type="dxa"/>
            <w:vAlign w:val="bottom"/>
            <w:gridSpan w:val="2"/>
            <w:vMerge w:val="continue"/>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62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86"/>
              </w:rPr>
              <w:t>186,500</w:t>
            </w:r>
          </w:p>
        </w:tc>
        <w:tc>
          <w:tcPr>
            <w:tcW w:w="220" w:type="dxa"/>
            <w:vAlign w:val="bottom"/>
            <w:shd w:val="clear" w:color="auto" w:fill="CFF0FC"/>
          </w:tcPr>
          <w:p>
            <w:pPr>
              <w:spacing w:after="0"/>
              <w:rPr>
                <w:sz w:val="10"/>
                <w:szCs w:val="10"/>
                <w:color w:val="auto"/>
              </w:rPr>
            </w:pP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160" w:type="dxa"/>
            <w:vAlign w:val="bottom"/>
            <w:shd w:val="clear" w:color="auto" w:fill="CFF0FC"/>
          </w:tcPr>
          <w:p>
            <w:pPr>
              <w:spacing w:after="0"/>
              <w:rPr>
                <w:sz w:val="10"/>
                <w:szCs w:val="10"/>
                <w:color w:val="auto"/>
              </w:rPr>
            </w:pPr>
          </w:p>
        </w:tc>
        <w:tc>
          <w:tcPr>
            <w:tcW w:w="28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5"/>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(161,510 )</w:t>
            </w:r>
          </w:p>
        </w:tc>
        <w:tc>
          <w:tcPr>
            <w:tcW w:w="38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26,917</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3"/>
            <w:vMerge w:val="continue"/>
            <w:shd w:val="clear" w:color="auto" w:fill="CFF0FC"/>
          </w:tcPr>
          <w:p>
            <w:pPr>
              <w:spacing w:after="0"/>
              <w:rPr>
                <w:sz w:val="10"/>
                <w:szCs w:val="10"/>
                <w:color w:val="auto"/>
              </w:rPr>
            </w:pPr>
          </w:p>
        </w:tc>
        <w:tc>
          <w:tcPr>
            <w:tcW w:w="620" w:type="dxa"/>
            <w:vAlign w:val="bottom"/>
            <w:gridSpan w:val="2"/>
            <w:vMerge w:val="continue"/>
            <w:shd w:val="clear" w:color="auto" w:fill="CFF0FC"/>
          </w:tcPr>
          <w:p>
            <w:pPr>
              <w:spacing w:after="0"/>
              <w:rPr>
                <w:sz w:val="10"/>
                <w:szCs w:val="10"/>
                <w:color w:val="auto"/>
              </w:rPr>
            </w:pPr>
          </w:p>
        </w:tc>
        <w:tc>
          <w:tcPr>
            <w:tcW w:w="640" w:type="dxa"/>
            <w:vAlign w:val="bottom"/>
            <w:tcBorders>
              <w:right w:val="single" w:sz="8" w:color="CFF0FC"/>
            </w:tcBorders>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gridSpan w:val="2"/>
            <w:vMerge w:val="continue"/>
            <w:shd w:val="clear" w:color="auto" w:fill="CFF0FC"/>
          </w:tcPr>
          <w:p>
            <w:pPr>
              <w:spacing w:after="0"/>
              <w:rPr>
                <w:sz w:val="10"/>
                <w:szCs w:val="10"/>
                <w:color w:val="auto"/>
              </w:rPr>
            </w:pPr>
          </w:p>
        </w:tc>
        <w:tc>
          <w:tcPr>
            <w:tcW w:w="880" w:type="dxa"/>
            <w:vAlign w:val="bottom"/>
            <w:gridSpan w:val="5"/>
            <w:vMerge w:val="continue"/>
            <w:shd w:val="clear" w:color="auto" w:fill="CFF0FC"/>
          </w:tcPr>
          <w:p>
            <w:pPr>
              <w:spacing w:after="0"/>
              <w:rPr>
                <w:sz w:val="10"/>
                <w:szCs w:val="10"/>
                <w:color w:val="auto"/>
              </w:rPr>
            </w:pPr>
          </w:p>
        </w:tc>
        <w:tc>
          <w:tcPr>
            <w:tcW w:w="380" w:type="dxa"/>
            <w:vAlign w:val="bottom"/>
            <w:gridSpan w:val="3"/>
            <w:vMerge w:val="continue"/>
            <w:shd w:val="clear" w:color="auto" w:fill="CFF0FC"/>
          </w:tcPr>
          <w:p>
            <w:pPr>
              <w:spacing w:after="0"/>
              <w:rPr>
                <w:sz w:val="10"/>
                <w:szCs w:val="10"/>
                <w:color w:val="auto"/>
              </w:rPr>
            </w:pPr>
          </w:p>
        </w:tc>
        <w:tc>
          <w:tcPr>
            <w:tcW w:w="76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ind w:left="200"/>
              <w:spacing w:after="0"/>
              <w:rPr>
                <w:sz w:val="20"/>
                <w:szCs w:val="20"/>
                <w:color w:val="auto"/>
              </w:rPr>
            </w:pPr>
            <w:r>
              <w:rPr>
                <w:rFonts w:ascii="Arial" w:cs="Arial" w:eastAsia="Arial" w:hAnsi="Arial"/>
                <w:sz w:val="18"/>
                <w:szCs w:val="18"/>
                <w:color w:val="auto"/>
              </w:rPr>
              <w:t>Capital contribution</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5,550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Equity-based payments</w:t>
            </w:r>
          </w:p>
        </w:tc>
        <w:tc>
          <w:tcPr>
            <w:tcW w:w="38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55,186</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55,186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(67,486 )</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(67,486 )</w:t>
            </w:r>
          </w:p>
        </w:tc>
        <w:tc>
          <w:tcPr>
            <w:tcW w:w="0" w:type="dxa"/>
            <w:vAlign w:val="bottom"/>
          </w:tcPr>
          <w:p>
            <w:pPr>
              <w:spacing w:after="0"/>
              <w:rPr>
                <w:sz w:val="1"/>
                <w:szCs w:val="1"/>
                <w:color w:val="auto"/>
              </w:rPr>
            </w:pPr>
          </w:p>
        </w:tc>
      </w:tr>
      <w:tr>
        <w:trPr>
          <w:trHeight w:val="209"/>
        </w:trPr>
        <w:tc>
          <w:tcPr>
            <w:tcW w:w="3520" w:type="dxa"/>
            <w:vAlign w:val="bottom"/>
            <w:gridSpan w:val="2"/>
            <w:vMerge w:val="restart"/>
            <w:shd w:val="clear" w:color="auto" w:fill="CFF0FC"/>
          </w:tcPr>
          <w:p>
            <w:pPr>
              <w:ind w:left="20"/>
              <w:spacing w:after="0"/>
              <w:rPr>
                <w:sz w:val="20"/>
                <w:szCs w:val="20"/>
                <w:color w:val="auto"/>
              </w:rPr>
            </w:pPr>
            <w:r>
              <w:rPr>
                <w:rFonts w:ascii="Arial" w:cs="Arial" w:eastAsia="Arial" w:hAnsi="Arial"/>
                <w:sz w:val="18"/>
                <w:szCs w:val="18"/>
                <w:color w:val="auto"/>
              </w:rPr>
              <w:t>Balance as of March 31, 2022</w:t>
            </w:r>
          </w:p>
        </w:tc>
        <w:tc>
          <w:tcPr>
            <w:tcW w:w="3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8"/>
              </w:rPr>
              <w:t>186,500,00</w:t>
            </w: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520" w:type="dxa"/>
            <w:vAlign w:val="bottom"/>
            <w:gridSpan w:val="2"/>
            <w:vMerge w:val="continue"/>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260" w:type="dxa"/>
            <w:vAlign w:val="bottom"/>
            <w:vMerge w:val="restart"/>
            <w:shd w:val="clear" w:color="auto" w:fill="CFF0FC"/>
          </w:tcPr>
          <w:p>
            <w:pPr>
              <w:spacing w:after="0"/>
              <w:rPr>
                <w:sz w:val="12"/>
                <w:szCs w:val="12"/>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86"/>
              </w:rPr>
              <w:t>186,500</w:t>
            </w:r>
          </w:p>
        </w:tc>
        <w:tc>
          <w:tcPr>
            <w:tcW w:w="22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62,663</w:t>
            </w:r>
          </w:p>
        </w:tc>
        <w:tc>
          <w:tcPr>
            <w:tcW w:w="16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spacing w:after="0"/>
              <w:rPr>
                <w:sz w:val="12"/>
                <w:szCs w:val="12"/>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5"/>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(228,996 )</w:t>
            </w:r>
          </w:p>
        </w:tc>
        <w:tc>
          <w:tcPr>
            <w:tcW w:w="38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20,167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gridSpan w:val="3"/>
            <w:vMerge w:val="continue"/>
            <w:shd w:val="clear" w:color="auto" w:fill="CFF0FC"/>
          </w:tcPr>
          <w:p>
            <w:pPr>
              <w:spacing w:after="0"/>
              <w:rPr>
                <w:sz w:val="9"/>
                <w:szCs w:val="9"/>
                <w:color w:val="auto"/>
              </w:rPr>
            </w:pPr>
          </w:p>
        </w:tc>
        <w:tc>
          <w:tcPr>
            <w:tcW w:w="260" w:type="dxa"/>
            <w:vAlign w:val="bottom"/>
            <w:vMerge w:val="continue"/>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640" w:type="dxa"/>
            <w:vAlign w:val="bottom"/>
            <w:tcBorders>
              <w:right w:val="single" w:sz="8" w:color="CFF0FC"/>
            </w:tcBorders>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gridSpan w:val="2"/>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vMerge w:val="continue"/>
            <w:shd w:val="clear" w:color="auto" w:fill="CFF0FC"/>
          </w:tcPr>
          <w:p>
            <w:pPr>
              <w:spacing w:after="0"/>
              <w:rPr>
                <w:sz w:val="9"/>
                <w:szCs w:val="9"/>
                <w:color w:val="auto"/>
              </w:rPr>
            </w:pPr>
          </w:p>
        </w:tc>
        <w:tc>
          <w:tcPr>
            <w:tcW w:w="160" w:type="dxa"/>
            <w:vAlign w:val="bottom"/>
            <w:vMerge w:val="continue"/>
            <w:shd w:val="clear" w:color="auto" w:fill="CFF0FC"/>
          </w:tcPr>
          <w:p>
            <w:pPr>
              <w:spacing w:after="0"/>
              <w:rPr>
                <w:sz w:val="9"/>
                <w:szCs w:val="9"/>
                <w:color w:val="auto"/>
              </w:rPr>
            </w:pPr>
          </w:p>
        </w:tc>
        <w:tc>
          <w:tcPr>
            <w:tcW w:w="880" w:type="dxa"/>
            <w:vAlign w:val="bottom"/>
            <w:gridSpan w:val="5"/>
            <w:vMerge w:val="continue"/>
            <w:shd w:val="clear" w:color="auto" w:fill="CFF0FC"/>
          </w:tcPr>
          <w:p>
            <w:pPr>
              <w:spacing w:after="0"/>
              <w:rPr>
                <w:sz w:val="9"/>
                <w:szCs w:val="9"/>
                <w:color w:val="auto"/>
              </w:rPr>
            </w:pPr>
          </w:p>
        </w:tc>
        <w:tc>
          <w:tcPr>
            <w:tcW w:w="380" w:type="dxa"/>
            <w:vAlign w:val="bottom"/>
            <w:gridSpan w:val="3"/>
            <w:vMerge w:val="continue"/>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-2451100</wp:posOffset>
            </wp:positionV>
            <wp:extent cx="85725" cy="4629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46291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-2451100</wp:posOffset>
            </wp:positionV>
            <wp:extent cx="85725" cy="462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4629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-2451100</wp:posOffset>
            </wp:positionV>
            <wp:extent cx="77470" cy="462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4629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-2451100</wp:posOffset>
            </wp:positionV>
            <wp:extent cx="85725" cy="462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4629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-2451100</wp:posOffset>
            </wp:positionV>
            <wp:extent cx="76835" cy="462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4629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-2451100</wp:posOffset>
            </wp:positionV>
            <wp:extent cx="85725" cy="462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4629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-2451100</wp:posOffset>
            </wp:positionV>
            <wp:extent cx="85725" cy="462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4629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-2451100</wp:posOffset>
            </wp:positionV>
            <wp:extent cx="85725" cy="4629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4629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-2451100</wp:posOffset>
            </wp:positionV>
            <wp:extent cx="85725" cy="4629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4629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4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50"/>
        </w:trPr>
        <w:tc>
          <w:tcPr>
            <w:tcW w:w="7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Net loss before noncontrolling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(36,909 )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(67,486 )</w:t>
            </w:r>
          </w:p>
        </w:tc>
        <w:tc>
          <w:tcPr>
            <w:tcW w:w="0" w:type="dxa"/>
            <w:vAlign w:val="bottom"/>
          </w:tcPr>
          <w:p>
            <w:pPr>
              <w:spacing w:after="0"/>
              <w:rPr>
                <w:sz w:val="1"/>
                <w:szCs w:val="1"/>
                <w:color w:val="auto"/>
              </w:rPr>
            </w:pPr>
          </w:p>
        </w:tc>
      </w:tr>
      <w:tr>
        <w:trPr>
          <w:trHeight w:val="221"/>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before noncontrolling interest to net cash flows used</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 operating activities:</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Equity-based compensation</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52,684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380"/>
              <w:spacing w:after="0"/>
              <w:rPr>
                <w:sz w:val="20"/>
                <w:szCs w:val="20"/>
                <w:color w:val="auto"/>
              </w:rPr>
            </w:pPr>
            <w:r>
              <w:rPr>
                <w:rFonts w:ascii="Arial" w:cs="Arial" w:eastAsia="Arial" w:hAnsi="Arial"/>
                <w:sz w:val="18"/>
                <w:szCs w:val="18"/>
                <w:color w:val="auto"/>
              </w:rPr>
              <w:t>Gain on marketable securities, net</w:t>
            </w:r>
          </w:p>
        </w:tc>
        <w:tc>
          <w:tcPr>
            <w:tcW w:w="320" w:type="dxa"/>
            <w:vAlign w:val="bottom"/>
          </w:tcPr>
          <w:p>
            <w:pPr>
              <w:spacing w:after="0"/>
              <w:rPr>
                <w:sz w:val="20"/>
                <w:szCs w:val="20"/>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(492 )</w:t>
            </w:r>
          </w:p>
        </w:tc>
        <w:tc>
          <w:tcPr>
            <w:tcW w:w="360" w:type="dxa"/>
            <w:vAlign w:val="bottom"/>
          </w:tcPr>
          <w:p>
            <w:pPr>
              <w:spacing w:after="0"/>
              <w:rPr>
                <w:sz w:val="20"/>
                <w:szCs w:val="20"/>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on disposal of equipment</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8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5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Interest receivable</w:t>
            </w:r>
          </w:p>
        </w:tc>
        <w:tc>
          <w:tcPr>
            <w:tcW w:w="3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(5,476 )</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80" w:type="dxa"/>
            <w:vAlign w:val="bottom"/>
          </w:tcPr>
          <w:p>
            <w:pPr>
              <w:ind w:left="560"/>
              <w:spacing w:after="0"/>
              <w:rPr>
                <w:sz w:val="20"/>
                <w:szCs w:val="20"/>
                <w:color w:val="auto"/>
              </w:rPr>
            </w:pPr>
            <w:r>
              <w:rPr>
                <w:rFonts w:ascii="Arial" w:cs="Arial" w:eastAsia="Arial" w:hAnsi="Arial"/>
                <w:sz w:val="18"/>
                <w:szCs w:val="18"/>
                <w:color w:val="auto"/>
              </w:rPr>
              <w:t>Prepaid and other assets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(3,843 )</w:t>
            </w:r>
          </w:p>
        </w:tc>
        <w:tc>
          <w:tcPr>
            <w:tcW w:w="0" w:type="dxa"/>
            <w:vAlign w:val="bottom"/>
          </w:tcPr>
          <w:p>
            <w:pPr>
              <w:spacing w:after="0"/>
              <w:rPr>
                <w:sz w:val="1"/>
                <w:szCs w:val="1"/>
                <w:color w:val="auto"/>
              </w:rPr>
            </w:pPr>
          </w:p>
        </w:tc>
      </w:tr>
      <w:tr>
        <w:trPr>
          <w:trHeight w:val="249"/>
        </w:trPr>
        <w:tc>
          <w:tcPr>
            <w:tcW w:w="75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(601 )</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56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flows used in operating activities</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(25,992</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79"/>
        </w:trPr>
        <w:tc>
          <w:tcPr>
            <w:tcW w:w="758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(198,038 )</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Sales of marketable securities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6,412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equipment and facility expansion</w:t>
            </w:r>
          </w:p>
        </w:tc>
        <w:tc>
          <w:tcPr>
            <w:tcW w:w="3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(986 )</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(839 )</w:t>
            </w:r>
          </w:p>
        </w:tc>
        <w:tc>
          <w:tcPr>
            <w:tcW w:w="0" w:type="dxa"/>
            <w:vAlign w:val="bottom"/>
          </w:tcPr>
          <w:p>
            <w:pPr>
              <w:spacing w:after="0"/>
              <w:rPr>
                <w:sz w:val="1"/>
                <w:szCs w:val="1"/>
                <w:color w:val="auto"/>
              </w:rPr>
            </w:pPr>
          </w:p>
        </w:tc>
      </w:tr>
      <w:tr>
        <w:trPr>
          <w:trHeight w:val="20"/>
        </w:trPr>
        <w:tc>
          <w:tcPr>
            <w:tcW w:w="7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320" w:type="dxa"/>
            <w:vAlign w:val="bottom"/>
          </w:tcPr>
          <w:p>
            <w:pPr>
              <w:spacing w:after="0"/>
              <w:rPr>
                <w:sz w:val="20"/>
                <w:szCs w:val="20"/>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(192,612 )</w:t>
            </w:r>
          </w:p>
        </w:tc>
        <w:tc>
          <w:tcPr>
            <w:tcW w:w="3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(839 )</w:t>
            </w:r>
          </w:p>
        </w:tc>
        <w:tc>
          <w:tcPr>
            <w:tcW w:w="0" w:type="dxa"/>
            <w:vAlign w:val="bottom"/>
          </w:tcPr>
          <w:p>
            <w:pPr>
              <w:spacing w:after="0"/>
              <w:rPr>
                <w:sz w:val="1"/>
                <w:szCs w:val="1"/>
                <w:color w:val="auto"/>
              </w:rPr>
            </w:pPr>
          </w:p>
        </w:tc>
      </w:tr>
      <w:tr>
        <w:trPr>
          <w:trHeight w:val="256"/>
        </w:trPr>
        <w:tc>
          <w:tcPr>
            <w:tcW w:w="7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Payments on finance leases</w:t>
            </w:r>
          </w:p>
        </w:tc>
        <w:tc>
          <w:tcPr>
            <w:tcW w:w="320" w:type="dxa"/>
            <w:vAlign w:val="bottom"/>
          </w:tcPr>
          <w:p>
            <w:pPr>
              <w:spacing w:after="0"/>
              <w:rPr>
                <w:sz w:val="20"/>
                <w:szCs w:val="20"/>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(13 )</w:t>
            </w:r>
          </w:p>
        </w:tc>
        <w:tc>
          <w:tcPr>
            <w:tcW w:w="3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 under related party notes payable</w:t>
            </w:r>
          </w:p>
        </w:tc>
        <w:tc>
          <w:tcPr>
            <w:tcW w:w="3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Net cash contribution</w:t>
            </w:r>
          </w:p>
        </w:tc>
        <w:tc>
          <w:tcPr>
            <w:tcW w:w="320" w:type="dxa"/>
            <w:vAlign w:val="bottom"/>
          </w:tcPr>
          <w:p>
            <w:pPr>
              <w:spacing w:after="0"/>
              <w:rPr>
                <w:sz w:val="20"/>
                <w:szCs w:val="20"/>
                <w:color w:val="auto"/>
              </w:rPr>
            </w:pPr>
          </w:p>
        </w:tc>
        <w:tc>
          <w:tcPr>
            <w:tcW w:w="1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flows (used in) provided by financing activities</w:t>
            </w:r>
          </w:p>
        </w:tc>
        <w:tc>
          <w:tcPr>
            <w:tcW w:w="320" w:type="dxa"/>
            <w:vAlign w:val="bottom"/>
            <w:tcBorders>
              <w:top w:val="single" w:sz="8" w:color="auto"/>
            </w:tcBorders>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25,542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758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Pr>
          <w:p>
            <w:pPr>
              <w:spacing w:after="0"/>
              <w:rPr>
                <w:sz w:val="24"/>
                <w:szCs w:val="24"/>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(218,617 )</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9,244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beginning of period</w:t>
            </w:r>
          </w:p>
        </w:tc>
        <w:tc>
          <w:tcPr>
            <w:tcW w:w="3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490,252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20,558</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80" w:type="dxa"/>
            <w:vAlign w:val="bottom"/>
          </w:tcPr>
          <w:p>
            <w:pPr>
              <w:ind w:left="20"/>
              <w:spacing w:after="0"/>
              <w:rPr>
                <w:sz w:val="20"/>
                <w:szCs w:val="20"/>
                <w:color w:val="auto"/>
              </w:rPr>
            </w:pPr>
            <w:r>
              <w:rPr>
                <w:rFonts w:ascii="Arial" w:cs="Arial" w:eastAsia="Arial" w:hAnsi="Arial"/>
                <w:sz w:val="18"/>
                <w:szCs w:val="18"/>
                <w:color w:val="auto"/>
              </w:rPr>
              <w:t>Cash,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271,635</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Right of use assets obtained in exchange for lease obligations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Impact of equity transactions and compensation on redeemable noncontrolling interest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580" w:type="dxa"/>
            <w:vAlign w:val="bottom"/>
          </w:tcPr>
          <w:p>
            <w:pPr>
              <w:ind w:left="200"/>
              <w:spacing w:after="0"/>
              <w:rPr>
                <w:sz w:val="20"/>
                <w:szCs w:val="20"/>
                <w:color w:val="auto"/>
              </w:rPr>
            </w:pPr>
            <w:r>
              <w:rPr>
                <w:rFonts w:ascii="Arial" w:cs="Arial" w:eastAsia="Arial" w:hAnsi="Arial"/>
                <w:sz w:val="18"/>
                <w:szCs w:val="18"/>
                <w:color w:val="auto"/>
              </w:rPr>
              <w:t>Change in redemption value of noncontrolling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509,526</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Equipment and facility expansion included in accounts payable and</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280" w:type="dxa"/>
            <w:vAlign w:val="bottom"/>
            <w:shd w:val="clear" w:color="auto" w:fill="CFF0FC"/>
          </w:tcPr>
          <w:p>
            <w:pPr>
              <w:spacing w:after="0"/>
              <w:rPr>
                <w:sz w:val="17"/>
                <w:szCs w:val="17"/>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580" w:type="dxa"/>
            <w:vAlign w:val="bottom"/>
            <w:tcBorders>
              <w:bottom w:val="single" w:sz="8" w:color="CFF0FC"/>
            </w:tcBorders>
            <w:shd w:val="clear" w:color="auto" w:fill="CFF0FC"/>
          </w:tcPr>
          <w:p>
            <w:pPr>
              <w:ind w:left="340"/>
              <w:spacing w:after="0" w:line="203" w:lineRule="exact"/>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30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2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-2888615</wp:posOffset>
            </wp:positionV>
            <wp:extent cx="85725" cy="317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-2888615</wp:posOffset>
            </wp:positionV>
            <wp:extent cx="85725" cy="317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-1328420</wp:posOffset>
            </wp:positionV>
            <wp:extent cx="85725"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-1328420</wp:posOffset>
            </wp:positionV>
            <wp:extent cx="85725" cy="342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-496570</wp:posOffset>
            </wp:positionV>
            <wp:extent cx="129476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94765" cy="20574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ProKidney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60" w:firstLine="524"/>
        <w:spacing w:after="0" w:line="311" w:lineRule="auto"/>
        <w:rPr>
          <w:sz w:val="20"/>
          <w:szCs w:val="20"/>
          <w:color w:val="auto"/>
        </w:rPr>
      </w:pPr>
      <w:r>
        <w:rPr>
          <w:rFonts w:ascii="Arial" w:cs="Arial" w:eastAsia="Arial" w:hAnsi="Arial"/>
          <w:sz w:val="16"/>
          <w:szCs w:val="16"/>
          <w:color w:val="auto"/>
        </w:rPr>
        <w:t>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w:t>
      </w:r>
    </w:p>
    <w:p>
      <w:pPr>
        <w:spacing w:after="0" w:line="41" w:lineRule="exact"/>
        <w:rPr>
          <w:sz w:val="20"/>
          <w:szCs w:val="20"/>
          <w:color w:val="auto"/>
        </w:rPr>
      </w:pPr>
    </w:p>
    <w:p>
      <w:pPr>
        <w:ind w:right="80" w:firstLine="524"/>
        <w:spacing w:after="0" w:line="275" w:lineRule="auto"/>
        <w:rPr>
          <w:sz w:val="20"/>
          <w:szCs w:val="20"/>
          <w:color w:val="auto"/>
        </w:rPr>
      </w:pPr>
      <w:r>
        <w:rPr>
          <w:rFonts w:ascii="Arial" w:cs="Arial" w:eastAsia="Arial" w:hAnsi="Arial"/>
          <w:sz w:val="17"/>
          <w:szCs w:val="17"/>
          <w:color w:val="auto"/>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ordinary shares. The transaction closed (the “Closing”) on July 11, 2022 (the “Closing Date”). Upon consummation of the transaction, SCS changed its name to ProKidney Corp.</w:t>
      </w:r>
    </w:p>
    <w:p>
      <w:pPr>
        <w:spacing w:after="0" w:line="68" w:lineRule="exact"/>
        <w:rPr>
          <w:sz w:val="20"/>
          <w:szCs w:val="20"/>
          <w:color w:val="auto"/>
        </w:rPr>
      </w:pPr>
    </w:p>
    <w:p>
      <w:pPr>
        <w:ind w:right="60" w:firstLine="524"/>
        <w:spacing w:after="0" w:line="293" w:lineRule="auto"/>
        <w:rPr>
          <w:sz w:val="20"/>
          <w:szCs w:val="20"/>
          <w:color w:val="auto"/>
        </w:rPr>
      </w:pPr>
      <w:r>
        <w:rPr>
          <w:rFonts w:ascii="Arial" w:cs="Arial" w:eastAsia="Arial" w:hAnsi="Arial"/>
          <w:sz w:val="16"/>
          <w:szCs w:val="16"/>
          <w:color w:val="auto"/>
        </w:rPr>
        <w:t>The business combination between SCS and PKLP (the “Business Combination”) resulted in gross proceeds of approximately $596,537,000. This amount reflected a contribution of $21,737,000 of cash held in SCS’ trust account, net of redemptions, and a $574,800,000 concurrent private placement of Class A ordinary shares of the combined company, priced at $10.00 per share (the “PIPE Placement”). Upon close, these proceeds were used to repay the outstanding balance of $35,000,000 under PKLP’s two promissory note agreements with certain holders of its Class A Units (the “Promissory Notes”) and related accrued interest. Additionally, the proceeds were used to pay those expenses previously incurred by SCS related to the Business Combination of approximately $21,029,000 as well as advisory and placement fees of approximately $29,389,000 incurred in connection with the PIPE Placement.</w:t>
      </w:r>
    </w:p>
    <w:p>
      <w:pPr>
        <w:spacing w:after="0" w:line="56" w:lineRule="exact"/>
        <w:rPr>
          <w:sz w:val="20"/>
          <w:szCs w:val="20"/>
          <w:color w:val="auto"/>
        </w:rPr>
      </w:pPr>
    </w:p>
    <w:p>
      <w:pPr>
        <w:ind w:right="20" w:firstLine="524"/>
        <w:spacing w:after="0" w:line="286" w:lineRule="auto"/>
        <w:rPr>
          <w:sz w:val="20"/>
          <w:szCs w:val="20"/>
          <w:color w:val="auto"/>
        </w:rPr>
      </w:pPr>
      <w:r>
        <w:rPr>
          <w:rFonts w:ascii="Arial" w:cs="Arial" w:eastAsia="Arial" w:hAnsi="Arial"/>
          <w:sz w:val="17"/>
          <w:szCs w:val="17"/>
          <w:color w:val="auto"/>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spacing w:after="0" w:line="57" w:lineRule="exact"/>
        <w:rPr>
          <w:sz w:val="20"/>
          <w:szCs w:val="20"/>
          <w:color w:val="auto"/>
        </w:rPr>
      </w:pPr>
    </w:p>
    <w:p>
      <w:pPr>
        <w:ind w:firstLine="524"/>
        <w:spacing w:after="0" w:line="259" w:lineRule="auto"/>
        <w:rPr>
          <w:sz w:val="20"/>
          <w:szCs w:val="20"/>
          <w:color w:val="auto"/>
        </w:rPr>
      </w:pPr>
      <w:r>
        <w:rPr>
          <w:rFonts w:ascii="Arial" w:cs="Arial" w:eastAsia="Arial" w:hAnsi="Arial"/>
          <w:sz w:val="18"/>
          <w:szCs w:val="18"/>
          <w:color w:val="auto"/>
        </w:rPr>
        <w:t>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its Renal Autologous Cell Therapy, which has the potential to preserve kidney function in patients with chronic kidney disease or delay or eliminate the need for dialysis and organ transplantation.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524"/>
        <w:spacing w:after="0" w:line="287" w:lineRule="auto"/>
        <w:rPr>
          <w:sz w:val="20"/>
          <w:szCs w:val="20"/>
          <w:color w:val="auto"/>
        </w:rPr>
      </w:pPr>
      <w:r>
        <w:rPr>
          <w:rFonts w:ascii="Arial" w:cs="Arial" w:eastAsia="Arial" w:hAnsi="Arial"/>
          <w:sz w:val="16"/>
          <w:szCs w:val="16"/>
          <w:color w:val="auto"/>
        </w:rPr>
        <w:t>ProKidney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Condensed Consolidated Financial Statements. As of March 31, 2023, various holders own non-voting interests in PKLP, representing a 73.8% economic interest in PKLP, effectively restricting ProKidney’s interest to 26.2% of PKLP’s economic results, subject to increase in the future, should ProKidney purchase additional non-voting common units (“PKLP Units”) of PKLP, or should the holders of PKLP Units decide to exchange such units (together with shares of Class B ordinary shares) for Class A ordinary shares (or cash) pursuant to the Exchange Agreement (as defined in Note 6). The Company will not be required to provide financial or other support for PKLP. However, ProKidney will control its business and other activities through its managing member interest in PKLP, and its management is the management of PKLP. Nevertheless, because ProKidney will have no material assets other than its interests in PKLP and its subsidiaries, any financial difficulties at PKLP could result in ProKidney recognizing a loss.</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intercompany transactions and balances have been eliminated.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121" w:lineRule="exact"/>
        <w:rPr>
          <w:sz w:val="20"/>
          <w:szCs w:val="20"/>
          <w:color w:val="auto"/>
        </w:rPr>
      </w:pPr>
    </w:p>
    <w:p>
      <w:pPr>
        <w:ind w:right="20" w:firstLine="524"/>
        <w:spacing w:after="0" w:line="285"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 accompanying Condensed Consolidated Balance Sheet as of March 31, 2023, Condensed Consolidated Statements of Operations for the three months ended March 31, 2023 and 2022, Condensed Consolidated Statements of Comprehensive Loss for the three months ended March 31, 2023 and 2022, Condensed Consolidated Statement of Changes in Redeemable Noncontrolling Interest and Shareholders’ Deficit / Members’ Equity for the three months ended March 31, 2023 and 2022 and Condensed Consolidated Statements of Cash Flows for the three months ended March 31, 2023 and</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2022 are unaudited. These 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w:t>
      </w:r>
    </w:p>
    <w:p>
      <w:pPr>
        <w:spacing w:after="0" w:line="82" w:lineRule="exact"/>
        <w:rPr>
          <w:sz w:val="20"/>
          <w:szCs w:val="20"/>
          <w:color w:val="auto"/>
        </w:rPr>
      </w:pPr>
    </w:p>
    <w:p>
      <w:pPr>
        <w:ind w:right="40" w:firstLine="524"/>
        <w:spacing w:after="0" w:line="254" w:lineRule="auto"/>
        <w:rPr>
          <w:sz w:val="20"/>
          <w:szCs w:val="20"/>
          <w:color w:val="auto"/>
        </w:rPr>
      </w:pPr>
      <w:r>
        <w:rPr>
          <w:rFonts w:ascii="Arial" w:cs="Arial" w:eastAsia="Arial" w:hAnsi="Arial"/>
          <w:sz w:val="18"/>
          <w:szCs w:val="18"/>
          <w:color w:val="auto"/>
        </w:rPr>
        <w:t>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2023, the results of operations for the three months ended March 31, 2023 and 2022 and cash flows for the three months ended March 31, 2023 and 2022. Certain prior year amounts have been reclassified to conform to the current year presentation. The December 31, 2022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2022, contained in the Company’s Annual Report on Form 10-K filed with the SEC on March 28, 2023 as amended on April 27, 2023.</w:t>
      </w:r>
    </w:p>
    <w:p>
      <w:pPr>
        <w:spacing w:after="0" w:line="84" w:lineRule="exact"/>
        <w:rPr>
          <w:sz w:val="20"/>
          <w:szCs w:val="20"/>
          <w:color w:val="auto"/>
        </w:rPr>
      </w:pPr>
    </w:p>
    <w:p>
      <w:pPr>
        <w:jc w:val="both"/>
        <w:ind w:right="380" w:firstLine="524"/>
        <w:spacing w:after="0" w:line="263" w:lineRule="auto"/>
        <w:rPr>
          <w:sz w:val="20"/>
          <w:szCs w:val="20"/>
          <w:color w:val="auto"/>
        </w:rPr>
      </w:pPr>
      <w:r>
        <w:rPr>
          <w:rFonts w:ascii="Arial" w:cs="Arial" w:eastAsia="Arial" w:hAnsi="Arial"/>
          <w:sz w:val="18"/>
          <w:szCs w:val="18"/>
          <w:color w:val="auto"/>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Interim results are not necessarily indicative of results for an entire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firstLine="524"/>
        <w:spacing w:after="0" w:line="272" w:lineRule="auto"/>
        <w:rPr>
          <w:sz w:val="20"/>
          <w:szCs w:val="20"/>
          <w:color w:val="auto"/>
        </w:rPr>
      </w:pPr>
      <w:r>
        <w:rPr>
          <w:rFonts w:ascii="Arial" w:cs="Arial" w:eastAsia="Arial" w:hAnsi="Arial"/>
          <w:sz w:val="17"/>
          <w:szCs w:val="17"/>
          <w:color w:val="auto"/>
        </w:rPr>
        <w:t>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Marketable Securities</w:t>
      </w:r>
    </w:p>
    <w:p>
      <w:pPr>
        <w:spacing w:after="0" w:line="121" w:lineRule="exact"/>
        <w:rPr>
          <w:sz w:val="20"/>
          <w:szCs w:val="20"/>
          <w:color w:val="auto"/>
        </w:rPr>
      </w:pPr>
    </w:p>
    <w:p>
      <w:pPr>
        <w:ind w:firstLine="524"/>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spacing w:after="0" w:line="62" w:lineRule="exact"/>
        <w:rPr>
          <w:sz w:val="20"/>
          <w:szCs w:val="20"/>
          <w:color w:val="auto"/>
        </w:rPr>
      </w:pPr>
    </w:p>
    <w:p>
      <w:pPr>
        <w:ind w:right="200" w:firstLine="524"/>
        <w:spacing w:after="0" w:line="277" w:lineRule="auto"/>
        <w:rPr>
          <w:sz w:val="20"/>
          <w:szCs w:val="20"/>
          <w:color w:val="auto"/>
        </w:rPr>
      </w:pPr>
      <w:r>
        <w:rPr>
          <w:rFonts w:ascii="Arial" w:cs="Arial" w:eastAsia="Arial" w:hAnsi="Arial"/>
          <w:sz w:val="18"/>
          <w:szCs w:val="18"/>
          <w:color w:val="auto"/>
        </w:rPr>
        <w:t>The Company’s investments in marketable debt securities have been classified and accounted for as available-for-sale. The Company classifies its marketable debt securities as short-term due to its availability for use in its current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right="320" w:firstLine="524"/>
        <w:spacing w:after="0" w:line="342" w:lineRule="auto"/>
        <w:rPr>
          <w:sz w:val="20"/>
          <w:szCs w:val="20"/>
          <w:color w:val="auto"/>
        </w:rPr>
      </w:pPr>
      <w:r>
        <w:rPr>
          <w:rFonts w:ascii="Arial" w:cs="Arial" w:eastAsia="Arial" w:hAnsi="Arial"/>
          <w:sz w:val="16"/>
          <w:szCs w:val="16"/>
          <w:color w:val="auto"/>
        </w:rPr>
        <w:t>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ind w:right="520" w:firstLine="524"/>
        <w:spacing w:after="0" w:line="277" w:lineRule="auto"/>
        <w:rPr>
          <w:sz w:val="20"/>
          <w:szCs w:val="20"/>
          <w:color w:val="auto"/>
        </w:rPr>
      </w:pPr>
      <w:r>
        <w:rPr>
          <w:rFonts w:ascii="Arial" w:cs="Arial" w:eastAsia="Arial" w:hAnsi="Arial"/>
          <w:sz w:val="18"/>
          <w:szCs w:val="18"/>
          <w:color w:val="auto"/>
        </w:rPr>
        <w:t>Accrued expenses as presented in the Condensed Consolidated Balance Sheets as of March 31, 2023 and December 31, 2022 consisted of the following (in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7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March 31, 2023</w:t>
            </w:r>
          </w:p>
        </w:tc>
        <w:tc>
          <w:tcPr>
            <w:tcW w:w="260" w:type="dxa"/>
            <w:vAlign w:val="bottom"/>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December 31, 2022</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Clinical study related costs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1,247</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1,636</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Facility expansion costs</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Accrued legal costs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 improvement costs</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Accrued consulting and professional fees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1,338</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1,210</w:t>
            </w:r>
          </w:p>
        </w:tc>
        <w:tc>
          <w:tcPr>
            <w:tcW w:w="14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Total accrued expenses and other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6,854</w:t>
            </w:r>
          </w:p>
        </w:tc>
        <w:tc>
          <w:tcPr>
            <w:tcW w:w="9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7,336</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-187960</wp:posOffset>
            </wp:positionV>
            <wp:extent cx="8572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480" w:firstLine="524"/>
        <w:spacing w:after="0" w:line="263" w:lineRule="auto"/>
        <w:rPr>
          <w:sz w:val="20"/>
          <w:szCs w:val="20"/>
          <w:color w:val="auto"/>
        </w:rPr>
      </w:pPr>
      <w:r>
        <w:rPr>
          <w:rFonts w:ascii="Arial" w:cs="Arial" w:eastAsia="Arial" w:hAnsi="Arial"/>
          <w:sz w:val="18"/>
          <w:szCs w:val="18"/>
          <w:color w:val="auto"/>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p>
    <w:p>
      <w:pPr>
        <w:spacing w:after="0" w:line="76" w:lineRule="exact"/>
        <w:rPr>
          <w:sz w:val="20"/>
          <w:szCs w:val="20"/>
          <w:color w:val="auto"/>
        </w:rPr>
      </w:pPr>
    </w:p>
    <w:p>
      <w:pPr>
        <w:ind w:right="20" w:firstLine="524"/>
        <w:spacing w:after="0" w:line="272" w:lineRule="auto"/>
        <w:rPr>
          <w:sz w:val="20"/>
          <w:szCs w:val="20"/>
          <w:color w:val="auto"/>
        </w:rPr>
      </w:pPr>
      <w:r>
        <w:rPr>
          <w:rFonts w:ascii="Arial" w:cs="Arial" w:eastAsia="Arial" w:hAnsi="Arial"/>
          <w:sz w:val="17"/>
          <w:szCs w:val="17"/>
          <w:color w:val="auto"/>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69" w:lineRule="exact"/>
        <w:rPr>
          <w:sz w:val="20"/>
          <w:szCs w:val="20"/>
          <w:color w:val="auto"/>
        </w:rPr>
      </w:pPr>
    </w:p>
    <w:p>
      <w:pPr>
        <w:ind w:right="80" w:firstLine="524"/>
        <w:spacing w:after="0" w:line="263" w:lineRule="auto"/>
        <w:rPr>
          <w:sz w:val="20"/>
          <w:szCs w:val="20"/>
          <w:color w:val="auto"/>
        </w:rPr>
      </w:pPr>
      <w:r>
        <w:rPr>
          <w:rFonts w:ascii="Arial" w:cs="Arial" w:eastAsia="Arial" w:hAnsi="Arial"/>
          <w:sz w:val="18"/>
          <w:szCs w:val="18"/>
          <w:color w:val="auto"/>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spacing w:after="0" w:line="76" w:lineRule="exact"/>
        <w:rPr>
          <w:sz w:val="20"/>
          <w:szCs w:val="20"/>
          <w:color w:val="auto"/>
        </w:rPr>
      </w:pPr>
    </w:p>
    <w:p>
      <w:pPr>
        <w:ind w:firstLine="524"/>
        <w:spacing w:after="0" w:line="277" w:lineRule="auto"/>
        <w:rPr>
          <w:sz w:val="20"/>
          <w:szCs w:val="20"/>
          <w:color w:val="auto"/>
        </w:rPr>
      </w:pPr>
      <w:r>
        <w:rPr>
          <w:rFonts w:ascii="Arial" w:cs="Arial" w:eastAsia="Arial" w:hAnsi="Arial"/>
          <w:sz w:val="18"/>
          <w:szCs w:val="18"/>
          <w:color w:val="auto"/>
        </w:rPr>
        <w:t>Costs incurred in obtaining technology licenses are charged to research and development expense as purchased in-process research and development if the technology licensed has not reached technological feasibility and has no alternative future use.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w:t>
      </w:r>
    </w:p>
    <w:p>
      <w:pPr>
        <w:spacing w:after="0" w:line="121" w:lineRule="exact"/>
        <w:rPr>
          <w:sz w:val="20"/>
          <w:szCs w:val="20"/>
          <w:color w:val="auto"/>
        </w:rPr>
      </w:pPr>
    </w:p>
    <w:p>
      <w:pPr>
        <w:ind w:firstLine="524"/>
        <w:spacing w:after="0" w:line="259" w:lineRule="auto"/>
        <w:rPr>
          <w:sz w:val="20"/>
          <w:szCs w:val="20"/>
          <w:color w:val="auto"/>
        </w:rPr>
      </w:pPr>
      <w:r>
        <w:rPr>
          <w:rFonts w:ascii="Arial" w:cs="Arial" w:eastAsia="Arial" w:hAnsi="Arial"/>
          <w:sz w:val="18"/>
          <w:szCs w:val="18"/>
          <w:color w:val="auto"/>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00" w:type="dxa"/>
            <w:vAlign w:val="bottom"/>
          </w:tcPr>
          <w:p>
            <w:pPr>
              <w:spacing w:after="0"/>
              <w:rPr>
                <w:sz w:val="21"/>
                <w:szCs w:val="21"/>
                <w:color w:val="auto"/>
              </w:rPr>
            </w:pPr>
          </w:p>
        </w:tc>
        <w:tc>
          <w:tcPr>
            <w:tcW w:w="3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Computer equipment and software</w:t>
            </w:r>
          </w:p>
        </w:tc>
        <w:tc>
          <w:tcPr>
            <w:tcW w:w="234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3-5 years</w:t>
            </w:r>
          </w:p>
        </w:tc>
        <w:tc>
          <w:tcPr>
            <w:tcW w:w="1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720" w:type="dxa"/>
            <w:vAlign w:val="bottom"/>
          </w:tcPr>
          <w:p>
            <w:pPr>
              <w:ind w:left="80"/>
              <w:spacing w:after="0"/>
              <w:rPr>
                <w:sz w:val="20"/>
                <w:szCs w:val="20"/>
                <w:color w:val="auto"/>
              </w:rPr>
            </w:pPr>
            <w:r>
              <w:rPr>
                <w:rFonts w:ascii="Arial" w:cs="Arial" w:eastAsia="Arial" w:hAnsi="Arial"/>
                <w:sz w:val="18"/>
                <w:szCs w:val="18"/>
                <w:color w:val="auto"/>
              </w:rPr>
              <w:t>Furniture and equipment</w:t>
            </w:r>
          </w:p>
        </w:tc>
        <w:tc>
          <w:tcPr>
            <w:tcW w:w="2340" w:type="dxa"/>
            <w:vAlign w:val="bottom"/>
            <w:gridSpan w:val="2"/>
          </w:tcPr>
          <w:p>
            <w:pPr>
              <w:ind w:left="980"/>
              <w:spacing w:after="0"/>
              <w:rPr>
                <w:sz w:val="20"/>
                <w:szCs w:val="20"/>
                <w:color w:val="auto"/>
              </w:rPr>
            </w:pPr>
            <w:r>
              <w:rPr>
                <w:rFonts w:ascii="Arial" w:cs="Arial" w:eastAsia="Arial" w:hAnsi="Arial"/>
                <w:sz w:val="18"/>
                <w:szCs w:val="18"/>
                <w:color w:val="auto"/>
              </w:rPr>
              <w:t>5-7 years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Leasehold improvements</w:t>
            </w:r>
          </w:p>
        </w:tc>
        <w:tc>
          <w:tcPr>
            <w:tcW w:w="4060" w:type="dxa"/>
            <w:vAlign w:val="bottom"/>
            <w:gridSpan w:val="4"/>
            <w:shd w:val="clear" w:color="auto" w:fill="CFF0FC"/>
          </w:tcPr>
          <w:p>
            <w:pPr>
              <w:ind w:left="980"/>
              <w:spacing w:after="0"/>
              <w:rPr>
                <w:sz w:val="20"/>
                <w:szCs w:val="20"/>
                <w:color w:val="auto"/>
              </w:rPr>
            </w:pPr>
            <w:r>
              <w:rPr>
                <w:rFonts w:ascii="Arial" w:cs="Arial" w:eastAsia="Arial" w:hAnsi="Arial"/>
                <w:sz w:val="18"/>
                <w:szCs w:val="18"/>
                <w:color w:val="auto"/>
              </w:rPr>
              <w:t>remainder of lease term</w:t>
            </w:r>
          </w:p>
        </w:tc>
        <w:tc>
          <w:tcPr>
            <w:tcW w:w="80" w:type="dxa"/>
            <w:vAlign w:val="bottom"/>
            <w:shd w:val="clear" w:color="auto" w:fill="CFF0FC"/>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32"/>
        </w:trPr>
        <w:tc>
          <w:tcPr>
            <w:tcW w:w="5420" w:type="dxa"/>
            <w:vAlign w:val="bottom"/>
            <w:gridSpan w:val="2"/>
          </w:tcPr>
          <w:p>
            <w:pPr>
              <w:ind w:left="540"/>
              <w:spacing w:after="0"/>
              <w:rPr>
                <w:sz w:val="20"/>
                <w:szCs w:val="20"/>
                <w:color w:val="auto"/>
              </w:rPr>
            </w:pPr>
            <w:r>
              <w:rPr>
                <w:rFonts w:ascii="Arial" w:cs="Arial" w:eastAsia="Arial" w:hAnsi="Arial"/>
                <w:sz w:val="18"/>
                <w:szCs w:val="18"/>
                <w:color w:val="auto"/>
              </w:rPr>
              <w:t>Fixed assets consisted of the following (in thousands):</w:t>
            </w: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80"/>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March 31, 2023</w:t>
            </w:r>
          </w:p>
        </w:tc>
        <w:tc>
          <w:tcPr>
            <w:tcW w:w="80" w:type="dxa"/>
            <w:vAlign w:val="bottom"/>
          </w:tcPr>
          <w:p>
            <w:pPr>
              <w:spacing w:after="0"/>
              <w:rPr>
                <w:sz w:val="24"/>
                <w:szCs w:val="24"/>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December 31, 2022</w:t>
            </w:r>
          </w:p>
        </w:tc>
      </w:tr>
      <w:tr>
        <w:trPr>
          <w:trHeight w:val="243"/>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Furniture and equipment</w:t>
            </w:r>
          </w:p>
        </w:tc>
        <w:tc>
          <w:tcPr>
            <w:tcW w:w="2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260" w:type="dxa"/>
            <w:vAlign w:val="bottom"/>
            <w:shd w:val="clear" w:color="auto" w:fill="CFF0FC"/>
          </w:tcPr>
          <w:p>
            <w:pPr>
              <w:spacing w:after="0"/>
              <w:rPr>
                <w:sz w:val="21"/>
                <w:szCs w:val="21"/>
                <w:color w:val="auto"/>
              </w:rPr>
            </w:pPr>
          </w:p>
        </w:tc>
        <w:tc>
          <w:tcPr>
            <w:tcW w:w="620" w:type="dxa"/>
            <w:vAlign w:val="bottom"/>
            <w:tcBorders>
              <w:top w:val="single" w:sz="8" w:color="auto"/>
            </w:tcBorders>
            <w:gridSpan w:val="2"/>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w:t>
            </w:r>
          </w:p>
        </w:tc>
        <w:tc>
          <w:tcPr>
            <w:tcW w:w="140" w:type="dxa"/>
            <w:vAlign w:val="bottom"/>
            <w:shd w:val="clear" w:color="auto" w:fill="CFF0FC"/>
          </w:tcPr>
          <w:p>
            <w:pPr>
              <w:spacing w:after="0"/>
              <w:rPr>
                <w:sz w:val="21"/>
                <w:szCs w:val="21"/>
                <w:color w:val="auto"/>
              </w:rPr>
            </w:pPr>
          </w:p>
        </w:tc>
      </w:tr>
      <w:tr>
        <w:trPr>
          <w:trHeight w:val="237"/>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Computer equipment and software</w:t>
            </w: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20"/>
                <w:szCs w:val="20"/>
                <w:color w:val="auto"/>
              </w:rPr>
            </w:pPr>
          </w:p>
        </w:tc>
      </w:tr>
      <w:tr>
        <w:trPr>
          <w:trHeight w:val="249"/>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10,595</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10,537</w:t>
            </w:r>
          </w:p>
        </w:tc>
        <w:tc>
          <w:tcPr>
            <w:tcW w:w="140" w:type="dxa"/>
            <w:vAlign w:val="bottom"/>
            <w:shd w:val="clear" w:color="auto" w:fill="CFF0FC"/>
          </w:tcPr>
          <w:p>
            <w:pPr>
              <w:spacing w:after="0"/>
              <w:rPr>
                <w:sz w:val="21"/>
                <w:szCs w:val="21"/>
                <w:color w:val="auto"/>
              </w:rPr>
            </w:pPr>
          </w:p>
        </w:tc>
      </w:tr>
      <w:tr>
        <w:trPr>
          <w:trHeight w:val="237"/>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3,243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1,614</w:t>
            </w:r>
          </w:p>
        </w:tc>
        <w:tc>
          <w:tcPr>
            <w:tcW w:w="140" w:type="dxa"/>
            <w:vAlign w:val="bottom"/>
          </w:tcPr>
          <w:p>
            <w:pPr>
              <w:spacing w:after="0"/>
              <w:rPr>
                <w:sz w:val="20"/>
                <w:szCs w:val="20"/>
                <w:color w:val="auto"/>
              </w:rPr>
            </w:pPr>
          </w:p>
        </w:tc>
      </w:tr>
      <w:tr>
        <w:trPr>
          <w:trHeight w:val="249"/>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2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(5,328 )</w:t>
            </w: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(4,708 )</w:t>
            </w:r>
          </w:p>
        </w:tc>
      </w:tr>
      <w:tr>
        <w:trPr>
          <w:trHeight w:val="236"/>
        </w:trPr>
        <w:tc>
          <w:tcPr>
            <w:tcW w:w="5420" w:type="dxa"/>
            <w:vAlign w:val="bottom"/>
            <w:tcBorders>
              <w:top w:val="single" w:sz="8" w:color="CFF0FC"/>
            </w:tcBorders>
            <w:gridSpan w:val="2"/>
          </w:tcPr>
          <w:p>
            <w:pPr>
              <w:ind w:left="200"/>
              <w:spacing w:after="0"/>
              <w:rPr>
                <w:sz w:val="20"/>
                <w:szCs w:val="20"/>
                <w:color w:val="auto"/>
              </w:rPr>
            </w:pPr>
            <w:r>
              <w:rPr>
                <w:rFonts w:ascii="Arial" w:cs="Arial" w:eastAsia="Arial" w:hAnsi="Arial"/>
                <w:sz w:val="18"/>
                <w:szCs w:val="18"/>
                <w:color w:val="auto"/>
              </w:rPr>
              <w:t>Total fixed assets, net</w:t>
            </w:r>
          </w:p>
        </w:tc>
        <w:tc>
          <w:tcPr>
            <w:tcW w:w="21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11,810</w:t>
            </w:r>
          </w:p>
        </w:tc>
        <w:tc>
          <w:tcPr>
            <w:tcW w:w="260" w:type="dxa"/>
            <w:vAlign w:val="bottom"/>
            <w:tcBorders>
              <w:top w:val="single" w:sz="8" w:color="CFF0FC"/>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10,708</w:t>
            </w:r>
          </w:p>
        </w:tc>
        <w:tc>
          <w:tcPr>
            <w:tcW w:w="140" w:type="dxa"/>
            <w:vAlign w:val="bottom"/>
            <w:tcBorders>
              <w:top w:val="single" w:sz="8" w:color="CFF0FC"/>
            </w:tcBorders>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-187960</wp:posOffset>
            </wp:positionV>
            <wp:extent cx="8572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100" w:firstLine="524"/>
        <w:spacing w:after="0" w:line="258" w:lineRule="auto"/>
        <w:rPr>
          <w:sz w:val="20"/>
          <w:szCs w:val="20"/>
          <w:color w:val="auto"/>
        </w:rPr>
      </w:pPr>
      <w:r>
        <w:rPr>
          <w:rFonts w:ascii="Arial" w:cs="Arial" w:eastAsia="Arial" w:hAnsi="Arial"/>
          <w:sz w:val="18"/>
          <w:szCs w:val="18"/>
          <w:color w:val="auto"/>
        </w:rPr>
        <w:t>Depreciation expense for the three months ended March 31, 2023 was $626,000. Depreciation expense for the three months ended March 31, 2022 was $593,000.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firstLine="524"/>
        <w:spacing w:after="0" w:line="263" w:lineRule="auto"/>
        <w:rPr>
          <w:sz w:val="20"/>
          <w:szCs w:val="20"/>
          <w:color w:val="auto"/>
        </w:rPr>
      </w:pPr>
      <w:r>
        <w:rPr>
          <w:rFonts w:ascii="Arial" w:cs="Arial" w:eastAsia="Arial" w:hAnsi="Arial"/>
          <w:sz w:val="18"/>
          <w:szCs w:val="18"/>
          <w:color w:val="auto"/>
        </w:rPr>
        <w:t>Intangible assets are comprised of acquired assembled workforce, which are accounted for in accordance with ASC 350 - Intangibles - Goodwill and Other. The acquired assembled workforce is amortized on a straight-line basis over the useful life of five years. The following table summarizes information related to the Company’s assembled workforce intangible asset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March 31, 2023</w:t>
            </w:r>
          </w:p>
        </w:tc>
        <w:tc>
          <w:tcPr>
            <w:tcW w:w="26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2022</w:t>
            </w:r>
          </w:p>
        </w:tc>
        <w:tc>
          <w:tcPr>
            <w:tcW w:w="140" w:type="dxa"/>
            <w:vAlign w:val="bottom"/>
          </w:tcPr>
          <w:p>
            <w:pPr>
              <w:spacing w:after="0"/>
              <w:rPr>
                <w:sz w:val="20"/>
                <w:szCs w:val="20"/>
                <w:color w:val="auto"/>
              </w:rPr>
            </w:pPr>
          </w:p>
        </w:tc>
      </w:tr>
      <w:tr>
        <w:trPr>
          <w:trHeight w:val="24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carrying amount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40" w:type="dxa"/>
            <w:vAlign w:val="bottom"/>
            <w:shd w:val="clear" w:color="auto" w:fill="CFF0FC"/>
          </w:tcPr>
          <w:p>
            <w:pPr>
              <w:spacing w:after="0"/>
              <w:rPr>
                <w:sz w:val="21"/>
                <w:szCs w:val="2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20"/>
                <w:szCs w:val="20"/>
                <w:color w:val="auto"/>
              </w:rPr>
            </w:pPr>
          </w:p>
        </w:tc>
      </w:tr>
      <w:tr>
        <w:trPr>
          <w:trHeight w:val="277"/>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carrying amount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40" w:firstLine="524"/>
        <w:spacing w:after="0" w:line="263" w:lineRule="auto"/>
        <w:rPr>
          <w:sz w:val="20"/>
          <w:szCs w:val="20"/>
          <w:color w:val="auto"/>
        </w:rPr>
      </w:pPr>
      <w:r>
        <w:rPr>
          <w:rFonts w:ascii="Arial" w:cs="Arial" w:eastAsia="Arial" w:hAnsi="Arial"/>
          <w:sz w:val="18"/>
          <w:szCs w:val="18"/>
          <w:color w:val="auto"/>
        </w:rPr>
        <w:t>Estimated amortization expense as of March 31, 2023 for the remaining nine months of 2023 was $154,000 and $5,000 for the year ended December 31, 2024. Amortization expense relating to the assembled workforce intangible asset was $54,000 for each of the three months ended March 31, 2023 and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80" w:firstLine="524"/>
        <w:spacing w:after="0" w:line="296" w:lineRule="auto"/>
        <w:rPr>
          <w:sz w:val="20"/>
          <w:szCs w:val="20"/>
          <w:color w:val="auto"/>
        </w:rPr>
      </w:pPr>
      <w:r>
        <w:rPr>
          <w:rFonts w:ascii="Arial" w:cs="Arial" w:eastAsia="Arial" w:hAnsi="Arial"/>
          <w:sz w:val="16"/>
          <w:szCs w:val="16"/>
          <w:color w:val="auto"/>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No impairment charges have been recorded for the three months ended March 31, 2023 and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24"/>
        <w:spacing w:after="0" w:line="269" w:lineRule="auto"/>
        <w:rPr>
          <w:sz w:val="20"/>
          <w:szCs w:val="20"/>
          <w:color w:val="auto"/>
        </w:rPr>
      </w:pPr>
      <w:r>
        <w:rPr>
          <w:rFonts w:ascii="Arial" w:cs="Arial" w:eastAsia="Arial" w:hAnsi="Arial"/>
          <w:sz w:val="17"/>
          <w:szCs w:val="17"/>
          <w:color w:val="auto"/>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March 31, 2023 and December 31, 2022.</w:t>
      </w:r>
    </w:p>
    <w:p>
      <w:pPr>
        <w:spacing w:after="0" w:line="77" w:lineRule="exact"/>
        <w:rPr>
          <w:sz w:val="20"/>
          <w:szCs w:val="20"/>
          <w:color w:val="auto"/>
        </w:rPr>
      </w:pPr>
    </w:p>
    <w:p>
      <w:pPr>
        <w:jc w:val="both"/>
        <w:ind w:firstLine="524"/>
        <w:spacing w:after="0" w:line="263" w:lineRule="auto"/>
        <w:rPr>
          <w:sz w:val="20"/>
          <w:szCs w:val="20"/>
          <w:color w:val="auto"/>
        </w:rPr>
      </w:pPr>
      <w:r>
        <w:rPr>
          <w:rFonts w:ascii="Arial" w:cs="Arial" w:eastAsia="Arial" w:hAnsi="Arial"/>
          <w:sz w:val="18"/>
          <w:szCs w:val="18"/>
          <w:color w:val="auto"/>
        </w:rPr>
        <w:t>Interest and penalties related to income taxes are included in the benefit (expense) for income taxes in the Company’s Condensed Consolidated Statements of Operations and Comprehensive Loss. The Company has not incurred any significant interest or penalties related to income taxes in any of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firstLine="524"/>
        <w:spacing w:after="0" w:line="220" w:lineRule="exact"/>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the asset or liability in an orderly transaction between market participants at the measurement date. A three</w:t>
      </w:r>
      <w:r>
        <w:rPr>
          <w:rFonts w:ascii="MS PGothic" w:cs="MS PGothic" w:eastAsia="MS PGothic" w:hAnsi="MS PGothic"/>
          <w:sz w:val="18"/>
          <w:szCs w:val="18"/>
          <w:color w:val="auto"/>
        </w:rPr>
        <w:t>‑</w:t>
      </w:r>
      <w:r>
        <w:rPr>
          <w:rFonts w:ascii="Arial" w:cs="Arial" w:eastAsia="Arial" w:hAnsi="Arial"/>
          <w:sz w:val="18"/>
          <w:szCs w:val="18"/>
          <w:color w:val="auto"/>
        </w:rPr>
        <w:t>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04"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either directly or indirectly observable through correlation with market data</w:t>
      </w:r>
    </w:p>
    <w:p>
      <w:pPr>
        <w:spacing w:after="0" w:line="32" w:lineRule="exact"/>
        <w:rPr>
          <w:rFonts w:ascii="Arial" w:cs="Arial" w:eastAsia="Arial" w:hAnsi="Arial"/>
          <w:sz w:val="16"/>
          <w:szCs w:val="16"/>
          <w:color w:val="auto"/>
        </w:rPr>
      </w:pPr>
    </w:p>
    <w:p>
      <w:pPr>
        <w:ind w:left="380" w:hanging="372"/>
        <w:spacing w:after="0"/>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data, which require the reporting entity to develop its own assumptions</w:t>
      </w:r>
    </w:p>
    <w:p>
      <w:pPr>
        <w:spacing w:after="0" w:line="209" w:lineRule="exact"/>
        <w:rPr>
          <w:sz w:val="20"/>
          <w:szCs w:val="20"/>
          <w:color w:val="auto"/>
        </w:rPr>
      </w:pPr>
    </w:p>
    <w:p>
      <w:pPr>
        <w:ind w:firstLine="524"/>
        <w:spacing w:after="0" w:line="223" w:lineRule="exact"/>
        <w:rPr>
          <w:sz w:val="20"/>
          <w:szCs w:val="20"/>
          <w:color w:val="auto"/>
        </w:rPr>
      </w:pPr>
      <w:r>
        <w:rPr>
          <w:rFonts w:ascii="Arial" w:cs="Arial" w:eastAsia="Arial" w:hAnsi="Arial"/>
          <w:sz w:val="18"/>
          <w:szCs w:val="18"/>
          <w:color w:val="auto"/>
        </w:rPr>
        <w:t>The carrying values of cash equivalents, accounts payable, and accrued liabilities approximate fair value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these instruments.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60" w:firstLine="567"/>
        <w:spacing w:after="0" w:line="290" w:lineRule="auto"/>
        <w:rPr>
          <w:sz w:val="20"/>
          <w:szCs w:val="20"/>
          <w:color w:val="auto"/>
        </w:rPr>
      </w:pPr>
      <w:r>
        <w:rPr>
          <w:rFonts w:ascii="Arial" w:cs="Arial" w:eastAsia="Arial" w:hAnsi="Arial"/>
          <w:sz w:val="16"/>
          <w:szCs w:val="16"/>
          <w:color w:val="auto"/>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spacing w:after="0" w:line="57" w:lineRule="exact"/>
        <w:rPr>
          <w:sz w:val="20"/>
          <w:szCs w:val="20"/>
          <w:color w:val="auto"/>
        </w:rPr>
      </w:pPr>
    </w:p>
    <w:p>
      <w:pPr>
        <w:jc w:val="both"/>
        <w:ind w:firstLine="524"/>
        <w:spacing w:after="0" w:line="263"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jc w:val="both"/>
        <w:ind w:firstLine="524"/>
        <w:spacing w:after="0" w:line="277" w:lineRule="auto"/>
        <w:rPr>
          <w:sz w:val="20"/>
          <w:szCs w:val="20"/>
          <w:color w:val="auto"/>
        </w:rPr>
      </w:pPr>
      <w:r>
        <w:rPr>
          <w:rFonts w:ascii="Arial" w:cs="Arial" w:eastAsia="Arial" w:hAnsi="Arial"/>
          <w:sz w:val="18"/>
          <w:szCs w:val="18"/>
          <w:color w:val="auto"/>
        </w:rPr>
        <w:t>The Company records reserves for contingent liabilities when it is probable that an asset has been impaired or a liability has been incurred at the date of the financial statements, and the amount of the loss can be reasonably estimated.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21" w:lineRule="exact"/>
        <w:rPr>
          <w:sz w:val="20"/>
          <w:szCs w:val="20"/>
          <w:color w:val="auto"/>
        </w:rPr>
      </w:pPr>
    </w:p>
    <w:p>
      <w:pPr>
        <w:jc w:val="both"/>
        <w:ind w:firstLine="524"/>
        <w:spacing w:after="0" w:line="263" w:lineRule="auto"/>
        <w:rPr>
          <w:sz w:val="20"/>
          <w:szCs w:val="20"/>
          <w:color w:val="auto"/>
        </w:rPr>
      </w:pPr>
      <w:r>
        <w:rPr>
          <w:rFonts w:ascii="Arial" w:cs="Arial" w:eastAsia="Arial" w:hAnsi="Arial"/>
          <w:sz w:val="18"/>
          <w:szCs w:val="18"/>
          <w:color w:val="auto"/>
        </w:rPr>
        <w:t>Compensation expense for share-based compensation awards issued is based on the fair value of the award at the date of grant, and compensation expense is recognized for those awards earned over the service period on a straight-line basis. The Company records forfeitures of share-based compensation awards as they occur.</w:t>
      </w:r>
    </w:p>
    <w:p>
      <w:pPr>
        <w:spacing w:after="0" w:line="76"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8"/>
          <w:szCs w:val="18"/>
          <w:color w:val="auto"/>
        </w:rPr>
        <w:t>The grant date fair value of stock option awards is estimated using the Black-Scholes option pricing formula. Due to the lack of sufficient historical trading information with respect to its own shares, the Company estimates expected volatility based on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operates in only one segment.</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Investments</w:t>
      </w:r>
    </w:p>
    <w:p>
      <w:pPr>
        <w:spacing w:after="0" w:line="121" w:lineRule="exact"/>
        <w:rPr>
          <w:sz w:val="20"/>
          <w:szCs w:val="20"/>
          <w:color w:val="auto"/>
        </w:rPr>
      </w:pPr>
    </w:p>
    <w:p>
      <w:pPr>
        <w:ind w:right="160" w:firstLine="509"/>
        <w:spacing w:after="0" w:line="308" w:lineRule="auto"/>
        <w:rPr>
          <w:sz w:val="20"/>
          <w:szCs w:val="20"/>
          <w:color w:val="auto"/>
        </w:rPr>
      </w:pPr>
      <w:r>
        <w:rPr>
          <w:rFonts w:ascii="Arial" w:cs="Arial" w:eastAsia="Arial" w:hAnsi="Arial"/>
          <w:sz w:val="17"/>
          <w:szCs w:val="17"/>
          <w:color w:val="auto"/>
        </w:rPr>
        <w:t>Cash equivalents and marketable securities are measured at fair value and within Level 2 in the fair value hierarchy, because we use quoted market prices to the extent available or alternative pricing sources and models utilizing market observable inputs to determine fair value.</w:t>
      </w:r>
    </w:p>
    <w:p>
      <w:pPr>
        <w:spacing w:after="0" w:line="38"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following tables summarize our cash equivalents and marketable securities measured at fair value on a recurring basis as of March 31, 2023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Gross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Cash</w:t>
            </w:r>
          </w:p>
        </w:tc>
        <w:tc>
          <w:tcPr>
            <w:tcW w:w="2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Marketabl</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Amortized</w:t>
            </w:r>
          </w:p>
        </w:tc>
        <w:tc>
          <w:tcPr>
            <w:tcW w:w="26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4"/>
              </w:rPr>
              <w:t>Unrealized</w:t>
            </w:r>
          </w:p>
        </w:tc>
        <w:tc>
          <w:tcPr>
            <w:tcW w:w="26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Equivalent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41"/>
        </w:trPr>
        <w:tc>
          <w:tcPr>
            <w:tcW w:w="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80" w:type="dxa"/>
            <w:vAlign w:val="bottom"/>
          </w:tcPr>
          <w:p>
            <w:pPr>
              <w:ind w:left="240"/>
              <w:spacing w:after="0"/>
              <w:rPr>
                <w:sz w:val="20"/>
                <w:szCs w:val="20"/>
                <w:color w:val="auto"/>
              </w:rPr>
            </w:pPr>
            <w:r>
              <w:rPr>
                <w:rFonts w:ascii="Arial" w:cs="Arial" w:eastAsia="Arial" w:hAnsi="Arial"/>
                <w:sz w:val="18"/>
                <w:szCs w:val="18"/>
                <w:b w:val="1"/>
                <w:bCs w:val="1"/>
                <w:color w:val="auto"/>
              </w:rPr>
              <w:t>Hierarchy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Cost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8"/>
                <w:szCs w:val="18"/>
                <w:b w:val="1"/>
                <w:bCs w:val="1"/>
                <w:color w:val="auto"/>
              </w:rPr>
              <w:t>Gains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rPr>
              <w:t>s</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Securities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2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1280" w:type="dxa"/>
            <w:vAlign w:val="bottom"/>
          </w:tcPr>
          <w:p>
            <w:pPr>
              <w:ind w:left="2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32,750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32,751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32,751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9"/>
        </w:trPr>
        <w:tc>
          <w:tcPr>
            <w:tcW w:w="340" w:type="dxa"/>
            <w:vAlign w:val="bottom"/>
          </w:tcPr>
          <w:p>
            <w:pPr>
              <w:spacing w:after="0"/>
              <w:rPr>
                <w:sz w:val="21"/>
                <w:szCs w:val="21"/>
                <w:color w:val="auto"/>
              </w:rPr>
            </w:pPr>
          </w:p>
        </w:tc>
        <w:tc>
          <w:tcPr>
            <w:tcW w:w="2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1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103,663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(20 )</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103,788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103,788</w:t>
            </w:r>
          </w:p>
        </w:tc>
        <w:tc>
          <w:tcPr>
            <w:tcW w:w="14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280" w:type="dxa"/>
            <w:vAlign w:val="bottom"/>
          </w:tcPr>
          <w:p>
            <w:pPr>
              <w:ind w:left="2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15,807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15,810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15,810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9"/>
        </w:trPr>
        <w:tc>
          <w:tcPr>
            <w:tcW w:w="340" w:type="dxa"/>
            <w:vAlign w:val="bottom"/>
          </w:tcPr>
          <w:p>
            <w:pPr>
              <w:spacing w:after="0"/>
              <w:rPr>
                <w:sz w:val="21"/>
                <w:szCs w:val="21"/>
                <w:color w:val="auto"/>
              </w:rPr>
            </w:pPr>
          </w:p>
        </w:tc>
        <w:tc>
          <w:tcPr>
            <w:tcW w:w="2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debt securities</w:t>
            </w:r>
          </w:p>
        </w:tc>
        <w:tc>
          <w:tcPr>
            <w:tcW w:w="1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(203 )</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39,697</w:t>
            </w:r>
          </w:p>
        </w:tc>
        <w:tc>
          <w:tcPr>
            <w:tcW w:w="14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195,715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195,643</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3,597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192,046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-548005</wp:posOffset>
            </wp:positionV>
            <wp:extent cx="7747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-548005</wp:posOffset>
            </wp:positionV>
            <wp:extent cx="8572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-548005</wp:posOffset>
            </wp:positionV>
            <wp:extent cx="8572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-548005</wp:posOffset>
            </wp:positionV>
            <wp:extent cx="8572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-548005</wp:posOffset>
            </wp:positionV>
            <wp:extent cx="7683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-548005</wp:posOffset>
            </wp:positionV>
            <wp:extent cx="8572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ind w:firstLine="509"/>
        <w:spacing w:after="0" w:line="277" w:lineRule="auto"/>
        <w:rPr>
          <w:sz w:val="20"/>
          <w:szCs w:val="20"/>
          <w:color w:val="auto"/>
        </w:rPr>
      </w:pPr>
      <w:r>
        <w:rPr>
          <w:rFonts w:ascii="Arial" w:cs="Arial" w:eastAsia="Arial" w:hAnsi="Arial"/>
          <w:sz w:val="18"/>
          <w:szCs w:val="18"/>
          <w:color w:val="auto"/>
        </w:rPr>
        <w:t>The following table shows the fair value of the Company’s cash equivalents and marketable securities, by contractual maturity, as of March 31, 2023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67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March 31, 2023</w:t>
            </w:r>
          </w:p>
        </w:tc>
        <w:tc>
          <w:tcPr>
            <w:tcW w:w="140" w:type="dxa"/>
            <w:vAlign w:val="bottom"/>
          </w:tcPr>
          <w:p>
            <w:pPr>
              <w:spacing w:after="0"/>
              <w:rPr>
                <w:sz w:val="20"/>
                <w:szCs w:val="20"/>
                <w:color w:val="auto"/>
              </w:rPr>
            </w:pPr>
          </w:p>
        </w:tc>
      </w:tr>
      <w:tr>
        <w:trPr>
          <w:trHeight w:val="243"/>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in 1 year or less</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2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185,639</w:t>
            </w:r>
          </w:p>
        </w:tc>
        <w:tc>
          <w:tcPr>
            <w:tcW w:w="140" w:type="dxa"/>
            <w:vAlign w:val="bottom"/>
            <w:shd w:val="clear" w:color="auto" w:fill="CFF0FC"/>
          </w:tcPr>
          <w:p>
            <w:pPr>
              <w:spacing w:after="0"/>
              <w:rPr>
                <w:sz w:val="21"/>
                <w:szCs w:val="21"/>
                <w:color w:val="auto"/>
              </w:rPr>
            </w:pP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Due in 1 year through 5 years</w:t>
            </w:r>
          </w:p>
        </w:tc>
        <w:tc>
          <w:tcPr>
            <w:tcW w:w="6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10,004</w:t>
            </w:r>
          </w:p>
        </w:tc>
        <w:tc>
          <w:tcPr>
            <w:tcW w:w="140" w:type="dxa"/>
            <w:vAlign w:val="bottom"/>
          </w:tcPr>
          <w:p>
            <w:pPr>
              <w:spacing w:after="0"/>
              <w:rPr>
                <w:sz w:val="21"/>
                <w:szCs w:val="21"/>
                <w:color w:val="auto"/>
              </w:rPr>
            </w:pPr>
          </w:p>
        </w:tc>
      </w:tr>
      <w:tr>
        <w:trPr>
          <w:trHeight w:val="277"/>
        </w:trPr>
        <w:tc>
          <w:tcPr>
            <w:tcW w:w="6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2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195,643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6837680</wp:posOffset>
            </wp:positionH>
            <wp:positionV relativeFrom="paragraph">
              <wp:posOffset>-24765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-7620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Income Taxes</w:t>
      </w:r>
    </w:p>
    <w:p>
      <w:pPr>
        <w:spacing w:after="0" w:line="121" w:lineRule="exact"/>
        <w:rPr>
          <w:sz w:val="20"/>
          <w:szCs w:val="20"/>
          <w:color w:val="auto"/>
        </w:rPr>
      </w:pPr>
    </w:p>
    <w:p>
      <w:pPr>
        <w:jc w:val="both"/>
        <w:ind w:firstLine="524"/>
        <w:spacing w:after="0" w:line="277" w:lineRule="auto"/>
        <w:rPr>
          <w:sz w:val="20"/>
          <w:szCs w:val="20"/>
          <w:color w:val="auto"/>
        </w:rPr>
      </w:pPr>
      <w:r>
        <w:rPr>
          <w:rFonts w:ascii="Arial" w:cs="Arial" w:eastAsia="Arial" w:hAnsi="Arial"/>
          <w:sz w:val="18"/>
          <w:szCs w:val="18"/>
          <w:color w:val="auto"/>
        </w:rPr>
        <w:t>ProKidney is considered to be an exempted Cayman Islands company and is presently not subject to income taxes or income tax filing requirements in the Cayman Islands or the United States.</w:t>
      </w:r>
    </w:p>
    <w:p>
      <w:pPr>
        <w:spacing w:after="0" w:line="62" w:lineRule="exact"/>
        <w:rPr>
          <w:sz w:val="20"/>
          <w:szCs w:val="20"/>
          <w:color w:val="auto"/>
        </w:rPr>
      </w:pPr>
    </w:p>
    <w:p>
      <w:pPr>
        <w:jc w:val="both"/>
        <w:ind w:firstLine="524"/>
        <w:spacing w:after="0" w:line="263" w:lineRule="auto"/>
        <w:rPr>
          <w:sz w:val="20"/>
          <w:szCs w:val="20"/>
          <w:color w:val="auto"/>
        </w:rPr>
      </w:pPr>
      <w:r>
        <w:rPr>
          <w:rFonts w:ascii="Arial" w:cs="Arial" w:eastAsia="Arial" w:hAnsi="Arial"/>
          <w:sz w:val="18"/>
          <w:szCs w:val="18"/>
          <w:color w:val="auto"/>
        </w:rPr>
        <w:t>The Company’s subsidiary, PKLP, is organized as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w:t>
      </w:r>
    </w:p>
    <w:p>
      <w:pPr>
        <w:spacing w:after="0" w:line="76" w:lineRule="exact"/>
        <w:rPr>
          <w:sz w:val="20"/>
          <w:szCs w:val="20"/>
          <w:color w:val="auto"/>
        </w:rPr>
      </w:pPr>
    </w:p>
    <w:p>
      <w:pPr>
        <w:jc w:val="both"/>
        <w:ind w:firstLine="524"/>
        <w:spacing w:after="0" w:line="263" w:lineRule="auto"/>
        <w:rPr>
          <w:sz w:val="20"/>
          <w:szCs w:val="20"/>
          <w:color w:val="auto"/>
        </w:rPr>
      </w:pPr>
      <w:r>
        <w:rPr>
          <w:rFonts w:ascii="Arial" w:cs="Arial" w:eastAsia="Arial" w:hAnsi="Arial"/>
          <w:sz w:val="18"/>
          <w:szCs w:val="18"/>
          <w:color w:val="auto"/>
        </w:rPr>
        <w:t>The Company’s subsidiary, ProKidney-US, is treated as a C corporation, and therefore a provision for federal and state taxes has been recorded. The difference between the Company’s effective tax rates and the U.S. statutory rate of 21% is primarily attributable to PKLP and ProKidney-KY being treated as partnerships for income tax purposes.</w:t>
      </w:r>
    </w:p>
    <w:p>
      <w:pPr>
        <w:spacing w:after="0" w:line="76" w:lineRule="exact"/>
        <w:rPr>
          <w:sz w:val="20"/>
          <w:szCs w:val="20"/>
          <w:color w:val="auto"/>
        </w:rPr>
      </w:pPr>
    </w:p>
    <w:p>
      <w:pPr>
        <w:jc w:val="both"/>
        <w:ind w:firstLine="524"/>
        <w:spacing w:after="0" w:line="259" w:lineRule="auto"/>
        <w:rPr>
          <w:sz w:val="20"/>
          <w:szCs w:val="20"/>
          <w:color w:val="auto"/>
        </w:rPr>
      </w:pPr>
      <w:r>
        <w:rPr>
          <w:rFonts w:ascii="Arial" w:cs="Arial" w:eastAsia="Arial" w:hAnsi="Arial"/>
          <w:sz w:val="18"/>
          <w:szCs w:val="18"/>
          <w:color w:val="auto"/>
        </w:rPr>
        <w:t>The Company’s subsidiary,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spacing w:after="0" w:line="79"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8"/>
          <w:szCs w:val="18"/>
          <w:color w:val="auto"/>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2023.</w:t>
      </w:r>
    </w:p>
    <w:p>
      <w:pPr>
        <w:spacing w:after="0" w:line="80" w:lineRule="exact"/>
        <w:rPr>
          <w:sz w:val="20"/>
          <w:szCs w:val="20"/>
          <w:color w:val="auto"/>
        </w:rPr>
      </w:pPr>
    </w:p>
    <w:p>
      <w:pPr>
        <w:jc w:val="both"/>
        <w:ind w:firstLine="524"/>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w:t>
      </w:r>
    </w:p>
    <w:p>
      <w:pPr>
        <w:spacing w:after="0" w:line="79" w:lineRule="exact"/>
        <w:rPr>
          <w:sz w:val="20"/>
          <w:szCs w:val="20"/>
          <w:color w:val="auto"/>
        </w:rPr>
      </w:pPr>
    </w:p>
    <w:p>
      <w:pPr>
        <w:jc w:val="both"/>
        <w:ind w:firstLine="524"/>
        <w:spacing w:after="0" w:line="277" w:lineRule="auto"/>
        <w:rPr>
          <w:sz w:val="20"/>
          <w:szCs w:val="20"/>
          <w:color w:val="auto"/>
        </w:rPr>
      </w:pPr>
      <w:r>
        <w:rPr>
          <w:rFonts w:ascii="Arial" w:cs="Arial" w:eastAsia="Arial" w:hAnsi="Arial"/>
          <w:sz w:val="18"/>
          <w:szCs w:val="18"/>
          <w:color w:val="auto"/>
        </w:rPr>
        <w:t>There were no net unrecognized tax benefits as of March 31, 2023 which, if recognized, would affect our effective tax rate. We expect none of the gross unrecognized tax benefits will decrease within the next year.</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significant changes in the Company’s uncertain tax positions during the three months ended March 31, 2023.</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jc w:val="both"/>
        <w:ind w:right="560" w:firstLine="524"/>
        <w:spacing w:after="0" w:line="287" w:lineRule="auto"/>
        <w:rPr>
          <w:sz w:val="20"/>
          <w:szCs w:val="20"/>
          <w:color w:val="auto"/>
        </w:rPr>
      </w:pPr>
      <w:r>
        <w:rPr>
          <w:rFonts w:ascii="Arial" w:cs="Arial" w:eastAsia="Arial" w:hAnsi="Arial"/>
          <w:sz w:val="16"/>
          <w:szCs w:val="16"/>
          <w:color w:val="auto"/>
        </w:rPr>
        <w:t>The Company has operating leases for real estate (primarily its operating facilities) and certain equipment with various expiration dates. The Company also has one finance lease for certain equipment. For the three months ended March 31, 2023 and 2022, the Company’s rent expense was $212,000 and $90,000, respectively. Cash paid for operating leases during the three months ended March 31, 2023, was $203,000.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180" w:firstLine="524"/>
        <w:spacing w:after="0" w:line="277" w:lineRule="auto"/>
        <w:rPr>
          <w:sz w:val="20"/>
          <w:szCs w:val="20"/>
          <w:color w:val="auto"/>
        </w:rPr>
      </w:pPr>
      <w:r>
        <w:rPr>
          <w:rFonts w:ascii="Arial" w:cs="Arial" w:eastAsia="Arial" w:hAnsi="Arial"/>
          <w:sz w:val="18"/>
          <w:szCs w:val="18"/>
          <w:color w:val="auto"/>
        </w:rPr>
        <w:t>The following table summarizes the classification of operating and finance lease assets and obligations in the Company's Condensed Consolidated Balance Sheets as of March 31, 2023 and December 31, 2022 (in thousands):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r>
      <w:tr>
        <w:trPr>
          <w:trHeight w:val="241"/>
        </w:trPr>
        <w:tc>
          <w:tcPr>
            <w:tcW w:w="696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8"/>
              </w:rPr>
              <w:t>March 31, 2023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r>
      <w:tr>
        <w:trPr>
          <w:trHeight w:val="243"/>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leases:</w:t>
            </w: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Right of use assets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2,856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0"/>
                <w:szCs w:val="20"/>
                <w:color w:val="auto"/>
              </w:rPr>
            </w:pPr>
          </w:p>
        </w:tc>
      </w:tr>
      <w:tr>
        <w:trPr>
          <w:trHeight w:val="256"/>
        </w:trPr>
        <w:tc>
          <w:tcPr>
            <w:tcW w:w="6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4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FF0FC"/>
          </w:tcPr>
          <w:p>
            <w:pPr>
              <w:spacing w:after="0"/>
              <w:rPr>
                <w:sz w:val="21"/>
                <w:szCs w:val="21"/>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20"/>
                <w:szCs w:val="20"/>
                <w:color w:val="auto"/>
              </w:rPr>
            </w:pPr>
          </w:p>
        </w:tc>
      </w:tr>
      <w:tr>
        <w:trPr>
          <w:trHeight w:val="243"/>
        </w:trPr>
        <w:tc>
          <w:tcPr>
            <w:tcW w:w="6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operating lease liabilities</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FF0FC"/>
          </w:tcPr>
          <w:p>
            <w:pPr>
              <w:spacing w:after="0"/>
              <w:rPr>
                <w:sz w:val="21"/>
                <w:szCs w:val="21"/>
                <w:color w:val="auto"/>
              </w:rPr>
            </w:pPr>
          </w:p>
        </w:tc>
      </w:tr>
      <w:tr>
        <w:trPr>
          <w:trHeight w:val="479"/>
        </w:trPr>
        <w:tc>
          <w:tcPr>
            <w:tcW w:w="696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21"/>
                <w:szCs w:val="21"/>
                <w:color w:val="auto"/>
              </w:rPr>
            </w:pPr>
          </w:p>
        </w:tc>
      </w:tr>
      <w:tr>
        <w:trPr>
          <w:trHeight w:val="479"/>
        </w:trPr>
        <w:tc>
          <w:tcPr>
            <w:tcW w:w="6960" w:type="dxa"/>
            <w:vAlign w:val="bottom"/>
          </w:tcPr>
          <w:p>
            <w:pPr>
              <w:spacing w:after="0"/>
              <w:rPr>
                <w:sz w:val="20"/>
                <w:szCs w:val="20"/>
                <w:color w:val="auto"/>
              </w:rPr>
            </w:pPr>
            <w:r>
              <w:rPr>
                <w:rFonts w:ascii="Arial" w:cs="Arial" w:eastAsia="Arial" w:hAnsi="Arial"/>
                <w:sz w:val="18"/>
                <w:szCs w:val="18"/>
                <w:color w:val="auto"/>
              </w:rPr>
              <w:t>Finance lease liabilities, current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r>
      <w:tr>
        <w:trPr>
          <w:trHeight w:val="24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5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Total finance lease liabilities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-187960</wp:posOffset>
            </wp:positionV>
            <wp:extent cx="7683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Maturities of lease liabilities for the Company’s operating and finance leases are as follows as of March 31, 2023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Operating</w:t>
            </w: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6"/>
              </w:rPr>
              <w:t>Finance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Leases</w:t>
            </w:r>
          </w:p>
        </w:tc>
        <w:tc>
          <w:tcPr>
            <w:tcW w:w="20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Leases</w:t>
            </w: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43"/>
        </w:trPr>
        <w:tc>
          <w:tcPr>
            <w:tcW w:w="5940" w:type="dxa"/>
            <w:vAlign w:val="bottom"/>
            <w:shd w:val="clear" w:color="auto" w:fill="CFF0FC"/>
          </w:tcPr>
          <w:p>
            <w:pPr>
              <w:jc w:val="right"/>
              <w:ind w:right="5450"/>
              <w:spacing w:after="0"/>
              <w:rPr>
                <w:sz w:val="20"/>
                <w:szCs w:val="20"/>
                <w:color w:val="auto"/>
              </w:rPr>
            </w:pPr>
            <w:r>
              <w:rPr>
                <w:rFonts w:ascii="Arial" w:cs="Arial" w:eastAsia="Arial" w:hAnsi="Arial"/>
                <w:sz w:val="18"/>
                <w:szCs w:val="18"/>
                <w:color w:val="auto"/>
                <w:w w:val="94"/>
              </w:rPr>
              <w:t>2023</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FF0FC"/>
          </w:tcPr>
          <w:p>
            <w:pPr>
              <w:spacing w:after="0"/>
              <w:rPr>
                <w:sz w:val="21"/>
                <w:szCs w:val="21"/>
                <w:color w:val="auto"/>
              </w:rPr>
            </w:pPr>
          </w:p>
        </w:tc>
      </w:tr>
      <w:tr>
        <w:trPr>
          <w:trHeight w:val="237"/>
        </w:trPr>
        <w:tc>
          <w:tcPr>
            <w:tcW w:w="5940" w:type="dxa"/>
            <w:vAlign w:val="bottom"/>
          </w:tcPr>
          <w:p>
            <w:pPr>
              <w:jc w:val="right"/>
              <w:ind w:right="5450"/>
              <w:spacing w:after="0"/>
              <w:rPr>
                <w:sz w:val="20"/>
                <w:szCs w:val="20"/>
                <w:color w:val="auto"/>
              </w:rPr>
            </w:pPr>
            <w:r>
              <w:rPr>
                <w:rFonts w:ascii="Arial" w:cs="Arial" w:eastAsia="Arial" w:hAnsi="Arial"/>
                <w:sz w:val="18"/>
                <w:szCs w:val="18"/>
                <w:color w:val="auto"/>
                <w:w w:val="94"/>
              </w:rPr>
              <w:t>2024</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0"/>
                <w:szCs w:val="20"/>
                <w:color w:val="auto"/>
              </w:rPr>
            </w:pPr>
          </w:p>
        </w:tc>
      </w:tr>
      <w:tr>
        <w:trPr>
          <w:trHeight w:val="249"/>
        </w:trPr>
        <w:tc>
          <w:tcPr>
            <w:tcW w:w="5940" w:type="dxa"/>
            <w:vAlign w:val="bottom"/>
            <w:shd w:val="clear" w:color="auto" w:fill="CFF0FC"/>
          </w:tcPr>
          <w:p>
            <w:pPr>
              <w:jc w:val="right"/>
              <w:ind w:right="5450"/>
              <w:spacing w:after="0"/>
              <w:rPr>
                <w:sz w:val="20"/>
                <w:szCs w:val="20"/>
                <w:color w:val="auto"/>
              </w:rPr>
            </w:pPr>
            <w:r>
              <w:rPr>
                <w:rFonts w:ascii="Arial" w:cs="Arial" w:eastAsia="Arial" w:hAnsi="Arial"/>
                <w:sz w:val="18"/>
                <w:szCs w:val="18"/>
                <w:color w:val="auto"/>
                <w:w w:val="94"/>
              </w:rPr>
              <w:t>2025</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FF0FC"/>
          </w:tcPr>
          <w:p>
            <w:pPr>
              <w:spacing w:after="0"/>
              <w:rPr>
                <w:sz w:val="21"/>
                <w:szCs w:val="21"/>
                <w:color w:val="auto"/>
              </w:rPr>
            </w:pPr>
          </w:p>
        </w:tc>
      </w:tr>
      <w:tr>
        <w:trPr>
          <w:trHeight w:val="237"/>
        </w:trPr>
        <w:tc>
          <w:tcPr>
            <w:tcW w:w="5940" w:type="dxa"/>
            <w:vAlign w:val="bottom"/>
          </w:tcPr>
          <w:p>
            <w:pPr>
              <w:jc w:val="right"/>
              <w:ind w:right="5450"/>
              <w:spacing w:after="0"/>
              <w:rPr>
                <w:sz w:val="20"/>
                <w:szCs w:val="20"/>
                <w:color w:val="auto"/>
              </w:rPr>
            </w:pPr>
            <w:r>
              <w:rPr>
                <w:rFonts w:ascii="Arial" w:cs="Arial" w:eastAsia="Arial" w:hAnsi="Arial"/>
                <w:sz w:val="18"/>
                <w:szCs w:val="18"/>
                <w:color w:val="auto"/>
                <w:w w:val="94"/>
              </w:rPr>
              <w:t>2026</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0"/>
                <w:szCs w:val="20"/>
                <w:color w:val="auto"/>
              </w:rPr>
            </w:pPr>
          </w:p>
        </w:tc>
      </w:tr>
      <w:tr>
        <w:trPr>
          <w:trHeight w:val="249"/>
        </w:trPr>
        <w:tc>
          <w:tcPr>
            <w:tcW w:w="5940" w:type="dxa"/>
            <w:vAlign w:val="bottom"/>
            <w:shd w:val="clear" w:color="auto" w:fill="CFF0FC"/>
          </w:tcPr>
          <w:p>
            <w:pPr>
              <w:jc w:val="right"/>
              <w:ind w:right="5450"/>
              <w:spacing w:after="0"/>
              <w:rPr>
                <w:sz w:val="20"/>
                <w:szCs w:val="20"/>
                <w:color w:val="auto"/>
              </w:rPr>
            </w:pPr>
            <w:r>
              <w:rPr>
                <w:rFonts w:ascii="Arial" w:cs="Arial" w:eastAsia="Arial" w:hAnsi="Arial"/>
                <w:sz w:val="18"/>
                <w:szCs w:val="18"/>
                <w:color w:val="auto"/>
                <w:w w:val="94"/>
              </w:rPr>
              <w:t>2027</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FF0FC"/>
          </w:tcPr>
          <w:p>
            <w:pPr>
              <w:spacing w:after="0"/>
              <w:rPr>
                <w:sz w:val="21"/>
                <w:szCs w:val="21"/>
                <w:color w:val="auto"/>
              </w:rPr>
            </w:pPr>
          </w:p>
        </w:tc>
      </w:tr>
      <w:tr>
        <w:trPr>
          <w:trHeight w:val="237"/>
        </w:trPr>
        <w:tc>
          <w:tcPr>
            <w:tcW w:w="594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r>
      <w:tr>
        <w:trPr>
          <w:trHeight w:val="24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w:t>
            </w:r>
          </w:p>
        </w:tc>
        <w:tc>
          <w:tcPr>
            <w:tcW w:w="120" w:type="dxa"/>
            <w:vAlign w:val="bottom"/>
            <w:shd w:val="clear" w:color="auto" w:fill="CFF0FC"/>
          </w:tcPr>
          <w:p>
            <w:pPr>
              <w:spacing w:after="0"/>
              <w:rPr>
                <w:sz w:val="21"/>
                <w:szCs w:val="21"/>
                <w:color w:val="auto"/>
              </w:rPr>
            </w:pPr>
          </w:p>
        </w:tc>
      </w:tr>
      <w:tr>
        <w:trPr>
          <w:trHeight w:val="237"/>
        </w:trPr>
        <w:tc>
          <w:tcPr>
            <w:tcW w:w="59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(652 )</w:t>
            </w:r>
          </w:p>
        </w:tc>
        <w:tc>
          <w:tcPr>
            <w:tcW w:w="2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(31 )</w:t>
            </w: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(683 )</w:t>
            </w:r>
          </w:p>
        </w:tc>
      </w:tr>
      <w:tr>
        <w:trPr>
          <w:trHeight w:val="277"/>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firstLine="524"/>
        <w:spacing w:after="0" w:line="277" w:lineRule="auto"/>
        <w:rPr>
          <w:sz w:val="20"/>
          <w:szCs w:val="20"/>
          <w:color w:val="auto"/>
        </w:rPr>
      </w:pPr>
      <w:r>
        <w:rPr>
          <w:rFonts w:ascii="Arial" w:cs="Arial" w:eastAsia="Arial" w:hAnsi="Arial"/>
          <w:sz w:val="18"/>
          <w:szCs w:val="18"/>
          <w:color w:val="auto"/>
        </w:rPr>
        <w:t>The weighted average remaining lease term for operating leases is 4.2 years, and 5.0 years for finance leases. The weighted average discount rate for operating leases is 9.5% and 6.8% for finance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60" w:firstLine="524"/>
        <w:spacing w:after="0" w:line="287" w:lineRule="auto"/>
        <w:rPr>
          <w:sz w:val="20"/>
          <w:szCs w:val="20"/>
          <w:color w:val="auto"/>
        </w:rPr>
      </w:pPr>
      <w:r>
        <w:rPr>
          <w:rFonts w:ascii="Arial" w:cs="Arial" w:eastAsia="Arial" w:hAnsi="Arial"/>
          <w:sz w:val="16"/>
          <w:szCs w:val="16"/>
          <w:color w:val="auto"/>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will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Lock-Up Agreement</w:t>
      </w:r>
    </w:p>
    <w:p>
      <w:pPr>
        <w:spacing w:after="0" w:line="117" w:lineRule="exact"/>
        <w:rPr>
          <w:sz w:val="20"/>
          <w:szCs w:val="20"/>
          <w:color w:val="auto"/>
        </w:rPr>
      </w:pPr>
    </w:p>
    <w:p>
      <w:pPr>
        <w:ind w:right="80" w:firstLine="524"/>
        <w:spacing w:after="0" w:line="258" w:lineRule="auto"/>
        <w:rPr>
          <w:sz w:val="20"/>
          <w:szCs w:val="20"/>
          <w:color w:val="auto"/>
        </w:rPr>
      </w:pPr>
      <w:r>
        <w:rPr>
          <w:rFonts w:ascii="Arial" w:cs="Arial" w:eastAsia="Arial" w:hAnsi="Arial"/>
          <w:sz w:val="18"/>
          <w:szCs w:val="18"/>
          <w:color w:val="auto"/>
        </w:rPr>
        <w:t>On the Closing Date, the Company, SCS Sponsor III LLC and certain Closing ProKidney Unitholders entered into a lock-up agreement (the “Lock-Up Agreement”). The Lock-Up Agreement contains certain restrictions on transfer with respect to the SCS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20"/>
        <w:spacing w:after="0" w:line="284" w:lineRule="auto"/>
        <w:rPr>
          <w:sz w:val="20"/>
          <w:szCs w:val="20"/>
          <w:color w:val="auto"/>
        </w:rPr>
      </w:pPr>
      <w:r>
        <w:rPr>
          <w:rFonts w:ascii="Arial" w:cs="Arial" w:eastAsia="Arial" w:hAnsi="Arial"/>
          <w:sz w:val="16"/>
          <w:szCs w:val="16"/>
          <w:color w:val="auto"/>
        </w:rPr>
        <w:t>Sponsor III LLC and the Closing ProKidney Unitholders party thereto. Such restrictions begin at the Closing and end on the earlier of (i) the date that is 180 days after the Closing and (ii)(a) for 33% of the Lock-Up Shares (other than the Earnout Shares and the PIPE Shares), the date on which the last reported sale price of a Class A ordinary share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During January 2023, the lock-up period for 50% of the shares held by the Closing ProKidney Unitholders (other than the Earnout Shares) expired.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20" w:firstLine="524"/>
        <w:spacing w:after="0" w:line="296" w:lineRule="auto"/>
        <w:rPr>
          <w:sz w:val="20"/>
          <w:szCs w:val="20"/>
          <w:color w:val="auto"/>
        </w:rPr>
      </w:pPr>
      <w:r>
        <w:rPr>
          <w:rFonts w:ascii="Arial" w:cs="Arial" w:eastAsia="Arial" w:hAnsi="Arial"/>
          <w:sz w:val="16"/>
          <w:szCs w:val="16"/>
          <w:color w:val="auto"/>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Rights</w:t>
      </w:r>
    </w:p>
    <w:p>
      <w:pPr>
        <w:spacing w:after="0" w:line="117" w:lineRule="exact"/>
        <w:rPr>
          <w:sz w:val="20"/>
          <w:szCs w:val="20"/>
          <w:color w:val="auto"/>
        </w:rPr>
      </w:pPr>
    </w:p>
    <w:p>
      <w:pPr>
        <w:ind w:firstLine="524"/>
        <w:spacing w:after="0" w:line="275" w:lineRule="auto"/>
        <w:rPr>
          <w:sz w:val="20"/>
          <w:szCs w:val="20"/>
          <w:color w:val="auto"/>
        </w:rPr>
      </w:pPr>
      <w:r>
        <w:rPr>
          <w:rFonts w:ascii="Arial" w:cs="Arial" w:eastAsia="Arial" w:hAnsi="Arial"/>
          <w:sz w:val="17"/>
          <w:szCs w:val="17"/>
          <w:color w:val="auto"/>
        </w:rPr>
        <w:t>At the Closing, certain shareholders were issued an aggregate of 17,500,000 Earnout Restricted Common Units and 17,500,000 Earnout Restricted Stock Rights (collectively, the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the those same VWAP thresholds within a five-year period immediately following the Closing. Upon vesting, the Earnout Rights will automatically convert into Post Combination ProKidney Common Units and Class B ordinary shares.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Debt</w:t>
      </w:r>
    </w:p>
    <w:p>
      <w:pPr>
        <w:spacing w:after="0" w:line="117" w:lineRule="exact"/>
        <w:rPr>
          <w:sz w:val="20"/>
          <w:szCs w:val="20"/>
          <w:color w:val="auto"/>
        </w:rPr>
      </w:pPr>
    </w:p>
    <w:p>
      <w:pPr>
        <w:ind w:right="100" w:firstLine="524"/>
        <w:spacing w:after="0" w:line="259" w:lineRule="auto"/>
        <w:rPr>
          <w:sz w:val="20"/>
          <w:szCs w:val="20"/>
          <w:color w:val="auto"/>
        </w:rPr>
      </w:pPr>
      <w:r>
        <w:rPr>
          <w:rFonts w:ascii="Arial" w:cs="Arial" w:eastAsia="Arial" w:hAnsi="Arial"/>
          <w:sz w:val="18"/>
          <w:szCs w:val="18"/>
          <w:color w:val="auto"/>
        </w:rPr>
        <w:t>On January 18, 2022, in connection with the execution of the Business Combination Agreement, the Company entered into the Promissory Notes. Through the Promissory Notes, the holders could fund up to $100,000,000 to support the operational financing needs of the Company prior to the Closing. These notes bore interest at a rate of 3% per annum and were due upon the earliest of either (i) the date on which the Business Combination closed or (ii) January 17, 2023.</w:t>
      </w:r>
    </w:p>
    <w:p>
      <w:pPr>
        <w:spacing w:after="0" w:line="79" w:lineRule="exact"/>
        <w:rPr>
          <w:sz w:val="20"/>
          <w:szCs w:val="20"/>
          <w:color w:val="auto"/>
        </w:rPr>
      </w:pPr>
    </w:p>
    <w:p>
      <w:pPr>
        <w:ind w:right="420" w:firstLine="524"/>
        <w:spacing w:after="0" w:line="277" w:lineRule="auto"/>
        <w:rPr>
          <w:sz w:val="20"/>
          <w:szCs w:val="20"/>
          <w:color w:val="auto"/>
        </w:rPr>
      </w:pPr>
      <w:r>
        <w:rPr>
          <w:rFonts w:ascii="Arial" w:cs="Arial" w:eastAsia="Arial" w:hAnsi="Arial"/>
          <w:sz w:val="18"/>
          <w:szCs w:val="18"/>
          <w:color w:val="auto"/>
        </w:rPr>
        <w:t>During the three months ended March 31, 2022, the Company borrowed $20,000,000 under the Promissory Notes. The amounts due under the Promissory Notes were paid, and the Promissory Notes were effectively terminated, upon Closing as described in Note 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 Agreement between ProKidney-KY and Nefro Health</w:t>
      </w:r>
    </w:p>
    <w:p>
      <w:pPr>
        <w:spacing w:after="0" w:line="333" w:lineRule="exact"/>
        <w:rPr>
          <w:sz w:val="20"/>
          <w:szCs w:val="20"/>
          <w:color w:val="auto"/>
        </w:rPr>
      </w:pPr>
    </w:p>
    <w:p>
      <w:pPr>
        <w:ind w:right="20" w:firstLine="524"/>
        <w:spacing w:after="0" w:line="266" w:lineRule="auto"/>
        <w:rPr>
          <w:sz w:val="20"/>
          <w:szCs w:val="20"/>
          <w:color w:val="auto"/>
        </w:rPr>
      </w:pPr>
      <w:r>
        <w:rPr>
          <w:rFonts w:ascii="Arial" w:cs="Arial" w:eastAsia="Arial" w:hAnsi="Arial"/>
          <w:sz w:val="17"/>
          <w:szCs w:val="17"/>
          <w:color w:val="auto"/>
        </w:rPr>
        <w:t>On January 1, 2020, ProKidney-KY (formerly known as inRegen) entered into a consulting services agreement with Nefro Health (“Nefro”), an Irish partnership controlled and majority-owned by Mr. Pablo Legorreta, a director of the Company ProKidney GP Limited, a private limited company incorporated under the laws of Ireland (“Legacy GP”) and a holder of over 5% of Class A Units in PKLP,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Pablo Legorreta. Under the agreement, Nefro receives $25,000 per quarter and is reimbursed for any out-of-pocket expenses incurred in connection with activities Nefro conducted under the agreement. ProKidney-KY has paid Nefro an aggregate of $25,000 for the three month periods ended March 31, 2023 and 2022.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line="257" w:lineRule="auto"/>
        <w:rPr>
          <w:sz w:val="20"/>
          <w:szCs w:val="20"/>
          <w:color w:val="auto"/>
        </w:rPr>
      </w:pPr>
      <w:r>
        <w:rPr>
          <w:rFonts w:ascii="Arial" w:cs="Arial" w:eastAsia="Arial" w:hAnsi="Arial"/>
          <w:sz w:val="18"/>
          <w:szCs w:val="18"/>
          <w:color w:val="auto"/>
        </w:rPr>
        <w:t>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 Agreement between ProKidney-US and Nefro Health</w:t>
      </w:r>
    </w:p>
    <w:p>
      <w:pPr>
        <w:spacing w:after="0" w:line="117" w:lineRule="exact"/>
        <w:rPr>
          <w:sz w:val="20"/>
          <w:szCs w:val="20"/>
          <w:color w:val="auto"/>
        </w:rPr>
      </w:pPr>
    </w:p>
    <w:p>
      <w:pPr>
        <w:ind w:right="40" w:firstLine="524"/>
        <w:spacing w:after="0" w:line="287" w:lineRule="auto"/>
        <w:rPr>
          <w:sz w:val="20"/>
          <w:szCs w:val="20"/>
          <w:color w:val="auto"/>
        </w:rPr>
      </w:pPr>
      <w:r>
        <w:rPr>
          <w:rFonts w:ascii="Arial" w:cs="Arial" w:eastAsia="Arial" w:hAnsi="Arial"/>
          <w:sz w:val="16"/>
          <w:szCs w:val="16"/>
          <w:color w:val="auto"/>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Pablo Legorreta. Under the agreement, Nefro receives $25,000 per quarter and is reimbursed for any out-of-pocket expenses incurred in connection with activities Nefro conducted under the agreement. ProKidney-US has paid Nefro an aggregate of $25,000 for the three month periods ended March 31, 2023 and 2022.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spacing w:after="0" w:line="2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Redeemable Noncontrolling Interest</w:t>
      </w:r>
    </w:p>
    <w:p>
      <w:pPr>
        <w:spacing w:after="0" w:line="121" w:lineRule="exact"/>
        <w:rPr>
          <w:sz w:val="20"/>
          <w:szCs w:val="20"/>
          <w:color w:val="auto"/>
        </w:rPr>
      </w:pPr>
    </w:p>
    <w:p>
      <w:pPr>
        <w:ind w:right="40" w:firstLine="524"/>
        <w:spacing w:after="0" w:line="254" w:lineRule="auto"/>
        <w:rPr>
          <w:sz w:val="20"/>
          <w:szCs w:val="20"/>
          <w:color w:val="auto"/>
        </w:rPr>
      </w:pPr>
      <w:r>
        <w:rPr>
          <w:rFonts w:ascii="Arial" w:cs="Arial" w:eastAsia="Arial" w:hAnsi="Arial"/>
          <w:sz w:val="18"/>
          <w:szCs w:val="18"/>
          <w:color w:val="auto"/>
        </w:rPr>
        <w:t>The Company is subject to the Exchange Agreement with respect to the Post-Combination ProKidney Common Units representing the outstanding 73.8% noncontrolling interest in PKLP (see Note 1). The Exchange Agreement requires the surrender of an equal number of Post-Combination ProKidney Common Units and Class B ordinary shares for (i) Class A ordinary shares on a one-for-one basis or (ii) cash (based on the fair market value of the Class A ordinary shares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ordinary shares as defined in the Exchange Agreement, subject to customary conversion rate adjustments for share splits, share dividends and reclassifications.</w:t>
      </w:r>
    </w:p>
    <w:p>
      <w:pPr>
        <w:spacing w:after="0" w:line="87" w:lineRule="exact"/>
        <w:rPr>
          <w:sz w:val="20"/>
          <w:szCs w:val="20"/>
          <w:color w:val="auto"/>
        </w:rPr>
      </w:pPr>
    </w:p>
    <w:p>
      <w:pPr>
        <w:ind w:right="200" w:firstLine="524"/>
        <w:spacing w:after="0" w:line="259" w:lineRule="auto"/>
        <w:rPr>
          <w:sz w:val="20"/>
          <w:szCs w:val="20"/>
          <w:color w:val="auto"/>
        </w:rPr>
      </w:pPr>
      <w:r>
        <w:rPr>
          <w:rFonts w:ascii="Arial" w:cs="Arial" w:eastAsia="Arial" w:hAnsi="Arial"/>
          <w:sz w:val="18"/>
          <w:szCs w:val="18"/>
          <w:color w:val="auto"/>
        </w:rPr>
        <w:t>The redeemable noncontrolling interest is recognized at the higher of (1) its initial fair value plus accumulated earnings/losses associated with the noncontrolling interest or (2) the redemption value as of the balance sheet date. At March 31, 2023, the redeemable noncontrolling interest was recorded based on the redemption value as of the balance sheet date which was higher than its initial fair value plus accumulated losses associated with the noncontrolling interest.</w:t>
      </w:r>
    </w:p>
    <w:p>
      <w:pPr>
        <w:spacing w:after="0" w:line="79" w:lineRule="exact"/>
        <w:rPr>
          <w:sz w:val="20"/>
          <w:szCs w:val="20"/>
          <w:color w:val="auto"/>
        </w:rPr>
      </w:pPr>
    </w:p>
    <w:p>
      <w:pPr>
        <w:ind w:right="480" w:firstLine="524"/>
        <w:spacing w:after="0" w:line="263" w:lineRule="auto"/>
        <w:rPr>
          <w:sz w:val="20"/>
          <w:szCs w:val="20"/>
          <w:color w:val="auto"/>
        </w:rPr>
      </w:pPr>
      <w:r>
        <w:rPr>
          <w:rFonts w:ascii="Arial" w:cs="Arial" w:eastAsia="Arial" w:hAnsi="Arial"/>
          <w:sz w:val="18"/>
          <w:szCs w:val="18"/>
          <w:color w:val="auto"/>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 (in thousands):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41"/>
        </w:trPr>
        <w:tc>
          <w:tcPr>
            <w:tcW w:w="7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available to Class A ordinary shareholders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8"/>
                <w:szCs w:val="18"/>
                <w:color w:val="auto"/>
              </w:rPr>
              <w:t>(Increase)/Decrease in ProKidney Corp. accumulated deficit for impact of</w:t>
            </w:r>
          </w:p>
        </w:tc>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160"/>
              <w:spacing w:after="0"/>
              <w:rPr>
                <w:sz w:val="20"/>
                <w:szCs w:val="20"/>
                <w:color w:val="auto"/>
              </w:rPr>
            </w:pPr>
            <w:r>
              <w:rPr>
                <w:rFonts w:ascii="Arial" w:cs="Arial" w:eastAsia="Arial" w:hAnsi="Arial"/>
                <w:sz w:val="18"/>
                <w:szCs w:val="18"/>
                <w:color w:val="auto"/>
              </w:rPr>
              <w:t>subsidiary equity-based compensation</w:t>
            </w:r>
          </w:p>
        </w:tc>
        <w:tc>
          <w:tcPr>
            <w:tcW w:w="32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2,457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(Increase)/Decrease in ProKidney Corp. additional paid-in capital for vesting of</w:t>
            </w:r>
          </w:p>
        </w:tc>
        <w:tc>
          <w:tcPr>
            <w:tcW w:w="320" w:type="dxa"/>
            <w:vAlign w:val="bottom"/>
            <w:shd w:val="clear" w:color="auto" w:fill="CFF0FC"/>
          </w:tcPr>
          <w:p>
            <w:pPr>
              <w:spacing w:after="0"/>
              <w:rPr>
                <w:sz w:val="19"/>
                <w:szCs w:val="19"/>
                <w:color w:val="auto"/>
              </w:rPr>
            </w:pPr>
          </w:p>
        </w:tc>
        <w:tc>
          <w:tcPr>
            <w:tcW w:w="26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(3,753 )</w:t>
            </w: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Common Units in ProKidney LP</w:t>
            </w:r>
          </w:p>
        </w:tc>
        <w:tc>
          <w:tcPr>
            <w:tcW w:w="320" w:type="dxa"/>
            <w:vAlign w:val="bottom"/>
            <w:shd w:val="clear" w:color="auto" w:fill="CFF0FC"/>
          </w:tcPr>
          <w:p>
            <w:pPr>
              <w:spacing w:after="0"/>
              <w:rPr>
                <w:sz w:val="20"/>
                <w:szCs w:val="20"/>
                <w:color w:val="auto"/>
              </w:rPr>
            </w:pPr>
          </w:p>
        </w:tc>
        <w:tc>
          <w:tcPr>
            <w:tcW w:w="26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8"/>
                <w:szCs w:val="18"/>
                <w:color w:val="auto"/>
              </w:rPr>
              <w:t>Change from net loss available to Class A ordinary shareholders and change</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2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(10,961 )</w:t>
            </w: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line="203" w:lineRule="exact"/>
              <w:rPr>
                <w:sz w:val="20"/>
                <w:szCs w:val="20"/>
                <w:color w:val="auto"/>
              </w:rPr>
            </w:pPr>
            <w:r>
              <w:rPr>
                <w:rFonts w:ascii="Arial" w:cs="Arial" w:eastAsia="Arial" w:hAnsi="Arial"/>
                <w:sz w:val="18"/>
                <w:szCs w:val="18"/>
                <w:color w:val="auto"/>
              </w:rPr>
              <w:t>in ownership interest in ProKidney LP</w:t>
            </w:r>
          </w:p>
        </w:tc>
        <w:tc>
          <w:tcPr>
            <w:tcW w:w="320" w:type="dxa"/>
            <w:vAlign w:val="bottom"/>
            <w:vMerge w:val="continue"/>
          </w:tcPr>
          <w:p>
            <w:pPr>
              <w:spacing w:after="0"/>
              <w:rPr>
                <w:sz w:val="17"/>
                <w:szCs w:val="17"/>
                <w:color w:val="auto"/>
              </w:rPr>
            </w:pPr>
          </w:p>
        </w:tc>
        <w:tc>
          <w:tcPr>
            <w:tcW w:w="2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6837680</wp:posOffset>
            </wp:positionH>
            <wp:positionV relativeFrom="paragraph">
              <wp:posOffset>-299720</wp:posOffset>
            </wp:positionV>
            <wp:extent cx="85725" cy="300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3003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Net Loss per Share</w:t>
      </w:r>
    </w:p>
    <w:p>
      <w:pPr>
        <w:spacing w:after="0" w:line="121" w:lineRule="exact"/>
        <w:rPr>
          <w:sz w:val="20"/>
          <w:szCs w:val="20"/>
          <w:color w:val="auto"/>
        </w:rPr>
      </w:pPr>
    </w:p>
    <w:p>
      <w:pPr>
        <w:ind w:right="240" w:firstLine="524"/>
        <w:spacing w:after="0" w:line="258" w:lineRule="auto"/>
        <w:rPr>
          <w:sz w:val="20"/>
          <w:szCs w:val="20"/>
          <w:color w:val="auto"/>
        </w:rPr>
      </w:pPr>
      <w:r>
        <w:rPr>
          <w:rFonts w:ascii="Arial" w:cs="Arial" w:eastAsia="Arial" w:hAnsi="Arial"/>
          <w:sz w:val="18"/>
          <w:szCs w:val="18"/>
          <w:color w:val="auto"/>
        </w:rPr>
        <w:t>Basic net loss per share is calculated by dividing net loss attributable to Class A ordinary shareholders by the weighted-average shares of Class A ordinary shares outstanding without the consideration for potential dilutive securities. Diluted net loss per share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right="300"/>
        <w:spacing w:after="0" w:line="277" w:lineRule="auto"/>
        <w:rPr>
          <w:sz w:val="20"/>
          <w:szCs w:val="20"/>
          <w:color w:val="auto"/>
        </w:rPr>
      </w:pPr>
      <w:r>
        <w:rPr>
          <w:rFonts w:ascii="Arial" w:cs="Arial" w:eastAsia="Arial" w:hAnsi="Arial"/>
          <w:sz w:val="18"/>
          <w:szCs w:val="18"/>
          <w:color w:val="auto"/>
        </w:rPr>
        <w:t>represents basic net loss per share adjusted to include the effects of all potentially dilutive shares. Diluted net loss per share is the same as basic loss per share for all periods as the inclusion of potentially issuable shares would be antidilutive.</w:t>
      </w:r>
    </w:p>
    <w:p>
      <w:pPr>
        <w:spacing w:after="0" w:line="62" w:lineRule="exact"/>
        <w:rPr>
          <w:sz w:val="20"/>
          <w:szCs w:val="20"/>
          <w:color w:val="auto"/>
        </w:rPr>
      </w:pPr>
    </w:p>
    <w:p>
      <w:pPr>
        <w:ind w:firstLine="524"/>
        <w:spacing w:after="0" w:line="257" w:lineRule="auto"/>
        <w:rPr>
          <w:sz w:val="20"/>
          <w:szCs w:val="20"/>
          <w:color w:val="auto"/>
        </w:rPr>
      </w:pPr>
      <w:r>
        <w:rPr>
          <w:rFonts w:ascii="Arial" w:cs="Arial" w:eastAsia="Arial" w:hAnsi="Arial"/>
          <w:sz w:val="18"/>
          <w:szCs w:val="18"/>
          <w:color w:val="auto"/>
        </w:rPr>
        <w:t>The Company analyzed the calculation of net loss per share for periods prior to the Business Combination on July 11, 2022 and determined that it resulted in values that would not be meaningful to the users of the consolidated financial statements, as the capital structure completely changed as a result of the Business Combination. Therefore, net loss per share information has not been presented for periods prior to the Business Combination. The basic and diluted net loss per share attributable to Class A ordinary shareholders for the three months ended March 31, 2022, has not been presented as it represents a period prior to the Closing of the Business Combination.</w:t>
      </w:r>
    </w:p>
    <w:p>
      <w:pPr>
        <w:spacing w:after="0" w:line="80" w:lineRule="exact"/>
        <w:rPr>
          <w:sz w:val="20"/>
          <w:szCs w:val="20"/>
          <w:color w:val="auto"/>
        </w:rPr>
      </w:pPr>
    </w:p>
    <w:p>
      <w:pPr>
        <w:ind w:right="380" w:firstLine="5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for the three months ended March 31, 2023 (in thousands, except share and per share amounts):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Three Months Ended</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(36,909 )</w:t>
            </w:r>
          </w:p>
        </w:tc>
        <w:tc>
          <w:tcPr>
            <w:tcW w:w="0" w:type="dxa"/>
            <w:vAlign w:val="bottom"/>
          </w:tcPr>
          <w:p>
            <w:pPr>
              <w:spacing w:after="0"/>
              <w:rPr>
                <w:sz w:val="1"/>
                <w:szCs w:val="1"/>
                <w:color w:val="auto"/>
              </w:rPr>
            </w:pPr>
          </w:p>
        </w:tc>
      </w:tr>
      <w:tr>
        <w:trPr>
          <w:trHeight w:val="249"/>
        </w:trPr>
        <w:tc>
          <w:tcPr>
            <w:tcW w:w="85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Less: Net loss attributable to noncontrolling interests</w:t>
            </w:r>
          </w:p>
        </w:tc>
        <w:tc>
          <w:tcPr>
            <w:tcW w:w="3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(27,244 )</w:t>
            </w:r>
          </w:p>
        </w:tc>
        <w:tc>
          <w:tcPr>
            <w:tcW w:w="0" w:type="dxa"/>
            <w:vAlign w:val="bottom"/>
          </w:tcPr>
          <w:p>
            <w:pPr>
              <w:spacing w:after="0"/>
              <w:rPr>
                <w:sz w:val="1"/>
                <w:szCs w:val="1"/>
                <w:color w:val="auto"/>
              </w:rPr>
            </w:pPr>
          </w:p>
        </w:tc>
      </w:tr>
      <w:tr>
        <w:trPr>
          <w:trHeight w:val="20"/>
        </w:trPr>
        <w:tc>
          <w:tcPr>
            <w:tcW w:w="8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tcPr>
          <w:p>
            <w:pPr>
              <w:ind w:left="20"/>
              <w:spacing w:after="0"/>
              <w:rPr>
                <w:sz w:val="20"/>
                <w:szCs w:val="20"/>
                <w:color w:val="auto"/>
              </w:rPr>
            </w:pPr>
            <w:r>
              <w:rPr>
                <w:rFonts w:ascii="Arial" w:cs="Arial" w:eastAsia="Arial" w:hAnsi="Arial"/>
                <w:sz w:val="18"/>
                <w:szCs w:val="18"/>
                <w:color w:val="auto"/>
              </w:rPr>
              <w:t>Net loss available to Class A ordinary shareholders of ProKidney Corp.,</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(9,665 )</w:t>
            </w:r>
          </w:p>
        </w:tc>
        <w:tc>
          <w:tcPr>
            <w:tcW w:w="0" w:type="dxa"/>
            <w:vAlign w:val="bottom"/>
          </w:tcPr>
          <w:p>
            <w:pPr>
              <w:spacing w:after="0"/>
              <w:rPr>
                <w:sz w:val="1"/>
                <w:szCs w:val="1"/>
                <w:color w:val="auto"/>
              </w:rPr>
            </w:pPr>
          </w:p>
        </w:tc>
      </w:tr>
      <w:tr>
        <w:trPr>
          <w:trHeight w:val="230"/>
        </w:trPr>
        <w:tc>
          <w:tcPr>
            <w:tcW w:w="85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320" w:type="dxa"/>
            <w:vAlign w:val="bottom"/>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8580" w:type="dxa"/>
            <w:vAlign w:val="bottom"/>
          </w:tcPr>
          <w:p>
            <w:pPr>
              <w:ind w:left="20"/>
              <w:spacing w:after="0"/>
              <w:rPr>
                <w:sz w:val="20"/>
                <w:szCs w:val="20"/>
                <w:color w:val="auto"/>
              </w:rPr>
            </w:pPr>
            <w:r>
              <w:rPr>
                <w:rFonts w:ascii="Arial" w:cs="Arial" w:eastAsia="Arial" w:hAnsi="Arial"/>
                <w:sz w:val="18"/>
                <w:szCs w:val="18"/>
                <w:color w:val="auto"/>
              </w:rPr>
              <w:t>Weighted average Class A ordinary shares or ProKidney Corp. outstanding,</w:t>
            </w: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61,540,231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 per Class A Unit</w:t>
            </w:r>
          </w:p>
        </w:tc>
        <w:tc>
          <w:tcPr>
            <w:tcW w:w="32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200"/>
              <w:spacing w:after="0"/>
              <w:rPr>
                <w:sz w:val="20"/>
                <w:szCs w:val="20"/>
                <w:color w:val="auto"/>
              </w:rPr>
            </w:pPr>
            <w:r>
              <w:rPr>
                <w:rFonts w:ascii="Arial" w:cs="Arial" w:eastAsia="Arial" w:hAnsi="Arial"/>
                <w:sz w:val="18"/>
                <w:szCs w:val="18"/>
                <w:color w:val="auto"/>
              </w:rPr>
              <w:t>Net loss per Class A ordinary share of ProKidney Corp., basic and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(0.16 )</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Antidilutive securities</w:t>
            </w:r>
          </w:p>
        </w:tc>
        <w:tc>
          <w:tcPr>
            <w:tcW w:w="3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200"/>
              <w:spacing w:after="0"/>
              <w:rPr>
                <w:sz w:val="20"/>
                <w:szCs w:val="20"/>
                <w:color w:val="auto"/>
              </w:rPr>
            </w:pPr>
            <w:r>
              <w:rPr>
                <w:rFonts w:ascii="Arial" w:cs="Arial" w:eastAsia="Arial" w:hAnsi="Arial"/>
                <w:sz w:val="18"/>
                <w:szCs w:val="18"/>
                <w:color w:val="auto"/>
              </w:rPr>
              <w:t>ProKidney Corp. Class B ordinary shares</w:t>
            </w: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173,444,861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Unvested Restricted Stock Rights</w:t>
            </w:r>
          </w:p>
        </w:tc>
        <w:tc>
          <w:tcPr>
            <w:tcW w:w="3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6,175,541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200"/>
              <w:spacing w:after="0"/>
              <w:rPr>
                <w:sz w:val="20"/>
                <w:szCs w:val="20"/>
                <w:color w:val="auto"/>
              </w:rPr>
            </w:pPr>
            <w:r>
              <w:rPr>
                <w:rFonts w:ascii="Arial" w:cs="Arial" w:eastAsia="Arial" w:hAnsi="Arial"/>
                <w:sz w:val="18"/>
                <w:szCs w:val="18"/>
                <w:color w:val="auto"/>
              </w:rPr>
              <w:t>Earnout Rights</w:t>
            </w: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17,500,000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Legacy SCS Restricted Share Units</w:t>
            </w:r>
          </w:p>
        </w:tc>
        <w:tc>
          <w:tcPr>
            <w:tcW w:w="3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00"/>
              <w:spacing w:after="0"/>
              <w:rPr>
                <w:sz w:val="20"/>
                <w:szCs w:val="20"/>
                <w:color w:val="auto"/>
              </w:rPr>
            </w:pPr>
            <w:r>
              <w:rPr>
                <w:rFonts w:ascii="Arial" w:cs="Arial" w:eastAsia="Arial" w:hAnsi="Arial"/>
                <w:sz w:val="18"/>
                <w:szCs w:val="18"/>
                <w:color w:val="auto"/>
              </w:rPr>
              <w:t>Stock options granted under the 2022 Equity Incentive Plan</w:t>
            </w: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14,591,415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6837680</wp:posOffset>
            </wp:positionH>
            <wp:positionV relativeFrom="paragraph">
              <wp:posOffset>-2468880</wp:posOffset>
            </wp:positionV>
            <wp:extent cx="85725" cy="4546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45466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-1259840</wp:posOffset>
            </wp:positionV>
            <wp:extent cx="85725"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3429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Equity Based Compensation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Incentive Equity Plan</w:t>
      </w:r>
    </w:p>
    <w:p>
      <w:pPr>
        <w:spacing w:after="0" w:line="117" w:lineRule="exact"/>
        <w:rPr>
          <w:sz w:val="20"/>
          <w:szCs w:val="20"/>
          <w:color w:val="auto"/>
        </w:rPr>
      </w:pPr>
    </w:p>
    <w:p>
      <w:pPr>
        <w:ind w:firstLine="524"/>
        <w:spacing w:after="0" w:line="254" w:lineRule="auto"/>
        <w:rPr>
          <w:sz w:val="20"/>
          <w:szCs w:val="20"/>
          <w:color w:val="auto"/>
        </w:rPr>
      </w:pPr>
      <w:r>
        <w:rPr>
          <w:rFonts w:ascii="Arial" w:cs="Arial" w:eastAsia="Arial" w:hAnsi="Arial"/>
          <w:sz w:val="18"/>
          <w:szCs w:val="18"/>
          <w:color w:val="auto"/>
        </w:rPr>
        <w:t>On July 11, 2022, the shareholders of the Company approved the ProKidney Corp. 2022 Incentive Equity Plan (the “2022 Plan”) which provides for the issuance of equity based awards to the Company’s employees, non-employee directors, individual consultants, advisors and other service providers. As of March 31 2023, there were 35,809,951 Class A Ordinary Shares reserved for issuance.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Class A ordinary shares.</w:t>
      </w:r>
    </w:p>
    <w:p>
      <w:pPr>
        <w:spacing w:after="0" w:line="87" w:lineRule="exact"/>
        <w:rPr>
          <w:sz w:val="20"/>
          <w:szCs w:val="20"/>
          <w:color w:val="auto"/>
        </w:rPr>
      </w:pPr>
    </w:p>
    <w:p>
      <w:pPr>
        <w:ind w:right="100" w:firstLine="524"/>
        <w:spacing w:after="0" w:line="263" w:lineRule="auto"/>
        <w:rPr>
          <w:sz w:val="20"/>
          <w:szCs w:val="20"/>
          <w:color w:val="auto"/>
        </w:rPr>
      </w:pPr>
      <w:r>
        <w:rPr>
          <w:rFonts w:ascii="Arial" w:cs="Arial" w:eastAsia="Arial" w:hAnsi="Arial"/>
          <w:sz w:val="18"/>
          <w:szCs w:val="18"/>
          <w:color w:val="auto"/>
        </w:rPr>
        <w:t>The Company has issued incentive and non-qualified stock option awards under the 2022 Plan to certain employees and non-employee directors of the Company. Given that the Company has established a full valuation allowance against its deferred tax assets, the Company has recognized no tax benefit related to these awards.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Time-Vested Awards</w:t>
      </w:r>
    </w:p>
    <w:p>
      <w:pPr>
        <w:spacing w:after="0" w:line="117" w:lineRule="exact"/>
        <w:rPr>
          <w:sz w:val="20"/>
          <w:szCs w:val="20"/>
          <w:color w:val="auto"/>
        </w:rPr>
      </w:pPr>
    </w:p>
    <w:p>
      <w:pPr>
        <w:ind w:right="40" w:firstLine="524"/>
        <w:spacing w:after="0" w:line="255" w:lineRule="auto"/>
        <w:rPr>
          <w:sz w:val="20"/>
          <w:szCs w:val="20"/>
          <w:color w:val="auto"/>
        </w:rPr>
      </w:pPr>
      <w:r>
        <w:rPr>
          <w:rFonts w:ascii="Arial" w:cs="Arial" w:eastAsia="Arial" w:hAnsi="Arial"/>
          <w:sz w:val="18"/>
          <w:szCs w:val="18"/>
          <w:color w:val="auto"/>
        </w:rPr>
        <w:t>The Company uses the Black-Scholes option pricing model to calculate the fair value of time-vested stock options granted. These awards generally vest ratably over a three or four-year period and the option awards expire after a term of ten years from the date of grant. The fair value of stock options granted was estimated using the following assumptions during the three months ended March 31, 2023:</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ind w:left="7180"/>
        <w:spacing w:after="0"/>
        <w:rPr>
          <w:sz w:val="20"/>
          <w:szCs w:val="20"/>
          <w:color w:val="auto"/>
        </w:rPr>
      </w:pPr>
      <w:r>
        <w:rPr>
          <w:rFonts w:ascii="Arial" w:cs="Arial" w:eastAsia="Arial" w:hAnsi="Arial"/>
          <w:sz w:val="18"/>
          <w:szCs w:val="18"/>
          <w:b w:val="1"/>
          <w:bCs w:val="1"/>
          <w:color w:val="auto"/>
        </w:rPr>
        <w:t>For the Three Months Ended March 31, 2023</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50"/>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20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- 82.3%</w:t>
            </w: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Expected life of options, in years</w:t>
            </w:r>
          </w:p>
        </w:tc>
        <w:tc>
          <w:tcPr>
            <w:tcW w:w="1940" w:type="dxa"/>
            <w:vAlign w:val="bottom"/>
          </w:tcPr>
          <w:p>
            <w:pPr>
              <w:jc w:val="right"/>
              <w:spacing w:after="0"/>
              <w:rPr>
                <w:sz w:val="20"/>
                <w:szCs w:val="20"/>
                <w:color w:val="auto"/>
              </w:rPr>
            </w:pPr>
            <w:r>
              <w:rPr>
                <w:rFonts w:ascii="Arial" w:cs="Arial" w:eastAsia="Arial" w:hAnsi="Arial"/>
                <w:sz w:val="18"/>
                <w:szCs w:val="18"/>
                <w:color w:val="auto"/>
              </w:rPr>
              <w:t>6.0</w:t>
            </w:r>
          </w:p>
        </w:tc>
        <w:tc>
          <w:tcPr>
            <w:tcW w:w="2040" w:type="dxa"/>
            <w:vAlign w:val="bottom"/>
          </w:tcPr>
          <w:p>
            <w:pPr>
              <w:ind w:left="20"/>
              <w:spacing w:after="0"/>
              <w:rPr>
                <w:sz w:val="20"/>
                <w:szCs w:val="20"/>
                <w:color w:val="auto"/>
              </w:rPr>
            </w:pPr>
            <w:r>
              <w:rPr>
                <w:rFonts w:ascii="Arial" w:cs="Arial" w:eastAsia="Arial" w:hAnsi="Arial"/>
                <w:sz w:val="18"/>
                <w:szCs w:val="18"/>
                <w:color w:val="auto"/>
              </w:rPr>
              <w:t>- 6.1</w:t>
            </w: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- 4.2%</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980" w:type="dxa"/>
            <w:vAlign w:val="bottom"/>
            <w:gridSpan w:val="2"/>
          </w:tcPr>
          <w:p>
            <w:pPr>
              <w:jc w:val="right"/>
              <w:ind w:right="1710"/>
              <w:spacing w:after="0"/>
              <w:rPr>
                <w:sz w:val="20"/>
                <w:szCs w:val="20"/>
                <w:color w:val="auto"/>
              </w:rPr>
            </w:pPr>
            <w:r>
              <w:rPr>
                <w:rFonts w:ascii="Arial" w:cs="Arial" w:eastAsia="Arial" w:hAnsi="Arial"/>
                <w:sz w:val="18"/>
                <w:szCs w:val="18"/>
                <w:color w:val="auto"/>
              </w:rPr>
              <w:t>0.0%</w:t>
            </w:r>
          </w:p>
        </w:tc>
      </w:tr>
    </w:tbl>
    <w:p>
      <w:pPr>
        <w:spacing w:after="0" w:line="106" w:lineRule="exact"/>
        <w:rPr>
          <w:sz w:val="20"/>
          <w:szCs w:val="20"/>
          <w:color w:val="auto"/>
        </w:rPr>
      </w:pPr>
    </w:p>
    <w:p>
      <w:pPr>
        <w:ind w:firstLine="524"/>
        <w:spacing w:after="0" w:line="277" w:lineRule="auto"/>
        <w:rPr>
          <w:sz w:val="20"/>
          <w:szCs w:val="20"/>
          <w:color w:val="auto"/>
        </w:rPr>
      </w:pPr>
      <w:r>
        <w:rPr>
          <w:rFonts w:ascii="Arial" w:cs="Arial" w:eastAsia="Arial" w:hAnsi="Arial"/>
          <w:sz w:val="18"/>
          <w:szCs w:val="18"/>
          <w:color w:val="auto"/>
        </w:rPr>
        <w:t>The following table summarizes the activity related to the Company’s time-vested stock option awards granted under the 2022 Plan for the three months ended March 31, 2023:</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8"/>
                <w:szCs w:val="18"/>
                <w:color w:val="auto"/>
              </w:rPr>
            </w:pPr>
          </w:p>
        </w:tc>
      </w:tr>
      <w:tr>
        <w:trPr>
          <w:trHeight w:val="241"/>
        </w:trPr>
        <w:tc>
          <w:tcPr>
            <w:tcW w:w="718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Number of Shares</w:t>
            </w:r>
          </w:p>
        </w:tc>
        <w:tc>
          <w:tcPr>
            <w:tcW w:w="12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Exercise Price</w:t>
            </w:r>
          </w:p>
        </w:tc>
        <w:tc>
          <w:tcPr>
            <w:tcW w:w="140" w:type="dxa"/>
            <w:vAlign w:val="bottom"/>
          </w:tcPr>
          <w:p>
            <w:pPr>
              <w:spacing w:after="0"/>
              <w:rPr>
                <w:sz w:val="20"/>
                <w:szCs w:val="20"/>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Time-vested options outstanding at January 1, 2023</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5,865,108</w:t>
            </w: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5,344,700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20"/>
                <w:szCs w:val="20"/>
                <w:color w:val="auto"/>
              </w:rPr>
            </w:pPr>
          </w:p>
        </w:tc>
      </w:tr>
      <w:tr>
        <w:trPr>
          <w:trHeight w:val="243"/>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(258,000 )</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FF0FC"/>
          </w:tcPr>
          <w:p>
            <w:pPr>
              <w:spacing w:after="0"/>
              <w:rPr>
                <w:sz w:val="21"/>
                <w:szCs w:val="21"/>
                <w:color w:val="auto"/>
              </w:rPr>
            </w:pPr>
          </w:p>
        </w:tc>
      </w:tr>
      <w:tr>
        <w:trPr>
          <w:trHeight w:val="236"/>
        </w:trPr>
        <w:tc>
          <w:tcPr>
            <w:tcW w:w="7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Time-vested options outstanding at March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10,951,808</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40" w:type="dxa"/>
            <w:vAlign w:val="bottom"/>
            <w:tcBorders>
              <w:top w:val="single" w:sz="8" w:color="CFF0FC"/>
            </w:tcBorders>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Time-vested options exercisable at March 31, 2023</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592,160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CFF0FC"/>
          </w:tcPr>
          <w:p>
            <w:pPr>
              <w:spacing w:after="0"/>
              <w:rPr>
                <w:sz w:val="19"/>
                <w:szCs w:val="19"/>
                <w:color w:val="auto"/>
              </w:rPr>
            </w:pPr>
          </w:p>
        </w:tc>
      </w:tr>
      <w:tr>
        <w:trPr>
          <w:trHeight w:val="237"/>
        </w:trPr>
        <w:tc>
          <w:tcPr>
            <w:tcW w:w="7180" w:type="dxa"/>
            <w:vAlign w:val="bottom"/>
          </w:tcPr>
          <w:p>
            <w:pPr>
              <w:ind w:left="100"/>
              <w:spacing w:after="0"/>
              <w:rPr>
                <w:sz w:val="20"/>
                <w:szCs w:val="20"/>
                <w:color w:val="auto"/>
              </w:rPr>
            </w:pPr>
            <w:r>
              <w:rPr>
                <w:rFonts w:ascii="Arial" w:cs="Arial" w:eastAsia="Arial" w:hAnsi="Arial"/>
                <w:sz w:val="18"/>
                <w:szCs w:val="18"/>
                <w:color w:val="auto"/>
              </w:rPr>
              <w:t>Weighted average remaining contractual life</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9.1 years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Time-vested options vested and expected to vest at March 31, 2023</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10,951,808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CFF0FC"/>
          </w:tcPr>
          <w:p>
            <w:pPr>
              <w:spacing w:after="0"/>
              <w:rPr>
                <w:sz w:val="21"/>
                <w:szCs w:val="21"/>
                <w:color w:val="auto"/>
              </w:rPr>
            </w:pPr>
          </w:p>
        </w:tc>
      </w:tr>
      <w:tr>
        <w:trPr>
          <w:trHeight w:val="230"/>
        </w:trPr>
        <w:tc>
          <w:tcPr>
            <w:tcW w:w="7180" w:type="dxa"/>
            <w:vAlign w:val="bottom"/>
          </w:tcPr>
          <w:p>
            <w:pPr>
              <w:ind w:left="100"/>
              <w:spacing w:after="0"/>
              <w:rPr>
                <w:sz w:val="20"/>
                <w:szCs w:val="20"/>
                <w:color w:val="auto"/>
              </w:rPr>
            </w:pPr>
            <w:r>
              <w:rPr>
                <w:rFonts w:ascii="Arial" w:cs="Arial" w:eastAsia="Arial" w:hAnsi="Arial"/>
                <w:sz w:val="18"/>
                <w:szCs w:val="18"/>
                <w:color w:val="auto"/>
              </w:rPr>
              <w:t>Weighted average remaining contractual life</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9.2 years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-796925</wp:posOffset>
            </wp:positionV>
            <wp:extent cx="8572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-796925</wp:posOffset>
            </wp:positionV>
            <wp:extent cx="8572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86"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For the three months ended March 31, 2023, the Company recognized $3,917,000 of compensation expense related to time-vested awards under the 2022 Plan, exclusive of the expense related to the modification of awards as discussed below. As of March 31, 2023, the Company had total unrecognized stock-based compensation expense of approximately $65,638,000 related to the time-vested grants under the 2022 Plan, which is expected to be recognized on a straight-line basis over a weighted average period of 3.5 years. The weighted average grant date fair value for the option grants during the three months ended March 31, 2023 was $6.47.</w:t>
      </w:r>
    </w:p>
    <w:p>
      <w:pPr>
        <w:spacing w:after="0" w:line="80" w:lineRule="exact"/>
        <w:rPr>
          <w:sz w:val="20"/>
          <w:szCs w:val="20"/>
          <w:color w:val="auto"/>
        </w:rPr>
      </w:pPr>
    </w:p>
    <w:p>
      <w:pPr>
        <w:ind w:right="860" w:firstLine="509"/>
        <w:spacing w:after="0" w:line="277" w:lineRule="auto"/>
        <w:rPr>
          <w:sz w:val="20"/>
          <w:szCs w:val="20"/>
          <w:color w:val="auto"/>
        </w:rPr>
      </w:pPr>
      <w:r>
        <w:rPr>
          <w:rFonts w:ascii="Arial" w:cs="Arial" w:eastAsia="Arial" w:hAnsi="Arial"/>
          <w:sz w:val="18"/>
          <w:szCs w:val="18"/>
          <w:color w:val="auto"/>
        </w:rPr>
        <w:t>The aggregate intrinsic value of the in-the-money time-vested awards outstanding as well as those exercisable as of March 31, 2023, was $17,960,000 and $861,000,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Market-Vested Awards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Company also has outstanding 3,639,607 market-vested options with an exercise price of $10.33 as of March 31, 2023. This awards contain both time and market based vesting conditions. The market conditions become satisfied in equal one-third tranches upon the Company's Class A ordinary shares exceeding a volume weighted average price hurdle of $15.00, $20.00 and $25.00, respectively, for 20 trading days within any 30 consecutive trading day period occurring prior to July 11, 2027. Once the market condition for a tranche is satisfied, such tranche will continue to be subject to time-vesting conditions and will vest ratably on each of the first, second and third anniversaries of the date that such tranche satisfied the performance vesting condition described above. Due to the market condition included in this grant, the Company used the Geometric Brownian Motion/Monte Carlo model to value these awards.</w:t>
      </w:r>
    </w:p>
    <w:p>
      <w:pPr>
        <w:spacing w:after="0" w:line="87" w:lineRule="exact"/>
        <w:rPr>
          <w:sz w:val="20"/>
          <w:szCs w:val="20"/>
          <w:color w:val="auto"/>
        </w:rPr>
      </w:pPr>
    </w:p>
    <w:p>
      <w:pPr>
        <w:jc w:val="both"/>
        <w:ind w:right="160" w:firstLine="509"/>
        <w:spacing w:after="0" w:line="311" w:lineRule="auto"/>
        <w:rPr>
          <w:sz w:val="20"/>
          <w:szCs w:val="20"/>
          <w:color w:val="auto"/>
        </w:rPr>
      </w:pPr>
      <w:r>
        <w:rPr>
          <w:rFonts w:ascii="Arial" w:cs="Arial" w:eastAsia="Arial" w:hAnsi="Arial"/>
          <w:sz w:val="16"/>
          <w:szCs w:val="16"/>
          <w:color w:val="auto"/>
        </w:rPr>
        <w:t>For the three months ended March 31, 2023, the Company recognized $2,764,000 of compensation expense related to market-vested awards under the 2022 Plan. As of March 31, 2023, the Company had total unrecognized stock-based compensation expense of approximately $23,224,000 related to the market-vested awards outstanding under the 2022 Plan. There were no market-vested awards granted during the three months ended March 31, 2023.</w:t>
      </w:r>
    </w:p>
    <w:p>
      <w:pPr>
        <w:spacing w:after="0" w:line="4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aggregate intrinsic value of the in-the-money market based awards outstanding as of March 31, 2023 was $3,603,000. There were no market based awards vested at March 31,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Profits Interests</w:t>
      </w:r>
    </w:p>
    <w:p>
      <w:pPr>
        <w:spacing w:after="0" w:line="117" w:lineRule="exact"/>
        <w:rPr>
          <w:sz w:val="20"/>
          <w:szCs w:val="20"/>
          <w:color w:val="auto"/>
        </w:rPr>
      </w:pPr>
    </w:p>
    <w:p>
      <w:pPr>
        <w:ind w:right="20" w:firstLine="524"/>
        <w:spacing w:after="0" w:line="301" w:lineRule="auto"/>
        <w:rPr>
          <w:sz w:val="20"/>
          <w:szCs w:val="20"/>
          <w:color w:val="auto"/>
        </w:rPr>
      </w:pPr>
      <w:r>
        <w:rPr>
          <w:rFonts w:ascii="Arial" w:cs="Arial" w:eastAsia="Arial" w:hAnsi="Arial"/>
          <w:sz w:val="16"/>
          <w:szCs w:val="16"/>
          <w:color w:val="auto"/>
        </w:rPr>
        <w:t>The Deed for the Establishment of a Limited Partnership of PKLP, dated as of August 5, 2021 (the “Limited Partnership Agreement”) which replaced the Amended and Restated Limited Liability Company Agreement of ProKidney LLC as the governing 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spacing w:after="0" w:line="49" w:lineRule="exact"/>
        <w:rPr>
          <w:sz w:val="20"/>
          <w:szCs w:val="20"/>
          <w:color w:val="auto"/>
        </w:rPr>
      </w:pPr>
    </w:p>
    <w:p>
      <w:pPr>
        <w:ind w:right="200" w:firstLine="524"/>
        <w:spacing w:after="0" w:line="255" w:lineRule="auto"/>
        <w:rPr>
          <w:sz w:val="20"/>
          <w:szCs w:val="20"/>
          <w:color w:val="auto"/>
        </w:rPr>
      </w:pPr>
      <w:r>
        <w:rPr>
          <w:rFonts w:ascii="Arial" w:cs="Arial" w:eastAsia="Arial" w:hAnsi="Arial"/>
          <w:sz w:val="18"/>
          <w:szCs w:val="18"/>
          <w:color w:val="auto"/>
        </w:rPr>
        <w:t>Under the Limited Partnership Agreement, Legacy GP determined the terms and conditions of the Profits Interests issued. The threshold value assigned to each grant was not to be less than the fair market value of PKLP on the date of grant. Profits Interests awarded would vest at a rate of 25% on the latter of the first anniversary of employment and the first anniversary of the Acquisition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2" w:name="page23"/>
    <w:bookmarkEnd w:id="22"/>
    <w:p>
      <w:pPr>
        <w:ind w:right="40"/>
        <w:spacing w:after="0" w:line="263" w:lineRule="auto"/>
        <w:rPr>
          <w:sz w:val="20"/>
          <w:szCs w:val="20"/>
          <w:color w:val="auto"/>
        </w:rPr>
      </w:pPr>
      <w:r>
        <w:rPr>
          <w:rFonts w:ascii="Arial" w:cs="Arial" w:eastAsia="Arial" w:hAnsi="Arial"/>
          <w:sz w:val="18"/>
          <w:szCs w:val="18"/>
          <w:color w:val="auto"/>
        </w:rPr>
        <w:t>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spacing w:after="0" w:line="76" w:lineRule="exact"/>
        <w:rPr>
          <w:sz w:val="20"/>
          <w:szCs w:val="20"/>
          <w:color w:val="auto"/>
        </w:rPr>
      </w:pPr>
    </w:p>
    <w:p>
      <w:pPr>
        <w:ind w:right="180" w:firstLine="524"/>
        <w:spacing w:after="0" w:line="296" w:lineRule="auto"/>
        <w:rPr>
          <w:sz w:val="20"/>
          <w:szCs w:val="20"/>
          <w:color w:val="auto"/>
        </w:rPr>
      </w:pPr>
      <w:r>
        <w:rPr>
          <w:rFonts w:ascii="Arial" w:cs="Arial" w:eastAsia="Arial" w:hAnsi="Arial"/>
          <w:sz w:val="16"/>
          <w:szCs w:val="16"/>
          <w:color w:val="auto"/>
        </w:rPr>
        <w:t>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 (as defined in the Limited Partnership Agreement).</w:t>
      </w:r>
    </w:p>
    <w:p>
      <w:pPr>
        <w:spacing w:after="0" w:line="200" w:lineRule="exact"/>
        <w:rPr>
          <w:sz w:val="20"/>
          <w:szCs w:val="20"/>
          <w:color w:val="auto"/>
        </w:rPr>
      </w:pPr>
    </w:p>
    <w:p>
      <w:pPr>
        <w:spacing w:after="0" w:line="393" w:lineRule="exact"/>
        <w:rPr>
          <w:sz w:val="20"/>
          <w:szCs w:val="20"/>
          <w:color w:val="auto"/>
        </w:rPr>
      </w:pPr>
    </w:p>
    <w:p>
      <w:pPr>
        <w:ind w:right="40" w:firstLine="524"/>
        <w:spacing w:after="0" w:line="296" w:lineRule="auto"/>
        <w:rPr>
          <w:sz w:val="20"/>
          <w:szCs w:val="20"/>
          <w:color w:val="auto"/>
        </w:rPr>
      </w:pPr>
      <w:r>
        <w:rPr>
          <w:rFonts w:ascii="Arial" w:cs="Arial" w:eastAsia="Arial" w:hAnsi="Arial"/>
          <w:sz w:val="16"/>
          <w:szCs w:val="16"/>
          <w:color w:val="auto"/>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the Profits Interest awards for the three months ended March 31, 2023:</w:t>
      </w: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Grant Date Fair</w:t>
            </w:r>
          </w:p>
        </w:tc>
        <w:tc>
          <w:tcPr>
            <w:tcW w:w="140" w:type="dxa"/>
            <w:vAlign w:val="bottom"/>
          </w:tcPr>
          <w:p>
            <w:pPr>
              <w:spacing w:after="0"/>
              <w:rPr>
                <w:sz w:val="18"/>
                <w:szCs w:val="18"/>
                <w:color w:val="auto"/>
              </w:rPr>
            </w:pPr>
          </w:p>
        </w:tc>
      </w:tr>
      <w:tr>
        <w:trPr>
          <w:trHeight w:val="241"/>
        </w:trPr>
        <w:tc>
          <w:tcPr>
            <w:tcW w:w="718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Number of Shares</w:t>
            </w:r>
          </w:p>
        </w:tc>
        <w:tc>
          <w:tcPr>
            <w:tcW w:w="30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awards outstanding at January 1, 2023</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8,369,795</w:t>
            </w:r>
          </w:p>
        </w:tc>
        <w:tc>
          <w:tcPr>
            <w:tcW w:w="2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Vested</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(1,866,541 )</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w:t>
            </w:r>
          </w:p>
        </w:tc>
        <w:tc>
          <w:tcPr>
            <w:tcW w:w="140" w:type="dxa"/>
            <w:vAlign w:val="bottom"/>
          </w:tcPr>
          <w:p>
            <w:pPr>
              <w:spacing w:after="0"/>
              <w:rPr>
                <w:sz w:val="20"/>
                <w:szCs w:val="20"/>
                <w:color w:val="auto"/>
              </w:rPr>
            </w:pPr>
          </w:p>
        </w:tc>
      </w:tr>
      <w:tr>
        <w:trPr>
          <w:trHeight w:val="243"/>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(327,713 )</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Awards outstanding at March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6,175,541</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40" w:type="dxa"/>
            <w:vAlign w:val="bottom"/>
            <w:tcBorders>
              <w:top w:val="single" w:sz="8" w:color="CFF0FC"/>
            </w:tcBorders>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-187960</wp:posOffset>
            </wp:positionV>
            <wp:extent cx="8572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-187960</wp:posOffset>
            </wp:positionV>
            <wp:extent cx="8572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140" w:firstLine="524"/>
        <w:spacing w:after="0" w:line="301" w:lineRule="auto"/>
        <w:rPr>
          <w:sz w:val="20"/>
          <w:szCs w:val="20"/>
          <w:color w:val="auto"/>
        </w:rPr>
      </w:pPr>
      <w:r>
        <w:rPr>
          <w:rFonts w:ascii="Arial" w:cs="Arial" w:eastAsia="Arial" w:hAnsi="Arial"/>
          <w:sz w:val="16"/>
          <w:szCs w:val="16"/>
          <w:color w:val="auto"/>
        </w:rPr>
        <w:t>As of March 31, 2023, the unrecognized compensation expense related to these awards was $39,874,000. The current weighted average remaining period over which the unrecognized compensation expense is expected to be recognized is 2.7 years. The weighted average grant date fair value of the Profits Interests awarded during the three months ended March 31, 2022, was $6.03 per Class B-1 unit of PKLP (as defined in the Limited Partnership Agreement), as adjusted for the effects of the recapitalization. There were no Profits Interests awarded during the three months ended March 31,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to Equity Based Compensation Awards</w:t>
      </w:r>
    </w:p>
    <w:p>
      <w:pPr>
        <w:spacing w:after="0" w:line="117" w:lineRule="exact"/>
        <w:rPr>
          <w:sz w:val="20"/>
          <w:szCs w:val="20"/>
          <w:color w:val="auto"/>
        </w:rPr>
      </w:pPr>
    </w:p>
    <w:p>
      <w:pPr>
        <w:ind w:firstLine="524"/>
        <w:spacing w:after="0" w:line="301" w:lineRule="auto"/>
        <w:rPr>
          <w:sz w:val="20"/>
          <w:szCs w:val="20"/>
          <w:color w:val="auto"/>
        </w:rPr>
      </w:pPr>
      <w:r>
        <w:rPr>
          <w:rFonts w:ascii="Arial" w:cs="Arial" w:eastAsia="Arial" w:hAnsi="Arial"/>
          <w:sz w:val="16"/>
          <w:szCs w:val="16"/>
          <w:color w:val="auto"/>
        </w:rPr>
        <w:t>On January 17, 2022, the Limited Partnership Agreement was amended and restated to provide that certain qualified distribution events would result in the holders of Profits Interests receiving disproportionate distributions from PKLP until each such holder’s threshold value was reduced to zero in order to “catch up” such holder’s distributions to its pro rata share of aggregate cumulative distributions, and once sufficient distributions to a holder of Profits Interests had been made in accordance with the foregoing, the associated Class B Units would automatically be converted into Class A Units.</w:t>
      </w:r>
    </w:p>
    <w:p>
      <w:pPr>
        <w:spacing w:after="0" w:line="49" w:lineRule="exact"/>
        <w:rPr>
          <w:sz w:val="20"/>
          <w:szCs w:val="20"/>
          <w:color w:val="auto"/>
        </w:rPr>
      </w:pPr>
    </w:p>
    <w:p>
      <w:pPr>
        <w:ind w:right="40" w:firstLine="524"/>
        <w:spacing w:after="0" w:line="279" w:lineRule="auto"/>
        <w:rPr>
          <w:sz w:val="20"/>
          <w:szCs w:val="20"/>
          <w:color w:val="auto"/>
        </w:rPr>
      </w:pPr>
      <w:r>
        <w:rPr>
          <w:rFonts w:ascii="Arial" w:cs="Arial" w:eastAsia="Arial" w:hAnsi="Arial"/>
          <w:sz w:val="17"/>
          <w:szCs w:val="17"/>
          <w:color w:val="auto"/>
        </w:rPr>
        <w:t>This amendment constituted a modification to the Class B-1 Units in PKLP outstanding as of the date of the modification under the provisions of ASC Topic 718. In connection with the modification of its outstanding share-based compensation awards, the Company will recognize total additional compensation expense of $5,437,000 related to awards granted to its employees. The portion of this additional compensation expense attributable to vested awards of $3,715,000 was recognized immediately upon modification during the three months ended March 31, 2022.</w:t>
      </w:r>
    </w:p>
    <w:p>
      <w:pPr>
        <w:spacing w:after="0" w:line="63" w:lineRule="exact"/>
        <w:rPr>
          <w:sz w:val="20"/>
          <w:szCs w:val="20"/>
          <w:color w:val="auto"/>
        </w:rPr>
      </w:pPr>
    </w:p>
    <w:p>
      <w:pPr>
        <w:ind w:right="180" w:firstLine="524"/>
        <w:spacing w:after="0" w:line="286" w:lineRule="auto"/>
        <w:rPr>
          <w:sz w:val="20"/>
          <w:szCs w:val="20"/>
          <w:color w:val="auto"/>
        </w:rPr>
      </w:pPr>
      <w:r>
        <w:rPr>
          <w:rFonts w:ascii="Arial" w:cs="Arial" w:eastAsia="Arial" w:hAnsi="Arial"/>
          <w:sz w:val="17"/>
          <w:szCs w:val="17"/>
          <w:color w:val="auto"/>
        </w:rPr>
        <w:t>During the three months ended March 31, 2023, the Company also modified the vesting terms of outstanding time-based stock options issued to certain personnel upon their separation. This amendment constituted a modification of the awards under the provisions of ASC Topic 718 and resulted in the recognition of an additional $3,011,000 of compensation expense during the three months ended March 31,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Profits Interests to Service Provider</w:t>
      </w:r>
    </w:p>
    <w:p>
      <w:pPr>
        <w:spacing w:after="0" w:line="117" w:lineRule="exact"/>
        <w:rPr>
          <w:sz w:val="20"/>
          <w:szCs w:val="20"/>
          <w:color w:val="auto"/>
        </w:rPr>
      </w:pPr>
    </w:p>
    <w:p>
      <w:pPr>
        <w:ind w:right="120" w:firstLine="524"/>
        <w:spacing w:after="0" w:line="263" w:lineRule="auto"/>
        <w:rPr>
          <w:sz w:val="20"/>
          <w:szCs w:val="20"/>
          <w:color w:val="auto"/>
        </w:rPr>
      </w:pPr>
      <w:r>
        <w:rPr>
          <w:rFonts w:ascii="Arial" w:cs="Arial" w:eastAsia="Arial" w:hAnsi="Arial"/>
          <w:sz w:val="18"/>
          <w:szCs w:val="18"/>
          <w:color w:val="auto"/>
        </w:rPr>
        <w:t>During the three months ended March 31, 2022, the Company issued 2,253,033 fully vested Class B-1 Units in PKLP to a third-party service provider as payment for research and development services provided in prior periods. The Company had previously recognized expense of $2,502,000 for these services based on the liability related to the services incurred. As the fair value of shares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ind w:right="60"/>
        <w:spacing w:after="0" w:line="274" w:lineRule="auto"/>
        <w:rPr>
          <w:sz w:val="20"/>
          <w:szCs w:val="20"/>
          <w:color w:val="auto"/>
        </w:rPr>
      </w:pPr>
      <w:r>
        <w:rPr>
          <w:rFonts w:ascii="Arial" w:cs="Arial" w:eastAsia="Arial" w:hAnsi="Arial"/>
          <w:sz w:val="18"/>
          <w:szCs w:val="18"/>
          <w:color w:val="auto"/>
        </w:rPr>
        <w:t>issued to satisfy that obligation was higher than the amount previously expensed, the Company recognized additional research and development expense of $14,080,000 during the three months ended March 31, 2022</w:t>
      </w:r>
      <w:r>
        <w:rPr>
          <w:rFonts w:ascii="Arial" w:cs="Arial" w:eastAsia="Arial" w:hAnsi="Arial"/>
          <w:sz w:val="21"/>
          <w:szCs w:val="21"/>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Class B-1 Units in PKLP</w:t>
      </w:r>
    </w:p>
    <w:p>
      <w:pPr>
        <w:spacing w:after="0" w:line="117" w:lineRule="exact"/>
        <w:rPr>
          <w:sz w:val="20"/>
          <w:szCs w:val="20"/>
          <w:color w:val="auto"/>
        </w:rPr>
      </w:pPr>
    </w:p>
    <w:p>
      <w:pPr>
        <w:ind w:right="40" w:firstLine="524"/>
        <w:spacing w:after="0" w:line="275" w:lineRule="auto"/>
        <w:rPr>
          <w:sz w:val="20"/>
          <w:szCs w:val="20"/>
          <w:color w:val="auto"/>
        </w:rPr>
      </w:pPr>
      <w:r>
        <w:rPr>
          <w:rFonts w:ascii="Arial" w:cs="Arial" w:eastAsia="Arial" w:hAnsi="Arial"/>
          <w:sz w:val="17"/>
          <w:szCs w:val="17"/>
          <w:color w:val="auto"/>
        </w:rPr>
        <w:t>Certain of the Company’s employees, board members and service providers purchased 4,996,731 of Class B-1 Units in PKLP, as adjusted for the recapitalization, for total cash proceeds of $5,550,000, respectively, during the three months ended March 31, 2022. Since these Class B-1 Units in PKLP were fully vested upon purchase and contained no service requirements, the Company immediately recognized the difference between the purchase price and the estimated fair value for these Class B-1 Units in PKLP of $31,226,000 as equity-based compensation expense during the three months ended March 31, 2022. No such sales occurred during the three months ended March 31, 2023.</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Estimate for Profits Interest</w:t>
      </w:r>
    </w:p>
    <w:p>
      <w:pPr>
        <w:spacing w:after="0" w:line="117" w:lineRule="exact"/>
        <w:rPr>
          <w:sz w:val="20"/>
          <w:szCs w:val="20"/>
          <w:color w:val="auto"/>
        </w:rPr>
      </w:pPr>
    </w:p>
    <w:p>
      <w:pPr>
        <w:ind w:right="60" w:firstLine="524"/>
        <w:spacing w:after="0" w:line="279" w:lineRule="auto"/>
        <w:rPr>
          <w:sz w:val="20"/>
          <w:szCs w:val="20"/>
          <w:color w:val="auto"/>
        </w:rPr>
      </w:pPr>
      <w:r>
        <w:rPr>
          <w:rFonts w:ascii="Arial" w:cs="Arial" w:eastAsia="Arial" w:hAnsi="Arial"/>
          <w:sz w:val="17"/>
          <w:szCs w:val="17"/>
          <w:color w:val="auto"/>
        </w:rPr>
        <w:t xml:space="preserve">Prior to the Business Combination, PKLP was privately held with no active public market for its equity instruments. Therefore, for financial reporting purposes, management determined the estimated per share fair value of PKLP’s equity shares (including Profits Interests) using contemporaneous valuations. These contemporaneous valuations were done using methodologies consistent with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also known as the Practice Aid.</w:t>
      </w:r>
    </w:p>
    <w:p>
      <w:pPr>
        <w:spacing w:after="0" w:line="63" w:lineRule="exact"/>
        <w:rPr>
          <w:sz w:val="20"/>
          <w:szCs w:val="20"/>
          <w:color w:val="auto"/>
        </w:rPr>
      </w:pPr>
    </w:p>
    <w:p>
      <w:pPr>
        <w:ind w:right="60" w:firstLine="524"/>
        <w:spacing w:after="0" w:line="259" w:lineRule="auto"/>
        <w:rPr>
          <w:sz w:val="20"/>
          <w:szCs w:val="20"/>
          <w:color w:val="auto"/>
        </w:rPr>
      </w:pPr>
      <w:r>
        <w:rPr>
          <w:rFonts w:ascii="Arial" w:cs="Arial" w:eastAsia="Arial" w:hAnsi="Arial"/>
          <w:sz w:val="18"/>
          <w:szCs w:val="18"/>
          <w:color w:val="auto"/>
        </w:rPr>
        <w:t>For the Profits Interest Awards awarded during the three months ended March 31, 2022, the valuation approach utilized a hybrid method which consists of a combination of an Option Pricing Method (“OPM”) and a Probability Weighted Expected Return Method (”PWERM”) approach. Weighting allocations were assigned to the OPM and PWERM methods based upon the expected likelihood of possible future liquidity events, including the Business Combination.</w:t>
      </w:r>
    </w:p>
    <w:p>
      <w:pPr>
        <w:spacing w:after="0" w:line="79" w:lineRule="exact"/>
        <w:rPr>
          <w:sz w:val="20"/>
          <w:szCs w:val="20"/>
          <w:color w:val="auto"/>
        </w:rPr>
      </w:pPr>
    </w:p>
    <w:p>
      <w:pPr>
        <w:ind w:right="60" w:firstLine="524"/>
        <w:spacing w:after="0" w:line="291" w:lineRule="auto"/>
        <w:rPr>
          <w:sz w:val="20"/>
          <w:szCs w:val="20"/>
          <w:color w:val="auto"/>
        </w:rPr>
      </w:pPr>
      <w:r>
        <w:rPr>
          <w:rFonts w:ascii="Arial" w:cs="Arial" w:eastAsia="Arial" w:hAnsi="Arial"/>
          <w:sz w:val="16"/>
          <w:szCs w:val="16"/>
          <w:color w:val="auto"/>
        </w:rPr>
        <w:t>Under the OPM approach, the fair value of the total equity of PKLP within each scenario was first estimated using a back-solve method wherein the equity value is derived from a recent transaction in PKLP’s own securities, and then the total equity value is allocated to the various components of the capital structure, including the Profits Interests, using an OPM or a waterfall approach based on the specific rights of each of the equity classes. The OPM used the fair value of the total equity of PKLP within a scenario as a starting point and incorporates assumptions made regarding the expected returns and volatilities that are consistent with the expectations of market participants, and distribution of equity values is produced which cover the range of events that an informed market participant might expect. This process creates a range of equity values both between and within scenarios. The fair value measurement is sensitive to changes in the unobservable inputs. Changes in those inputs might result in a higher or lower fair value measurement.</w:t>
      </w:r>
    </w:p>
    <w:p>
      <w:pPr>
        <w:spacing w:after="0" w:line="58" w:lineRule="exact"/>
        <w:rPr>
          <w:sz w:val="20"/>
          <w:szCs w:val="20"/>
          <w:color w:val="auto"/>
        </w:rPr>
      </w:pPr>
    </w:p>
    <w:p>
      <w:pPr>
        <w:ind w:right="180" w:firstLine="524"/>
        <w:spacing w:after="0" w:line="311" w:lineRule="auto"/>
        <w:rPr>
          <w:sz w:val="20"/>
          <w:szCs w:val="20"/>
          <w:color w:val="auto"/>
        </w:rPr>
      </w:pPr>
      <w:r>
        <w:rPr>
          <w:rFonts w:ascii="Arial" w:cs="Arial" w:eastAsia="Arial" w:hAnsi="Arial"/>
          <w:sz w:val="16"/>
          <w:szCs w:val="16"/>
          <w:color w:val="auto"/>
        </w:rPr>
        <w:t>The PWERM approach is a scenario-based analysis that estimates the value per share of ordinary shares based on the probability-weighted present value of expected future equity values for the ordinary shares, under various possible future liquidity event scenarios, including the proposed Business Combination, in light of the rights and preferences of each class and series of stock, including the Profits Interests, discounted for a lack of marketability.</w:t>
      </w:r>
    </w:p>
    <w:p>
      <w:pPr>
        <w:spacing w:after="0" w:line="41" w:lineRule="exact"/>
        <w:rPr>
          <w:sz w:val="20"/>
          <w:szCs w:val="20"/>
          <w:color w:val="auto"/>
        </w:rPr>
      </w:pPr>
    </w:p>
    <w:p>
      <w:pPr>
        <w:ind w:right="60" w:firstLine="524"/>
        <w:spacing w:after="0" w:line="273" w:lineRule="auto"/>
        <w:rPr>
          <w:sz w:val="20"/>
          <w:szCs w:val="20"/>
          <w:color w:val="auto"/>
        </w:rPr>
      </w:pPr>
      <w:r>
        <w:rPr>
          <w:rFonts w:ascii="Arial" w:cs="Arial" w:eastAsia="Arial" w:hAnsi="Arial"/>
          <w:sz w:val="17"/>
          <w:szCs w:val="17"/>
          <w:color w:val="auto"/>
        </w:rPr>
        <w:t>In performing these valuations, management considered all objective and subjective factors that they believed to be relevant, including management’s best estimate of PKLP’s business condition, prospects, and operating performance at each valuation date. Within the valuations performed, a range of factors, assumptions, and methodologies were used. The significant factors included trends within the industry, the prices at which PKLP sold its Class A Units, the rights and preferences of the Class A Units relative to the Class B Units at the time of each measurement date, the results of operations, financial position, status of research and development efforts, stage of development and business strategy, the lack of an active public market for the units, and the likelihood of achieving an exit event in light of prevailing market conditions.</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reflects the key assumptions used in each of the valuation scenarios for the awards granted during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OPM</w:t>
            </w:r>
          </w:p>
        </w:tc>
        <w:tc>
          <w:tcPr>
            <w:tcW w:w="260" w:type="dxa"/>
            <w:vAlign w:val="bottom"/>
          </w:tcPr>
          <w:p>
            <w:pPr>
              <w:spacing w:after="0"/>
              <w:rPr>
                <w:sz w:val="20"/>
                <w:szCs w:val="20"/>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b w:val="1"/>
                <w:bCs w:val="1"/>
                <w:color w:val="auto"/>
              </w:rPr>
              <w:t>PWERM</w:t>
            </w:r>
          </w:p>
        </w:tc>
      </w:tr>
      <w:tr>
        <w:trPr>
          <w:trHeight w:val="24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equity value (in thousands)</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280,400</w:t>
            </w:r>
          </w:p>
        </w:tc>
        <w:tc>
          <w:tcPr>
            <w:tcW w:w="2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1,750,000</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Expected volatility of total equity</w:t>
            </w:r>
          </w:p>
        </w:tc>
        <w:tc>
          <w:tcPr>
            <w:tcW w:w="3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95 %</w:t>
            </w:r>
          </w:p>
        </w:tc>
        <w:tc>
          <w:tcPr>
            <w:tcW w:w="2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20" w:type="dxa"/>
            <w:vAlign w:val="bottom"/>
          </w:tcPr>
          <w:p>
            <w:pPr>
              <w:spacing w:after="0"/>
              <w:rPr>
                <w:sz w:val="20"/>
                <w:szCs w:val="20"/>
                <w:color w:val="auto"/>
              </w:rPr>
            </w:pPr>
          </w:p>
        </w:tc>
      </w:tr>
      <w:tr>
        <w:trPr>
          <w:trHeight w:val="25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for lack of market</w:t>
            </w:r>
          </w:p>
        </w:tc>
        <w:tc>
          <w:tcPr>
            <w:tcW w:w="32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30 %</w:t>
            </w:r>
          </w:p>
        </w:tc>
        <w:tc>
          <w:tcPr>
            <w:tcW w:w="26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22"/>
                <w:szCs w:val="22"/>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Expected time to exit event</w:t>
            </w:r>
          </w:p>
        </w:tc>
        <w:tc>
          <w:tcPr>
            <w:tcW w:w="32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3.7 years</w:t>
            </w:r>
          </w:p>
        </w:tc>
        <w:tc>
          <w:tcPr>
            <w:tcW w:w="26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0.5 years</w:t>
            </w:r>
          </w:p>
        </w:tc>
        <w:tc>
          <w:tcPr>
            <w:tcW w:w="2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jc w:val="both"/>
        <w:ind w:right="20" w:firstLine="524"/>
        <w:spacing w:after="0" w:line="277" w:lineRule="auto"/>
        <w:rPr>
          <w:sz w:val="20"/>
          <w:szCs w:val="20"/>
          <w:color w:val="auto"/>
        </w:rPr>
      </w:pPr>
      <w:r>
        <w:rPr>
          <w:rFonts w:ascii="Arial" w:cs="Arial" w:eastAsia="Arial" w:hAnsi="Arial"/>
          <w:sz w:val="18"/>
          <w:szCs w:val="18"/>
          <w:color w:val="auto"/>
        </w:rPr>
        <w:t>Compensation expense related to share-based awards is included in research and development and general and administrative expense as follows (in thousands):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6"/>
        </w:trPr>
        <w:tc>
          <w:tcPr>
            <w:tcW w:w="44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22"/>
                <w:szCs w:val="22"/>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r>
      <w:tr>
        <w:trPr>
          <w:trHeight w:val="237"/>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1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5,159</w:t>
            </w: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17,367</w:t>
            </w:r>
          </w:p>
        </w:tc>
        <w:tc>
          <w:tcPr>
            <w:tcW w:w="400" w:type="dxa"/>
            <w:vAlign w:val="bottom"/>
            <w:shd w:val="clear" w:color="auto" w:fill="CFF0FC"/>
          </w:tcPr>
          <w:p>
            <w:pPr>
              <w:spacing w:after="0"/>
              <w:rPr>
                <w:sz w:val="20"/>
                <w:szCs w:val="20"/>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4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35,319</w:t>
            </w:r>
          </w:p>
        </w:tc>
        <w:tc>
          <w:tcPr>
            <w:tcW w:w="400" w:type="dxa"/>
            <w:vAlign w:val="bottom"/>
          </w:tcPr>
          <w:p>
            <w:pPr>
              <w:spacing w:after="0"/>
              <w:rPr>
                <w:sz w:val="21"/>
                <w:szCs w:val="21"/>
                <w:color w:val="auto"/>
              </w:rPr>
            </w:pPr>
          </w:p>
        </w:tc>
      </w:tr>
      <w:tr>
        <w:trPr>
          <w:trHeight w:val="277"/>
        </w:trPr>
        <w:tc>
          <w:tcPr>
            <w:tcW w:w="4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equity-based compensation expense</w:t>
            </w:r>
          </w:p>
        </w:tc>
        <w:tc>
          <w:tcPr>
            <w:tcW w:w="21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13,020</w:t>
            </w:r>
          </w:p>
        </w:tc>
        <w:tc>
          <w:tcPr>
            <w:tcW w:w="4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52,686</w:t>
            </w:r>
          </w:p>
        </w:tc>
        <w:tc>
          <w:tcPr>
            <w:tcW w:w="400" w:type="dxa"/>
            <w:vAlign w:val="bottom"/>
            <w:tcBorders>
              <w:bottom w:val="single" w:sz="8" w:color="CFF0FC"/>
            </w:tcBorders>
            <w:shd w:val="clear" w:color="auto" w:fill="CFF0FC"/>
          </w:tcPr>
          <w:p>
            <w:pPr>
              <w:spacing w:after="0"/>
              <w:rPr>
                <w:sz w:val="24"/>
                <w:szCs w:val="24"/>
                <w:color w:val="auto"/>
              </w:rPr>
            </w:pPr>
          </w:p>
        </w:tc>
      </w:tr>
      <w:tr>
        <w:trPr>
          <w:trHeight w:val="520"/>
        </w:trPr>
        <w:tc>
          <w:tcPr>
            <w:tcW w:w="4420" w:type="dxa"/>
            <w:vAlign w:val="bottom"/>
          </w:tcPr>
          <w:p>
            <w:pPr>
              <w:spacing w:after="0"/>
              <w:rPr>
                <w:sz w:val="24"/>
                <w:szCs w:val="24"/>
                <w:color w:val="auto"/>
              </w:rPr>
            </w:pPr>
          </w:p>
        </w:tc>
        <w:tc>
          <w:tcPr>
            <w:tcW w:w="2120" w:type="dxa"/>
            <w:vAlign w:val="bottom"/>
          </w:tcPr>
          <w:p>
            <w:pPr>
              <w:jc w:val="right"/>
              <w:ind w:right="73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-453390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-436245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-453390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-436245</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i w:val="1"/>
          <w:iCs w:val="1"/>
          <w:color w:val="auto"/>
        </w:rPr>
        <w:t>As used in this Quarterly Report on Form 10-Q, the “Company”, the “Registrant”, “we” or “us” refer to ProKidney Corp.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Annual Report on Form 10-K filed with the Securities and Exchange Commission,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24"/>
        <w:spacing w:after="0" w:line="290" w:lineRule="auto"/>
        <w:rPr>
          <w:sz w:val="20"/>
          <w:szCs w:val="20"/>
          <w:color w:val="auto"/>
        </w:rPr>
      </w:pPr>
      <w:r>
        <w:rPr>
          <w:rFonts w:ascii="Arial" w:cs="Arial" w:eastAsia="Arial" w:hAnsi="Arial"/>
          <w:sz w:val="16"/>
          <w:szCs w:val="16"/>
          <w:color w:val="auto"/>
        </w:rPr>
        <w:t>We are a clinical-stage biotechnology business with a transformative proprietary cell therapy platform capable of treating multiple chronic kidney diseases using a patient’s own cells isolated from the patient intended for treatment. Our approach seeks to redefine the treatment of chronic kidney disease (“CKD”), shifting the emphasis away from management of kidney failure, to the restoration or improvement of kidney function to stop or delay progression of CKD. Our lead product candidate, which we refer to as REACT, is designed to preserve kidney function in a CKD patient’s diseased kidneys. REACT is a product that includes selected renal cells (“SRCs”) prepared from a patient’s own, autologous, renal cells. SRCs are formulated into a product for reinjection into the patient’s kidney using a minimally invasive outpatient procedure that can be repeated if necessary. Because REACT is a personalized treatment composed of cells prepared from a patient’s kidney, there is no need for treatment with immunosuppressive therapies, which are required during a patient’s lifetime when a patient receives a kidney transplant from another, allogeneic donor.</w:t>
      </w:r>
    </w:p>
    <w:p>
      <w:pPr>
        <w:spacing w:after="0" w:line="5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are currently conducting a Phase 3 development program and multiple Phase 2 clinical trials for REACT in subjects with moderate to severe diabetic kidney disease. We are also conducting a Phase 1 clinical trial for REACT in subjects with congenital anomalies of the kidney and urinary tract (“CAKUT”). REACT has been generally well tolerated by subjects with moderate to severe diabetic kidney disease in Phase 1 and 2 clinical testing to date. It has also been shown to preserve kidney function in subjects based on measurements of iohexol renal clearance and UACR. REACT has received Regenerative Medicine Advanced Therapy (“RMAT”) designation from the United States Food and Drug Administration (the “FDA”).</w:t>
      </w:r>
    </w:p>
    <w:p>
      <w:pPr>
        <w:spacing w:after="0" w:line="53" w:lineRule="exact"/>
        <w:rPr>
          <w:sz w:val="20"/>
          <w:szCs w:val="20"/>
          <w:color w:val="auto"/>
        </w:rPr>
      </w:pPr>
    </w:p>
    <w:p>
      <w:pPr>
        <w:ind w:right="40" w:firstLine="569"/>
        <w:spacing w:after="0" w:line="257" w:lineRule="auto"/>
        <w:rPr>
          <w:sz w:val="20"/>
          <w:szCs w:val="20"/>
          <w:color w:val="auto"/>
        </w:rPr>
      </w:pPr>
      <w:r>
        <w:rPr>
          <w:rFonts w:ascii="Arial" w:cs="Arial" w:eastAsia="Arial" w:hAnsi="Arial"/>
          <w:sz w:val="18"/>
          <w:szCs w:val="18"/>
          <w:color w:val="auto"/>
        </w:rPr>
        <w:t>Since our inception, we have devoted substantially all of our resources to raising capital, organizing and staffing our company, business and scientific planning, conducting discovery and research activities, acquiring or discovering product candidates, establishing and protecting our intellectual property portfolio, developing and progressing REACT and preparing for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REGEN-007</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REGEN-007 is an ongoing Phase 2, prospective, randomized, open-label, repeat dose, double-arm, controlled safety and efficacy study of REACT in subjects with type 1 or 2 diabetes and CKD.</w:t>
      </w:r>
    </w:p>
    <w:p>
      <w:pPr>
        <w:spacing w:after="0" w:line="62"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The primary objective of this study is to assess the safety and efficacy of up to two REACT injections given three months apart (up to 60 days after target date) in Type 1 and 2 Diabetic Kidney Disease with eGFRs between 20 and 50 ml/min/1.73m2) and delivered into biopsied and non-biopsied contralateral kidneys using a minimally invasive percutaneous approach, as compared to a single REACT injection followed by monitoring and a potential second injection delivered into the non-biopsied contralateral kidney using a minimally invasive percutaneous approach triggered by a 20% decrease in eGFR and/or a 30% increase in urinary albumin-to-creatinine ratio (“UACR”), that is delivered within 60 days of trigger being met. In previous Phase 2 studies, we injected REACT into the same kidney twice. Based on a generally favorable safety profile observed in previous studies, we are now proceeding with the injection of REACT into both kidneys in REGEN-007, which we expect will result in increased therapeutic effect as compared to injecting a single kidney, as the systemic effects of Type-2 diabetes mellitus impact both kidneys. By injecting both kidneys, patients have maximal exposure to REACT cells, with the potential to impact a greater proportion of kidney mass. Further, the number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6" w:name="page27"/>
    <w:bookmarkEnd w:id="26"/>
    <w:p>
      <w:pPr>
        <w:ind w:right="80"/>
        <w:spacing w:after="0" w:line="257" w:lineRule="auto"/>
        <w:rPr>
          <w:sz w:val="20"/>
          <w:szCs w:val="20"/>
          <w:color w:val="auto"/>
        </w:rPr>
      </w:pPr>
      <w:r>
        <w:rPr>
          <w:rFonts w:ascii="Arial" w:cs="Arial" w:eastAsia="Arial" w:hAnsi="Arial"/>
          <w:sz w:val="18"/>
          <w:szCs w:val="18"/>
          <w:color w:val="auto"/>
        </w:rPr>
        <w:t>glomeruli (the filtering units of the kidney) that are amenable to regenerative therapy is effectively doubled when injecting both kidneys, thereby allowing both kidneys to initiate healing and repair to improve function. The main goal of REGEN-007 is to evaluate whether REACT injections in both kidneys as opposed to two injections in the same kidney will: (a) increase the improvement of kidney function over and above the mean eGFR improvement observed in REGEN-002, or (b) increase the number of patients in which kidney function is preserved as compared to the number of patients in which this was observed in REGEN-002.</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believe that REGEN-007 may provide some insights regarding the magnitude of clinical benefit that could be observed in our Phase 3 program.</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completed enrollment in REGEN-007 with a total of 53 subjects. We anticipate reporting interim data from this study in late 2023.</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REGEN-006/proact 1 trial</w:t>
      </w:r>
    </w:p>
    <w:p>
      <w:pPr>
        <w:spacing w:after="0" w:line="117" w:lineRule="exact"/>
        <w:rPr>
          <w:sz w:val="20"/>
          <w:szCs w:val="20"/>
          <w:color w:val="auto"/>
        </w:rPr>
      </w:pPr>
    </w:p>
    <w:p>
      <w:pPr>
        <w:ind w:right="220" w:firstLine="509"/>
        <w:spacing w:after="0" w:line="301" w:lineRule="auto"/>
        <w:rPr>
          <w:sz w:val="20"/>
          <w:szCs w:val="20"/>
          <w:color w:val="auto"/>
        </w:rPr>
      </w:pPr>
      <w:r>
        <w:rPr>
          <w:rFonts w:ascii="Arial" w:cs="Arial" w:eastAsia="Arial" w:hAnsi="Arial"/>
          <w:sz w:val="16"/>
          <w:szCs w:val="16"/>
          <w:color w:val="auto"/>
        </w:rPr>
        <w:t>REGEN-006 (proact 1) is a Phase 3, randomized, single-blinded, bi-lateral kidney dose, sham control arm, controlled efficacy study of REACT in subjects with type 2 diabetes and CKD Stages 3a-4 with moderate to severe albuminuria. Albuminuria refers to the presence of an excess of the protein albumin in urine, which is a sign of kidney disease. This study continues to enroll patients and initial interim data is expected at the end of 2024. This study will be conducted in clinical centers in the United States, Canada, Australia, Israel, Mexico, Taiwan and the United Kingdom.</w:t>
      </w:r>
    </w:p>
    <w:p>
      <w:pPr>
        <w:spacing w:after="0" w:line="49"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The primary objective of this study is to assess the efficacy of up to two REACT injections given three months apart and delivered into biopsied and non-biopsied contralateral kidneys using a minimally invasive percutaneous approach. The total planned enrollment is 600 subjects.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composite endpoint is the time from first injection to the earliest of:</w:t>
      </w:r>
    </w:p>
    <w:p>
      <w:pPr>
        <w:spacing w:after="0" w:line="117"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least 40% reduction in eGFR, using the 2009 CKD-EPI serum creatinine equation, sustained for 30 days;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eGFR &lt;15 mL/min/1.73m² using the 2009 CKD-EPI serum creatinine equation, sustained for 30 days and/or chronic dialysis, and/or renal transplant;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renal or cardiovascular death.</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Subjects will be randomized (1:1) to the treatment group and the “masked” sham control group prior to kidney biopsy.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study continues to enroll patients and initial interim data is expected at the end of 2024.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REGEN-016/proact 2 trial</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REGEN-016 (proact 2) is a planned Phase 3, randomized, single-blinded, sham control arm, bi-lateral kidney dose, controlled efficacy study of REACT in subjects with type 2 diabetes and CKD Stages 3a-4 with moderate to severe albuminuria. This study will be implemented in clinical centers in Europe, Latin America, and Asia-Pacific and some United States centers.</w:t>
      </w:r>
    </w:p>
    <w:p>
      <w:pPr>
        <w:spacing w:after="0" w:line="76"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The primary objective of this study is to assess the efficacy of up to two REACT injections given three months apart and delivered into biopsied and non-biopsied contralateral kidneys using a minimally invasive percutaneous approach. The total planned enrollment is 600 subjects.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composite endpoint is the time from first injection to the earliest of:</w:t>
      </w:r>
    </w:p>
    <w:p>
      <w:pPr>
        <w:spacing w:after="0" w:line="117"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least 40% reduction in eGFR, using the 2009 CKD-EPI serum creatinine equation, sustained for 30 days;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eGFR &lt;15 mL/min/1.73m² using the 2009 CKD-EPI serum creatinine equation, sustained for 30 days and/or chronic dialysis, and/or renal transplant;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renal or cardiovascular death.</w:t>
      </w:r>
    </w:p>
    <w:p>
      <w:pPr>
        <w:spacing w:after="0" w:line="11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Enrollment in this study is expected to begin in the second half of 2023. We plan to evaluate interim data for REGEN-016 in late-2025, with the potential for conditional FDA approval anticipated in late 2026.</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Impact of the COVID-19 Pandemic</w:t>
      </w:r>
    </w:p>
    <w:p>
      <w:pPr>
        <w:spacing w:after="0" w:line="12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To date, our financial condition and operations have not been significantly impacted by the COVID-19 pandemic. However, we cannot, at this time, predict the specific extent, duration or full impact that the COVID-19 pandemic will have on our financial condition and operations, including our ongoing and planned clinical trials. The extent of the impact of the COVID-19 on our business, operations and clinical development timelines and plans remains uncertain and will depend on certain developments,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20"/>
        <w:spacing w:after="0" w:line="268" w:lineRule="auto"/>
        <w:rPr>
          <w:sz w:val="20"/>
          <w:szCs w:val="20"/>
          <w:color w:val="auto"/>
        </w:rPr>
      </w:pPr>
      <w:r>
        <w:rPr>
          <w:rFonts w:ascii="Arial" w:cs="Arial" w:eastAsia="Arial" w:hAnsi="Arial"/>
          <w:sz w:val="17"/>
          <w:szCs w:val="17"/>
          <w:color w:val="auto"/>
        </w:rPr>
        <w:t>including the duration and spread of the outbreak and its impact on our clinical trial enrollment, trial sites, contract research organizations (“CROs”), and other third parties with whom we do business, as well as its impact on regulatory authorities and our key scientific and management personnel. To the extent possible, we are conducting business as usual, with necessary or advisable modifications to employee travel as some of our employees are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The development of our product candidates could be disrupted and materially adversely affected in the future by the COVID-19 pandemic. Our planned clinical trials also could be delayed due to government orders and site policies on account of the pandemic, and some patients may be unwilling or unable to travel to study sites,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REACT or any future product candidates. Furthermore, COVID-19 could affect our employees or the employees of research sites and service providers on whom we rely, including CROs, as well as those of companies with which we do business, including our suppliers, thereby disrupting our business operations. These and other events resulting from the COVID-19 pandemic could disrupt, delay, or otherwise adversely impact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have not generated any revenue since our inception and do not expect to generate any revenue from the sale of products in the near future, if at all. If our development efforts for REACT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our research and development activities, including the development of REACT.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include:</w:t>
      </w:r>
    </w:p>
    <w:p>
      <w:pPr>
        <w:spacing w:after="0" w:line="117"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CROs and other scientific development services;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other outside consultants, including their fees and related travel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compliance with quality and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laboratory supplies and acquiring and developing clinical trial materials;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stock-based compensation expenses, for individuals involved in research and development activities; and</w:t>
      </w:r>
    </w:p>
    <w:p>
      <w:pPr>
        <w:spacing w:after="0" w:line="62"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insurance and other internal operating costs.</w:t>
      </w:r>
    </w:p>
    <w:p>
      <w:pPr>
        <w:spacing w:after="0" w:line="170"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spacing w:after="0" w:line="178"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Research and development activities are central to our business model. We expect that our research and development expenses will increase significantly for the foreseeable future as REACT moves into later stages of clinical development.</w:t>
      </w:r>
    </w:p>
    <w:p>
      <w:pPr>
        <w:spacing w:after="0" w:line="170" w:lineRule="exact"/>
        <w:rPr>
          <w:sz w:val="20"/>
          <w:szCs w:val="20"/>
          <w:color w:val="auto"/>
        </w:rPr>
      </w:pPr>
    </w:p>
    <w:p>
      <w:pPr>
        <w:ind w:right="700" w:firstLine="509"/>
        <w:spacing w:after="0" w:line="274" w:lineRule="auto"/>
        <w:rPr>
          <w:sz w:val="20"/>
          <w:szCs w:val="20"/>
          <w:color w:val="auto"/>
        </w:rPr>
      </w:pPr>
      <w:r>
        <w:rPr>
          <w:rFonts w:ascii="Arial" w:cs="Arial" w:eastAsia="Arial" w:hAnsi="Arial"/>
          <w:sz w:val="17"/>
          <w:szCs w:val="17"/>
          <w:color w:val="auto"/>
        </w:rPr>
        <w:t>The successful development of REACT and any product candidates we may develop in the future is highly uncertain. Therefore, we cannot reasonably estimate or know the nature, timing and estimated costs of the efforts that will be necessary to complete the</w:t>
      </w: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ind w:right="40"/>
        <w:spacing w:after="0" w:line="263" w:lineRule="auto"/>
        <w:rPr>
          <w:sz w:val="20"/>
          <w:szCs w:val="20"/>
          <w:color w:val="auto"/>
        </w:rPr>
      </w:pPr>
      <w:r>
        <w:rPr>
          <w:rFonts w:ascii="Arial" w:cs="Arial" w:eastAsia="Arial" w:hAnsi="Arial"/>
          <w:sz w:val="18"/>
          <w:szCs w:val="18"/>
          <w:color w:val="auto"/>
        </w:rPr>
        <w:t>development and commercialization of any of our product candidates. We are also unable to predict when, if ever, material net cash inflows will commence from the sale of REACT or potential future product candidates, if approved. This is due to the numerous risks and uncertainties associated with developing product candidates, many of which are outside of our control, including the uncertainty of:</w:t>
      </w:r>
    </w:p>
    <w:p>
      <w:pPr>
        <w:spacing w:after="0" w:line="76"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progress of non-clinical and clinical development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scope of non-clinical and clinical programs we decide to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an appropriate safety-profile;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sites and patients involved in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countries in which the clinical trials are conducted;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of, clinical trials, as well as drop out or discontinuation rates, particularly in light of the current COVID-19 pandemic environment;</w:t>
      </w:r>
    </w:p>
    <w:p>
      <w:pPr>
        <w:spacing w:after="0" w:line="62"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successful completion of clinical trials with safety, tolerability and efficacy profiles that are satisfactory to the FDA and comparable foreign regulatory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receipt and terms of any regulatory approvals from applicable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17"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 particularly in light of the current COVID-19 pandemic environment;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maintaining, defending and enforcing patient claims or other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benefits of REACT over other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launching commercial sales of REACT, if approved, whether alone or in collaboration with others;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REACT following approval.</w:t>
      </w:r>
    </w:p>
    <w:p>
      <w:pPr>
        <w:spacing w:after="0" w:line="225"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spacing w:after="0" w:line="8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expect that our general and administrative expenses will increase significantly for the foreseeable future as our business expands and we hire additional personnel to support our operations. We also anticipate increased expenses associated with being a public company, including costs for legal, audit, accounting, investor and public relations, tax-related services, director and officer insurance, and regulatory costs related to compliance with the rules and regulations of the United States Securities and Exchange Commission (the “SEC”) as well as listing standards applicable to companies listed on a national securities exchange.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consists primarily of interest income earned on cash, cash equivalents and marketable securities.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Income tax expense reflects federal and state taxes on income earned by our subsidiary that is organized as a C corporation for U.S. income tax purposes.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Three Months Ended March 31,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2023 and 2022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25,617</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28,490</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(2,873 )</w:t>
            </w: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37,972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(22,713 )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Pr>
          <w:p>
            <w:pPr>
              <w:ind w:left="380"/>
              <w:spacing w:after="0"/>
              <w:rPr>
                <w:sz w:val="20"/>
                <w:szCs w:val="20"/>
                <w:color w:val="auto"/>
              </w:rPr>
            </w:pPr>
            <w:r>
              <w:rPr>
                <w:rFonts w:ascii="Arial" w:cs="Arial" w:eastAsia="Arial" w:hAnsi="Arial"/>
                <w:sz w:val="18"/>
                <w:szCs w:val="18"/>
                <w:color w:val="auto"/>
              </w:rPr>
              <w:t>Total operating expense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40,876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66,462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(25,586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(40,876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(66,462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25,586</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(3 )</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(14 )</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Net loss before taxes</w:t>
            </w:r>
          </w:p>
        </w:tc>
        <w:tc>
          <w:tcPr>
            <w:tcW w:w="280" w:type="dxa"/>
            <w:vAlign w:val="bottom"/>
          </w:tcPr>
          <w:p>
            <w:pPr>
              <w:spacing w:after="0"/>
              <w:rPr>
                <w:sz w:val="20"/>
                <w:szCs w:val="20"/>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(35,582 )</w:t>
            </w:r>
          </w:p>
        </w:tc>
        <w:tc>
          <w:tcPr>
            <w:tcW w:w="280" w:type="dxa"/>
            <w:vAlign w:val="bottom"/>
          </w:tcPr>
          <w:p>
            <w:pPr>
              <w:spacing w:after="0"/>
              <w:rPr>
                <w:sz w:val="20"/>
                <w:szCs w:val="20"/>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 xml:space="preserve">(66,476 </w:t>
            </w:r>
            <w:r>
              <w:rPr>
                <w:rFonts w:ascii="Arial" w:cs="Arial" w:eastAsia="Arial" w:hAnsi="Arial"/>
                <w:sz w:val="18"/>
                <w:szCs w:val="18"/>
                <w:color w:val="auto"/>
                <w:highlight w:val="white"/>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30,894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Arial" w:cs="Arial" w:eastAsia="Arial" w:hAnsi="Arial"/>
                <w:sz w:val="18"/>
                <w:szCs w:val="18"/>
                <w:color w:val="auto"/>
              </w:rPr>
              <w:t>Net and comprehensive loss before noncontrolling</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16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0"/>
                <w:szCs w:val="20"/>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(36,909 )</w:t>
            </w:r>
          </w:p>
        </w:tc>
        <w:tc>
          <w:tcPr>
            <w:tcW w:w="280" w:type="dxa"/>
            <w:vAlign w:val="bottom"/>
          </w:tcPr>
          <w:p>
            <w:pPr>
              <w:spacing w:after="0"/>
              <w:rPr>
                <w:sz w:val="20"/>
                <w:szCs w:val="20"/>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(67,486 )</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30,577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and comprehensive loss attributable to</w:t>
            </w:r>
          </w:p>
        </w:tc>
        <w:tc>
          <w:tcPr>
            <w:tcW w:w="280" w:type="dxa"/>
            <w:vAlign w:val="bottom"/>
            <w:shd w:val="clear" w:color="auto" w:fill="CFF0FC"/>
          </w:tcPr>
          <w:p>
            <w:pPr>
              <w:spacing w:after="0"/>
              <w:rPr>
                <w:sz w:val="19"/>
                <w:szCs w:val="19"/>
                <w:color w:val="auto"/>
              </w:rPr>
            </w:pPr>
          </w:p>
        </w:tc>
        <w:tc>
          <w:tcPr>
            <w:tcW w:w="130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(27,244 )</w:t>
            </w:r>
          </w:p>
        </w:tc>
        <w:tc>
          <w:tcPr>
            <w:tcW w:w="280" w:type="dxa"/>
            <w:vAlign w:val="bottom"/>
            <w:shd w:val="clear" w:color="auto" w:fill="CFF0FC"/>
          </w:tcPr>
          <w:p>
            <w:pPr>
              <w:spacing w:after="0"/>
              <w:rPr>
                <w:sz w:val="19"/>
                <w:szCs w:val="19"/>
                <w:color w:val="auto"/>
              </w:rPr>
            </w:pPr>
          </w:p>
        </w:tc>
        <w:tc>
          <w:tcPr>
            <w:tcW w:w="1300" w:type="dxa"/>
            <w:vAlign w:val="bottom"/>
            <w:gridSpan w:val="2"/>
            <w:vMerge w:val="restart"/>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(27,244 )</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noncontrolling interest</w:t>
            </w:r>
          </w:p>
        </w:tc>
        <w:tc>
          <w:tcPr>
            <w:tcW w:w="28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tcPr>
          <w:p>
            <w:pPr>
              <w:ind w:left="20"/>
              <w:spacing w:after="0"/>
              <w:rPr>
                <w:sz w:val="20"/>
                <w:szCs w:val="20"/>
                <w:color w:val="auto"/>
              </w:rPr>
            </w:pPr>
            <w:r>
              <w:rPr>
                <w:rFonts w:ascii="Arial" w:cs="Arial" w:eastAsia="Arial" w:hAnsi="Arial"/>
                <w:sz w:val="18"/>
                <w:szCs w:val="18"/>
                <w:color w:val="auto"/>
              </w:rPr>
              <w:t>Net loss and comprehensive loss available to Class A</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(9,665 )</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(67,486 )</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57,821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60"/>
              <w:spacing w:after="0" w:line="203" w:lineRule="exact"/>
              <w:rPr>
                <w:sz w:val="20"/>
                <w:szCs w:val="20"/>
                <w:color w:val="auto"/>
              </w:rPr>
            </w:pPr>
            <w:r>
              <w:rPr>
                <w:rFonts w:ascii="Arial" w:cs="Arial" w:eastAsia="Arial" w:hAnsi="Arial"/>
                <w:sz w:val="18"/>
                <w:szCs w:val="18"/>
                <w:color w:val="auto"/>
              </w:rPr>
              <w:t>ordinary shareholders</w:t>
            </w:r>
          </w:p>
        </w:tc>
        <w:tc>
          <w:tcPr>
            <w:tcW w:w="28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-1851025</wp:posOffset>
            </wp:positionV>
            <wp:extent cx="8572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-1851025</wp:posOffset>
            </wp:positionV>
            <wp:extent cx="8572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-1525270</wp:posOffset>
            </wp:positionV>
            <wp:extent cx="8572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-1525270</wp:posOffset>
            </wp:positionV>
            <wp:extent cx="85725"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-1525270</wp:posOffset>
            </wp:positionV>
            <wp:extent cx="8572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-1207770</wp:posOffset>
            </wp:positionV>
            <wp:extent cx="8572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-1207770</wp:posOffset>
            </wp:positionV>
            <wp:extent cx="8572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-882015</wp:posOffset>
            </wp:positionV>
            <wp:extent cx="85725" cy="3003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-882015</wp:posOffset>
            </wp:positionV>
            <wp:extent cx="85725" cy="3003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-882015</wp:posOffset>
            </wp:positionV>
            <wp:extent cx="85725" cy="3003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-299720</wp:posOffset>
            </wp:positionV>
            <wp:extent cx="85725" cy="3003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-299720</wp:posOffset>
            </wp:positionV>
            <wp:extent cx="85725" cy="3003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-299720</wp:posOffset>
            </wp:positionV>
            <wp:extent cx="85725" cy="3003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3003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decrease in research and development expenses of approximately $2.9 million was primarily driven by the following:</w:t>
      </w:r>
    </w:p>
    <w:p>
      <w:pPr>
        <w:spacing w:after="0" w:line="117" w:lineRule="exact"/>
        <w:rPr>
          <w:sz w:val="20"/>
          <w:szCs w:val="20"/>
          <w:color w:val="auto"/>
        </w:rPr>
      </w:pPr>
    </w:p>
    <w:p>
      <w:pPr>
        <w:ind w:left="1020" w:right="320" w:hanging="503"/>
        <w:spacing w:after="0" w:line="25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costs of $14.1 million related to equity-based payments for services rendered by a third-party which were adjusted to the fair value of the awards issued upon their grant date in the three months ended March 31, 2022 offset by;</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cash-based compensation costs of approximately $3.0 million due to the hiring of additional personnel;</w:t>
      </w:r>
    </w:p>
    <w:p>
      <w:pPr>
        <w:spacing w:after="0" w:line="9" w:lineRule="exact"/>
        <w:rPr>
          <w:rFonts w:ascii="Arial" w:cs="Arial" w:eastAsia="Arial" w:hAnsi="Arial"/>
          <w:sz w:val="18"/>
          <w:szCs w:val="18"/>
          <w:color w:val="auto"/>
        </w:rPr>
      </w:pPr>
    </w:p>
    <w:p>
      <w:pPr>
        <w:ind w:left="1020" w:right="540" w:hanging="503"/>
        <w:spacing w:after="0" w:line="281"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increases in costs of approximately $3.8 million related to proact-1 and proact-2 as proact-1 continues to enroll additional subjects and proact-2 continues to incur costs related to start-up activities as we are expecting enrollment to begin in the second half of 2023;</w:t>
      </w:r>
    </w:p>
    <w:p>
      <w:pPr>
        <w:spacing w:after="0" w:line="1" w:lineRule="exact"/>
        <w:rPr>
          <w:rFonts w:ascii="Arial" w:cs="Arial" w:eastAsia="Arial" w:hAnsi="Arial"/>
          <w:sz w:val="16"/>
          <w:szCs w:val="16"/>
          <w:color w:val="auto"/>
        </w:rPr>
      </w:pPr>
    </w:p>
    <w:p>
      <w:pPr>
        <w:ind w:left="1020" w:right="180" w:hanging="503"/>
        <w:spacing w:after="0" w:line="25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costs related to our other clinical trials of approximately $1.7 million due to higher levels of activity being incurred in the three months ended March 31, 2023; and</w:t>
      </w:r>
    </w:p>
    <w:p>
      <w:pPr>
        <w:ind w:left="1020" w:right="920" w:hanging="503"/>
        <w:spacing w:after="0" w:line="26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other research and development costs of approximately $1.8 million related to additional spending on manufacturing improvements and professional fees.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decrease in general and administrative expenses of approximately $22.7 million was primarily driven by the following:</w:t>
      </w:r>
    </w:p>
    <w:p>
      <w:pPr>
        <w:spacing w:after="0" w:line="117" w:lineRule="exact"/>
        <w:rPr>
          <w:sz w:val="20"/>
          <w:szCs w:val="20"/>
          <w:color w:val="auto"/>
        </w:rPr>
      </w:pPr>
    </w:p>
    <w:p>
      <w:pPr>
        <w:ind w:left="1020" w:right="260" w:hanging="503"/>
        <w:spacing w:after="0" w:line="25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decreases in equity-based compensation of approximately $26.0 million as such expense was higher for the three months ended March 31, 2023 due to the sale of Class B-1 Units of PKLP at amounts less than their fair value offset by;</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increases in professional fees and insurance costs of approximately $2.4 million related to our operations as a public company; and</w:t>
      </w:r>
    </w:p>
    <w:p>
      <w:pPr>
        <w:spacing w:after="0" w:line="20" w:lineRule="exact"/>
        <w:rPr>
          <w:rFonts w:ascii="Arial" w:cs="Arial" w:eastAsia="Arial" w:hAnsi="Arial"/>
          <w:sz w:val="17"/>
          <w:szCs w:val="17"/>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cash-based compensation expenses of approximately $0.3 million due to the hiring of additional personnel.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Income tax expense for the three months ended March 31, 2023 was relatively consistent with the income tax expense recognized for the three months ended March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March 31, 2023, we funded our operations primarily through capital contributions from the holders of PKLP and the proceeds obtained through the business combination between Social Capital Suvretta Holdings Corp. III and PKLP (the “Business Combination”) and related PIPE financing.</w:t>
      </w:r>
    </w:p>
    <w:p>
      <w:pPr>
        <w:spacing w:after="0" w:line="49" w:lineRule="exact"/>
        <w:rPr>
          <w:sz w:val="20"/>
          <w:szCs w:val="20"/>
          <w:color w:val="auto"/>
        </w:rPr>
      </w:pPr>
    </w:p>
    <w:p>
      <w:pPr>
        <w:ind w:right="140" w:firstLine="545"/>
        <w:spacing w:after="0" w:line="263" w:lineRule="auto"/>
        <w:rPr>
          <w:sz w:val="20"/>
          <w:szCs w:val="20"/>
          <w:color w:val="auto"/>
        </w:rPr>
      </w:pPr>
      <w:r>
        <w:rPr>
          <w:rFonts w:ascii="Arial" w:cs="Arial" w:eastAsia="Arial" w:hAnsi="Arial"/>
          <w:sz w:val="18"/>
          <w:szCs w:val="18"/>
          <w:color w:val="auto"/>
        </w:rPr>
        <w:t>We expect that our existing cash, cash equivalents and marketable securities held at March 31, 2023, will enable us to fund our operating expenses and capital expenditure requirements through 2024. We have based this estimate on assumptions that may prove to be wrong and we could exhaust our capital resources sooner than we expect.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to increase substantially if, and as, we:</w:t>
      </w:r>
    </w:p>
    <w:p>
      <w:pPr>
        <w:spacing w:after="0" w:line="117"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initiate and continue research and clinical development of our product candidates, including in particular our clinical trials for REACT;</w:t>
      </w:r>
    </w:p>
    <w:p>
      <w:pPr>
        <w:spacing w:after="0" w:line="128" w:lineRule="exact"/>
        <w:rPr>
          <w:rFonts w:ascii="Arial" w:cs="Arial" w:eastAsia="Arial" w:hAnsi="Arial"/>
          <w:sz w:val="17"/>
          <w:szCs w:val="17"/>
          <w:color w:val="auto"/>
        </w:rPr>
      </w:pPr>
    </w:p>
    <w:p>
      <w:pPr>
        <w:ind w:left="1020" w:right="46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third-party manufacturing costs to support our non-clinical studies and clinical trials of our product candidate and, if approved, its commercialization;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identify and develop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investment in developing internal manufacturing capabilities;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addition, since the closing of the Business Combination (the “Closing”) we have begun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spacing w:after="0" w:line="87"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unitholders.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for the Three Months Ended March 31, 2023 and 2022</w:t>
      </w:r>
    </w:p>
    <w:p>
      <w:pPr>
        <w:spacing w:after="0" w:line="117" w:lineRule="exact"/>
        <w:rPr>
          <w:sz w:val="20"/>
          <w:szCs w:val="20"/>
          <w:color w:val="auto"/>
        </w:rPr>
      </w:pPr>
    </w:p>
    <w:p>
      <w:pPr>
        <w:jc w:val="center"/>
        <w:ind w:right="400"/>
        <w:spacing w:after="0" w:line="277" w:lineRule="auto"/>
        <w:rPr>
          <w:sz w:val="20"/>
          <w:szCs w:val="20"/>
          <w:color w:val="auto"/>
        </w:rPr>
      </w:pPr>
      <w:r>
        <w:rPr>
          <w:rFonts w:ascii="Arial" w:cs="Arial" w:eastAsia="Arial" w:hAnsi="Arial"/>
          <w:sz w:val="18"/>
          <w:szCs w:val="18"/>
          <w:color w:val="auto"/>
        </w:rPr>
        <w:t>The following table provides information regarding our cash flows for the three months ended March 31, 2023 and 2022 (in thousands):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tbl>
      <w:tblPr>
        <w:tblLayout w:type="fixed"/>
        <w:tblInd w:w="1120" w:type="dxa"/>
        <w:tblCellMar>
          <w:top w:w="0" w:type="dxa"/>
          <w:left w:w="0" w:type="dxa"/>
          <w:bottom w:w="0" w:type="dxa"/>
          <w:right w:w="0" w:type="dxa"/>
        </w:tblCellMar>
      </w:tblPr>
      <w:tr>
        <w:trPr>
          <w:trHeight w:val="241"/>
        </w:trPr>
        <w:tc>
          <w:tcPr>
            <w:tcW w:w="6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39"/>
        </w:trPr>
        <w:tc>
          <w:tcPr>
            <w:tcW w:w="6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r>
      <w:tr>
        <w:trPr>
          <w:trHeight w:val="241"/>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flows used in operating activities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(25,992</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tcPr>
          <w:p>
            <w:pPr>
              <w:spacing w:after="0"/>
              <w:rPr>
                <w:sz w:val="20"/>
                <w:szCs w:val="20"/>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(192,612 )</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(839 )</w:t>
            </w:r>
          </w:p>
        </w:tc>
      </w:tr>
      <w:tr>
        <w:trPr>
          <w:trHeight w:val="24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flows (used in) provided by financing activities</w:t>
            </w: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(13 )</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25,542</w:t>
            </w:r>
          </w:p>
        </w:tc>
        <w:tc>
          <w:tcPr>
            <w:tcW w:w="120" w:type="dxa"/>
            <w:vAlign w:val="bottom"/>
            <w:shd w:val="clear" w:color="auto" w:fill="CFF0FC"/>
          </w:tcPr>
          <w:p>
            <w:pPr>
              <w:spacing w:after="0"/>
              <w:rPr>
                <w:sz w:val="21"/>
                <w:szCs w:val="21"/>
                <w:color w:val="auto"/>
              </w:rPr>
            </w:pPr>
          </w:p>
        </w:tc>
      </w:tr>
      <w:tr>
        <w:trPr>
          <w:trHeight w:val="20"/>
        </w:trPr>
        <w:tc>
          <w:tcPr>
            <w:tcW w:w="6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6"/>
        </w:trPr>
        <w:tc>
          <w:tcPr>
            <w:tcW w:w="6200" w:type="dxa"/>
            <w:vAlign w:val="bottom"/>
          </w:tcPr>
          <w:p>
            <w:pPr>
              <w:ind w:left="200"/>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(218,617 )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9,244</w:t>
            </w:r>
          </w:p>
        </w:tc>
        <w:tc>
          <w:tcPr>
            <w:tcW w:w="12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-187960</wp:posOffset>
            </wp:positionV>
            <wp:extent cx="7747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20" w:firstLine="509"/>
        <w:spacing w:after="0" w:line="275" w:lineRule="auto"/>
        <w:rPr>
          <w:sz w:val="20"/>
          <w:szCs w:val="20"/>
          <w:color w:val="auto"/>
        </w:rPr>
      </w:pPr>
      <w:r>
        <w:rPr>
          <w:rFonts w:ascii="Arial" w:cs="Arial" w:eastAsia="Arial" w:hAnsi="Arial"/>
          <w:sz w:val="17"/>
          <w:szCs w:val="17"/>
          <w:color w:val="auto"/>
        </w:rPr>
        <w:t>Net cash used in operating activities was approximately $26.0 million for the three months ended March 31, 2023, reflecting a net loss of approximately $36.9 million and uses driven by changes in working capital of approximately $2.4 million. Such uses were partially offset by non-cash charges of $13.9 million. The non-cash charges primarily consisted of equity-based compensation expense of $13.0 million and depreciation and amortization expense of $0.8 million. The changes in working capital primarily relate to the timing of payments made to our vendors for services performed and the recognition of receivable amounts related to interest on our marketable security investments.</w:t>
      </w:r>
    </w:p>
    <w:p>
      <w:pPr>
        <w:spacing w:after="0" w:line="68" w:lineRule="exact"/>
        <w:rPr>
          <w:sz w:val="20"/>
          <w:szCs w:val="20"/>
          <w:color w:val="auto"/>
        </w:rPr>
      </w:pPr>
    </w:p>
    <w:p>
      <w:pPr>
        <w:ind w:right="200" w:firstLine="509"/>
        <w:spacing w:after="0" w:line="311" w:lineRule="auto"/>
        <w:rPr>
          <w:sz w:val="20"/>
          <w:szCs w:val="20"/>
          <w:color w:val="auto"/>
        </w:rPr>
      </w:pPr>
      <w:r>
        <w:rPr>
          <w:rFonts w:ascii="Arial" w:cs="Arial" w:eastAsia="Arial" w:hAnsi="Arial"/>
          <w:sz w:val="16"/>
          <w:szCs w:val="16"/>
          <w:color w:val="auto"/>
        </w:rPr>
        <w:t>Net cash used in operating activities was approximately $15.5 million for the three months ended March 31, 2022, reflecting a net loss of $67.5 million and uses driven by changes in working capital of approximately $1.4 million, partially offset by non-cash charges of $53.4 million. The non-cash charges primarily consisted of equity-based compensation expense of $52.7 million and depreciation and amortization expense of $0.7 million.</w:t>
      </w:r>
    </w:p>
    <w:p>
      <w:pPr>
        <w:spacing w:after="0" w:line="41"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The approximately $10.5 million increase in cash used in operating activities for the three months ended March 31, 2023 compared to the three months ended March 31, 2022 was primarily driven by an increase in net loss after adjusting for the non-cash charges of approximately $9.0 million coupled with the increased use of cash related to the timing of payments to our vendors.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Net cash used in investing activities was approximately $192.6 million and $0.8 million for the three months ended March 31, 2023 and 2022, respectively. The cash used in investing activities during the three months ended March 31, 2023 was primarily related to the investment of a portion of the proceeds raised through the Closing in marketable securities.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80" w:firstLine="509"/>
        <w:spacing w:after="0" w:line="342" w:lineRule="auto"/>
        <w:rPr>
          <w:sz w:val="20"/>
          <w:szCs w:val="20"/>
          <w:color w:val="auto"/>
        </w:rPr>
      </w:pPr>
      <w:r>
        <w:rPr>
          <w:rFonts w:ascii="Arial" w:cs="Arial" w:eastAsia="Arial" w:hAnsi="Arial"/>
          <w:sz w:val="16"/>
          <w:szCs w:val="16"/>
          <w:color w:val="auto"/>
        </w:rPr>
        <w:t>Net cash used in financing activities for the three months ended March 31, 2023 was an insignificant amount. Net cash provided by financing activities was $25.5 million for the three months ended March 31, 2022 and relates to the sale of Class A and B-1 Units of PKLP during that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Our consolidated financial statements are prepared in accordance with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6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Our significant accounting policies are described in Note 2 to our unaudited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509"/>
        <w:spacing w:after="0" w:line="274"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2 to our unaudited condensed consolidated financial statements included elsewhere in this Quarterly Report on Form 10-Q.</w:t>
      </w: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60" w:firstLine="578"/>
        <w:spacing w:after="0" w:line="273" w:lineRule="auto"/>
        <w:rPr>
          <w:sz w:val="20"/>
          <w:szCs w:val="20"/>
          <w:color w:val="auto"/>
        </w:rPr>
      </w:pPr>
      <w:r>
        <w:rPr>
          <w:rFonts w:ascii="Arial" w:cs="Arial" w:eastAsia="Arial" w:hAnsi="Arial"/>
          <w:sz w:val="17"/>
          <w:szCs w:val="17"/>
          <w:color w:val="auto"/>
        </w:rPr>
        <w:t>The Company’s exposure to changes in interest rates relates primarily to the Company’s investment portfolio.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All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do not have any material foreign currency exposure.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78"/>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as of March 31, 2023. Based upon that evaluation, our Chief Executive Officer and Chief Financial Officer concluded that, as of March 31, 2023,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4" w:lineRule="exact"/>
        <w:rPr>
          <w:sz w:val="20"/>
          <w:szCs w:val="20"/>
          <w:color w:val="auto"/>
        </w:rPr>
      </w:pPr>
    </w:p>
    <w:p>
      <w:pPr>
        <w:ind w:firstLine="57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8" w:lineRule="exact"/>
        <w:rPr>
          <w:sz w:val="20"/>
          <w:szCs w:val="20"/>
          <w:color w:val="auto"/>
        </w:rPr>
      </w:pPr>
    </w:p>
    <w:p>
      <w:pPr>
        <w:ind w:right="140" w:firstLine="578"/>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500" w:firstLine="578"/>
        <w:spacing w:after="0" w:line="258" w:lineRule="auto"/>
        <w:rPr>
          <w:sz w:val="20"/>
          <w:szCs w:val="20"/>
          <w:color w:val="auto"/>
        </w:rPr>
      </w:pPr>
      <w:r>
        <w:rPr>
          <w:rFonts w:ascii="Arial" w:cs="Arial" w:eastAsia="Arial" w:hAnsi="Arial"/>
          <w:sz w:val="18"/>
          <w:szCs w:val="18"/>
          <w:color w:val="auto"/>
        </w:rPr>
        <w:t>We previously reported a material weakness in our internal control over financial reporting related to the Company’s accounting for complex financial instruments, which condition existed prior to the Closing of the Business Combination. That material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3" w:name="page34"/>
    <w:bookmarkEnd w:id="33"/>
    <w:p>
      <w:pPr>
        <w:ind w:right="100"/>
        <w:spacing w:after="0" w:line="277" w:lineRule="auto"/>
        <w:rPr>
          <w:sz w:val="20"/>
          <w:szCs w:val="20"/>
          <w:color w:val="auto"/>
        </w:rPr>
      </w:pPr>
      <w:r>
        <w:rPr>
          <w:rFonts w:ascii="Arial" w:cs="Arial" w:eastAsia="Arial" w:hAnsi="Arial"/>
          <w:sz w:val="18"/>
          <w:szCs w:val="18"/>
          <w:color w:val="auto"/>
        </w:rPr>
        <w:t>weakness has been remediated. There have been no other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140" w:firstLine="578"/>
        <w:spacing w:after="0" w:line="255"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https://investors.prokidney.com/,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Registration Statement on Form 10-K filed with the SEC on March 28, 2023 as amended on April 27,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sales of unregistered equity securities during the three months ended March 31, 2023.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920" w:type="dxa"/>
            <w:vAlign w:val="bottom"/>
          </w:tcPr>
          <w:p>
            <w:pPr>
              <w:jc w:val="right"/>
              <w:ind w:right="137"/>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60" w:type="dxa"/>
            <w:vAlign w:val="bottom"/>
            <w:gridSpan w:val="5"/>
            <w:vMerge w:val="restart"/>
          </w:tcPr>
          <w:p>
            <w:pPr>
              <w:ind w:left="3280"/>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660" w:type="dxa"/>
            <w:vAlign w:val="bottom"/>
            <w:tcBorders>
              <w:bottom w:val="single" w:sz="8" w:color="auto"/>
            </w:tcBorders>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60" w:type="dxa"/>
            <w:vAlign w:val="bottom"/>
          </w:tcPr>
          <w:p>
            <w:pPr>
              <w:spacing w:after="0"/>
              <w:rPr>
                <w:sz w:val="24"/>
                <w:szCs w:val="24"/>
                <w:color w:val="auto"/>
              </w:rPr>
            </w:pPr>
          </w:p>
        </w:tc>
        <w:tc>
          <w:tcPr>
            <w:tcW w:w="920" w:type="dxa"/>
            <w:vAlign w:val="bottom"/>
          </w:tcPr>
          <w:p>
            <w:pPr>
              <w:jc w:val="right"/>
              <w:ind w:right="417"/>
              <w:spacing w:after="0"/>
              <w:rPr>
                <w:sz w:val="20"/>
                <w:szCs w:val="20"/>
                <w:color w:val="auto"/>
              </w:rPr>
            </w:pPr>
            <w:r>
              <w:rPr>
                <w:rFonts w:ascii="Arial" w:cs="Arial" w:eastAsia="Arial" w:hAnsi="Arial"/>
                <w:sz w:val="18"/>
                <w:szCs w:val="18"/>
                <w:color w:val="auto"/>
                <w:w w:val="95"/>
              </w:rPr>
              <w:t>31.1*</w:t>
            </w:r>
          </w:p>
        </w:tc>
        <w:tc>
          <w:tcPr>
            <w:tcW w:w="160" w:type="dxa"/>
            <w:vAlign w:val="bottom"/>
          </w:tcPr>
          <w:p>
            <w:pPr>
              <w:spacing w:after="0"/>
              <w:rPr>
                <w:sz w:val="24"/>
                <w:szCs w:val="24"/>
                <w:color w:val="auto"/>
              </w:rPr>
            </w:pPr>
          </w:p>
        </w:tc>
        <w:tc>
          <w:tcPr>
            <w:tcW w:w="9640" w:type="dxa"/>
            <w:vAlign w:val="bottom"/>
            <w:tcBorders>
              <w:bottom w:val="single" w:sz="8" w:color="0000FF"/>
            </w:tcBorders>
            <w:gridSpan w:val="5"/>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6"/>
          </w:tcPr>
          <w:p>
            <w:pPr>
              <w:spacing w:after="0" w:line="196" w:lineRule="exact"/>
              <w:rPr>
                <w:rFonts w:ascii="Arial" w:cs="Arial" w:eastAsia="Arial" w:hAnsi="Arial"/>
                <w:sz w:val="18"/>
                <w:szCs w:val="18"/>
                <w:color w:val="0000FF"/>
              </w:rPr>
            </w:pPr>
            <w:hyperlink r:id="rId155">
              <w:r>
                <w:rPr>
                  <w:rFonts w:ascii="Arial" w:cs="Arial" w:eastAsia="Arial" w:hAnsi="Arial"/>
                  <w:sz w:val="18"/>
                  <w:szCs w:val="18"/>
                  <w:color w:val="0000FF"/>
                </w:rPr>
                <w:t>Adopted Pursuant to Section 302 of the Sarbanes-Oxley Act of 2002.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0" w:type="dxa"/>
            <w:vAlign w:val="bottom"/>
          </w:tcPr>
          <w:p>
            <w:pPr>
              <w:spacing w:after="0"/>
              <w:rPr>
                <w:sz w:val="24"/>
                <w:szCs w:val="24"/>
                <w:color w:val="auto"/>
              </w:rPr>
            </w:pPr>
          </w:p>
        </w:tc>
        <w:tc>
          <w:tcPr>
            <w:tcW w:w="920" w:type="dxa"/>
            <w:vAlign w:val="bottom"/>
          </w:tcPr>
          <w:p>
            <w:pPr>
              <w:jc w:val="right"/>
              <w:ind w:right="417"/>
              <w:spacing w:after="0"/>
              <w:rPr>
                <w:sz w:val="20"/>
                <w:szCs w:val="20"/>
                <w:color w:val="auto"/>
              </w:rPr>
            </w:pPr>
            <w:r>
              <w:rPr>
                <w:rFonts w:ascii="Arial" w:cs="Arial" w:eastAsia="Arial" w:hAnsi="Arial"/>
                <w:sz w:val="18"/>
                <w:szCs w:val="18"/>
                <w:color w:val="auto"/>
                <w:w w:val="95"/>
              </w:rPr>
              <w:t>31.2*</w:t>
            </w:r>
          </w:p>
        </w:tc>
        <w:tc>
          <w:tcPr>
            <w:tcW w:w="160" w:type="dxa"/>
            <w:vAlign w:val="bottom"/>
          </w:tcPr>
          <w:p>
            <w:pPr>
              <w:spacing w:after="0"/>
              <w:rPr>
                <w:sz w:val="24"/>
                <w:szCs w:val="24"/>
                <w:color w:val="auto"/>
              </w:rPr>
            </w:pPr>
          </w:p>
        </w:tc>
        <w:tc>
          <w:tcPr>
            <w:tcW w:w="9580" w:type="dxa"/>
            <w:vAlign w:val="bottom"/>
            <w:tcBorders>
              <w:bottom w:val="single" w:sz="8" w:color="0000FF"/>
            </w:tcBorders>
            <w:gridSpan w:val="3"/>
          </w:tcPr>
          <w:p>
            <w:pPr>
              <w:spacing w:after="0"/>
              <w:rPr>
                <w:rFonts w:ascii="Arial" w:cs="Arial" w:eastAsia="Arial" w:hAnsi="Arial"/>
                <w:sz w:val="18"/>
                <w:szCs w:val="18"/>
                <w:color w:val="0000FF"/>
                <w:w w:val="91"/>
              </w:rPr>
            </w:pPr>
            <w:hyperlink r:id="rId156">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46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6"/>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Adopted Pursuant to Section 302 of the Sarbanes-Oxley Act of 2002.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920" w:type="dxa"/>
            <w:vAlign w:val="bottom"/>
          </w:tcPr>
          <w:p>
            <w:pPr>
              <w:jc w:val="right"/>
              <w:ind w:right="417"/>
              <w:spacing w:after="0"/>
              <w:rPr>
                <w:sz w:val="20"/>
                <w:szCs w:val="20"/>
                <w:color w:val="auto"/>
              </w:rPr>
            </w:pPr>
            <w:r>
              <w:rPr>
                <w:rFonts w:ascii="Arial" w:cs="Arial" w:eastAsia="Arial" w:hAnsi="Arial"/>
                <w:sz w:val="18"/>
                <w:szCs w:val="18"/>
                <w:color w:val="auto"/>
                <w:w w:val="95"/>
              </w:rPr>
              <w:t>32.1*</w:t>
            </w:r>
          </w:p>
        </w:tc>
        <w:tc>
          <w:tcPr>
            <w:tcW w:w="160" w:type="dxa"/>
            <w:vAlign w:val="bottom"/>
          </w:tcPr>
          <w:p>
            <w:pPr>
              <w:spacing w:after="0"/>
              <w:rPr>
                <w:sz w:val="24"/>
                <w:szCs w:val="24"/>
                <w:color w:val="auto"/>
              </w:rPr>
            </w:pPr>
          </w:p>
        </w:tc>
        <w:tc>
          <w:tcPr>
            <w:tcW w:w="9600" w:type="dxa"/>
            <w:vAlign w:val="bottom"/>
            <w:tcBorders>
              <w:bottom w:val="single" w:sz="8" w:color="0000FF"/>
            </w:tcBorders>
            <w:gridSpan w:val="4"/>
          </w:tcPr>
          <w:p>
            <w:pPr>
              <w:spacing w:after="0"/>
              <w:rPr>
                <w:rFonts w:ascii="Arial" w:cs="Arial" w:eastAsia="Arial" w:hAnsi="Arial"/>
                <w:sz w:val="18"/>
                <w:szCs w:val="18"/>
                <w:color w:val="0000FF"/>
                <w:w w:val="90"/>
              </w:rPr>
            </w:pPr>
            <w:hyperlink r:id="rId157">
              <w:r>
                <w:rPr>
                  <w:rFonts w:ascii="Arial" w:cs="Arial" w:eastAsia="Arial" w:hAnsi="Arial"/>
                  <w:sz w:val="18"/>
                  <w:szCs w:val="18"/>
                  <w:color w:val="0000FF"/>
                  <w:w w:val="90"/>
                </w:rPr>
                <w:t>Certification of Principal Executive Officer Pursuant to 18 U.S.C. Section 1350, as Adopted Pursuant to Section 906 of the Sarbanes-</w:t>
              </w:r>
            </w:hyperlink>
          </w:p>
        </w:tc>
        <w:tc>
          <w:tcPr>
            <w:tcW w:w="4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Oxley Act of 2002.</w:t>
              </w:r>
            </w:hyperlink>
          </w:p>
        </w:tc>
        <w:tc>
          <w:tcPr>
            <w:tcW w:w="866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120" w:type="dxa"/>
            <w:vAlign w:val="bottom"/>
            <w:gridSpan w:val="3"/>
          </w:tcPr>
          <w:p>
            <w:pPr>
              <w:jc w:val="right"/>
              <w:ind w:right="308"/>
              <w:spacing w:after="0"/>
              <w:rPr>
                <w:sz w:val="20"/>
                <w:szCs w:val="20"/>
                <w:color w:val="auto"/>
              </w:rPr>
            </w:pPr>
            <w:r>
              <w:rPr>
                <w:rFonts w:ascii="Arial" w:cs="Arial" w:eastAsia="Arial" w:hAnsi="Arial"/>
                <w:sz w:val="18"/>
                <w:szCs w:val="18"/>
                <w:color w:val="auto"/>
              </w:rPr>
              <w:t>29</w:t>
            </w:r>
          </w:p>
        </w:tc>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tbl>
      <w:tblPr>
        <w:tblLayout w:type="fixed"/>
        <w:tblInd w:w="8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gridSpan w:val="2"/>
          </w:tcPr>
          <w:p>
            <w:pPr>
              <w:spacing w:after="0"/>
              <w:rPr>
                <w:rFonts w:ascii="Arial" w:cs="Arial" w:eastAsia="Arial" w:hAnsi="Arial"/>
                <w:sz w:val="18"/>
                <w:szCs w:val="18"/>
                <w:color w:val="0000FF"/>
                <w:w w:val="91"/>
              </w:rPr>
            </w:pPr>
            <w:hyperlink r:id="rId160">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r>
      <w:tr>
        <w:trPr>
          <w:trHeight w:val="20"/>
        </w:trPr>
        <w:tc>
          <w:tcPr>
            <w:tcW w:w="10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00" w:type="dxa"/>
            <w:vAlign w:val="bottom"/>
            <w:shd w:val="clear" w:color="auto" w:fill="0000FF"/>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00" w:type="dxa"/>
            <w:vAlign w:val="bottom"/>
            <w:gridSpan w:val="2"/>
          </w:tcPr>
          <w:p>
            <w:pPr>
              <w:spacing w:after="0" w:line="196" w:lineRule="exact"/>
              <w:rPr>
                <w:rFonts w:ascii="Arial" w:cs="Arial" w:eastAsia="Arial" w:hAnsi="Arial"/>
                <w:sz w:val="18"/>
                <w:szCs w:val="18"/>
                <w:color w:val="0000FF"/>
              </w:rPr>
            </w:pPr>
            <w:hyperlink r:id="rId160">
              <w:r>
                <w:rPr>
                  <w:rFonts w:ascii="Arial" w:cs="Arial" w:eastAsia="Arial" w:hAnsi="Arial"/>
                  <w:sz w:val="18"/>
                  <w:szCs w:val="18"/>
                  <w:color w:val="0000FF"/>
                </w:rPr>
                <w:t>Act of 2002.</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The following materials from the Company’s Quarterly report on Form 10-Q for the quarter ended March 31, 2023, formatted in iXBRL</w:t>
            </w:r>
          </w:p>
        </w:tc>
      </w:tr>
      <w:tr>
        <w:trPr>
          <w:trHeight w:val="216"/>
        </w:trPr>
        <w:tc>
          <w:tcPr>
            <w:tcW w:w="108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(Inline Extensible Business Reporting Language):  (i) Condensed Consolidated Balance Sheets (unaudited), (ii) Condensed Consolidated</w:t>
            </w:r>
          </w:p>
        </w:tc>
      </w:tr>
      <w:tr>
        <w:trPr>
          <w:trHeight w:val="216"/>
        </w:trPr>
        <w:tc>
          <w:tcPr>
            <w:tcW w:w="108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Statements of Operations (unaudited), (iii) Condensed Consolidated Statements of Changes in Redeemable Noncontrolling Interest and</w:t>
            </w:r>
          </w:p>
        </w:tc>
      </w:tr>
      <w:tr>
        <w:trPr>
          <w:trHeight w:val="216"/>
        </w:trPr>
        <w:tc>
          <w:tcPr>
            <w:tcW w:w="108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Stockholders’ Deficit (unaudited), (iv) Consolidated Statements of Cash Flows (unaudited) and (v) Notes to Condensed Consolidated</w:t>
            </w:r>
          </w:p>
        </w:tc>
      </w:tr>
      <w:tr>
        <w:trPr>
          <w:trHeight w:val="230"/>
        </w:trPr>
        <w:tc>
          <w:tcPr>
            <w:tcW w:w="108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Financial Statements (unaudited), tagged as blocks of text and including detailed tags.</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000" w:type="dxa"/>
            <w:vAlign w:val="bottom"/>
            <w:gridSpan w:val="2"/>
          </w:tcPr>
          <w:p>
            <w:pPr>
              <w:spacing w:after="0"/>
              <w:rPr>
                <w:sz w:val="20"/>
                <w:szCs w:val="20"/>
                <w:color w:val="auto"/>
              </w:rPr>
            </w:pPr>
            <w:r>
              <w:rPr>
                <w:rFonts w:ascii="Arial" w:cs="Arial" w:eastAsia="Arial" w:hAnsi="Arial"/>
                <w:sz w:val="18"/>
                <w:szCs w:val="18"/>
                <w:color w:val="auto"/>
              </w:rPr>
              <w:t>The cover page from this Quarterly Report on Form 10-Q for the quarter ended March 31, 2023, formatted in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9512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5" w:right="419" w:bottom="1440" w:gutter="0" w:footer="0" w:header="0"/>
        </w:sectPr>
      </w:pPr>
    </w:p>
    <w:bookmarkStart w:id="35" w:name="page36"/>
    <w:bookmarkEnd w:id="35"/>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59"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3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May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May 11, 2023</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Company Name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Timothy A.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23495</wp:posOffset>
            </wp:positionV>
            <wp:extent cx="33350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Timothy A. Bertram</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Chief Executive Officer</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23495</wp:posOffset>
            </wp:positionV>
            <wp:extent cx="33350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James Coulston</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Chief Financial Officer</w:t>
      </w:r>
    </w:p>
    <w:p>
      <w:pPr>
        <w:spacing w:after="0" w:line="23"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4920" w:space="720"/>
            <w:col w:w="4499"/>
          </w:cols>
          <w:pgMar w:left="320" w:top="33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33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55" Type="http://schemas.openxmlformats.org/officeDocument/2006/relationships/hyperlink" Target="https://www.sec.gov/Archives/edgar/data/1850270/000095017023021232/prok-ex31_1.htm" TargetMode="External"/><Relationship Id="rId156" Type="http://schemas.openxmlformats.org/officeDocument/2006/relationships/hyperlink" Target="https://www.sec.gov/Archives/edgar/data/1850270/000095017023021232/prok-ex31_2.htm" TargetMode="External"/><Relationship Id="rId157" Type="http://schemas.openxmlformats.org/officeDocument/2006/relationships/hyperlink" Target="https://www.sec.gov/Archives/edgar/data/1850270/000095017023021232/prok-ex32_1.htm" TargetMode="External"/><Relationship Id="rId160" Type="http://schemas.openxmlformats.org/officeDocument/2006/relationships/hyperlink" Target="https://www.sec.gov/Archives/edgar/data/1850270/000095017023021232/prok-ex32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2023-05-26T06:35:58Z</dcterms:created>
  <dcterms:modified xsi:type="dcterms:W3CDTF">2023-05-26T06:35:58Z</dcterms:modified>
</cp:coreProperties>
</file>