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15, 2022 (July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40" w:type="dxa"/>
            <w:vAlign w:val="bottom"/>
          </w:tcPr>
          <w:p>
            <w:pPr>
              <w:jc w:val="center"/>
              <w:ind w:right="231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001-40560</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98-1586514</w:t>
            </w:r>
          </w:p>
        </w:tc>
      </w:tr>
      <w:tr>
        <w:trPr>
          <w:trHeight w:val="148"/>
        </w:trPr>
        <w:tc>
          <w:tcPr>
            <w:tcW w:w="404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04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2000 Frontis Plaza Blvd., Ste 250</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Winston-Salem, North Carolina</w:t>
            </w:r>
          </w:p>
        </w:tc>
        <w:tc>
          <w:tcPr>
            <w:tcW w:w="228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27103</w:t>
            </w:r>
          </w:p>
        </w:tc>
      </w:tr>
      <w:tr>
        <w:trPr>
          <w:trHeight w:val="190"/>
        </w:trPr>
        <w:tc>
          <w:tcPr>
            <w:tcW w:w="4040" w:type="dxa"/>
            <w:vAlign w:val="bottom"/>
          </w:tcPr>
          <w:p>
            <w:pPr>
              <w:jc w:val="center"/>
              <w:ind w:left="1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999-7028</w:t>
      </w:r>
    </w:p>
    <w:p>
      <w:pPr>
        <w:spacing w:after="0" w:line="171" w:lineRule="exact"/>
        <w:rPr>
          <w:sz w:val="24"/>
          <w:szCs w:val="24"/>
          <w:color w:val="auto"/>
        </w:rPr>
      </w:pPr>
    </w:p>
    <w:p>
      <w:pPr>
        <w:ind w:left="4364"/>
        <w:spacing w:after="0"/>
        <w:rPr>
          <w:sz w:val="20"/>
          <w:szCs w:val="20"/>
          <w:color w:val="auto"/>
        </w:rPr>
      </w:pPr>
      <w:r>
        <w:rPr>
          <w:rFonts w:ascii="Times New Roman" w:cs="Times New Roman" w:eastAsia="Times New Roman" w:hAnsi="Times New Roman"/>
          <w:sz w:val="18"/>
          <w:szCs w:val="18"/>
          <w:b w:val="1"/>
          <w:bCs w:val="1"/>
          <w:color w:val="auto"/>
        </w:rPr>
        <w:t>3929 Westpoint Blvd., Suite G</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Winston-Salem, NC 27103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79"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On July 11, 2022 (the “Closing Date”), Social Capital Suvretta Holdings Corp. III, a Cayman Islands exempted company (“SCS”) consummated the previously announced Business Combination (as defined below) with ProKidney LP, a limited partnership registered under the laws of Ireland (“ProKidney”). In connection with the closing of the Business Combination, the registrant changed its name from “</w:t>
      </w:r>
      <w:r>
        <w:rPr>
          <w:rFonts w:ascii="Times New Roman" w:cs="Times New Roman" w:eastAsia="Times New Roman" w:hAnsi="Times New Roman"/>
          <w:sz w:val="18"/>
          <w:szCs w:val="18"/>
          <w:i w:val="1"/>
          <w:iCs w:val="1"/>
          <w:color w:val="auto"/>
        </w:rPr>
        <w:t>Social Capital Suvretta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 III</w:t>
      </w:r>
      <w:r>
        <w:rPr>
          <w:rFonts w:ascii="Times New Roman" w:cs="Times New Roman" w:eastAsia="Times New Roman" w:hAnsi="Times New Roman"/>
          <w:sz w:val="18"/>
          <w:szCs w:val="18"/>
          <w:color w:val="auto"/>
        </w:rPr>
        <w:t>” to “</w:t>
      </w:r>
      <w:r>
        <w:rPr>
          <w:rFonts w:ascii="Times New Roman" w:cs="Times New Roman" w:eastAsia="Times New Roman" w:hAnsi="Times New Roman"/>
          <w:sz w:val="18"/>
          <w:szCs w:val="18"/>
          <w:i w:val="1"/>
          <w:iCs w:val="1"/>
          <w:color w:val="auto"/>
        </w:rPr>
        <w:t>ProKidney Corp.</w:t>
      </w:r>
      <w:r>
        <w:rPr>
          <w:rFonts w:ascii="Times New Roman" w:cs="Times New Roman" w:eastAsia="Times New Roman" w:hAnsi="Times New Roman"/>
          <w:sz w:val="18"/>
          <w:szCs w:val="18"/>
          <w:color w:val="auto"/>
        </w:rPr>
        <w:t>” (or “New ProKidney”). New ProKidney will continue the existing business operations of ProKidney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company.</w:t>
      </w:r>
    </w:p>
    <w:p>
      <w:pPr>
        <w:spacing w:after="0" w:line="183"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As used in this Current Report on Form 8-K, unless otherwise stated or the context clearly indicates otherwise, the terms the “Registrant,” the “Company,” “New ProKidney,” “we,” “us,” and “our” refer to ProKidney Corp., and its subsidiaries at and after the Closing Date and giving effect to the consummation of the Business Combination (the “Closing”). Capitalized terms used but not defined herein shall have the meanings ascribed to such terms in the Proxy Statement (as defined below).</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0" w:firstLine="991"/>
        <w:spacing w:after="0" w:line="258" w:lineRule="auto"/>
        <w:rPr>
          <w:sz w:val="20"/>
          <w:szCs w:val="20"/>
          <w:color w:val="auto"/>
        </w:rPr>
      </w:pPr>
      <w:r>
        <w:rPr>
          <w:rFonts w:ascii="Times New Roman" w:cs="Times New Roman" w:eastAsia="Times New Roman" w:hAnsi="Times New Roman"/>
          <w:sz w:val="18"/>
          <w:szCs w:val="18"/>
          <w:color w:val="auto"/>
        </w:rPr>
        <w:t>Item 2.01 of this Current Report on Form 8-K discusses the consummation of the Transactions (as defined below) and various other transactions and events contemplated by the Business Combination Agreement which took place on the Closing Date and is incorporated herein by reference. In addition, the information contained in SCS’s definitive proxy statement on Schedule 14A filed by SCS with the U.S. Securities and Exchange Commission (the “Commission”) on June 10, 2022 (the “Proxy Statement”) in the sections entitled, “Related Agreements,” “Ancillary Agreements,” and “Post-Business Combination New ProKidney Executive Compensation” is incorporated herein by reference.</w:t>
      </w:r>
    </w:p>
    <w:p>
      <w:pPr>
        <w:spacing w:after="0" w:line="2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the Closing Date, New ProKidney entered into that certain Exchange Agreement with ProKidney and certain Closing ProKidney Unitholders pursuant to which, subject to the procedures and restrictions therein, from and after the waiver or expiration of any contractual lock-up period (including pursuant to the Lock-Up Agreement) the holders of Post-Combination ProKidney Common Units (or certain permitted transferees thereof) will have the right from time to time at and after 180 days following the Closing to exchange their Post-Combination ProKidney Common Units and an equal number of New ProKidney Class B ordinary shares on a one-for-one basis for New ProKidney Class A ordinary shares (the “Exchange”); provided, that, subject to certain exceptions, New ProKidney, at its sole election, subject to certain restrictions, may, other than in the case of certain secondary offerings, instead settle all or a portion of the Exchange in cash based on a volume weighted average price of a New ProKidney Class A ordinary share. The Exchange Agreement provides that, as a general matter, a holder of Post-Combination ProKidney Common Units will not have the right to exchange Post-Combination ProKidney Common Units if New ProKidney determines that such exchange would be prohibited by law or regulation or would violate other agreements with New ProKidney and its subsidiaries to which the holder of Post-Combination ProKidney Common Units may be subject, including the Second Amended and Restated ProKidney Limited Partnership Agreement and the Exchange Agreement.</w:t>
      </w:r>
    </w:p>
    <w:p>
      <w:pPr>
        <w:spacing w:after="0" w:line="19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Exchange Agreement does not purport to be complete and is qualified in its entirety by the terms and conditions of such Exchange Agreement, a form of which is attached hereto as Exhibit 10.2 and is incorporated herein by reference.</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Closing Date, New ProKidney, SCS Sponsor III LLC and certain Closing ProKidney Unitholders entered into</w:t>
      </w:r>
    </w:p>
    <w:p>
      <w:pPr>
        <w:spacing w:after="0" w:line="2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 Lock-Up Agreement. The Lock-Up Agreement contains certain restrictions on transfer with respect to the SCS Sponsor III LLC and the ProKidney Unitholders party thereto. Such restrictions begin at the Closing and end on the earlier of (i) the date that is 180 days after the Closing and (ii)(a) for 33% of the Lock-Up Shares (as defined therein) (other than the Earnout Shares (as defined therein) and the PIPE Shares (as defined therein)), the</w:t>
      </w:r>
    </w:p>
    <w:p>
      <w:pPr>
        <w:sectPr>
          <w:pgSz w:w="11900" w:h="16838" w:orient="portrait"/>
          <w:cols w:equalWidth="0" w:num="1">
            <w:col w:w="10980"/>
          </w:cols>
          <w:pgMar w:left="440" w:top="293" w:right="479" w:bottom="1440" w:gutter="0" w:footer="0" w:header="0"/>
        </w:sectPr>
      </w:pPr>
    </w:p>
    <w:bookmarkStart w:id="2" w:name="page3"/>
    <w:bookmarkEnd w:id="2"/>
    <w:p>
      <w:pPr>
        <w:ind w:left="4" w:right="1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date on which the last reported sale price of a New ProKidney Class A ordinary share equals or exceeds $12.50 per share for any 20 trading days within any 30-trading day period commencing at least 30 days after the Closing and (b) for an additional 50% of the Lock-Up Shares (other than the Earnout Shares and the Private Placement Shares), the date on which the last reported sale price of a New ProKidney Class A ordinary share equals or exceeds $15.00 per share for any 20 trading days within any 30-trading day period commencing at least 30 days after the Closing. Notwithstanding the above,</w:t>
      </w:r>
    </w:p>
    <w:p>
      <w:pPr>
        <w:spacing w:after="0" w:line="3" w:lineRule="exact"/>
        <w:rPr>
          <w:sz w:val="20"/>
          <w:szCs w:val="20"/>
          <w:color w:val="auto"/>
        </w:rPr>
      </w:pPr>
    </w:p>
    <w:p>
      <w:pPr>
        <w:ind w:left="4" w:right="20" w:hanging="4"/>
        <w:spacing w:after="0" w:line="252"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ProKidney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will expire 30 days after the Closing. The restrictions on transfer set forth in the Lockup Agreement are subject to customary exceptions.</w:t>
      </w:r>
    </w:p>
    <w:p>
      <w:pPr>
        <w:spacing w:after="0" w:line="190"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does not purport to be complete and is qualified in its entirety by the terms and conditions of such Lock Agreement, a form of which is attached hereto as Exhibit 10.3 and is incorporated herein by reference.</w:t>
      </w:r>
    </w:p>
    <w:p>
      <w:pPr>
        <w:spacing w:after="0" w:line="2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On the Closing Date, New ProKidney entered into that certain Tax Receivable Agreement with the Closing ProKidney Unitholders. Pursuant to the Tax Receivable Agreement, among other things, New ProKidney will be required to pay the Closing ProKidney Unitholders party thereto 85% of certain tax savings recognized by New ProKidney, if any, as a result of the increases in tax basis attributable to exchanges by the Closing ProKidney Unitholders of Post-Combination ProKidney Common Units for New ProKidney Class A ordinary shares or, subject to certain restrictions, cash, pursuant to the Exchange Agreement and certain other tax attributes of ProKidney and tax benefits related to entering into the Tax Receivable Agreement.</w:t>
      </w:r>
    </w:p>
    <w:p>
      <w:pPr>
        <w:spacing w:after="0" w:line="187"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Tax Receivable Agreement does not purport to be complete and is qualified in its entirety by the terms and conditions of such Tax Receivable Agreement, a form of which is attached hereto as Exhibit 10.1 and is incorporated herein by reference.</w:t>
      </w:r>
    </w:p>
    <w:p>
      <w:pPr>
        <w:spacing w:after="0" w:line="2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New ProKidney has entered or will enter into indemnification agreements with each of its directors and executive officers. Each indemnification agreement shall provide for the indemnification by New ProKidney of its directors and executive officers against any and all expenses incurred by that director or officer as a result of his or her status as one of its directors or executive officers, to the fullest extent permitted by Cayman Island law. In addition, the indemnification agreements shall provide, to the fullest extent permitted by Cayman Island law, the advancement of all expenses actually and reasonably incurred by such New ProKidney directors and executive officers, in connection with a legal proceeding involving his or her status as a director or executive officer.</w:t>
      </w:r>
    </w:p>
    <w:p>
      <w:pPr>
        <w:spacing w:after="0" w:line="187" w:lineRule="exact"/>
        <w:rPr>
          <w:sz w:val="20"/>
          <w:szCs w:val="20"/>
          <w:color w:val="auto"/>
        </w:rPr>
      </w:pPr>
    </w:p>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Further information about the indemnification of New ProKidney’s directors and executive officers is set forth in the Proxy Statement in the section entitled “Executive Compensation—Limitations on Liability and Indemnification Matters” beginning on page 376 and that information is incorporated herein by reference.</w:t>
      </w:r>
    </w:p>
    <w:p>
      <w:pPr>
        <w:spacing w:after="0" w:line="176"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does not purport to be complete and is qualified in its entirety by the terms and conditions of each such indemnification agreement, a form of which is attached hereto as Exhibit 10.13 and is incorporated herein by reference.</w:t>
      </w:r>
    </w:p>
    <w:p>
      <w:pPr>
        <w:sectPr>
          <w:pgSz w:w="11900" w:h="16838" w:orient="portrait"/>
          <w:cols w:equalWidth="0" w:num="1">
            <w:col w:w="11024"/>
          </w:cols>
          <w:pgMar w:left="436" w:top="297" w:right="439" w:bottom="1440" w:gutter="0" w:footer="0" w:header="0"/>
        </w:sectPr>
      </w:pPr>
    </w:p>
    <w:bookmarkStart w:id="3" w:name="page4"/>
    <w:bookmarkEnd w:id="3"/>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Employee Stock Purchase Plan</w:t>
      </w:r>
    </w:p>
    <w:p>
      <w:pPr>
        <w:spacing w:after="0" w:line="119" w:lineRule="exact"/>
        <w:rPr>
          <w:sz w:val="20"/>
          <w:szCs w:val="20"/>
          <w:color w:val="auto"/>
        </w:rPr>
      </w:pPr>
    </w:p>
    <w:p>
      <w:pPr>
        <w:jc w:val="both"/>
        <w:ind w:left="4" w:right="20" w:firstLine="991"/>
        <w:spacing w:after="0" w:line="289" w:lineRule="auto"/>
        <w:rPr>
          <w:sz w:val="20"/>
          <w:szCs w:val="20"/>
          <w:color w:val="auto"/>
        </w:rPr>
      </w:pPr>
      <w:r>
        <w:rPr>
          <w:rFonts w:ascii="Times New Roman" w:cs="Times New Roman" w:eastAsia="Times New Roman" w:hAnsi="Times New Roman"/>
          <w:sz w:val="17"/>
          <w:szCs w:val="17"/>
          <w:color w:val="auto"/>
        </w:rPr>
        <w:t>At the Extraordinary General Meeting (as defined below), the shareholders of New ProKidney adopted and approved the New ProKidney Employee Stock Purchase Plan (the “ESPP”). New ProKidney’s board of directors also approved the ESPP and the material terms thereunder. The ESPP became effective as of the date it was adopted by New ProKidney’s board of directors, following the approval from the New ProKidney shareholders.</w:t>
      </w:r>
    </w:p>
    <w:p>
      <w:pPr>
        <w:spacing w:after="0" w:line="158"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The purpose of the ESPP is to provide a means by which the New ProKidney employees may be given an opportunity to acquire a proprietary interest in New ProKidney through the purchase of New ProKidney Class A ordinary shares. The material features of the ESPP are described in the Proxy Statement beginning on page 282 in the section entitled “Proposal No. 6 - Employee Stock Purchase Plan Proposal,” and such description is incorporated herein by reference.</w:t>
      </w:r>
    </w:p>
    <w:p>
      <w:pPr>
        <w:spacing w:after="0" w:line="180"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The ESPP permits New ProKidney to deliver up to 5,287,800 New ProKidney Class A ordinary shares, subject to an automatic reduction so that the reserve equals 2% of the number of Class A ordinary shares outstanding immediately after the Closing on a fully-diluted basis (including the ProKidney Class A ordinary shares into which Post-Combination ProKidney Common Units may be exchanged pursuant to the Exchange Agreement, but before giving effect to the number of the ProKidney Class A ordinary shares reserved or issued under the Incentive Equity Plan and the ESPP and excluding all Earnout Shares and all Post-Combination ProKidney Common Units issuable upon the vesting and settlement of Earnout RCUs), pursuant to awards issued under the ESPP. The number of New ProKidney Class A ordinary shares reserved for issuance under the ESPP will automatically increase on the first day of each calendar year, commencing on January 1, 2023, by the least of (i) 5,037,800 New ProKidney Class A ordinary shares,</w:t>
      </w:r>
    </w:p>
    <w:p>
      <w:pPr>
        <w:spacing w:after="0" w:line="2" w:lineRule="exact"/>
        <w:rPr>
          <w:sz w:val="20"/>
          <w:szCs w:val="20"/>
          <w:color w:val="auto"/>
        </w:rPr>
      </w:pPr>
    </w:p>
    <w:p>
      <w:pPr>
        <w:ind w:left="4" w:right="20" w:hanging="4"/>
        <w:spacing w:after="0" w:line="255"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New ProKidney Class A ordinary shares outstanding on a fully-diluted basis outstanding on December 31 of the preceding calendar year and (iii) such smaller number of shares of New ProKidney Class A ordinary shares as determined by the New ProKidney board of directors.</w:t>
      </w:r>
    </w:p>
    <w:p>
      <w:pPr>
        <w:spacing w:after="0" w:line="186"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The summary of the ESPP and the information incorporated therein by reference is qualified in its entirety by reference to the text of the ESPP, which is included as Exhibit 10.12 to this Current Report on Form 8-K and is incorporated herein by reference.</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Incentive Equity Plan Proposal</w:t>
      </w:r>
    </w:p>
    <w:p>
      <w:pPr>
        <w:spacing w:after="0" w:line="119"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At the Extraordinary Meeting, the shareholders of New ProKidney adopted and approved the ProKidney Corp. 2022 Incentive Equity Plan (the “Incentive Plan”). New ProKidney’s board of directors also approved the Incentive Plan and the material terms thereunder. The Incentive Plan became effective as of the date it was adopted by New ProKidney’s board of directors, following the approval from the New ProKidney’s shareholders.</w:t>
      </w:r>
    </w:p>
    <w:p>
      <w:pPr>
        <w:spacing w:after="0" w:line="176"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The purpose of the Incentive Plan is to promote the long-term success of New ProKidney by motivating employees and other individuals to perform at the highest level and contribute significantly to the success of New ProKidney, thereby furthering the best interests of New ProKidney and its shareholders. Equity awards are intended to motivate high levels of performance and align interests of New ProKidney’s directors, employees and consultants with those of its shareholders by giving directors, employees and consultants the perspective of an owner with an equity stake in New ProKidney and providing a means or recognizing their contributions to the success of New ProKidney. The material features of the Incentive Plan are described in the Proxy Statement beginning on page 275 in the section entitled “Proposal No. 5 - Incentive Equity Plan Proposal,” and such description is incorporated herein by reference.</w:t>
      </w:r>
    </w:p>
    <w:p>
      <w:pPr>
        <w:spacing w:after="0" w:line="189"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Incentive Plan permits New ProKidney to deliver up to 26,439,000 New ProKidney Class A ordinary shares, subject to an automatic reduction so that the reserve equals 10% of the number of New ProKidney Class A ordinary shares outstanding immediately after the Closing on a fully-diluted basis (including the ProKidney Class A ordinary shares into which Post-Combination ProKidney Common Units may be exchanged pursuant to the Exchange Agreement, but before giving effect to the number of the ProKidney Class A ordinary shares reserved or issued under the Incentive Equity Plan and the ESPP and excluding all Earnout Shares and all Post-Combination ProKidney Common Units issuable upon the vesting and settlement of Earnout RCUs), pursuant to awards issued under the Incentive Plan. The number of shares of New ProKidney Class A ordinary shares reserved for issuance under the Incentive Plan will automatically increase on the first day of each fiscal year, beginning in 2023, by the</w:t>
      </w:r>
    </w:p>
    <w:p>
      <w:pPr>
        <w:sectPr>
          <w:pgSz w:w="11900" w:h="16838" w:orient="portrait"/>
          <w:cols w:equalWidth="0" w:num="1">
            <w:col w:w="11004"/>
          </w:cols>
          <w:pgMar w:left="436" w:top="295" w:right="459" w:bottom="1440" w:gutter="0" w:footer="0" w:header="0"/>
        </w:sectPr>
      </w:pPr>
    </w:p>
    <w:bookmarkStart w:id="4" w:name="page5"/>
    <w:bookmarkEnd w:id="4"/>
    <w:p>
      <w:pPr>
        <w:ind w:right="18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lesser of (i) 5% of the total number of outstanding shares of New ProKidney Class A ordinary shares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preceding calendar year on a fully-diluted basis and (ii) such amount determined by the plan administrator.</w:t>
      </w:r>
    </w:p>
    <w:p>
      <w:pPr>
        <w:spacing w:after="0" w:line="19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summary of the Incentive Plan and the information incorporated therein by reference is qualified in its entirety by reference to the text of the Incentive Plan, which is included as Exhibit 10.11 to this Current Report on Form 8-K and is incorporated herein by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jc w:val="both"/>
        <w:ind w:right="620" w:firstLine="991"/>
        <w:spacing w:after="0" w:line="266" w:lineRule="auto"/>
        <w:rPr>
          <w:sz w:val="20"/>
          <w:szCs w:val="20"/>
          <w:color w:val="auto"/>
        </w:rPr>
      </w:pPr>
      <w:r>
        <w:rPr>
          <w:rFonts w:ascii="Times New Roman" w:cs="Times New Roman" w:eastAsia="Times New Roman" w:hAnsi="Times New Roman"/>
          <w:sz w:val="18"/>
          <w:szCs w:val="18"/>
          <w:color w:val="auto"/>
        </w:rPr>
        <w:t>An extraordinary general meeting (the “Extraordinary General Meeting”) was held on July 11, 2022, where the SCS shareholders considered and approved, among other matters, a proposal to adopt the Business Combination Agreement, by and between SCS and ProKidney, pursuant to which at the Closing, the following transactions (the “Transactions”) would occur:</w:t>
      </w:r>
    </w:p>
    <w:p>
      <w:pPr>
        <w:spacing w:after="0" w:line="81" w:lineRule="exact"/>
        <w:rPr>
          <w:sz w:val="20"/>
          <w:szCs w:val="20"/>
          <w:color w:val="auto"/>
        </w:rPr>
      </w:pPr>
    </w:p>
    <w:p>
      <w:pPr>
        <w:ind w:left="2080" w:right="20" w:hanging="545"/>
        <w:spacing w:after="0" w:line="253"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ProKidney would issue to SCS a number of Post-Combination ProKidney Common Units equal to the number of fully diluted outstanding SCS ordinary shares as of immediately prior to the Closing (but after giving effect to all redemptions of SCS Class A ordinary shares and the purchase of SCS Class A ordinary shares and/or Post-Combination ProKidney Common Units pursuant to one or more subscription agreements (the “PIPE Placement”)), in exchange for (a) (x) New ProKidney Class B ordinary shares, which shares would have no economic rights but would entitle the holders thereof to vote on all matters on which shareholders of New ProKidney would be entitled to vote generally, and (y) restricted stock rights in respect of New ProKidney Class B ordinary shares (“New ProKidney Class B PMEL RSRs”), which restricted stock rights would convert into New ProKidney Class B ordinary shares upon the vesting of the associated PMEL RCUs,</w:t>
      </w:r>
    </w:p>
    <w:p>
      <w:pPr>
        <w:ind w:left="2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 amount in cash equal to the aggregate proceeds obtained by SCS in the PIPE Placement and (c) an amount in cash equal to the aggregate proceeds available for release to SCS from SCS’s trust account (“Trust Account”) (after giving effect to all redemptions of SCS Class A ordinary shares and after payment of any deferred underwriting commissions being held in the Trust Account and payment of certain transaction expenses);</w:t>
      </w:r>
    </w:p>
    <w:p>
      <w:pPr>
        <w:spacing w:after="0" w:line="94" w:lineRule="exact"/>
        <w:rPr>
          <w:rFonts w:ascii="Times New Roman" w:cs="Times New Roman" w:eastAsia="Times New Roman" w:hAnsi="Times New Roman"/>
          <w:sz w:val="18"/>
          <w:szCs w:val="18"/>
          <w:color w:val="auto"/>
        </w:rPr>
      </w:pPr>
    </w:p>
    <w:p>
      <w:pPr>
        <w:ind w:left="2080" w:right="120" w:hanging="545"/>
        <w:spacing w:after="0" w:line="282"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Legacy GP would resign as the general partner of ProKidney and New GP would be admitted as the general partner of ProKidney;</w:t>
      </w:r>
    </w:p>
    <w:p>
      <w:pPr>
        <w:spacing w:after="0" w:line="67" w:lineRule="exact"/>
        <w:rPr>
          <w:rFonts w:ascii="Times New Roman" w:cs="Times New Roman" w:eastAsia="Times New Roman" w:hAnsi="Times New Roman"/>
          <w:sz w:val="18"/>
          <w:szCs w:val="18"/>
          <w:color w:val="auto"/>
        </w:rPr>
      </w:pPr>
    </w:p>
    <w:p>
      <w:pPr>
        <w:ind w:left="2080" w:right="280" w:hanging="545"/>
        <w:spacing w:after="0" w:line="282"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ProKidney would distribute to the Closing ProKidney Unitholders the New ProKidney Class B ordinary shares and New ProKidney Class B PMEL RSRs received pursuant to clause (i)(a) (x) and (y) above; and</w:t>
      </w:r>
    </w:p>
    <w:p>
      <w:pPr>
        <w:spacing w:after="0" w:line="67" w:lineRule="exact"/>
        <w:rPr>
          <w:rFonts w:ascii="Times New Roman" w:cs="Times New Roman" w:eastAsia="Times New Roman" w:hAnsi="Times New Roman"/>
          <w:sz w:val="18"/>
          <w:szCs w:val="18"/>
          <w:color w:val="auto"/>
        </w:rPr>
      </w:pPr>
    </w:p>
    <w:p>
      <w:pPr>
        <w:ind w:left="2080" w:right="120" w:hanging="545"/>
        <w:spacing w:after="0" w:line="258"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holders of Legacy Class A Units would receive an aggregate of 17,500,000 Earnout RCUs and 17,500,000 Earnout RSRs (collectively, the “Earnout Rights”), which Earnout Rights would vest in three equal tranches upon the achievement of certain New ProKidney share price milestones or certain change of control events. When vested, the Earnout RCUs would automatically convert into Post-Combination ProKidney Common Units and the associated Earnout RSRs would automatically convert into New ProKidney Class B ordinary shares, respectively.</w:t>
      </w:r>
    </w:p>
    <w:p>
      <w:pPr>
        <w:spacing w:after="0" w:line="183"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Holders of an aggregate of 22,829,769 Class A ordinary shares of SCS sold in its initial public offering (the “public shares”) properly exercised their right to have such shares redeemed for a full pro rata portion of the Trust Account, which was approximately $10.00 per share, or approximately $228.3 million in the aggregate.</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the following equity securities of New ProKidney were issued and outstanding: (i) 9,060,231 New ProKidney Class A ordinary shares issued to the holders of pre-Closing SCS Class A ordinary shares and SCS Class B ordinary shares and (ii) 52,480,000 Class A ordinary shares issued to the PIPE Placement (as defined below) in the PIPE Investment. After the Closing Date, the SCS Class A ordinary shares ceased trading on The Nasdaq Capital Market, and the New ProKidney Class A ordinary</w:t>
      </w:r>
    </w:p>
    <w:p>
      <w:pPr>
        <w:sectPr>
          <w:pgSz w:w="11900" w:h="16838" w:orient="portrait"/>
          <w:cols w:equalWidth="0" w:num="1">
            <w:col w:w="10980"/>
          </w:cols>
          <w:pgMar w:left="440" w:top="297" w:right="47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shares commenced trading on The Nasdaq Capital Market under the symbol “PROK” on July 12, 2022. As noted above, an aggregate of approximately $228.7 million was paid from the Trust Account to holders that properly exercised their right to have public shares redeemed, and the remaining balance immediately prior to the Closing of approximately $21.7 million remained in the Trust Account. The remaining amount in the Trust Account was used to fund expenses incurred by SCS and ProKidney in connection with the Business Combination and will be used for general corporate purposes of New ProKidney following the Business Combination.</w:t>
      </w:r>
    </w:p>
    <w:p>
      <w:pPr>
        <w:spacing w:after="0" w:line="183"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The material terms and conditions of the Business Combination Agreement and related agreements are described in the section entitled “Proposal No. 1 - Business Combination Proposal” beginning on page 208 of the Proxy Statement, which description is incorporated herein by reference.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 INFORMATION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11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This Current Report on Form 8-K, including the information incorporated herein by reference, contains forward-looking statements within the meaning of the safe harbor provisions of the Private Securities Litigation Reform Act of 1995, including statements about the anticipated benefits of the Business Combination described herein, and the financial condition, results of operations, earnings outlook and prospects of the Company. In addition, any statements that refer to projections, forecasts or other characterizations of future events or circumstances, including any underlying assumptions, are forward-looking statements. Forward-looking statements are typically identified by words such as “anticipate,” “appear,” “approximate,” “believe,” “continue,” “could,” “estimate,” “expect,” “foresee,” “intends,” “may,” “might,” “plan,” “possible,” “potential,” “predict,” “project,” “seek,” “should,” “would” and other similar words and expressions (or the negative version of such words or expressions) may identify forward-looking statements, but the absence of these words does not mean that a statement is not forward-looking.</w:t>
      </w:r>
    </w:p>
    <w:p>
      <w:pPr>
        <w:spacing w:after="0" w:line="192"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the Company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those discussed and identified in public filings made with the SEC by the Company, and the following:</w:t>
      </w:r>
    </w:p>
    <w:p>
      <w:pPr>
        <w:spacing w:after="0" w:line="93"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the listing of its Class A ordinary shares on The Nasdaq Capital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its growth effectively;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the Company’s product development activities;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the Company’s product candidates, and if approved, its products;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cell therapies are complex and difficult to manufacture, and the Company could experience manufacturing problems that result in delays in the development or commercialization of REACT, its lead product candidate, or otherwise harm its business;</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maintain regulatory approval for its products, and any related restrictions and limitations of any approved product;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in-license or acquire additional technology;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its existing license, manufacturing and supply agreements;</w:t>
      </w:r>
    </w:p>
    <w:p>
      <w:pPr>
        <w:sectPr>
          <w:pgSz w:w="11900" w:h="16838" w:orient="portrait"/>
          <w:cols w:equalWidth="0" w:num="1">
            <w:col w:w="11020"/>
          </w:cols>
          <w:pgMar w:left="440" w:top="297" w:right="439" w:bottom="1440" w:gutter="0" w:footer="0" w:header="0"/>
        </w:sectPr>
      </w:pPr>
    </w:p>
    <w:bookmarkStart w:id="6" w:name="page7"/>
    <w:bookmarkEnd w:id="6"/>
    <w:p>
      <w:pPr>
        <w:ind w:left="960" w:right="4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Company’s reliance on third parties to conduct, supervise and monitor a certain portion of its research and nonclinical testing and clinical trials for REACT;</w:t>
      </w:r>
    </w:p>
    <w:p>
      <w:pPr>
        <w:spacing w:after="0" w:line="67"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compete with other companies currently marketing or engaged in the biologics market and in the area of treatment of kidney disease, many of which have greater financial and marketing resources than the Company;</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the Company’s products, and the ability of each to serve those markets, either alone or in partnership with others;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regarding expenses,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financing in the future;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performance;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intellectual property rights;</w:t>
      </w:r>
    </w:p>
    <w:p>
      <w:pPr>
        <w:spacing w:after="0" w:line="130"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computer systems, or those of its collaborators or other contractors or consultants, may fail or suffer security breaches, which could result in a material disruption of the Company’s product development programs;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downturns and political and market conditions beyond the Company’s control;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Company’s business.</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the Company prove incorrect, actual results may vary in material respects from those projected in these forward-looking statements.</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Current Report on Form 8-K and attributable to the Company or any person acting on its behalf are expressly qualified in their entirety by the cautionary statements contained or referred to in this Current Report on Form 8-K. Except to the extent required by applicable law or regulation, the Company undertakes no obligation to update these forward-looking statements to reflect events or circumstances after the date of this Current Report on Form 8-K or to reflect the occurrence of unanticipated events.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business of New ProKidney after the Business Combination is described in the Proxy Statement in the section entitled “Information About ProKidney” beginning on page 315 and such description is incorporated herein by reference.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risks associated with New ProKidney’s business are described in the Proxy Statement in the section entitled “Risk Factors” beginning on page 84 and such description is incorporated herein by reference.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Reference is made to the disclosure set forth in Item 9.01 of this Current Report on Form 8-K concerning the financial information of New ProKidney. Reference is further made to the disclosure contained in the Proxy Statement in the sections entitled “Selected Unaudited Pro Forma Condensed Combined Financial Information” beginning on page 82, “Unaudited Pro Forma Condensed Combined Financial Information” beginning on page 181 and “Notes to Unaudited Pro Forma Condensed Combined Financial Information” beginning on page 187, which are incorporated herein by reference.</w:t>
      </w:r>
    </w:p>
    <w:p>
      <w:pPr>
        <w:sectPr>
          <w:pgSz w:w="11900" w:h="16838" w:orient="portrait"/>
          <w:cols w:equalWidth="0" w:num="1">
            <w:col w:w="11000"/>
          </w:cols>
          <w:pgMar w:left="440" w:top="297" w:right="45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MANAGEMENT’S DISCUSSION AND ANALYSIS OF FINANCIAL CONDITION AND RESULTS OF OPERATIONS</w:t>
      </w:r>
    </w:p>
    <w:p>
      <w:pPr>
        <w:spacing w:after="0" w:line="229"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The disclosure contained in the Proxy Statement in the section entitled “ProKidney’s Management’s Discussion and Analysis of Financial Condition and Results of Operations” beginning on page 359 is incorporated herein by reference.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The facilities of New ProKidney are described in the Proxy Statement in the section entitled “Information About ProKidney—Facilities” beginning on page 358 and such description is incorporated herein by reference.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New ProKidney ordinary shares as of the Closing Date by:</w:t>
      </w:r>
    </w:p>
    <w:p>
      <w:pPr>
        <w:spacing w:after="0" w:line="131" w:lineRule="exact"/>
        <w:rPr>
          <w:sz w:val="20"/>
          <w:szCs w:val="20"/>
          <w:color w:val="auto"/>
        </w:rPr>
      </w:pPr>
    </w:p>
    <w:p>
      <w:pPr>
        <w:ind w:left="964" w:right="20"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outstanding shares of each of the ProKidney Corp. Class A ordinary shares, par value $0.0001 per share (the “Class A ordinary shares”) and the ProKidney Corp Class B ordinary shares, par value $0.0001 per share (the “Class B ordinary shares” and, together with the Class A ordinary shares, the “ordinary shares”);</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each of the Company’s named executive officers;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and includes shares underlying options that are currently exercisable or exercisable within 60 days.</w:t>
      </w:r>
    </w:p>
    <w:p>
      <w:pPr>
        <w:spacing w:after="0" w:line="176"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or may be deemed to have, sole voting and investment power with respect to all New ProKidney ordinary shares owned by them.</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(1)</w:t>
            </w:r>
          </w:p>
        </w:tc>
        <w:tc>
          <w:tcPr>
            <w:tcW w:w="580" w:type="dxa"/>
            <w:vAlign w:val="bottom"/>
          </w:tcPr>
          <w:p>
            <w:pPr>
              <w:spacing w:after="0"/>
              <w:rPr>
                <w:sz w:val="13"/>
                <w:szCs w:val="13"/>
                <w:color w:val="auto"/>
              </w:rPr>
            </w:pPr>
          </w:p>
        </w:tc>
        <w:tc>
          <w:tcPr>
            <w:tcW w:w="244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2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 of Total Voting</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30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90"/>
        </w:trPr>
        <w:tc>
          <w:tcPr>
            <w:tcW w:w="4500" w:type="dxa"/>
            <w:vAlign w:val="bottom"/>
            <w:tcBorders>
              <w:top w:val="single" w:sz="8" w:color="CCEEFF"/>
            </w:tcBorders>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5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 Bertram, Ph.D. (2)</w:t>
            </w:r>
          </w:p>
        </w:tc>
        <w:tc>
          <w:tcPr>
            <w:tcW w:w="580" w:type="dxa"/>
            <w:vAlign w:val="bottom"/>
          </w:tcPr>
          <w:p>
            <w:pPr>
              <w:spacing w:after="0"/>
              <w:rPr>
                <w:sz w:val="18"/>
                <w:szCs w:val="18"/>
                <w:color w:val="auto"/>
              </w:rPr>
            </w:pPr>
          </w:p>
        </w:tc>
        <w:tc>
          <w:tcPr>
            <w:tcW w:w="24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2,696,468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Pablo Legorreta (3)(11)</w:t>
            </w:r>
          </w:p>
        </w:tc>
        <w:tc>
          <w:tcPr>
            <w:tcW w:w="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94,677,968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William F. Doyle (4)</w:t>
            </w:r>
          </w:p>
        </w:tc>
        <w:tc>
          <w:tcPr>
            <w:tcW w:w="580" w:type="dxa"/>
            <w:vAlign w:val="bottom"/>
          </w:tcPr>
          <w:p>
            <w:pPr>
              <w:spacing w:after="0"/>
              <w:rPr>
                <w:sz w:val="18"/>
                <w:szCs w:val="18"/>
                <w:color w:val="auto"/>
              </w:rPr>
            </w:pPr>
          </w:p>
        </w:tc>
        <w:tc>
          <w:tcPr>
            <w:tcW w:w="24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1,350,469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Fox</w:t>
            </w:r>
          </w:p>
        </w:tc>
        <w:tc>
          <w:tcPr>
            <w:tcW w:w="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580" w:type="dxa"/>
            <w:vAlign w:val="bottom"/>
          </w:tcPr>
          <w:p>
            <w:pPr>
              <w:spacing w:after="0"/>
              <w:rPr>
                <w:sz w:val="18"/>
                <w:szCs w:val="18"/>
                <w:color w:val="auto"/>
              </w:rPr>
            </w:pPr>
          </w:p>
        </w:tc>
        <w:tc>
          <w:tcPr>
            <w:tcW w:w="24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Alan M. Lotvin (5)</w:t>
            </w:r>
          </w:p>
        </w:tc>
        <w:tc>
          <w:tcPr>
            <w:tcW w:w="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1,350,469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John M. Maraganore, Ph.D. (6)</w:t>
            </w:r>
          </w:p>
        </w:tc>
        <w:tc>
          <w:tcPr>
            <w:tcW w:w="580" w:type="dxa"/>
            <w:vAlign w:val="bottom"/>
          </w:tcPr>
          <w:p>
            <w:pPr>
              <w:spacing w:after="0"/>
              <w:rPr>
                <w:sz w:val="18"/>
                <w:szCs w:val="18"/>
                <w:color w:val="auto"/>
              </w:rPr>
            </w:pPr>
          </w:p>
        </w:tc>
        <w:tc>
          <w:tcPr>
            <w:tcW w:w="24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450,156</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Brian J.G. Pereira, M.D (7)</w:t>
            </w:r>
          </w:p>
        </w:tc>
        <w:tc>
          <w:tcPr>
            <w:tcW w:w="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1,350,469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Uma Sinha, Ph.D.</w:t>
            </w:r>
          </w:p>
        </w:tc>
        <w:tc>
          <w:tcPr>
            <w:tcW w:w="30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30,000</w:t>
            </w:r>
          </w:p>
        </w:tc>
        <w:tc>
          <w:tcPr>
            <w:tcW w:w="22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Deepak Jain, Ph.D. (8)</w:t>
            </w:r>
          </w:p>
        </w:tc>
        <w:tc>
          <w:tcPr>
            <w:tcW w:w="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937,836</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Joseph Stavas, M.D., MPH (9)</w:t>
            </w:r>
          </w:p>
        </w:tc>
        <w:tc>
          <w:tcPr>
            <w:tcW w:w="580" w:type="dxa"/>
            <w:vAlign w:val="bottom"/>
          </w:tcPr>
          <w:p>
            <w:pPr>
              <w:spacing w:after="0"/>
              <w:rPr>
                <w:sz w:val="18"/>
                <w:szCs w:val="18"/>
                <w:color w:val="auto"/>
              </w:rPr>
            </w:pPr>
          </w:p>
        </w:tc>
        <w:tc>
          <w:tcPr>
            <w:tcW w:w="24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735,391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(14</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persons)</w:t>
            </w:r>
          </w:p>
        </w:tc>
        <w:tc>
          <w:tcPr>
            <w:tcW w:w="30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30,000</w:t>
            </w:r>
          </w:p>
        </w:tc>
        <w:tc>
          <w:tcPr>
            <w:tcW w:w="2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103,453,062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Greater-than-Five Percent Holders:</w:t>
            </w: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Tolerantia, LLC (3)(11)</w:t>
            </w:r>
          </w:p>
        </w:tc>
        <w:tc>
          <w:tcPr>
            <w:tcW w:w="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94,677,968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198"/>
        </w:trPr>
        <w:tc>
          <w:tcPr>
            <w:tcW w:w="4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w w:val="99"/>
              </w:rPr>
              <w:t>Control Empresarial de Capitales, S.A. de C.V. (formerly</w:t>
            </w: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Inversora Carso, S.A. de C.V.) (10)(11)</w:t>
            </w:r>
          </w:p>
        </w:tc>
        <w:tc>
          <w:tcPr>
            <w:tcW w:w="580" w:type="dxa"/>
            <w:vAlign w:val="bottom"/>
          </w:tcPr>
          <w:p>
            <w:pPr>
              <w:spacing w:after="0"/>
              <w:rPr>
                <w:sz w:val="20"/>
                <w:szCs w:val="20"/>
                <w:color w:val="auto"/>
              </w:rPr>
            </w:pPr>
          </w:p>
        </w:tc>
        <w:tc>
          <w:tcPr>
            <w:tcW w:w="24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63,118,645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Chamath Palihapitiya(12)</w:t>
            </w:r>
          </w:p>
        </w:tc>
        <w:tc>
          <w:tcPr>
            <w:tcW w:w="3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13,273,000(13)</w:t>
            </w: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 PIPE Holdings LLC(12)</w:t>
            </w:r>
          </w:p>
        </w:tc>
        <w:tc>
          <w:tcPr>
            <w:tcW w:w="30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9,500,000</w:t>
            </w: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Banco Invex, S.A., Institución de Banca Múltiple, Invex</w:t>
            </w: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Grupo Financiero, as Trustee of Trust I14165(14)</w:t>
            </w:r>
          </w:p>
        </w:tc>
        <w:tc>
          <w:tcPr>
            <w:tcW w:w="30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5,000,000</w:t>
            </w:r>
          </w:p>
        </w:tc>
        <w:tc>
          <w:tcPr>
            <w:tcW w:w="1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IHCI Investments LP(15)</w:t>
            </w:r>
          </w:p>
        </w:tc>
        <w:tc>
          <w:tcPr>
            <w:tcW w:w="30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5,000,000</w:t>
            </w: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Jupiter CAN LP(16)</w:t>
            </w:r>
          </w:p>
        </w:tc>
        <w:tc>
          <w:tcPr>
            <w:tcW w:w="30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5,000,000</w:t>
            </w: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Morgan Stanley Investment Management Inc. (17)</w:t>
            </w:r>
          </w:p>
        </w:tc>
        <w:tc>
          <w:tcPr>
            <w:tcW w:w="30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Averill Master Fund, Ltd. (18)</w:t>
            </w:r>
          </w:p>
        </w:tc>
        <w:tc>
          <w:tcPr>
            <w:tcW w:w="30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3,140,000</w:t>
            </w: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Indicated beneficial ownership of less than 1%.</w:t>
      </w:r>
    </w:p>
    <w:p>
      <w:pPr>
        <w:spacing w:after="0" w:line="27" w:lineRule="exact"/>
        <w:rPr>
          <w:sz w:val="20"/>
          <w:szCs w:val="20"/>
          <w:color w:val="auto"/>
        </w:rPr>
      </w:pPr>
    </w:p>
    <w:p>
      <w:pPr>
        <w:ind w:left="424" w:right="34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business address of each of the following entities or individuals is c/o ProKidney Corp., 2000 Frontis Plaza Blvd., Ste 250, Winston-Salem, North Carolina, 27103.</w:t>
      </w:r>
    </w:p>
    <w:p>
      <w:pPr>
        <w:sectPr>
          <w:pgSz w:w="11900" w:h="16838" w:orient="portrait"/>
          <w:cols w:equalWidth="0" w:num="1">
            <w:col w:w="11024"/>
          </w:cols>
          <w:pgMar w:left="436" w:top="293" w:right="439" w:bottom="1440" w:gutter="0" w:footer="0" w:header="0"/>
        </w:sectPr>
      </w:pPr>
    </w:p>
    <w:bookmarkStart w:id="8" w:name="page9"/>
    <w:bookmarkEnd w:id="8"/>
    <w:p>
      <w:pPr>
        <w:ind w:left="424" w:right="70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Represents 2,696,468 New ProKidney Class B ordinary shares issued as consideration in the Business Combination and does not include 2,248,469 New ProKidney Class B ordinary shares issuable upon the vesting of PMEL RCUs.</w:t>
      </w:r>
    </w:p>
    <w:p>
      <w:pPr>
        <w:ind w:left="424"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94,677,968 New ProKidney Class B ordinary shares held by Tolerantia, LLC (“Tolerantia”), a Delaware limited liability company, which is an affiliate controlled and majority-owned by Mr. Pablo Legorreta. Mr. Legorreta controls the voting and disposition of the shares held by Tolerantia. Mr. Legorreta disclaims beneficial ownership of the shares held by Tolerantia except to the extent of his indirect pecuniary interest therein. The business address of Tolerantia is 110, East 59th Street, Suite 3300, New York, New York, 10022.</w:t>
      </w:r>
    </w:p>
    <w:p>
      <w:pPr>
        <w:spacing w:after="0" w:line="1"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1,350,469 New ProKidney Class B ordinary shares issued as consideration in the Business Combination and does not include 163,857 New ProKidney Class B ordinary shares issuable upon the vesting of PMEL RCUs.</w:t>
      </w:r>
    </w:p>
    <w:p>
      <w:pPr>
        <w:ind w:left="424" w:right="8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1,350,469 New ProKidney Class B ordinary shares issued as consideration in the Business Combination and does not include 163,857 New ProKidney Class B ordinary shares issuable upon the vesting of PMEL RCUs.</w:t>
      </w:r>
    </w:p>
    <w:p>
      <w:pPr>
        <w:ind w:left="424" w:right="2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450,156 New ProKidney Class B ordinary shares issued as consideration in the Business Combination and does not include 163,857 New ProKidney Class B ordinary shares issuable upon the vesting of PMEL RCUs.</w:t>
      </w:r>
    </w:p>
    <w:p>
      <w:pPr>
        <w:ind w:left="424" w:right="3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1,350,469 New ProKidney Class B ordinary shares issued as consideration in the Business Combination and does not include New ProKidney 163,857 Class B ordinary shares issuable upon the vesting of PMEL RCUs.</w:t>
      </w:r>
    </w:p>
    <w:p>
      <w:pPr>
        <w:ind w:left="424" w:right="46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937,836 New ProKidney Class B ordinary shares issued as consideration in the Business Combination and does not include New ProKidney 630,103 Class B ordinary shares issuable upon the vesting of PMEL RCUs.</w:t>
      </w:r>
    </w:p>
    <w:p>
      <w:pPr>
        <w:ind w:left="424" w:right="2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735,391 New ProKidney Class B ordinary shares issued as consideration in the Business Combination and does not include 315,650 New ProKidney Class B ordinary shares issuable upon the vesting of PMEL RCUs.</w:t>
      </w:r>
    </w:p>
    <w:p>
      <w:pPr>
        <w:jc w:val="both"/>
        <w:ind w:left="424" w:right="40" w:hanging="424"/>
        <w:spacing w:after="0" w:line="265" w:lineRule="auto"/>
        <w:tabs>
          <w:tab w:leader="none" w:pos="4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in the table and footnote is based upon information provided to us by the direct shareholder, Control Empresarial de Capitales S.A. de C.V., acting as successor of Inversora Carso S.A. de C.V. by virtue of a merger (“CEC”). Represents 63,118,645 New ProKidney Class B ordinary shares held by CEC. Members of the Slim family, directly or indirectly, own all of the issued and outstanding voting equity securities of CEC.</w:t>
      </w:r>
    </w:p>
    <w:p>
      <w:pPr>
        <w:ind w:left="424" w:right="2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Therefore, Slim family may be deemed to beneficially own indirectly the Class B ordinary shares held by CEC. CEC is a sociedad anónima de capital variable organized under the laws of the United Mexican States (“Mexico”). The Slim family has an address of Paseo de las Palmas 736, Colonia Lomas de Chapultepec, 11000 Ciudad de Mexico, Mexico and Control Empresarial has an address of Paseo de las Palmas 781, Piso 3, Colonia Lomas de Chapultepec, Seccion III, Migual Hidalgo, Ciudad de Mexico, Mexico, 11000.</w:t>
      </w:r>
    </w:p>
    <w:p>
      <w:pPr>
        <w:spacing w:after="0" w:line="1" w:lineRule="exact"/>
        <w:rPr>
          <w:rFonts w:ascii="Times New Roman" w:cs="Times New Roman" w:eastAsia="Times New Roman" w:hAnsi="Times New Roman"/>
          <w:sz w:val="17"/>
          <w:szCs w:val="17"/>
          <w:color w:val="auto"/>
        </w:rPr>
      </w:pPr>
    </w:p>
    <w:p>
      <w:pPr>
        <w:ind w:left="424" w:right="6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Undertaking, dated as of February 14, 2022, executed by CEC provides that from the Closing until the third anniversary of the Closing, CEC shall vote all ordinary shares beneficially held by it in a manner proportionate to the manner in which all other Class B ordinary shares not held by CEC, including the New ProKidney Class B ordinary shares beneficially held by Tolerantia, are voted, with respect to the election, appointment, or removal of any director to the board of directors. As a result, Tolerantia may be deemed to share beneficial ownership of CEC’s ordinary shares.</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Chamath Palihapitiya and SC PIPE Holdings LLC is c/o SC Master Holdings, LLC 506 Santa Cruz Avenue, Suite 300.</w:t>
      </w:r>
    </w:p>
    <w:p>
      <w:pPr>
        <w:ind w:left="424" w:right="10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9,500,000 Class A ordinary shares held of record by SC PIPE Holdings LLC and 3,773,000 Class A ordinary shares held of record by SC Master Holdings, LLC. Mr. Palihapitiya may be deemed to beneficially own (within the meaning of Rule 13d-3 under the Exchange Act) securities held by SC PIPE Holdings LLC and/or SC Master Holdings, LLC by virtue of his control over such entities.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5,000,000 Class A ordinary shares held of record by Banco Invex, S.A., Institución de Banca Múltiple, Invex Grupo Financiero, acting solely and exclusively in its capacity as trustee of the trustee of Trust I14165 (the “Trust”), whose record holders are the Trust Beneficiaries (as defined below), issued in connection with, and, upon the closing of, the PIPE Placement. Each of (i) Bertha Paula Michel Gonzalez, (ii) Maria Magdalena Michel Gonzalez and (iii) Maximino Jose Michel Gonzalez (collectively, the “Trust Beneficiaries”), has voting and dispositive power over, one-third of the total number of Class A ordinary shares held by the Trust. The address of the Trust is Boulevard Manuel Avila Camacho No. 40, Piso 7, Lomas De Chapultepec, Ciudad De México 11000. The address of each of the Trust Beneficiaries is Bosque De Radiatas 6-602, Bosques De Las Lomas, Cuajimalpa 05120, Mexico.</w:t>
      </w:r>
    </w:p>
    <w:p>
      <w:pPr>
        <w:spacing w:after="0" w:line="2" w:lineRule="exact"/>
        <w:rPr>
          <w:rFonts w:ascii="Times New Roman" w:cs="Times New Roman" w:eastAsia="Times New Roman" w:hAnsi="Times New Roman"/>
          <w:sz w:val="18"/>
          <w:szCs w:val="18"/>
          <w:color w:val="auto"/>
        </w:rPr>
      </w:pPr>
    </w:p>
    <w:p>
      <w:pPr>
        <w:ind w:left="424" w:right="36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5,000,000 Class A ordinary shares held of record by IHCI Investments LP issued in connection with, and, upon the closing of, the PIPE Placement. The address of IHCI Investments LP is 1188 Union, Montreal QC H3B 0E5, Canada.</w:t>
      </w:r>
    </w:p>
    <w:p>
      <w:pPr>
        <w:ind w:left="424" w:right="3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5,000,000 Class A ordinary shares held of record by Jupiter CAN LP issued in connection with, and, upon the closing of, the PIPE Placement. The address of Jupiter CAN LP is 5930 Royal Lane, Suite E, #117, Dallas TX 75230-3896.</w:t>
      </w:r>
    </w:p>
    <w:p>
      <w:pPr>
        <w:ind w:left="424" w:right="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Investment Management Inc. is the adviser or sub-adviser, as the case may be, of each of (i) Brighthouse Funds Trust I: Morgan Stanley Discovery Portfolio, holding 497,653 Class A ordinary shares, (ii) ERAFP Actions Mid Cap USA I holding 12,443 Class A ordinary shares, (iii) Growth Trust holding 245,905 Class A ordinary shares, (iv) Inception Trust holding, 166,790 Class A ordinary shares, (v) Johnson &amp; Johnson Pension and Savings Master Trust (JJ9L) holding 15,421 Class A ordinary shares, (vi) Johnson &amp; Johnson Pension and Savings Master Trust (JJ9LDB) holding 136,426 Class A ordinary shares, (vii) Kinstead Global Equity Pool holding 16,039 Class A ordinary shares, (viii) Lawrencium Atoll Investments Ltd. holding 34,707 Class A ordinary shares, (ix) Master Trust for Defined Contribution Plans of American Airlines, Inc. and Affiliates holding 109,253 Class A ordinary shares, (x) Morgan Stanley Funds (UK) - Global Insight Fund holding 7,231 Class A ordinary shares, (xi) Morgan Stanley Insight Fund holding 1,421,688 Class A ordinary shares, (xii) Morgan Stanley Institutional Fund Trust - Discovery Portfolio holding 800,384 Class A ordinary shares, (xiii) Morgan Stanley Institutional Fund, Inc. - Inception Portfolio holding 332,167 Class A ordinary shares, (xiv) Morgan Stanley Institutional Fund, Inc. - Counterpoint Global Portfolio holding 3,802 Class A ordinary shares, (xv) Morgan Stanley Institutional Fund, Inc. - Global Endurance Portfolio holding 19,748 Class A ordinary shares, (xvi) Morgan Stanley Institutional Fund, Inc. - Global Insight Portfolio holding 67,622 Class A ordinary shares, (xvii) Morgan Stanley Institutional Fund, Inc. - Growth Portfolio holding 3,865,953 Class A ordinary shares, (xviii) Morgan Stanley Investment Funds - Counterpoint Global Fund holding 1,657 Class A ordinary shares, (xiv) Morgan Stanley Investment Funds - Global Endurance Fund holding 34,186 Class A ordinary shares, (xx) Morgan Stanley Investment Funds - Global Insight Fund holding 293,852 Class A ordinary shares, (xxi) Morgan Stanley Investment Funds - US Growth Fund holding 1,549,102 Class A ordinary shares, (xxii) Morgan Stanley Investment Funds - US Insight Fund holding 46,844 Class A ordinary shares, (xxiii) Morgan Stanley Variable Insurance Fund, Inc. - Discovery Portfolio holding 79,084 Class A ordinary shares, (xxiv) Morgan Stanley Variable Insurance Fund, Inc. - Growth Portfolio holding 242,043 Class A ordinary shares (collectively, the “MS Accounts”) and holds voting and dispositive power with respect to shares of record held by each of the MS Accounts. Each of the MS accounts received their respective Class A ordinary shares in connection with the issuance of, and, upon the closing of, the PIPE Placement. The address of Morgan Stanley Investment Management Inc., acting as adviser or sub-adviser, as the case may be, of each of the MS Accounts is 522 Fifth Avenue, New York, NY 10036.</w:t>
      </w:r>
    </w:p>
    <w:p>
      <w:pPr>
        <w:spacing w:after="0" w:line="8" w:lineRule="exact"/>
        <w:rPr>
          <w:rFonts w:ascii="Times New Roman" w:cs="Times New Roman" w:eastAsia="Times New Roman" w:hAnsi="Times New Roman"/>
          <w:sz w:val="18"/>
          <w:szCs w:val="18"/>
          <w:color w:val="auto"/>
        </w:rPr>
      </w:pPr>
    </w:p>
    <w:p>
      <w:pPr>
        <w:ind w:left="424" w:right="60" w:hanging="424"/>
        <w:spacing w:after="0" w:line="26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3,140,000 Class A ordinary shares held of record by Averill Master Fund, Ltd. issued in connection with, and, upon the closing of, the PIPE Placement. The address of Averill Master Fund, Ltd. is 540 Madison Avenue, 7th Floor, New York, NY 10022</w:t>
      </w:r>
    </w:p>
    <w:p>
      <w:pPr>
        <w:sectPr>
          <w:pgSz w:w="11900" w:h="16838" w:orient="portrait"/>
          <w:cols w:equalWidth="0" w:num="1">
            <w:col w:w="11004"/>
          </w:cols>
          <w:pgMar w:left="436" w:top="297" w:right="459" w:bottom="1038"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DIRECTORS, EXECUTIVE OFFICERS, PROMOTERS AND CONTROL PERSONS</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disclosure contained in the Proxy Statement in the section entitled “Management After the Business Combination” beginning on page 378 is incorporated herein by reference. The information set forth under Item 5.02 of this Current Report on Form 8-K relating to the appointment of Jennifer Fox as a member of the board of directors is incorporated herein by reference.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disclosure contained in the Proxy Statement in the section entitled “Executive Compensation” beginning on page 370 is incorporated herein by reference. The information set forth under Item 1.01 of this Current Report on Form 8-K relating to the ESPP and Incentive Plan is incorporated herein by reference.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8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disclosure contained in the Proxy Statement in the section entitled “Certain Relationships and Related Transactions—ProKidney” beginning on page 403 is incorporated herein by reference.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The disclosure regarding legal proceedings in the Proxy Statement in the section entitled “Information About ProKidney—Legal Proceedings” beginning on page 358 is incorporated herein by reference.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OF AND DIVIDENDS ON THE REGISTRANT’S COMMON EQUITY AND RELATED STOCKHOLDER MATTERS</w:t>
      </w:r>
    </w:p>
    <w:p>
      <w:pPr>
        <w:spacing w:after="0" w:line="20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New ProKidney’s Class A ordinary shares began trading on The Nasdaq Capital Market under the symbol “PROK” on July 12, 2022. New ProKidney has not paid any cash dividends on its Class A ordinary shares to date. It is the present intention of New ProKidney’s board of directors to retain future earnings for the development, operation and expansion of its business and New ProKidney’s board of directors does not anticipate declaring or paying any cash dividends for the foreseeable future. The payment of dividends is within the discretion of New ProKidney’s board of directors and will be contingent upon New ProKidney’s future revenues and earnings, as well as its capital requirements and general financial condition.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disclosure contained in the Proxy Statement in the section entitled “Description of New ProKidney Securities” beginning on page 386 is incorporated herein by reference.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TO BE REGISTERED</w:t>
      </w:r>
    </w:p>
    <w:p>
      <w:pPr>
        <w:spacing w:after="0" w:line="18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disclosure contained in the Proxy Statement in the section entitled “Description of New ProKidney Securities” beginning on page 386 is incorporated herein by reference.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0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New ProKidney has entered or will enter into indemnification agreements with each of its directors and executive officers. Each indemnification agreement shall provide for the indemnification by New ProKidney of its directors and executive officers against any and all expenses incurred by that director or officer as a result of his or</w:t>
      </w:r>
    </w:p>
    <w:p>
      <w:pPr>
        <w:sectPr>
          <w:pgSz w:w="11900" w:h="16838" w:orient="portrait"/>
          <w:cols w:equalWidth="0" w:num="1">
            <w:col w:w="11000"/>
          </w:cols>
          <w:pgMar w:left="440" w:top="293" w:right="459" w:bottom="1440" w:gutter="0" w:footer="0" w:header="0"/>
        </w:sectPr>
      </w:pPr>
    </w:p>
    <w:bookmarkStart w:id="10" w:name="page11"/>
    <w:bookmarkEnd w:id="10"/>
    <w:p>
      <w:pPr>
        <w:ind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her status as one of its directors or executive officers, to the fullest extent permitted by Cayman Island law. In addition, the indemnification agreements shall provide, to the fullest extent permitted by Cayman Island law, the advancement of all expenses actually and reasonably incurred by such New ProKidney directors and executive officers, in connection with a legal proceeding involving his or her status as a director or executive officer.</w:t>
      </w:r>
    </w:p>
    <w:p>
      <w:pPr>
        <w:spacing w:after="0" w:line="158"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Further information about the indemnification of New ProKidney’s directors and executive officers is set forth in the Proxy Statement in the section entitled “Executive Compensation—Limitations on Liability and Indemnification Matters” beginning on page 376 and that information is incorporated herein by reference.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under Item 4.01 of this Current Report on Form 8-K is incorporated herein by reference.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11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SCS and New ProKidney entered into subscription agreements (the “Subscription Agreements”) with investors (the “PIPE Investors”), pursuant to which, among other things, New ProKidney agreed to issue and sell in a private placement an aggregate of 52,480,000 shares of New ProKidney Class A ordinary shares and 5,000,000 Post-Combination ProKidney Common Units (together with a corresponding number of New ProKidney Class B ordinary shares) to the PIPE Investors for a purchase price of $10.00 per share or Post-Combination ProKidney Common Unit, as applicable, and an aggregate purchase price of $574.8 million.</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The PIPE Placement closed immediately prior to the Closing. The placement agents received customary fees in connection with such closing equal to approximately $19.3 million in the case of Citigroup Global Markets Inc. (including in its capacity as financial advisor to ProKidney), approximately $9.7 million in the case of Morgan Stanley &amp; Co, LLC (including deferred underwriting fees in connection with SCS’s initial public offering), approximately $2.5 million in the case of Jefferies LLC, approximately $2.2 million in the case of Evercore Group L.L.C. and approximately $1.1 million in the case of UBS Securities LLC. Pablo Luis Mancera de Arringunga and Regina Mancera Bustamante, for their services of locating, identifying and introducing potential non-U.S. investors in connection with the PIPE Placement, received a finder’s fee of $1.0 million. BDT &amp; Company, LLC, as a financial advisor to ProKidney in connection with the Business Combination, received a fee of $500,000.</w:t>
      </w:r>
    </w:p>
    <w:p>
      <w:pPr>
        <w:spacing w:after="0" w:line="18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New ProKidney Class A ordinary shares, Post-Combination ProKidney Common Units and New ProKidney Class B ordinary issued to the PIPE Investors in the PIPE Placement immediately prior to the Closing were issued pursuant to and in accordance with the exemption from registration under the Securities Act, under Section 4(a)(2) and/or Regulation D promulgated under the Securities Act.</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text of the Subscription Agreements, a form of which is included as Exhibits 10.7 and 10.8 to this Current Report on Form 8-K and is incorporated herein by reference.</w:t>
      </w:r>
    </w:p>
    <w:p>
      <w:pPr>
        <w:sectPr>
          <w:pgSz w:w="11900" w:h="16838" w:orient="portrait"/>
          <w:cols w:equalWidth="0" w:num="1">
            <w:col w:w="10940"/>
          </w:cols>
          <w:pgMar w:left="440" w:top="297" w:right="519" w:bottom="1440" w:gutter="0" w:footer="0" w:header="0"/>
        </w:sectPr>
      </w:pPr>
    </w:p>
    <w:bookmarkStart w:id="11" w:name="page12"/>
    <w:bookmarkEnd w:id="1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Closing, SCS changed its name to ProKidney Corp. and adopted the Second Amended and Restated Memorandum and Articles of Association (the “charter”), effective as of the Closing Date. Reference is made to the disclosure in the Proxy Statement in the section entitled “Proposal No. 2 - Organization Documents Proposals” beginning on page 259, which is incorporated herein by reference.</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of New ProKidney’s Second Amended and Restated Memorandum and Articles of Association. These summaries are qualified in their entirety by reference to the text of the Second Amended and Restated Memorandum and Articles of Association, which is included as Exhibit 3.1 to this Current Report on Form 8-K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an aggregate of 500,000,000 New ProKidney Class A ordinary shares, up to 500,000,000 New ProKidney Class B ordinary shares and up to 5,000,000 New ProKidney preference shares, each par value $0.0001 per share. The shares issued in the Business Combination are duly authorized, validly issued, fully paid and non-assessable.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New ProKidney board of directors determines otherwise, New ProKidney will issue all shares of capital stock in uncertificated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charter provides for two classes of ordinary shares. Except as otherwise required by applicable law or as provided in the charter, the holders of Class A ordinary shares, the publicly traded shares, are entitled to one vote per share on all matters on which shareholders generally are entitled to vote. The holders of Class B ordinary shares are entitled to one vote per share on all matters on which shareholders generally are entitled to vote. Class A and B shareholders will vote as a single class, unless the vote involved any amendment to the charter that would alter or change the powers, preferences or special rights of only one class of ordinary shares in a manner that has an adverse effect upon such rights.</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preference shares or any other outstanding class or series of shares, holders of Class A ordinary shares will be entitled to receive such dividends and distributions, if any, as may be declared from time to time by the board of directors in its discretion out of funds legally available therefor. Holders of Class B ordinary shares are not entitled to participate in dividends and distributions declared by the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charter authorizes the New ProKidney board of directors to establish one or more series of preference shares. Unless required by law or by any stock exchange, and subject to the terms of the charter, the authorized shares of preference shares will be available for issuance without further action by holders of ordinary shares. The New ProKidney board of directors is able to determine, with respect to any series of preference shares, designations, powers, preferences and relative, participating, optional or other rights, if any, and the qualifications, limitations or restrictions thereof, if any.</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New ProKidney can issue a series of preference shares that could, depending on the terms of the series, impede or discourage an acquisition attempt or other transaction that some, or a majority, of the holders of ordinary shares might believe to be in their best interests or in which the holders of ordinary shares might receive a premium over the market price of ordinary shares. Additionally, the issuance of preference shares may adversely affect the rights of holders of New ProKidney ordinary shares by restricting dividends on the ordinary shares, diluting the voting power of the ordinary shares or subordinating the rights of the ordinary shares to distributions upon a liquidation, dissolution or winding up or other event. As a result of these or other factors, the issuance of preference shares could have an adverse impact on the market price of ordinary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New ProKidney shareholders have no preemptive or other subscription rights. There will be no sinking fund provisions applicable to the ordinary shares.</w:t>
      </w:r>
    </w:p>
    <w:p>
      <w:pPr>
        <w:sectPr>
          <w:pgSz w:w="11900" w:h="16838" w:orient="portrait"/>
          <w:cols w:equalWidth="0" w:num="1">
            <w:col w:w="11020"/>
          </w:cols>
          <w:pgMar w:left="440" w:top="293"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Election of Directors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All elections of directors will be determined by a plurality of the votes cast in respect of the shares present in person or represented by proxy at the meeting and entitled to vote on the election of directors.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February 14, 2022, Control Empresarial de Capitales, S.A. de C.V. (“CEC”) executed a Deed of Undertaking, pursuant to which CEC agreed, subject to the organizational documents of New ProKidney, from the Closing until the third anniversary of the Closing, to vote all of its voting shares in the capital of New ProKidney in a manner proportionate to the manner in which all New ProKidney Class B ordinary shares, including the New ProKidney Class B ordinary shares beneficially held by Tolerantia, LLC (“Tolerantia”) are voted, solely with respect to (a) the election of any director to the New ProKidney board of directors at any meeting of shareholders at which directors are to be elected; (b) the appointment of any director to fill any vacancy created by the failure of any director to complete a term on the New ProKidney board of directors; and (c) any removal of a director from the New ProKidney board of directors. Pursuant to the Voting Agreement, Tolerantia, LLC effectively controls a majority of the voting power of all outstanding New ProKidney ordinary shares with respect to the election, appointment or removal of any New ProKidney director.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cumulative voting rights for Class A ordinary shareholders.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New ProKidney board of directors is divided into three classes serving staggered three-year terms. Class I, Class II and Class III directors will serve until New ProKidney’s annual meetings of stockholders in 2023, 2024 and 2025,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ProKidney Class I directors are William F. Doyle, Alan M. Lotvin, M.D. and Brian J.G. Pereira, M.D.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ProKidney Class II directors are Jennifer Fox, John M. Maraganore, Ph.D. and José Ignacio Jiménez Santos.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ProKidney Class III directors are Tim Bertram, Ph.D., Pablo Legorreta and Uma Sinha, Ph.D.</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At each annual meeting of shareholders, directors will be elected to succeed the class of directors whose terms have expired. This classification of New ProKidney’s board of directors could have the effect of increasing the length of time necessary to change the composition of a majority of the board of directors. In general, at least two annual meetings of shareholders will be necessary for shareholders to effect a change in a majority of the members of the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Meeting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charter provides that annual general meetings will be held at a time and place as appointed by the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Bylaws and Certain Provisions of Delaware Law</w:t>
      </w:r>
    </w:p>
    <w:p>
      <w:pPr>
        <w:spacing w:after="0" w:line="121"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charter contains provisions that could have the effect of rendering more difficult, delaying, or preventing an acquisition deemed undesirable by the New ProKidney board of directors. These provisions could also make it difficult for shareholders to take certain actions, including appointing directors who are not nominated by the members of the New ProKidney board of directors or taking other corporate actions, including effecting changes in New ProKidney’s management. For instance, the charter does not provide for cumulative voting in the appointment of directors and provides for a classified board of directors with three-year staggered terms, which could delay the ability of shareholders to change the membership of a majority of the New ProKidney board of directors. The New ProKidney board of directors will be empowered to appoint a director to fill a vacancy created by the expansion of the New ProKidney board of directors or the resignation, death, or removal of a director in</w:t>
      </w:r>
    </w:p>
    <w:p>
      <w:pPr>
        <w:sectPr>
          <w:pgSz w:w="11900" w:h="16838" w:orient="portrait"/>
          <w:cols w:equalWidth="0" w:num="1">
            <w:col w:w="11000"/>
          </w:cols>
          <w:pgMar w:left="440" w:top="293" w:right="459" w:bottom="1440" w:gutter="0" w:footer="0" w:header="0"/>
        </w:sectPr>
      </w:pPr>
    </w:p>
    <w:bookmarkStart w:id="13" w:name="page14"/>
    <w:bookmarkEnd w:id="13"/>
    <w:p>
      <w:pPr>
        <w:ind w:left="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circumstances; and New ProKidney’s advance notice provisions in the charter require that shareholders must comply with certain procedures in order to nominate candidates to New ProKidney’s board of directors or to propose matters to be acted upon at a shareholders’ meeting.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charter provides that no holder of Class B ordinary shares may transfer such shares to any person unless such holder at the same time transfers a corresponding number of Post-Combination ProKidney Common Units to the same person and otherwise in accordance with the provisions of the Second Amended and Restated ProKidney Partnership Agreement. If any outstanding Class B ordinary share ceases to be held by a holder of a corresponding Post-Combination ProKidney Common Units, the Class B ordinary share shall be automatically forfeited to New ProKidney for no consideration and cancelled.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New ProKidney’s authorized but unissued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New ProKidney by means of a proxy contest, tender offer, merger or otherwise.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 and Newly Created Directorships</w:t>
      </w:r>
    </w:p>
    <w:p>
      <w:pPr>
        <w:spacing w:after="0" w:line="121"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The charter provides that directors may be removed from office by special resolution. The New ProKidney board of directors may appoint any person to be a director, either to fill a vacancy or as an additional director, provided that the appointment does not cause the number of directors to exceed the maximum number set in the charter.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The charter allows directors to hold any other office or place of profit with New ProKidney (other than the auditor), and may be or become a director or other officer of or otherwise interested in any company promoted by New ProKidney or in which New ProKidney may be interested as a shareholder, and such director shall not be accountable for any remuneration or other benefits received by the director from such interest in the other company. Further, the New ProKidney directors may contract with New ProKidney, as a vendor, purchaser or otherwise, and such director can vote in respect of any contract or transaction in which such director is interested, provided that such interest is disclosed prior to the vote.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The charter includes a provision that eliminates the personal liability of directors for monetary damages to the corporation or its shareholders for any breach of fiduciary duty as a director, except to the extent such exemption from liability or limitation thereof is not permitted under Cayman Island law. The effect of these provisions is to eliminate the rights of New ProKidney and its shareholders, through shareholders’ derivative suits on New ProKidney’s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8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provision in the charter may discourage shareholders from bringing a lawsuit against directors for breach of their fiduciary duty. These provisions also may have the effect of reducing the likelihood of derivative litigation against directors and officers, even though such an action, if successful, might otherwise benefit New ProKidney and its shareholders. In addition, such shareholders’ investments may be adversely affected to the extent New ProKidney pays the costs of settlement and damage awards against directors and officers pursuant to these indemnification provisions.</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121"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On July 11, 2022, the audit committee of the New ProKidney board of directors dismissed Marcum LLP (“</w:t>
      </w:r>
      <w:r>
        <w:rPr>
          <w:rFonts w:ascii="Times New Roman" w:cs="Times New Roman" w:eastAsia="Times New Roman" w:hAnsi="Times New Roman"/>
          <w:sz w:val="18"/>
          <w:szCs w:val="18"/>
          <w:u w:val="single" w:color="auto"/>
          <w:color w:val="auto"/>
        </w:rPr>
        <w:t>Marcum</w:t>
      </w:r>
      <w:r>
        <w:rPr>
          <w:rFonts w:ascii="Times New Roman" w:cs="Times New Roman" w:eastAsia="Times New Roman" w:hAnsi="Times New Roman"/>
          <w:sz w:val="18"/>
          <w:szCs w:val="18"/>
          <w:color w:val="auto"/>
        </w:rPr>
        <w:t>”), SCS’s independent registered public accounting firm prior to the Business Combination, as the Company’s independent registered public accounting firm following completion of Marcum’s review of SCS’s financial statements for the quarter ended June 30, 2022, which consists only of the accounts of the pre-Business Combination special purpose acquisition company, SCS, and appointed Ernst &amp; Young LLP (“EY”) as the Company’s independent registered public accounting firm to audit the Company’s consolidated financial statements for the year ending December 31, 2022.</w:t>
      </w:r>
    </w:p>
    <w:p>
      <w:pPr>
        <w:spacing w:after="0" w:line="183"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reports of Marcum on SCS’s balance sheet as of December 31, 2021, and the statement of operations, changes in shareholders’ equity and cash flows for the period from February 25, 2021 (inception) through December 31, 2021, did not contain an adverse opinion or a disclaimer of opinion, and were not qualified or modified as to uncertainties, audit scope or accounting principles.</w:t>
      </w:r>
    </w:p>
    <w:p>
      <w:pPr>
        <w:spacing w:after="0" w:line="176" w:lineRule="exact"/>
        <w:rPr>
          <w:sz w:val="20"/>
          <w:szCs w:val="20"/>
          <w:color w:val="auto"/>
        </w:rPr>
      </w:pPr>
    </w:p>
    <w:p>
      <w:pPr>
        <w:ind w:left="4" w:right="60" w:firstLine="440"/>
        <w:spacing w:after="0" w:line="281" w:lineRule="auto"/>
        <w:rPr>
          <w:sz w:val="20"/>
          <w:szCs w:val="20"/>
          <w:color w:val="auto"/>
        </w:rPr>
      </w:pPr>
      <w:r>
        <w:rPr>
          <w:rFonts w:ascii="Times New Roman" w:cs="Times New Roman" w:eastAsia="Times New Roman" w:hAnsi="Times New Roman"/>
          <w:sz w:val="17"/>
          <w:szCs w:val="17"/>
          <w:color w:val="auto"/>
        </w:rPr>
        <w:t>During the audit for the period from February 25, 2021 (inception) through December 31, 2021, and reviews of the unaudited condensed financial statements for the three months ended March 31, 2022, there were no disagreements between the Company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SCS’s financial statements for such periods.</w:t>
      </w:r>
    </w:p>
    <w:p>
      <w:pPr>
        <w:spacing w:after="0" w:line="1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During the period from February 25, 2021 (inception) through December 31, 2021, there were no “reportable events” (as defined in Item 304(a)(1)</w:t>
      </w:r>
    </w:p>
    <w:p>
      <w:pPr>
        <w:spacing w:after="0" w:line="39" w:lineRule="exact"/>
        <w:rPr>
          <w:sz w:val="20"/>
          <w:szCs w:val="20"/>
          <w:color w:val="auto"/>
        </w:rPr>
      </w:pPr>
    </w:p>
    <w:p>
      <w:pPr>
        <w:ind w:left="4" w:right="40" w:hanging="4"/>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under the Exchange Act), except that for the quarter ended March 31, 2022, based upon an evaluation of the effectiveness of the design and operation of its disclosure controls and procedures, the principal executive officer and the principal financial and accounting officer of SCS concluded that its disclosure controls and procedures (as defined in Rules 13a-15(e) and 15d-15(e) under the Exchange Act) were not effective due to its accounting for complex financial instruments. Based on the foregoing, it was determined that SCS had a material weakness as of March 31, 2022 relating to its internal controls over financial reporting.</w:t>
      </w:r>
    </w:p>
    <w:p>
      <w:pPr>
        <w:spacing w:after="0" w:line="187"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During the period from February 25, 2022 (inception) to the date the New ProKidney audit committee approved the engagement of EY as the Company’s independent registered public accounting firm, SCS did not consult with EY on matters that involved the application of accounting</w:t>
      </w:r>
    </w:p>
    <w:p>
      <w:pPr>
        <w:sectPr>
          <w:pgSz w:w="11900" w:h="16838" w:orient="portrait"/>
          <w:cols w:equalWidth="0" w:num="1">
            <w:col w:w="11004"/>
          </w:cols>
          <w:pgMar w:left="436" w:top="297" w:right="459" w:bottom="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principles to a specified transaction, the type of audit opinion that might be rendered on SCS’s consolidated financial statements or any other matter that was either the subject of a disagreement or reportable event.</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has provided Marcum with a copy of the foregoing disclosures and Marcum provided a letter to the SEC stating that it agrees with the statements made by the Company set forth above. A copy of Marcum’s letter to the SEC, dated July 15, 2022, is filed as Exhibit 16.1 to this Current Report on Form 8-K.</w:t>
      </w:r>
    </w:p>
    <w:p>
      <w:pPr>
        <w:sectPr>
          <w:pgSz w:w="11900" w:h="16838" w:orient="portrait"/>
          <w:cols w:equalWidth="0" w:num="1">
            <w:col w:w="10940"/>
          </w:cols>
          <w:pgMar w:left="440" w:top="121" w:right="519"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Class A ordinary shares are listed for trading on The Nasdaq Capital Market under the symbol “PROK.”</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7"/>
          <w:szCs w:val="17"/>
          <w:b w:val="1"/>
          <w:bCs w:val="1"/>
          <w:color w:val="auto"/>
        </w:rPr>
        <w:t>Changes in Control of Registrant.</w:t>
      </w:r>
    </w:p>
    <w:p>
      <w:pPr>
        <w:spacing w:after="0" w:line="121"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disclosure in the Proxy Statement in the section entitled “Proposal No. 1 - Business Combination Proposal,” beginning on page 208, is incorporated herein by reference. The information contained in Item 2.01 of this Current Report on Form 8-K is also incorporated herein by reference.</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Immediately following the Closing, there were 232,264,192 ordinary shares outstanding. As of such time, New ProKidney’s executive officers and directors and their affiliated entities held 44.6% of New ProKidney’s outstanding ordinary shares.</w:t>
      </w:r>
    </w:p>
    <w:p>
      <w:pPr>
        <w:spacing w:after="0" w:line="306" w:lineRule="exact"/>
        <w:rPr>
          <w:sz w:val="20"/>
          <w:szCs w:val="20"/>
          <w:color w:val="auto"/>
        </w:rPr>
      </w:pPr>
    </w:p>
    <w:p>
      <w:pPr>
        <w:ind w:left="1200" w:right="102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At the Closing, all incumbent directors and officers of SCS, other than Uma Sinha, Ph.D., resigned from their respective positions with SCS. New ProKidney’s current directors and officers are described in the Proxy Statement in the section entitled “Management After the Business Combination” beginning on page 378, which description is incorporated by reference herein.</w:t>
      </w:r>
    </w:p>
    <w:p>
      <w:pPr>
        <w:spacing w:after="0" w:line="176"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On July 11, 2022, the New ProKidney board of directors appointed Jennifer Fox as a member of the board of directors to serve until the 2024 annual meeting of shareholders and thereafter until her successor is duly elected and qualified or until her earlier death, resignation or removal. Ms. Fox has served as the Chief Financial Officer of Nuvation Bio Inc. since October 2020. Prior to this role, Ms. Fox served as Managing Director, Co-Head of North America Healthcare Corporate and Investment Banking Group at Citigroup from June 2015 to October 2020. From February 2006 to June 2015, Ms. Fox served as Managing Director at Deutsche Bank, and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received B.S. degrees in Finance and Marketing from Manhattan College. The New ProKidney board of directors believes that Ms. Fox is qualified to serve on the Board because she has over 25 years of experience in the healthcare investment banking and has been a lead advisor to life sciences companies on over 125 financing and strategic transactions. Ms. Fox will also serve as a member of the audit committee of the New ProKidney board of directors.</w:t>
      </w:r>
    </w:p>
    <w:p>
      <w:pPr>
        <w:spacing w:after="0" w:line="192"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At the Extraordinary General Meeting, in connection with the Business Combination, New ProKidney adopted the Incentive Plan and the ESPP. The material features of the Incentive Plan and the ESPP are respectively described in the Proxy Statement in the sections entitled “Proposal No. 5 - Incentive Equity Plan Proposal” and “Proposal No. 6 - Employee Stock Purchase Plan Proposal” beginning on page 275 and 282, respectively, and such descriptions are incorporated herein by reference.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contained in Item 1.01 and Item 2.01 of this Current Report on Form 8-K is also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Memorandum and Articles of Association.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contained in Item 3.03 of this Current Report on Form 8-K is incorporated in this Item 5.03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5.06.</w:t>
      </w:r>
      <w:r>
        <w:rPr>
          <w:sz w:val="20"/>
          <w:szCs w:val="20"/>
          <w:color w:val="auto"/>
        </w:rPr>
        <w:tab/>
      </w:r>
      <w:r>
        <w:rPr>
          <w:rFonts w:ascii="Times New Roman" w:cs="Times New Roman" w:eastAsia="Times New Roman" w:hAnsi="Times New Roman"/>
          <w:sz w:val="18"/>
          <w:szCs w:val="18"/>
          <w:b w:val="1"/>
          <w:bCs w:val="1"/>
          <w:color w:val="auto"/>
        </w:rPr>
        <w:t>Change in Shell Company Status.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 July 11, 2022, as a result of the consummation of the Business Combination, which fulfilled the “business combination” requirement of SCS’s amended and restated memorandum and articles of association, SCS ceased to be a shell company. The material terms of the Business Combination are described in the Proxy Statement in the section entitled “Proposal No. 1 - Business Combination Proposal” beginning on page 208 which description is incorporated herein by reference.</w:t>
      </w:r>
    </w:p>
    <w:p>
      <w:pPr>
        <w:sectPr>
          <w:pgSz w:w="11900" w:h="16838" w:orient="portrait"/>
          <w:cols w:equalWidth="0" w:num="1">
            <w:col w:w="11020"/>
          </w:cols>
          <w:pgMar w:left="440" w:top="297" w:right="439" w:bottom="1440" w:gutter="0" w:footer="0" w:header="0"/>
        </w:sectPr>
      </w:pPr>
    </w:p>
    <w:bookmarkStart w:id="16" w:name="page17"/>
    <w:bookmarkEnd w:id="16"/>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The Class A ordinary shares are listed for trading on The Nasdaq Capital Market under the symbol “PROK” and the CUSIP numbers relating to the Class A ordinary shares is G7S53R104.</w:t>
      </w:r>
    </w:p>
    <w:p>
      <w:pPr>
        <w:spacing w:after="0" w:line="162"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On July 12, 2022, the Company issued a press release announcing the consummation of the Business Combination. A copy of the press release is filed as Exhibit 99.1 to this Current Report on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In accordance with Rule 12b-23 promulgated under the Securities Exchange Act of 1934, as amended (“Rule 12b-23”), ProKidney’s audited consolidated financial statements as of and for the years ended December 31, 2021 and 2020 and unaudited consolidated financial statements as of and for the three months ended March 31, 2022 are incorporated by reference to such financial statements appearing on pages FS-39 to FS-71 of the Proxy Statement.</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In accordance with Rule 12b-23, unaudited pro forma condensed combined financial information regarding New ProKidney to reflect the consummation of the Business Combination is included as Exhibit 99.2 to this Report.</w:t>
      </w:r>
    </w:p>
    <w:p>
      <w:pPr>
        <w:spacing w:after="0" w:line="189"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24" w:type="dxa"/>
        <w:tblCellMar>
          <w:top w:w="0" w:type="dxa"/>
          <w:left w:w="0" w:type="dxa"/>
          <w:bottom w:w="0" w:type="dxa"/>
          <w:right w:w="0" w:type="dxa"/>
        </w:tblCellMar>
      </w:tblPr>
      <w:tr>
        <w:trPr>
          <w:trHeight w:val="161"/>
        </w:trPr>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0" w:type="dxa"/>
            <w:vAlign w:val="bottom"/>
          </w:tcPr>
          <w:p>
            <w:pPr>
              <w:spacing w:after="0"/>
              <w:rPr>
                <w:sz w:val="13"/>
                <w:szCs w:val="13"/>
                <w:color w:val="auto"/>
              </w:rPr>
            </w:pPr>
          </w:p>
        </w:tc>
        <w:tc>
          <w:tcPr>
            <w:tcW w:w="8980" w:type="dxa"/>
            <w:vAlign w:val="bottom"/>
            <w:gridSpan w:val="14"/>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98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4"/>
                <w:szCs w:val="24"/>
                <w:color w:val="auto"/>
              </w:rPr>
            </w:pPr>
          </w:p>
        </w:tc>
        <w:tc>
          <w:tcPr>
            <w:tcW w:w="10180" w:type="dxa"/>
            <w:vAlign w:val="bottom"/>
            <w:gridSpan w:val="15"/>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Business Combination Agreement, dated as of January 18, 2022, by and between ProKidney Corp. (formerly known as Social Capital</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Suvretta Holdings Corp. III) (included as Annex A to the Proxy Statement filed with the SEC on June 10, 2022) (File No. 001-40560).</w:t>
              </w:r>
            </w:hyperlink>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4"/>
                <w:szCs w:val="24"/>
                <w:color w:val="auto"/>
              </w:rPr>
            </w:pPr>
          </w:p>
        </w:tc>
        <w:tc>
          <w:tcPr>
            <w:tcW w:w="9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New GP Joinder, dated as of June 7, 2022 (included as Annex B to the Proxy Statement filed with the SEC on June 10, 2022) (File</w:t>
              </w:r>
            </w:hyperlink>
          </w:p>
        </w:tc>
        <w:tc>
          <w:tcPr>
            <w:tcW w:w="7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80" w:type="dxa"/>
            <w:vAlign w:val="bottom"/>
            <w:gridSpan w:val="15"/>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No. 001-40560).</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6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Second Amended &amp; Restated Memorandum and Articles of Association of ProKidney Corp.</w:t>
            </w:r>
          </w:p>
        </w:tc>
        <w:tc>
          <w:tcPr>
            <w:tcW w:w="3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Tax Receivable Agreement, dated as of July 11, 2022, by and among ProKidney Corp. (formerly known as Social Capital Suvretta Holdings</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Corp. III), the TRA Party Representative (as defined therein) and the TRA Parties (as defined therein).</w:t>
            </w:r>
          </w:p>
        </w:tc>
        <w:tc>
          <w:tcPr>
            <w:tcW w:w="2700" w:type="dxa"/>
            <w:vAlign w:val="bottom"/>
            <w:tcBorders>
              <w:top w:val="single" w:sz="8" w:color="0000EE"/>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01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Exchange Agreement, dated as of July 11, 2022, by and among ProKidney Corp. (formerly known as Social Capital Suvretta Holdings Corp.</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III), ProKidney LP, acting through its general partner ProKidney Corp. GP Limited, and certain holders named therein.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w:t>
            </w:r>
          </w:p>
        </w:tc>
        <w:tc>
          <w:tcPr>
            <w:tcW w:w="101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Lock-up Agreement, dated as of July 11, 2022, by and among ProKidney Corp. (formerly known as Social Capital Suvretta Holdings Corp.</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III), SCS Sponsor III LLC, the Sponsor Key Holders (as defined therein) and the ProKidney Holders (as defined therein).</w:t>
            </w: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Amended and Restated Registration Rights Agreement, dated as of July 11, 2022, by and among ProKidney Corp. (formerly known as Social</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Capital Suvretta Holdings Corp. III), SCS Sponsor III LLC, the ProKidney Holders (as defined therein), Marc Semigran, Uma Sinha,</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Sukumar Nagendran, David Spiegel and the Investor Stockholders (as defined therein).</w:t>
            </w:r>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4"/>
          </w:cols>
          <w:pgMar w:left="436" w:top="293" w:right="479" w:bottom="1440" w:gutter="0" w:footer="0" w:header="0"/>
        </w:sectPr>
      </w:pPr>
    </w:p>
    <w:bookmarkStart w:id="17" w:name="page18"/>
    <w:bookmarkEnd w:id="17"/>
    <w:p>
      <w:pPr>
        <w:ind w:left="804" w:right="20" w:hanging="719"/>
        <w:spacing w:after="0" w:line="266" w:lineRule="auto"/>
        <w:tabs>
          <w:tab w:leader="none" w:pos="7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10.5*</w:t>
      </w:r>
      <w:r>
        <w:rPr>
          <w:sz w:val="20"/>
          <w:szCs w:val="20"/>
          <w:color w:val="auto"/>
        </w:rPr>
        <w:tab/>
      </w:r>
      <w:r>
        <w:rPr>
          <w:rFonts w:ascii="Times New Roman" w:cs="Times New Roman" w:eastAsia="Times New Roman" w:hAnsi="Times New Roman"/>
          <w:sz w:val="18"/>
          <w:szCs w:val="18"/>
          <w:u w:val="single" w:color="auto"/>
          <w:color w:val="0000EE"/>
        </w:rPr>
        <w:t>Second Amended and Restated Limited Partnership Agreement for a Limited Partnership Called ProKidney LP, dated as of July 11, 2022, by and among Tolerantia, LLC, Control Empresarial de Capitales, S.A. de C.V., ProKidney Management Equity LLC, ProKidney Corp. (formerly known as Social Capital Suvretta Holdings Corp. III), ProKidney Corp. GP Limited and ProKidney GP Limited.</w:t>
      </w:r>
    </w:p>
    <w:p>
      <w:pPr>
        <w:spacing w:after="0" w:line="68" w:lineRule="exact"/>
        <w:rPr>
          <w:sz w:val="20"/>
          <w:szCs w:val="20"/>
          <w:color w:val="auto"/>
        </w:rPr>
      </w:pPr>
    </w:p>
    <w:p>
      <w:pPr>
        <w:ind w:left="84"/>
        <w:spacing w:after="0"/>
        <w:tabs>
          <w:tab w:leader="none" w:pos="7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35">
        <w:r>
          <w:rPr>
            <w:rFonts w:ascii="Times New Roman" w:cs="Times New Roman" w:eastAsia="Times New Roman" w:hAnsi="Times New Roman"/>
            <w:sz w:val="18"/>
            <w:szCs w:val="18"/>
            <w:u w:val="single" w:color="auto"/>
            <w:color w:val="0000EE"/>
          </w:rPr>
          <w:t>Form of Promissory Note (included as Annex H to the Proxy Statement filed with the SEC on June 10, 2022) (File No. 001-40560).</w:t>
        </w:r>
      </w:hyperlink>
    </w:p>
    <w:p>
      <w:pPr>
        <w:spacing w:after="0" w:line="117" w:lineRule="exact"/>
        <w:rPr>
          <w:sz w:val="20"/>
          <w:szCs w:val="20"/>
          <w:color w:val="auto"/>
        </w:rPr>
      </w:pPr>
    </w:p>
    <w:p>
      <w:pPr>
        <w:ind w:left="804" w:right="40" w:hanging="719"/>
        <w:spacing w:after="0" w:line="266" w:lineRule="auto"/>
        <w:tabs>
          <w:tab w:leader="none" w:pos="7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36">
        <w:r>
          <w:rPr>
            <w:rFonts w:ascii="Times New Roman" w:cs="Times New Roman" w:eastAsia="Times New Roman" w:hAnsi="Times New Roman"/>
            <w:sz w:val="18"/>
            <w:szCs w:val="18"/>
            <w:u w:val="single" w:color="auto"/>
            <w:color w:val="0000EE"/>
          </w:rPr>
          <w:t>Form of Subscription Agreement for Institutional Investors, dated as of January 18, 2022, by and between ProKidney Corp. (formerly Social</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Capital Suvretta Holdings Corp. III) and the subscriber parties thereto (included as Annex K to the Proxy Statement filed with the SEC on</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June 10, 2022) (File No. 001-40560).</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804" w:right="180" w:hanging="719"/>
        <w:spacing w:after="0" w:line="266" w:lineRule="auto"/>
        <w:tabs>
          <w:tab w:leader="none" w:pos="7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37">
        <w:r>
          <w:rPr>
            <w:rFonts w:ascii="Times New Roman" w:cs="Times New Roman" w:eastAsia="Times New Roman" w:hAnsi="Times New Roman"/>
            <w:sz w:val="18"/>
            <w:szCs w:val="18"/>
            <w:u w:val="single" w:color="auto"/>
            <w:color w:val="0000EE"/>
          </w:rPr>
          <w:t>Form of Subscription Agreement for Individual Investors, dated as of January 18, 2022, by and between ProKidney Corp. (formerly Social</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Capital Suvretta Holdings Corp. III) and the subscriber parties thereto (included as Annex L to the Proxy Statement filed with the SEC on</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June 10, 2022) (File No. 001-40560).</w:t>
        </w:r>
      </w:hyperlink>
    </w:p>
    <w:p>
      <w:pPr>
        <w:spacing w:after="0" w:line="68" w:lineRule="exact"/>
        <w:rPr>
          <w:rFonts w:ascii="Times New Roman" w:cs="Times New Roman" w:eastAsia="Times New Roman" w:hAnsi="Times New Roman"/>
          <w:sz w:val="18"/>
          <w:szCs w:val="18"/>
          <w:u w:val="single" w:color="auto"/>
          <w:color w:val="0000EE"/>
        </w:rPr>
      </w:pPr>
    </w:p>
    <w:p>
      <w:pPr>
        <w:ind w:left="804" w:hanging="719"/>
        <w:spacing w:after="0" w:line="266" w:lineRule="auto"/>
        <w:tabs>
          <w:tab w:leader="none" w:pos="7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38">
        <w:r>
          <w:rPr>
            <w:rFonts w:ascii="Times New Roman" w:cs="Times New Roman" w:eastAsia="Times New Roman" w:hAnsi="Times New Roman"/>
            <w:sz w:val="18"/>
            <w:szCs w:val="18"/>
            <w:u w:val="single" w:color="auto"/>
            <w:color w:val="0000EE"/>
          </w:rPr>
          <w:t>Sponsor Support Agreement, dated as of January 18, 2022, by and among ProKidney Corp. (formerly Social Capital Suvretta Holdings Corp.</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III), SCS Sponsor III LLC, ProKidney LP and the directors and officers named therein (included as Annex O to the Proxy Statement filed</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with the SEC on June 10, 2022) (File No. 001-40560).</w:t>
        </w:r>
      </w:hyperlink>
    </w:p>
    <w:p>
      <w:pPr>
        <w:spacing w:after="0" w:line="68" w:lineRule="exact"/>
        <w:rPr>
          <w:rFonts w:ascii="Times New Roman" w:cs="Times New Roman" w:eastAsia="Times New Roman" w:hAnsi="Times New Roman"/>
          <w:sz w:val="18"/>
          <w:szCs w:val="18"/>
          <w:u w:val="single" w:color="auto"/>
          <w:color w:val="0000EE"/>
        </w:rPr>
      </w:pPr>
    </w:p>
    <w:p>
      <w:pPr>
        <w:ind w:left="804" w:right="220" w:hanging="809"/>
        <w:spacing w:after="0" w:line="266" w:lineRule="auto"/>
        <w:tabs>
          <w:tab w:leader="none" w:pos="7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39">
        <w:r>
          <w:rPr>
            <w:rFonts w:ascii="Times New Roman" w:cs="Times New Roman" w:eastAsia="Times New Roman" w:hAnsi="Times New Roman"/>
            <w:sz w:val="18"/>
            <w:szCs w:val="18"/>
            <w:u w:val="single" w:color="auto"/>
            <w:color w:val="0000EE"/>
          </w:rPr>
          <w:t>Company Unitholder Support Agreement, dated as of January 18, 2022, by and among ProKidney Corp. (formerly Social Capital Suvretta</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Holdings Corp. III), ProKidney LP and the persons named therein (included as Annex P to the Proxy Statement filed with the SEC on</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June 10, 2022) (File No. 001-40560).</w:t>
        </w:r>
      </w:hyperlink>
    </w:p>
    <w:p>
      <w:pPr>
        <w:spacing w:after="0" w:line="68" w:lineRule="exact"/>
        <w:rPr>
          <w:rFonts w:ascii="Times New Roman" w:cs="Times New Roman" w:eastAsia="Times New Roman" w:hAnsi="Times New Roman"/>
          <w:sz w:val="18"/>
          <w:szCs w:val="18"/>
          <w:u w:val="single" w:color="auto"/>
          <w:color w:val="0000EE"/>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u w:val="single" w:color="auto"/>
          <w:color w:val="0000EE"/>
        </w:rPr>
        <w:t>ProKidney Corp. 2022 Incentive Equity Plan.</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0000EE"/>
        </w:rPr>
        <w:t>ProKidney Corp. Employee Stock Purchase Plan.</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u w:val="single" w:color="auto"/>
          <w:color w:val="0000EE"/>
        </w:rPr>
        <w:t>Form of Indemnification Agreement, dated as of July 11, 2022, by and among ProKidney Corp. and its directors and executive officers.</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u w:val="single" w:color="auto"/>
          <w:color w:val="0000EE"/>
        </w:rPr>
        <w:t>Letter from Marcum LLP to the SEC, dated July 15, 2022.</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EE"/>
        </w:rPr>
        <w:t>Subsidiaries of the Registrant.</w:t>
      </w:r>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July 12, 2022.</w:t>
      </w:r>
    </w:p>
    <w:p>
      <w:pPr>
        <w:spacing w:after="0" w:line="117" w:lineRule="exact"/>
        <w:rPr>
          <w:rFonts w:ascii="Times New Roman" w:cs="Times New Roman" w:eastAsia="Times New Roman" w:hAnsi="Times New Roman"/>
          <w:sz w:val="18"/>
          <w:szCs w:val="18"/>
          <w:u w:val="single" w:color="auto"/>
          <w:color w:val="0000EE"/>
        </w:rPr>
      </w:pPr>
    </w:p>
    <w:p>
      <w:pPr>
        <w:ind w:left="804" w:right="320" w:hanging="809"/>
        <w:spacing w:after="0" w:line="282" w:lineRule="auto"/>
        <w:tabs>
          <w:tab w:leader="none" w:pos="78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Unaudited Pro Forma Condensed Combined Financial Information as of and for the three months ended March 31, 2022 and for the year ended December 31, 2021.</w:t>
      </w:r>
    </w:p>
    <w:p>
      <w:pPr>
        <w:spacing w:after="0" w:line="189" w:lineRule="exact"/>
        <w:rPr>
          <w:rFonts w:ascii="Times New Roman" w:cs="Times New Roman" w:eastAsia="Times New Roman" w:hAnsi="Times New Roman"/>
          <w:sz w:val="18"/>
          <w:szCs w:val="18"/>
          <w:u w:val="single" w:color="auto"/>
          <w:color w:val="0000EE"/>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u w:val="single" w:color="auto"/>
          <w:color w:val="0000EE"/>
        </w:rPr>
      </w:pPr>
    </w:p>
    <w:p>
      <w:pPr>
        <w:ind w:left="224" w:right="120" w:hanging="224"/>
        <w:spacing w:after="0" w:line="260" w:lineRule="auto"/>
        <w:tabs>
          <w:tab w:leader="none" w:pos="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hereby undertakes to furnish copies of any of the omitted schedules upon request by the Securities and Exchange Commission.</w:t>
      </w:r>
    </w:p>
    <w:p>
      <w:pPr>
        <w:sectPr>
          <w:pgSz w:w="11900" w:h="16838" w:orient="portrait"/>
          <w:cols w:equalWidth="0" w:num="1">
            <w:col w:w="10984"/>
          </w:cols>
          <w:pgMar w:left="436" w:top="297" w:right="4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790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PROKIDNEY CORP.</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July 15, 2022</w:t>
            </w: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Bertram</w:t>
            </w:r>
          </w:p>
        </w:tc>
      </w:tr>
      <w:tr>
        <w:trPr>
          <w:trHeight w:val="205"/>
        </w:trPr>
        <w:tc>
          <w:tcPr>
            <w:tcW w:w="3120" w:type="dxa"/>
            <w:vAlign w:val="bottom"/>
          </w:tcPr>
          <w:p>
            <w:pPr>
              <w:spacing w:after="0"/>
              <w:rPr>
                <w:sz w:val="17"/>
                <w:szCs w:val="17"/>
                <w:color w:val="auto"/>
              </w:rPr>
            </w:pPr>
          </w:p>
        </w:tc>
        <w:tc>
          <w:tcPr>
            <w:tcW w:w="2820" w:type="dxa"/>
            <w:vAlign w:val="bottom"/>
          </w:tcPr>
          <w:p>
            <w:pPr>
              <w:ind w:left="21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Timothy A. Bertram</w:t>
            </w:r>
          </w:p>
        </w:tc>
      </w:tr>
      <w:tr>
        <w:trPr>
          <w:trHeight w:val="234"/>
        </w:trPr>
        <w:tc>
          <w:tcPr>
            <w:tcW w:w="312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JULY 11, 2022 AND EFFECTIVE ON JULY 11, 2022)</w:t>
      </w:r>
    </w:p>
    <w:p>
      <w:pPr>
        <w:sectPr>
          <w:pgSz w:w="11900" w:h="16838" w:orient="portrait"/>
          <w:cols w:equalWidth="0" w:num="1">
            <w:col w:w="10020"/>
          </w:cols>
          <w:pgMar w:left="1440" w:top="117" w:right="439" w:bottom="1440" w:gutter="0" w:footer="0" w:header="0"/>
        </w:sectPr>
      </w:pPr>
    </w:p>
    <w:bookmarkStart w:id="20" w:name="page21"/>
    <w:bookmarkEnd w:id="20"/>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JULY 11, 2022 AND EFFECTIVE ON JULY 11, 2022)</w:t>
      </w:r>
    </w:p>
    <w:p>
      <w:pPr>
        <w:spacing w:after="0" w:line="234"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ProKidney Corp.</w:t>
      </w:r>
    </w:p>
    <w:p>
      <w:pPr>
        <w:spacing w:after="0" w:line="131" w:lineRule="exact"/>
        <w:rPr>
          <w:sz w:val="20"/>
          <w:szCs w:val="20"/>
          <w:color w:val="auto"/>
        </w:rPr>
      </w:pPr>
    </w:p>
    <w:p>
      <w:pPr>
        <w:ind w:left="544" w:right="200" w:hanging="544"/>
        <w:spacing w:after="0" w:line="282" w:lineRule="auto"/>
        <w:tabs>
          <w:tab w:leader="none" w:pos="5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Walkers Corporate Limited, 190 Elgin Avenue, George Town, Grand Cayman KY1-9008, Cayman Islands, or at such other place within the Cayman Islands as the Directors may decide.</w:t>
      </w:r>
    </w:p>
    <w:p>
      <w:pPr>
        <w:spacing w:after="0" w:line="67" w:lineRule="exact"/>
        <w:rPr>
          <w:sz w:val="20"/>
          <w:szCs w:val="20"/>
          <w:color w:val="auto"/>
        </w:rPr>
      </w:pPr>
    </w:p>
    <w:p>
      <w:pPr>
        <w:ind w:left="544" w:right="120" w:hanging="544"/>
        <w:spacing w:after="0" w:line="282" w:lineRule="auto"/>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67" w:lineRule="exact"/>
        <w:rPr>
          <w:sz w:val="20"/>
          <w:szCs w:val="20"/>
          <w:color w:val="auto"/>
        </w:rPr>
      </w:pPr>
    </w:p>
    <w:p>
      <w:pPr>
        <w:ind w:left="544" w:hanging="544"/>
        <w:spacing w:after="0"/>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if any, unpaid on such Member’s shares.</w:t>
      </w:r>
    </w:p>
    <w:p>
      <w:pPr>
        <w:spacing w:after="0" w:line="131" w:lineRule="exact"/>
        <w:rPr>
          <w:sz w:val="20"/>
          <w:szCs w:val="20"/>
          <w:color w:val="auto"/>
        </w:rPr>
      </w:pPr>
    </w:p>
    <w:p>
      <w:pPr>
        <w:ind w:left="544" w:right="420" w:hanging="544"/>
        <w:spacing w:after="0" w:line="312" w:lineRule="auto"/>
        <w:tabs>
          <w:tab w:leader="none" w:pos="5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capital of the Company is US$100,500 divided into 500,000,000 Class A ordinary shares of a par value of US$0.0001 each, 500,000,000 Class B ordinary shares of a par value of US$0.0001 each and 5,000,000 preference shares of a par value of US$0.0001 each.</w:t>
      </w:r>
    </w:p>
    <w:p>
      <w:pPr>
        <w:spacing w:after="0" w:line="45" w:lineRule="exact"/>
        <w:rPr>
          <w:sz w:val="20"/>
          <w:szCs w:val="20"/>
          <w:color w:val="auto"/>
        </w:rPr>
      </w:pPr>
    </w:p>
    <w:p>
      <w:pPr>
        <w:ind w:left="544" w:right="120" w:hanging="544"/>
        <w:spacing w:after="0" w:line="282"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67" w:lineRule="exact"/>
        <w:rPr>
          <w:sz w:val="20"/>
          <w:szCs w:val="20"/>
          <w:color w:val="auto"/>
        </w:rPr>
      </w:pPr>
    </w:p>
    <w:p>
      <w:pPr>
        <w:ind w:left="544" w:hanging="544"/>
        <w:spacing w:after="0" w:line="282" w:lineRule="auto"/>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Amended and Restated Memorandum of Association bear the respective meanings given to them in the Amended and Restated Articles of Association of the Company.</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4"/>
          </w:cols>
          <w:pgMar w:left="436" w:top="266" w:right="519" w:bottom="1440" w:gutter="0" w:footer="0" w:header="0"/>
        </w:sectPr>
      </w:pPr>
    </w:p>
    <w:bookmarkStart w:id="21" w:name="page22"/>
    <w:bookmarkEnd w:id="2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JULY 11, 2022 AND EFFECTIVE ON JULY 11, 2022)</w:t>
      </w:r>
    </w:p>
    <w:p>
      <w:pPr>
        <w:spacing w:after="0" w:line="230" w:lineRule="exact"/>
        <w:rPr>
          <w:sz w:val="20"/>
          <w:szCs w:val="20"/>
          <w:color w:val="auto"/>
        </w:rPr>
      </w:pPr>
    </w:p>
    <w:p>
      <w:pPr>
        <w:ind w:left="544" w:hanging="544"/>
        <w:spacing w:after="0"/>
        <w:tabs>
          <w:tab w:leader="none" w:pos="54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1004"/>
          </w:cols>
          <w:pgMar w:left="436" w:top="266" w:right="459" w:bottom="1440" w:gutter="0" w:footer="0" w:header="0"/>
        </w:sectPr>
      </w:pPr>
    </w:p>
    <w:p>
      <w:pPr>
        <w:spacing w:after="0" w:line="18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“Affiliate”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80" w:lineRule="exact"/>
        <w:rPr>
          <w:sz w:val="20"/>
          <w:szCs w:val="20"/>
          <w:color w:val="auto"/>
        </w:rPr>
      </w:pPr>
    </w:p>
    <w:p>
      <w:pPr>
        <w:sectPr>
          <w:pgSz w:w="11900" w:h="16838" w:orient="portrait"/>
          <w:cols w:equalWidth="0" w:num="2">
            <w:col w:w="2244" w:space="720"/>
            <w:col w:w="804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“Applicable Law”</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 certificates, judgments, decisions, decrees or orders of any governmental authority applicable to such person.</w:t>
      </w:r>
    </w:p>
    <w:p>
      <w:pPr>
        <w:spacing w:after="0" w:line="50" w:lineRule="exact"/>
        <w:rPr>
          <w:sz w:val="20"/>
          <w:szCs w:val="20"/>
          <w:color w:val="auto"/>
        </w:rPr>
      </w:pPr>
    </w:p>
    <w:p>
      <w:pPr>
        <w:sectPr>
          <w:pgSz w:w="11900" w:h="16838" w:orient="portrait"/>
          <w:cols w:equalWidth="0" w:num="2">
            <w:col w:w="2244" w:space="720"/>
            <w:col w:w="804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these amended and restated articles of association of the Company.</w:t>
      </w:r>
    </w:p>
    <w:p>
      <w:pPr>
        <w:spacing w:after="0" w:line="124" w:lineRule="exact"/>
        <w:rPr>
          <w:sz w:val="20"/>
          <w:szCs w:val="20"/>
          <w:color w:val="auto"/>
        </w:rPr>
      </w:pPr>
    </w:p>
    <w:p>
      <w:pPr>
        <w:sectPr>
          <w:pgSz w:w="11900" w:h="16838" w:orient="portrait"/>
          <w:cols w:equalWidth="0" w:num="2">
            <w:col w:w="2244" w:space="720"/>
            <w:col w:w="804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audit committee of the board of directors of the Company established pursuant to the Articles, or any successor committee.</w:t>
      </w:r>
    </w:p>
    <w:p>
      <w:pPr>
        <w:spacing w:after="0" w:line="50" w:lineRule="exact"/>
        <w:rPr>
          <w:sz w:val="20"/>
          <w:szCs w:val="20"/>
          <w:color w:val="auto"/>
        </w:rPr>
      </w:pPr>
    </w:p>
    <w:p>
      <w:pPr>
        <w:sectPr>
          <w:pgSz w:w="11900" w:h="16838" w:orient="portrait"/>
          <w:cols w:equalWidth="0" w:num="2">
            <w:col w:w="2244" w:space="720"/>
            <w:col w:w="804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p>
      <w:pPr>
        <w:spacing w:after="0" w:line="158" w:lineRule="exact"/>
        <w:rPr>
          <w:sz w:val="20"/>
          <w:szCs w:val="20"/>
          <w:color w:val="auto"/>
        </w:rPr>
      </w:pPr>
    </w:p>
    <w:p>
      <w:pPr>
        <w:sectPr>
          <w:pgSz w:w="11900" w:h="16838" w:orient="portrait"/>
          <w:cols w:equalWidth="0" w:num="2">
            <w:col w:w="2244" w:space="720"/>
            <w:col w:w="8040"/>
          </w:cols>
          <w:pgMar w:left="436" w:top="266"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4"/>
          </w:cols>
          <w:pgMar w:left="436" w:top="266" w:right="4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Business Combination Agreement dated 18 January 2022 between the Company and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-206375</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1820" w:space="600"/>
            <w:col w:w="8040"/>
          </w:cols>
          <w:pgMar w:left="980" w:top="266"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ectPr>
          <w:pgSz w:w="11900" w:h="16838" w:orient="portrait"/>
          <w:cols w:equalWidth="0" w:num="1">
            <w:col w:w="10460"/>
          </w:cols>
          <w:pgMar w:left="980" w:top="266" w:right="45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PMEL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Series 1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Series 2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Series 3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House”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“Company’s Website”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“Designated Stock Exchange”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any day other than a Saturday, a Sunday or a legal holiday or a day on which banking institutions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companies are authorised or obligated by law to close in New York City.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Class A ordinary share of a par value of US$0.0001 in the share capital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 as “Class B PMEL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 as “Class B Series 1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 as “Class B Series 2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 as “Class B Series 3 RSRs”.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Class B ordinary share of a par value of US$0.0001 in the share capital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clearing house recognised by the laws of the jurisdiction in which the Shares (or depositary receipts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 are listed or quoted on a stock exchange or interdealer quotation system in such jurisdiction.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units of the Partnership designated as “Common Units” pursuant to the Partnership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above named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or any successor committee.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including The Nasdaq Capital Market.</w:t>
      </w:r>
    </w:p>
    <w:p>
      <w:pPr>
        <w:spacing w:after="0" w:line="13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2300" w:space="120"/>
            <w:col w:w="8040"/>
          </w:cols>
          <w:pgMar w:left="980" w:top="266" w:right="4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each of the members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-206375</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1700" w:space="720"/>
            <w:col w:w="8020"/>
          </w:cols>
          <w:pgMar w:left="980" w:top="266" w:right="47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p>
      <w:pPr>
        <w:spacing w:after="0" w:line="113" w:lineRule="exact"/>
        <w:rPr>
          <w:sz w:val="20"/>
          <w:szCs w:val="20"/>
          <w:color w:val="auto"/>
        </w:rPr>
      </w:pPr>
    </w:p>
    <w:p>
      <w:pPr>
        <w:sectPr>
          <w:pgSz w:w="11900" w:h="16838" w:orient="portrait"/>
          <w:cols w:equalWidth="0" w:num="2">
            <w:col w:w="1700" w:space="72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“Earnout Participants”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such persons as are entitled to receive Class B Series 1 RSRs, Class B Series 2 RSRs and Class B Series 3 RSRs on the terms and subject to the conditions of the Business Combination Agreement.</w:t>
      </w:r>
    </w:p>
    <w:p>
      <w:pPr>
        <w:spacing w:after="0" w:line="50" w:lineRule="exact"/>
        <w:rPr>
          <w:sz w:val="20"/>
          <w:szCs w:val="20"/>
          <w:color w:val="auto"/>
        </w:rPr>
      </w:pPr>
    </w:p>
    <w:p>
      <w:pPr>
        <w:sectPr>
          <w:pgSz w:w="11900" w:h="16838" w:orient="portrait"/>
          <w:cols w:equalWidth="0" w:num="2">
            <w:col w:w="1820" w:space="60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July 11, 2022.</w:t>
      </w:r>
    </w:p>
    <w:p>
      <w:pPr>
        <w:spacing w:after="0" w:line="124" w:lineRule="exact"/>
        <w:rPr>
          <w:sz w:val="20"/>
          <w:szCs w:val="20"/>
          <w:color w:val="auto"/>
        </w:rPr>
      </w:pPr>
    </w:p>
    <w:p>
      <w:pPr>
        <w:sectPr>
          <w:pgSz w:w="11900" w:h="16838" w:orient="portrait"/>
          <w:cols w:equalWidth="0" w:num="2">
            <w:col w:w="1700" w:space="72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w:t>
      </w:r>
    </w:p>
    <w:p>
      <w:pPr>
        <w:spacing w:after="0" w:line="20" w:lineRule="exact"/>
        <w:rPr>
          <w:sz w:val="20"/>
          <w:szCs w:val="20"/>
          <w:color w:val="auto"/>
        </w:rPr>
      </w:pPr>
      <w:r>
        <w:rPr>
          <w:sz w:val="20"/>
          <w:szCs w:val="20"/>
          <w:color w:val="auto"/>
        </w:rPr>
        <w:br w:type="column"/>
      </w:r>
    </w:p>
    <w:p>
      <w:pPr>
        <w:ind w:right="100"/>
        <w:spacing w:after="0" w:line="289" w:lineRule="auto"/>
        <w:rPr>
          <w:sz w:val="20"/>
          <w:szCs w:val="20"/>
          <w:color w:val="auto"/>
        </w:rPr>
      </w:pPr>
      <w:r>
        <w:rPr>
          <w:rFonts w:ascii="Times New Roman" w:cs="Times New Roman" w:eastAsia="Times New Roman" w:hAnsi="Times New Roman"/>
          <w:sz w:val="17"/>
          <w:szCs w:val="17"/>
          <w:color w:val="auto"/>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p>
      <w:pPr>
        <w:spacing w:after="0" w:line="46" w:lineRule="exact"/>
        <w:rPr>
          <w:sz w:val="20"/>
          <w:szCs w:val="20"/>
          <w:color w:val="auto"/>
        </w:rPr>
      </w:pPr>
    </w:p>
    <w:p>
      <w:pPr>
        <w:sectPr>
          <w:pgSz w:w="11900" w:h="16838" w:orient="portrait"/>
          <w:cols w:equalWidth="0" w:num="2">
            <w:col w:w="2260" w:space="16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“Electronic Record”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same meaning as in the Electronic Transactions Act.</w:t>
      </w:r>
    </w:p>
    <w:p>
      <w:pPr>
        <w:spacing w:after="0" w:line="124" w:lineRule="exact"/>
        <w:rPr>
          <w:sz w:val="20"/>
          <w:szCs w:val="20"/>
          <w:color w:val="auto"/>
        </w:rPr>
      </w:pPr>
    </w:p>
    <w:p>
      <w:pPr>
        <w:sectPr>
          <w:pgSz w:w="11900" w:h="16838" w:orient="portrait"/>
          <w:cols w:equalWidth="0" w:num="2">
            <w:col w:w="1700" w:space="72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Transactions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p>
      <w:pPr>
        <w:spacing w:after="0" w:line="27" w:lineRule="exact"/>
        <w:rPr>
          <w:sz w:val="20"/>
          <w:szCs w:val="20"/>
          <w:color w:val="auto"/>
        </w:rPr>
      </w:pPr>
    </w:p>
    <w:p>
      <w:pPr>
        <w:sectPr>
          <w:pgSz w:w="11900" w:h="16838" w:orient="portrait"/>
          <w:cols w:equalWidth="0" w:num="2">
            <w:col w:w="1920" w:space="50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Act”</w:t>
      </w:r>
    </w:p>
    <w:p>
      <w:pPr>
        <w:sectPr>
          <w:pgSz w:w="11900" w:h="16838" w:orient="portrait"/>
          <w:cols w:equalWidth="0" w:num="1">
            <w:col w:w="10440"/>
          </w:cols>
          <w:pgMar w:left="980" w:top="266" w:right="47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 and the rules and regulations of the Securities and Exchange Commission thereunder, all as the same shall be in effect at the time.</w:t>
      </w:r>
    </w:p>
    <w:p>
      <w:pPr>
        <w:spacing w:after="0" w:line="64" w:lineRule="exact"/>
        <w:rPr>
          <w:sz w:val="20"/>
          <w:szCs w:val="20"/>
          <w:color w:val="auto"/>
        </w:rPr>
      </w:pPr>
    </w:p>
    <w:p>
      <w:pPr>
        <w:sectPr>
          <w:pgSz w:w="11900" w:h="16838" w:orient="portrait"/>
          <w:cols w:equalWidth="0" w:num="2">
            <w:col w:w="1700" w:space="72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means the Exchange Agreement dated the Effective Date among the Company, the Partnership acting through its General Partner and certain holders of interests in the Partnership party thereto.</w:t>
      </w:r>
    </w:p>
    <w:p>
      <w:pPr>
        <w:spacing w:after="0" w:line="50" w:lineRule="exact"/>
        <w:rPr>
          <w:sz w:val="20"/>
          <w:szCs w:val="20"/>
          <w:color w:val="auto"/>
        </w:rPr>
      </w:pPr>
    </w:p>
    <w:p>
      <w:pPr>
        <w:sectPr>
          <w:pgSz w:w="11900" w:h="16838" w:orient="portrait"/>
          <w:cols w:equalWidth="0" w:num="2">
            <w:col w:w="1840" w:space="58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ProKidney Corp. GP Limited.</w:t>
      </w:r>
    </w:p>
    <w:p>
      <w:pPr>
        <w:spacing w:after="0" w:line="113" w:lineRule="exact"/>
        <w:rPr>
          <w:sz w:val="20"/>
          <w:szCs w:val="20"/>
          <w:color w:val="auto"/>
        </w:rPr>
      </w:pPr>
    </w:p>
    <w:p>
      <w:pPr>
        <w:sectPr>
          <w:pgSz w:w="11900" w:h="16838" w:orient="portrait"/>
          <w:cols w:equalWidth="0" w:num="2">
            <w:col w:w="1700" w:space="72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 under the Exchange Act, as the case may be.</w:t>
      </w:r>
    </w:p>
    <w:p>
      <w:pPr>
        <w:spacing w:after="0" w:line="50" w:lineRule="exact"/>
        <w:rPr>
          <w:sz w:val="20"/>
          <w:szCs w:val="20"/>
          <w:color w:val="auto"/>
        </w:rPr>
      </w:pPr>
    </w:p>
    <w:p>
      <w:pPr>
        <w:sectPr>
          <w:pgSz w:w="11900" w:h="16838" w:orient="portrait"/>
          <w:cols w:equalWidth="0" w:num="2">
            <w:col w:w="1860" w:space="56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same meaning as in the Statute.</w:t>
      </w:r>
    </w:p>
    <w:p>
      <w:pPr>
        <w:spacing w:after="0" w:line="124" w:lineRule="exact"/>
        <w:rPr>
          <w:sz w:val="20"/>
          <w:szCs w:val="20"/>
          <w:color w:val="auto"/>
        </w:rPr>
      </w:pPr>
    </w:p>
    <w:p>
      <w:pPr>
        <w:sectPr>
          <w:pgSz w:w="11900" w:h="16838" w:orient="portrait"/>
          <w:cols w:equalWidth="0" w:num="2">
            <w:col w:w="1700" w:space="720"/>
            <w:col w:w="802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amended and restated memorandum of association of the Company.</w:t>
      </w:r>
    </w:p>
    <w:p>
      <w:pPr>
        <w:spacing w:after="0" w:line="169" w:lineRule="exact"/>
        <w:rPr>
          <w:sz w:val="20"/>
          <w:szCs w:val="20"/>
          <w:color w:val="auto"/>
        </w:rPr>
      </w:pPr>
    </w:p>
    <w:p>
      <w:pPr>
        <w:sectPr>
          <w:pgSz w:w="11900" w:h="16838" w:orient="portrait"/>
          <w:cols w:equalWidth="0" w:num="2">
            <w:col w:w="1700" w:space="720"/>
            <w:col w:w="8020"/>
          </w:cols>
          <w:pgMar w:left="980" w:top="266" w:right="47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440"/>
          </w:cols>
          <w:pgMar w:left="980" w:top="266" w:right="479" w:bottom="1440" w:gutter="0" w:footer="0" w:header="0"/>
          <w:type w:val="continuous"/>
        </w:sectPr>
      </w:pPr>
    </w:p>
    <w:bookmarkStart w:id="24" w:name="page25"/>
    <w:bookmarkEnd w:id="24"/>
    <w:p>
      <w:pPr>
        <w:spacing w:after="0" w:line="317" w:lineRule="auto"/>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 established pursuant to the Articles, or any successor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-391160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2180" w:space="240"/>
            <w:col w:w="8040"/>
          </w:cols>
          <w:pgMar w:left="980" w:top="266"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 w:lineRule="exact"/>
        <w:rPr>
          <w:sz w:val="20"/>
          <w:szCs w:val="20"/>
          <w:color w:val="auto"/>
        </w:rPr>
      </w:pPr>
      <w:r>
        <w:rPr>
          <w:sz w:val="20"/>
          <w:szCs w:val="20"/>
          <w:color w:val="auto"/>
        </w:rPr>
        <w:br w:type="column"/>
      </w:r>
    </w:p>
    <w:p>
      <w:pPr>
        <w:ind w:right="100"/>
        <w:spacing w:after="0" w:line="261" w:lineRule="auto"/>
        <w:rPr>
          <w:sz w:val="20"/>
          <w:szCs w:val="20"/>
          <w:color w:val="auto"/>
        </w:rPr>
      </w:pPr>
      <w:r>
        <w:rPr>
          <w:rFonts w:ascii="Times New Roman" w:cs="Times New Roman" w:eastAsia="Times New Roman" w:hAnsi="Times New Roman"/>
          <w:sz w:val="18"/>
          <w:szCs w:val="18"/>
          <w:color w:val="auto"/>
        </w:rPr>
        <w:t>means a person appointed to hold an office in the Company, which Officers may consist of a chairman, a chief executive officer, a president, a chief operating officer, a chief financial officer, a director of research, vice presidents, a secretary, assistant secretaries, a treasurer and such other offices as may be determined by the board of directors of the Company.</w:t>
      </w:r>
    </w:p>
    <w:p>
      <w:pPr>
        <w:spacing w:after="0" w:line="68" w:lineRule="exact"/>
        <w:rPr>
          <w:sz w:val="20"/>
          <w:szCs w:val="20"/>
          <w:color w:val="auto"/>
        </w:rPr>
      </w:pPr>
    </w:p>
    <w:p>
      <w:pPr>
        <w:sectPr>
          <w:pgSz w:w="11900" w:h="16838" w:orient="portrait"/>
          <w:cols w:equalWidth="0" w:num="2">
            <w:col w:w="1700" w:space="720"/>
            <w:col w:w="8040"/>
          </w:cols>
          <w:pgMar w:left="98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68" w:lineRule="exact"/>
        <w:rPr>
          <w:sz w:val="20"/>
          <w:szCs w:val="20"/>
          <w:color w:val="auto"/>
        </w:rPr>
      </w:pPr>
    </w:p>
    <w:p>
      <w:pPr>
        <w:sectPr>
          <w:pgSz w:w="11900" w:h="16838" w:orient="portrait"/>
          <w:cols w:equalWidth="0" w:num="2">
            <w:col w:w="1780" w:space="640"/>
            <w:col w:w="8040"/>
          </w:cols>
          <w:pgMar w:left="98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“Paired Interest”</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means one Common Unit together with one Class B Share, subject to adjustment pursuant to the Partnership Agreement.</w:t>
      </w:r>
    </w:p>
    <w:p>
      <w:pPr>
        <w:spacing w:after="0" w:line="50" w:lineRule="exact"/>
        <w:rPr>
          <w:sz w:val="20"/>
          <w:szCs w:val="20"/>
          <w:color w:val="auto"/>
        </w:rPr>
      </w:pPr>
    </w:p>
    <w:p>
      <w:pPr>
        <w:sectPr>
          <w:pgSz w:w="11900" w:h="16838" w:orient="portrait"/>
          <w:cols w:equalWidth="0" w:num="2">
            <w:col w:w="1700" w:space="720"/>
            <w:col w:w="8040"/>
          </w:cols>
          <w:pgMar w:left="98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ProKidney LP, a limited partnership organized under the laws of Ireland.</w:t>
      </w:r>
    </w:p>
    <w:p>
      <w:pPr>
        <w:spacing w:after="0" w:line="124" w:lineRule="exact"/>
        <w:rPr>
          <w:sz w:val="20"/>
          <w:szCs w:val="20"/>
          <w:color w:val="auto"/>
        </w:rPr>
      </w:pPr>
    </w:p>
    <w:p>
      <w:pPr>
        <w:sectPr>
          <w:pgSz w:w="11900" w:h="16838" w:orient="portrait"/>
          <w:cols w:equalWidth="0" w:num="2">
            <w:col w:w="1700" w:space="720"/>
            <w:col w:w="8040"/>
          </w:cols>
          <w:pgMar w:left="98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“Partnership Agreement”</w:t>
      </w:r>
    </w:p>
    <w:p>
      <w:pPr>
        <w:spacing w:after="0" w:line="20" w:lineRule="exact"/>
        <w:rPr>
          <w:sz w:val="20"/>
          <w:szCs w:val="20"/>
          <w:color w:val="auto"/>
        </w:rPr>
      </w:pPr>
      <w:r>
        <w:rPr>
          <w:sz w:val="20"/>
          <w:szCs w:val="20"/>
          <w:color w:val="auto"/>
        </w:rPr>
        <w:br w:type="column"/>
      </w:r>
    </w:p>
    <w:p>
      <w:pPr>
        <w:ind w:right="420"/>
        <w:spacing w:after="0" w:line="261" w:lineRule="auto"/>
        <w:rPr>
          <w:sz w:val="20"/>
          <w:szCs w:val="20"/>
          <w:color w:val="auto"/>
        </w:rPr>
      </w:pPr>
      <w:r>
        <w:rPr>
          <w:rFonts w:ascii="Times New Roman" w:cs="Times New Roman" w:eastAsia="Times New Roman" w:hAnsi="Times New Roman"/>
          <w:sz w:val="18"/>
          <w:szCs w:val="18"/>
          <w:color w:val="auto"/>
        </w:rPr>
        <w:t>means the Second Amended and Restated Limited Partnership Deed of the Partnership, by and among the General Partner, the other Post-Combination Partnership Partners and the other persons that may become parties thereto from time to time, as the same may be amended, restated, supplemented and/or otherwise modified from time to time.</w:t>
      </w:r>
    </w:p>
    <w:p>
      <w:pPr>
        <w:spacing w:after="0" w:line="68" w:lineRule="exact"/>
        <w:rPr>
          <w:sz w:val="20"/>
          <w:szCs w:val="20"/>
          <w:color w:val="auto"/>
        </w:rPr>
      </w:pPr>
    </w:p>
    <w:p>
      <w:pPr>
        <w:sectPr>
          <w:pgSz w:w="11900" w:h="16838" w:orient="portrait"/>
          <w:cols w:equalWidth="0" w:num="2">
            <w:col w:w="2000" w:space="420"/>
            <w:col w:w="8040"/>
          </w:cols>
          <w:pgMar w:left="980" w:top="266" w:right="45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“PMEL Post-Combination Company Unitholders”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such persons as are entitled to receive Class B PMEL RSRs on the terms and subject to the conditions of the Business Combination Agreement.</w:t>
      </w:r>
    </w:p>
    <w:p>
      <w:pPr>
        <w:spacing w:after="0" w:line="49" w:lineRule="exact"/>
        <w:rPr>
          <w:sz w:val="20"/>
          <w:szCs w:val="20"/>
          <w:color w:val="auto"/>
        </w:rPr>
      </w:pPr>
    </w:p>
    <w:p>
      <w:pPr>
        <w:sectPr>
          <w:pgSz w:w="11900" w:h="16838" w:orient="portrait"/>
          <w:cols w:equalWidth="0" w:num="2">
            <w:col w:w="2060" w:space="360"/>
            <w:col w:w="8040"/>
          </w:cols>
          <w:pgMar w:left="980" w:top="266" w:right="45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“Post-Combination Partnership Partners”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holders of Common Units that are party to the Partnership Agreement from time to time.</w:t>
      </w:r>
    </w:p>
    <w:p>
      <w:pPr>
        <w:spacing w:after="0" w:line="329" w:lineRule="exact"/>
        <w:rPr>
          <w:sz w:val="20"/>
          <w:szCs w:val="20"/>
          <w:color w:val="auto"/>
        </w:rPr>
      </w:pPr>
    </w:p>
    <w:p>
      <w:pPr>
        <w:sectPr>
          <w:pgSz w:w="11900" w:h="16838" w:orient="portrait"/>
          <w:cols w:equalWidth="0" w:num="2">
            <w:col w:w="1740" w:space="680"/>
            <w:col w:w="8040"/>
          </w:cols>
          <w:pgMar w:left="98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“Preference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preference share of a par value of US$0.0001 in the share capital of the Company.</w:t>
      </w:r>
    </w:p>
    <w:p>
      <w:pPr>
        <w:spacing w:after="0" w:line="125" w:lineRule="exact"/>
        <w:rPr>
          <w:sz w:val="20"/>
          <w:szCs w:val="20"/>
          <w:color w:val="auto"/>
        </w:rPr>
      </w:pPr>
    </w:p>
    <w:p>
      <w:pPr>
        <w:sectPr>
          <w:pgSz w:w="11900" w:h="16838" w:orient="portrait"/>
          <w:cols w:equalWidth="0" w:num="2">
            <w:col w:w="1700" w:space="720"/>
            <w:col w:w="8040"/>
          </w:cols>
          <w:pgMar w:left="98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Statute and includes (except where otherwise stated) any branch or duplicate register of Members.</w:t>
      </w:r>
    </w:p>
    <w:p>
      <w:pPr>
        <w:spacing w:after="0" w:line="94" w:lineRule="exact"/>
        <w:rPr>
          <w:sz w:val="20"/>
          <w:szCs w:val="20"/>
          <w:color w:val="auto"/>
        </w:rPr>
      </w:pPr>
    </w:p>
    <w:p>
      <w:pPr>
        <w:sectPr>
          <w:pgSz w:w="11900" w:h="16838" w:orient="portrait"/>
          <w:cols w:equalWidth="0" w:num="2">
            <w:col w:w="1800" w:space="620"/>
            <w:col w:w="8040"/>
          </w:cols>
          <w:pgMar w:left="980" w:top="266" w:right="45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460"/>
          </w:cols>
          <w:pgMar w:left="980" w:top="266" w:right="4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306"/>
        </w:trPr>
        <w:tc>
          <w:tcPr>
            <w:tcW w:w="3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“Restricted Stock Rights”</w:t>
            </w: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Class B Series 1 RSRs, the Class B Series 2 RSRs, the Class B Series 3 RSRs and the Class B</w:t>
            </w:r>
          </w:p>
        </w:tc>
      </w:tr>
      <w:tr>
        <w:trPr>
          <w:trHeight w:val="234"/>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PMEL RSRs.</w:t>
            </w:r>
          </w:p>
        </w:tc>
      </w:tr>
      <w:tr>
        <w:trPr>
          <w:trHeight w:val="324"/>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158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302"/>
        </w:trPr>
        <w:tc>
          <w:tcPr>
            <w:tcW w:w="3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380" w:type="dxa"/>
            <w:vAlign w:val="bottom"/>
          </w:tcPr>
          <w:p>
            <w:pPr>
              <w:spacing w:after="0"/>
              <w:rPr>
                <w:sz w:val="20"/>
                <w:szCs w:val="20"/>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260" w:type="dxa"/>
            <w:vAlign w:val="bottom"/>
          </w:tcPr>
          <w:p>
            <w:pPr>
              <w:spacing w:after="0"/>
              <w:rPr>
                <w:sz w:val="20"/>
                <w:szCs w:val="20"/>
                <w:color w:val="auto"/>
              </w:rPr>
            </w:pPr>
          </w:p>
        </w:tc>
      </w:tr>
      <w:tr>
        <w:trPr>
          <w:trHeight w:val="306"/>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“Share”</w:t>
            </w:r>
          </w:p>
        </w:tc>
        <w:tc>
          <w:tcPr>
            <w:tcW w:w="158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 Class A Share, a Class B Share, or a Preference Share and includes a fraction of a share in the</w:t>
            </w:r>
          </w:p>
        </w:tc>
      </w:tr>
      <w:tr>
        <w:trPr>
          <w:trHeight w:val="234"/>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w:t>
            </w:r>
          </w:p>
        </w:tc>
      </w:tr>
      <w:tr>
        <w:trPr>
          <w:trHeight w:val="324"/>
        </w:trPr>
        <w:tc>
          <w:tcPr>
            <w:tcW w:w="3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324"/>
        </w:trPr>
        <w:tc>
          <w:tcPr>
            <w:tcW w:w="3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302"/>
        </w:trPr>
        <w:tc>
          <w:tcPr>
            <w:tcW w:w="3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“Tax Filing Authorised</w:t>
            </w: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such person as any Director shall designate from time to time, acting severally.</w:t>
            </w:r>
          </w:p>
        </w:tc>
      </w:tr>
      <w:tr>
        <w:trPr>
          <w:trHeight w:val="238"/>
        </w:trPr>
        <w:tc>
          <w:tcPr>
            <w:tcW w:w="38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Person”</w:t>
            </w:r>
          </w:p>
        </w:tc>
        <w:tc>
          <w:tcPr>
            <w:tcW w:w="1580" w:type="dxa"/>
            <w:vAlign w:val="bottom"/>
          </w:tcPr>
          <w:p>
            <w:pPr>
              <w:spacing w:after="0"/>
              <w:rPr>
                <w:sz w:val="20"/>
                <w:szCs w:val="20"/>
                <w:color w:val="auto"/>
              </w:rPr>
            </w:pPr>
          </w:p>
        </w:tc>
        <w:tc>
          <w:tcPr>
            <w:tcW w:w="826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338"/>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1.2</w:t>
            </w: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the Articles:</w:t>
            </w:r>
          </w:p>
        </w:tc>
        <w:tc>
          <w:tcPr>
            <w:tcW w:w="82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words importing the singular number include the plural number and vice versa;</w:t>
            </w:r>
          </w:p>
        </w:tc>
      </w:tr>
      <w:tr>
        <w:trPr>
          <w:trHeight w:val="338"/>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words importing the masculine gender include the feminine gender;</w:t>
            </w:r>
          </w:p>
        </w:tc>
      </w:tr>
      <w:tr>
        <w:trPr>
          <w:trHeight w:val="338"/>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words importing persons include corporations as well as any other legal or natural person;</w:t>
            </w:r>
          </w:p>
        </w:tc>
      </w:tr>
      <w:tr>
        <w:trPr>
          <w:trHeight w:val="319"/>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w:t>
            </w:r>
          </w:p>
        </w:tc>
      </w:tr>
      <w:tr>
        <w:trPr>
          <w:trHeight w:val="234"/>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Electronic Record;</w:t>
            </w:r>
          </w:p>
        </w:tc>
        <w:tc>
          <w:tcPr>
            <w:tcW w:w="8260" w:type="dxa"/>
            <w:vAlign w:val="bottom"/>
          </w:tcPr>
          <w:p>
            <w:pPr>
              <w:spacing w:after="0"/>
              <w:rPr>
                <w:sz w:val="20"/>
                <w:szCs w:val="20"/>
                <w:color w:val="auto"/>
              </w:rPr>
            </w:pPr>
          </w:p>
        </w:tc>
      </w:tr>
      <w:tr>
        <w:trPr>
          <w:trHeight w:val="338"/>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“shall” shall be construed as imperative and “may” shall be construed as permissive;</w:t>
            </w:r>
          </w:p>
        </w:tc>
      </w:tr>
      <w:tr>
        <w:trPr>
          <w:trHeight w:val="319"/>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w:t>
            </w:r>
          </w:p>
        </w:tc>
      </w:tr>
      <w:tr>
        <w:trPr>
          <w:trHeight w:val="234"/>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or replaced;</w:t>
            </w:r>
          </w:p>
        </w:tc>
        <w:tc>
          <w:tcPr>
            <w:tcW w:w="8260" w:type="dxa"/>
            <w:vAlign w:val="bottom"/>
          </w:tcPr>
          <w:p>
            <w:pPr>
              <w:spacing w:after="0"/>
              <w:rPr>
                <w:sz w:val="20"/>
                <w:szCs w:val="20"/>
                <w:color w:val="auto"/>
              </w:rPr>
            </w:pPr>
          </w:p>
        </w:tc>
      </w:tr>
      <w:tr>
        <w:trPr>
          <w:trHeight w:val="319"/>
        </w:trPr>
        <w:tc>
          <w:tcPr>
            <w:tcW w:w="3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any phrase introduced by the terms “including”, “include”, “in particular” or any similar expression shall be construed as illustrative and</w:t>
            </w:r>
          </w:p>
        </w:tc>
      </w:tr>
      <w:tr>
        <w:trPr>
          <w:trHeight w:val="234"/>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shall not limit the sense of the words preceding those terms;</w:t>
            </w:r>
          </w:p>
        </w:tc>
      </w:tr>
      <w:tr>
        <w:trPr>
          <w:trHeight w:val="365"/>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6</w:t>
            </w:r>
          </w:p>
        </w:tc>
      </w:tr>
    </w:tbl>
    <w:p>
      <w:pPr>
        <w:ind w:left="270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 w:name="page27"/>
    <w:bookmarkEnd w:id="26"/>
    <w:p>
      <w:pPr>
        <w:ind w:left="1184" w:right="20" w:hanging="644"/>
        <w:spacing w:after="0" w:line="266" w:lineRule="auto"/>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130"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127" w:lineRule="exact"/>
        <w:rPr>
          <w:sz w:val="20"/>
          <w:szCs w:val="20"/>
          <w:color w:val="auto"/>
        </w:rPr>
      </w:pPr>
    </w:p>
    <w:p>
      <w:pPr>
        <w:ind w:left="544" w:hanging="544"/>
        <w:spacing w:after="0"/>
        <w:tabs>
          <w:tab w:leader="none" w:pos="54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13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63"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Article 3.2, Article 3.3, Article 3.4,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27" w:name="page28"/>
    <w:bookmarkEnd w:id="27"/>
    <w:p>
      <w:pPr>
        <w:ind w:left="544" w:right="2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8"/>
          <w:szCs w:val="18"/>
          <w:color w:val="auto"/>
        </w:rPr>
        <w:t>The Company may from time to time issue Class A Shares on the terms and subject to the conditions set forth in the Exchange Agreement. The Company shall at all times reserve and keep available out of its authorised but unissued share capital, such number of Class A Shares as may be issued upon any exchange pursuant to and in accordance with the Exchange Agreement; provided that nothing contained herein shall be construed to preclude the Company from satisfying its obligations in respect of the Exchange Agreement by the sale of Class A Shares which are held in the treasury of the Company or are held by any of its subsidiaries or by the issuance/sale of purchased Class A Shares (which may or may not be held in the treasury of the Company or held by any of its subsidiaries), or by delivery of cash in accordance with the Exchange Agreement.</w:t>
      </w:r>
    </w:p>
    <w:p>
      <w:pPr>
        <w:spacing w:after="0" w:line="94"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Class A Shares that may be issued upon any such exchange pursuant to the Exchange Agreement shall, upon issuance, be validly issued, fully paid and non-assessable. All Class B Shares corresponding to the Class A Shares issued upon any such exchange shall automatically and without further action on the part of the Company or any holder of such Class B Shares be forfeited to the Company and cancelled upon such an Exchange.</w:t>
      </w:r>
    </w:p>
    <w:p>
      <w:pPr>
        <w:spacing w:after="0" w:line="85" w:lineRule="exact"/>
        <w:rPr>
          <w:sz w:val="20"/>
          <w:szCs w:val="20"/>
          <w:color w:val="auto"/>
        </w:rPr>
      </w:pPr>
    </w:p>
    <w:p>
      <w:pPr>
        <w:jc w:val="both"/>
        <w:ind w:left="544" w:right="2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To the extent Common Units are issued pursuant to the Partnership Agreement at any time and from time to time to any person other than the Company or a wholly-owned subsidiary of the Company, the Company shall issue an equivalent number of Class B Shares at par value to the same person to which such Common Units are issued.</w:t>
      </w:r>
    </w:p>
    <w:p>
      <w:pPr>
        <w:spacing w:after="0" w:line="8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Subject to Article 19, 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127" w:lineRule="exact"/>
        <w:rPr>
          <w:sz w:val="20"/>
          <w:szCs w:val="20"/>
          <w:color w:val="auto"/>
        </w:rPr>
      </w:pPr>
    </w:p>
    <w:p>
      <w:pPr>
        <w:ind w:left="544" w:hanging="544"/>
        <w:spacing w:after="0"/>
        <w:tabs>
          <w:tab w:leader="none" w:pos="54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Class A Shares shall carry the right to receive notice of and to attend, to speak at and to vote at any general meeting of the Company.</w:t>
      </w:r>
    </w:p>
    <w:p>
      <w:pPr>
        <w:spacing w:after="0" w:line="131" w:lineRule="exact"/>
        <w:rPr>
          <w:sz w:val="20"/>
          <w:szCs w:val="20"/>
          <w:color w:val="auto"/>
        </w:rPr>
      </w:pPr>
    </w:p>
    <w:p>
      <w:pPr>
        <w:ind w:left="544" w:right="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the event of a winding up or dissolution of the Company, whether voluntary or involuntary or for the purposes of a reorganisation or otherwise or upon any distribution of capital, the Class A Shares shall, subject to any Applicable Law and the rights, if any, of the holders of any outstanding Preference Shares, carry the right to receive all the remaining assets of the Company available for distribution to the Members, ratably in proportion to the number of Class A Shares held by them.</w:t>
      </w:r>
    </w:p>
    <w:p>
      <w:pPr>
        <w:spacing w:after="0" w:line="85"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Class A Shares shall, subject to any Applicable Law and the rights, if any, of the holders of any outstanding Preference Shares, carry the right to receive such dividends and other distributions (payable in cash, property or shares of the Company) when, as and if declared thereon by the Directors from time to time out of any assets or funds of the Company legally available therefor, and shall share equally on a per share basis in such dividends and distributions.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8" w:name="page29"/>
    <w:bookmarkEnd w:id="28"/>
    <w:p>
      <w:pPr>
        <w:ind w:left="544" w:hanging="544"/>
        <w:spacing w:after="0"/>
        <w:tabs>
          <w:tab w:leader="none" w:pos="54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B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Class B Shares shall carry the right to receive notice of and to attend, to speak at and to vote at any general meeting of the Company.</w:t>
      </w:r>
    </w:p>
    <w:p>
      <w:pPr>
        <w:spacing w:after="0" w:line="131" w:lineRule="exact"/>
        <w:rPr>
          <w:sz w:val="20"/>
          <w:szCs w:val="20"/>
          <w:color w:val="auto"/>
        </w:rPr>
      </w:pPr>
    </w:p>
    <w:p>
      <w:pPr>
        <w:jc w:val="both"/>
        <w:ind w:left="544" w:hanging="539"/>
        <w:spacing w:after="0" w:line="289"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 xml:space="preserve">In the event of a winding up or dissolution of the Company, whether voluntary or involuntary or for the purposes of a reorganisation or otherwise or upon any distribution of capital, holders of Class B Shares shall be entitled,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holders of Class A Shares, to an amount equal to the capital paid up on such Class B Shares. Class B Shares shall not carry any other right to participate in the profits or assets of the Company.</w:t>
      </w:r>
    </w:p>
    <w:p>
      <w:pPr>
        <w:spacing w:after="0" w:line="63"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Class B Shares shall not carry the right to receive dividends or other distributions, and dividends and other distributions shall not be declared or paid on the Class B Shares, except by way of issue of further Class B Shares as a result of capitalisation pursuant to Article 42.</w:t>
      </w:r>
    </w:p>
    <w:p>
      <w:pPr>
        <w:spacing w:after="0" w:line="67"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Class B Shares shall automatically and without further action on the part of the Company or any holder of such Class B Share be forfeited and cancelled on the terms and subject to the set forth in the Exchange Agreement.</w:t>
      </w:r>
    </w:p>
    <w:p>
      <w:pPr>
        <w:spacing w:after="0" w:line="63" w:lineRule="exact"/>
        <w:rPr>
          <w:sz w:val="20"/>
          <w:szCs w:val="20"/>
          <w:color w:val="auto"/>
        </w:rPr>
      </w:pPr>
    </w:p>
    <w:p>
      <w:pPr>
        <w:ind w:left="544" w:hanging="544"/>
        <w:spacing w:after="0"/>
        <w:tabs>
          <w:tab w:leader="none" w:pos="54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131"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77" w:lineRule="exact"/>
        <w:rPr>
          <w:sz w:val="20"/>
          <w:szCs w:val="20"/>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35" w:lineRule="exact"/>
        <w:rPr>
          <w:sz w:val="20"/>
          <w:szCs w:val="20"/>
          <w:color w:val="auto"/>
        </w:rPr>
      </w:pPr>
    </w:p>
    <w:p>
      <w:pPr>
        <w:ind w:left="544" w:right="140" w:hanging="539"/>
        <w:spacing w:after="0" w:line="289"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40 days.</w:t>
      </w:r>
    </w:p>
    <w:p>
      <w:pPr>
        <w:spacing w:after="0" w:line="63"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29" w:name="page30"/>
    <w:bookmarkEnd w:id="29"/>
    <w:p>
      <w:pPr>
        <w:ind w:left="544" w:right="10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85" w:lineRule="exact"/>
        <w:rPr>
          <w:sz w:val="20"/>
          <w:szCs w:val="20"/>
          <w:color w:val="auto"/>
        </w:rPr>
      </w:pPr>
    </w:p>
    <w:p>
      <w:pPr>
        <w:ind w:left="544" w:hanging="544"/>
        <w:spacing w:after="0"/>
        <w:tabs>
          <w:tab w:leader="none" w:pos="54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135"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93"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67" w:lineRule="exact"/>
        <w:rPr>
          <w:sz w:val="20"/>
          <w:szCs w:val="20"/>
          <w:color w:val="auto"/>
        </w:rPr>
      </w:pPr>
    </w:p>
    <w:p>
      <w:pPr>
        <w:jc w:val="both"/>
        <w:ind w:left="544" w:right="2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67" w:lineRule="exact"/>
        <w:rPr>
          <w:sz w:val="20"/>
          <w:szCs w:val="20"/>
          <w:color w:val="auto"/>
        </w:rPr>
      </w:pPr>
    </w:p>
    <w:p>
      <w:pPr>
        <w:ind w:left="544" w:right="2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81" w:lineRule="exact"/>
        <w:rPr>
          <w:sz w:val="20"/>
          <w:szCs w:val="20"/>
          <w:color w:val="auto"/>
        </w:rPr>
      </w:pPr>
    </w:p>
    <w:p>
      <w:pPr>
        <w:ind w:left="544" w:hanging="544"/>
        <w:spacing w:after="0"/>
        <w:tabs>
          <w:tab w:leader="none" w:pos="54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3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terms of the Articles, including Article 9.2,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0" w:name="page31"/>
    <w:bookmarkEnd w:id="30"/>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8"/>
          <w:szCs w:val="18"/>
          <w:color w:val="auto"/>
        </w:rPr>
        <w:t>No holder of Class B Shares may transfer Class B Shares to any person unless such holder at the same time transfers a corresponding number of Common Units to the same person and otherwise in accordance with the provisions of the Partnership Agreement. If any outstanding Class B Share ceases to be held by a holder of the corresponding Common Unit such Class B Share shall automatically and without further action on the part of the Company or any holder of such Class B Share be forfeited to the Company for no consideration and cancelled.</w:t>
      </w:r>
    </w:p>
    <w:p>
      <w:pPr>
        <w:spacing w:after="0" w:line="85"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Redemption, Repurchase and Surrender of Shares</w:t>
      </w:r>
    </w:p>
    <w:p>
      <w:pPr>
        <w:spacing w:after="0" w:line="135"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10.1</w:t>
        <w:tab/>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85"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10.2</w:t>
        <w:tab/>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this Article 10 shall not require further approval of the Members.</w:t>
      </w:r>
    </w:p>
    <w:p>
      <w:pPr>
        <w:spacing w:after="0" w:line="89"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10.3</w:t>
        <w:tab/>
        <w:t>The Company may make a payment in respect of the redemption or purchase of its own Shares in any manner permitted by the Statute, including out of capital.</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tab/>
        <w:t>The Directors may accept the surrender for no consideration of any fully paid Share.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1" w:name="page32"/>
    <w:bookmarkEnd w:id="31"/>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w:t>
      </w:r>
      <w:r>
        <w:rPr>
          <w:sz w:val="20"/>
          <w:szCs w:val="20"/>
          <w:color w:val="auto"/>
        </w:rPr>
        <w:tab/>
      </w:r>
      <w:r>
        <w:rPr>
          <w:rFonts w:ascii="Times New Roman" w:cs="Times New Roman" w:eastAsia="Times New Roman" w:hAnsi="Times New Roman"/>
          <w:sz w:val="18"/>
          <w:szCs w:val="18"/>
          <w:b w:val="1"/>
          <w:bCs w:val="1"/>
          <w:color w:val="auto"/>
        </w:rPr>
        <w:t>Treasury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131" w:lineRule="exact"/>
        <w:rPr>
          <w:sz w:val="20"/>
          <w:szCs w:val="20"/>
          <w:color w:val="auto"/>
        </w:rPr>
      </w:pPr>
    </w:p>
    <w:p>
      <w:pPr>
        <w:ind w:left="544" w:right="3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The Directors may determine to cancel a Treasury Share or transfer a Treasury Share on such terms as they think proper (including, without limitation, for nil consideration).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135" w:lineRule="exact"/>
        <w:rPr>
          <w:sz w:val="20"/>
          <w:szCs w:val="20"/>
          <w:color w:val="auto"/>
        </w:rPr>
      </w:pPr>
    </w:p>
    <w:p>
      <w:pPr>
        <w:ind w:left="544" w:right="2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12.1</w:t>
        <w:tab/>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an adverse effect upon such rights (it being noted that a variation to the rights attached to the Class B Shares shall be deemed to be an adverse variation to rights attached to the Class A Shares); otherwise, any such variation shall be made only with the consent in writing of the holders of not less than three fourths of the issued Shares of that class, or with the approval of a resolution passed by a majority of not less than three fourths of the issued Shares of that class at a separate meeting of the holders of the Shares of that class. For the avoidance of doubt, the Directors reserve the right, notwithstanding that any such variation may not have an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or more persons holding or representing by proxy at least one third of the issued Shares of the class and that any holder of Shares of the class present in person or by proxy may demand a poll.</w:t>
      </w:r>
    </w:p>
    <w:p>
      <w:pPr>
        <w:spacing w:after="0" w:line="97"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12.2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1" w:lineRule="exact"/>
        <w:rPr>
          <w:sz w:val="20"/>
          <w:szCs w:val="20"/>
          <w:color w:val="auto"/>
        </w:rPr>
      </w:pPr>
    </w:p>
    <w:p>
      <w:pPr>
        <w:ind w:left="544" w:right="3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12.3</w:t>
        <w:tab/>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77" w:lineRule="exact"/>
        <w:rPr>
          <w:sz w:val="20"/>
          <w:szCs w:val="20"/>
          <w:color w:val="auto"/>
        </w:rPr>
      </w:pPr>
    </w:p>
    <w:p>
      <w:pPr>
        <w:ind w:left="544" w:hanging="544"/>
        <w:spacing w:after="0"/>
        <w:tabs>
          <w:tab w:leader="none" w:pos="54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6" w:right="479" w:bottom="1440" w:gutter="0" w:footer="0" w:header="0"/>
        </w:sectPr>
      </w:pPr>
    </w:p>
    <w:bookmarkStart w:id="32" w:name="page33"/>
    <w:bookmarkEnd w:id="32"/>
    <w:p>
      <w:pPr>
        <w:ind w:left="544" w:hanging="544"/>
        <w:spacing w:after="0"/>
        <w:tabs>
          <w:tab w:leader="none" w:pos="54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 Recognition of Trusts</w:t>
      </w:r>
    </w:p>
    <w:p>
      <w:pPr>
        <w:spacing w:after="0" w:line="121" w:lineRule="exact"/>
        <w:rPr>
          <w:rFonts w:ascii="Times New Roman" w:cs="Times New Roman" w:eastAsia="Times New Roman" w:hAnsi="Times New Roman"/>
          <w:sz w:val="18"/>
          <w:szCs w:val="18"/>
          <w:b w:val="1"/>
          <w:bCs w:val="1"/>
          <w:color w:val="auto"/>
        </w:rPr>
      </w:pPr>
    </w:p>
    <w:p>
      <w:pPr>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135" w:lineRule="exact"/>
        <w:rPr>
          <w:sz w:val="20"/>
          <w:szCs w:val="20"/>
          <w:color w:val="auto"/>
        </w:rPr>
      </w:pPr>
    </w:p>
    <w:p>
      <w:pPr>
        <w:ind w:left="544" w:right="4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15.1</w:t>
        <w:tab/>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89" w:lineRule="exact"/>
        <w:rPr>
          <w:sz w:val="20"/>
          <w:szCs w:val="20"/>
          <w:color w:val="auto"/>
        </w:rPr>
      </w:pPr>
    </w:p>
    <w:p>
      <w:pPr>
        <w:ind w:left="544" w:right="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15.2</w:t>
        <w:tab/>
        <w:t>The Company may sell, in such manner as the Directors think fit, any Shares on which the Company has a lien, if a sum in respect of which the lien exists is presently payable, and is not paid within 14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85" w:lineRule="exact"/>
        <w:rPr>
          <w:sz w:val="20"/>
          <w:szCs w:val="20"/>
          <w:color w:val="auto"/>
        </w:rPr>
      </w:pPr>
    </w:p>
    <w:p>
      <w:pPr>
        <w:ind w:left="544" w:right="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15.3</w:t>
        <w:tab/>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85"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15.4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Subject to the terms of the allotment and issue of any Shares, the Directors may make calls upon the Members in respect of any monies unpaid</w:t>
      </w:r>
    </w:p>
    <w:p>
      <w:pPr>
        <w:spacing w:after="0" w:line="27" w:lineRule="exact"/>
        <w:rPr>
          <w:sz w:val="20"/>
          <w:szCs w:val="20"/>
          <w:color w:val="auto"/>
        </w:rPr>
      </w:pPr>
    </w:p>
    <w:p>
      <w:pPr>
        <w:ind w:left="544" w:right="240"/>
        <w:spacing w:after="0" w:line="253" w:lineRule="auto"/>
        <w:rPr>
          <w:sz w:val="20"/>
          <w:szCs w:val="20"/>
          <w:color w:val="auto"/>
        </w:rPr>
      </w:pPr>
      <w:r>
        <w:rPr>
          <w:rFonts w:ascii="Times New Roman" w:cs="Times New Roman" w:eastAsia="Times New Roman" w:hAnsi="Times New Roman"/>
          <w:sz w:val="18"/>
          <w:szCs w:val="18"/>
          <w:color w:val="auto"/>
        </w:rPr>
        <w:t>on their Shares (whether in respect of par value or premium), and each Member shall (subject to receiving at least 14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33" w:name="page34"/>
    <w:bookmarkEnd w:id="33"/>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16.4</w:t>
        <w:tab/>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81" w:lineRule="exact"/>
        <w:rPr>
          <w:sz w:val="20"/>
          <w:szCs w:val="20"/>
          <w:color w:val="auto"/>
        </w:rPr>
      </w:pPr>
    </w:p>
    <w:p>
      <w:pPr>
        <w:jc w:val="both"/>
        <w:ind w:left="540" w:right="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16.5</w:t>
        <w:tab/>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131" w:lineRule="exact"/>
        <w:rPr>
          <w:sz w:val="20"/>
          <w:szCs w:val="20"/>
          <w:color w:val="auto"/>
        </w:rPr>
      </w:pPr>
    </w:p>
    <w:p>
      <w:pPr>
        <w:ind w:left="540" w:right="2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16.7</w:t>
        <w:tab/>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1"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16.8</w:t>
        <w:tab/>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135"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17.1</w:t>
        <w:tab/>
        <w:t>If a call or instalment of a call remains unpaid after it has become due and payable the Directors may give to the person from whom it is due not less than 14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85"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17.2</w:t>
        <w:tab/>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81" w:lineRule="exact"/>
        <w:rPr>
          <w:sz w:val="20"/>
          <w:szCs w:val="20"/>
          <w:color w:val="auto"/>
        </w:rPr>
      </w:pPr>
    </w:p>
    <w:p>
      <w:pPr>
        <w:jc w:val="both"/>
        <w:ind w:left="540" w:right="1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17.3</w:t>
        <w:tab/>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4" w:name="page35"/>
    <w:bookmarkEnd w:id="34"/>
    <w:p>
      <w:pPr>
        <w:ind w:left="540" w:right="120" w:hanging="539"/>
        <w:spacing w:after="0" w:line="28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17.4</w:t>
      </w:r>
      <w:r>
        <w:rPr>
          <w:sz w:val="20"/>
          <w:szCs w:val="20"/>
          <w:color w:val="auto"/>
        </w:rPr>
        <w:tab/>
      </w:r>
      <w:r>
        <w:rPr>
          <w:rFonts w:ascii="Times New Roman" w:cs="Times New Roman" w:eastAsia="Times New Roman" w:hAnsi="Times New Roman"/>
          <w:sz w:val="17"/>
          <w:szCs w:val="17"/>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70"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17.5</w:t>
        <w:tab/>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89"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17.6</w:t>
        <w:tab/>
        <w:t>The provisions of the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35"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18.1</w:t>
        <w:tab/>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1" w:lineRule="exact"/>
        <w:rPr>
          <w:sz w:val="20"/>
          <w:szCs w:val="20"/>
          <w:color w:val="auto"/>
        </w:rPr>
      </w:pPr>
    </w:p>
    <w:p>
      <w:pPr>
        <w:ind w:left="540" w:right="8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18.2</w:t>
        <w:tab/>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93" w:lineRule="exact"/>
        <w:rPr>
          <w:sz w:val="20"/>
          <w:szCs w:val="20"/>
          <w:color w:val="auto"/>
        </w:rPr>
      </w:pPr>
    </w:p>
    <w:p>
      <w:pPr>
        <w:jc w:val="both"/>
        <w:ind w:left="540" w:right="60" w:hanging="539"/>
        <w:spacing w:after="0" w:line="277" w:lineRule="auto"/>
        <w:tabs>
          <w:tab w:leader="none" w:pos="52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5" w:name="page36"/>
    <w:bookmarkEnd w:id="35"/>
    <w:p>
      <w:pPr>
        <w:ind w:left="5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90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Restricted Stock Rights</w:t>
      </w:r>
    </w:p>
    <w:p>
      <w:pPr>
        <w:spacing w:after="0" w:line="135" w:lineRule="exact"/>
        <w:rPr>
          <w:sz w:val="20"/>
          <w:szCs w:val="20"/>
          <w:color w:val="auto"/>
        </w:rPr>
      </w:pPr>
    </w:p>
    <w:p>
      <w:pPr>
        <w:ind w:left="540" w:right="6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19.1</w:t>
        <w:tab/>
        <w:t>The Company has issued Restricted Stock Rights to certain Earnout Participants and PMEL Post-Combination Company Unitholders on the terms and subject to the conditions set forth in the Business Combination Agreement. At such time and from time to time if and as Restricted Stock Rights vest, the Company shall issue one Class B Share in satisfaction of its obligations in respect of each such Restricted Stock Right to the Earnout Participants or PMEL Post-Combination Company Unitholders, as applicable, on the terms and subject to the conditions set forth in the Business Combination Agreement and without the need for further action on the part of Company or any Earnout Participant or PMEL Post-Combination Company Unitholder, as applicable, and the Company shall forthwith on the issue of such Class B Shares enter the relevant Earnout Participant or PMEL Post-Combination Company Unitholder, as applicable, in the Register of Members as the holder of such Class B Shares.</w:t>
      </w:r>
    </w:p>
    <w:p>
      <w:pPr>
        <w:spacing w:after="0" w:line="97" w:lineRule="exact"/>
        <w:rPr>
          <w:sz w:val="20"/>
          <w:szCs w:val="20"/>
          <w:color w:val="auto"/>
        </w:rPr>
      </w:pPr>
    </w:p>
    <w:p>
      <w:pPr>
        <w:jc w:val="both"/>
        <w:ind w:left="540" w:right="2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19.2</w:t>
        <w:tab/>
        <w:t>No Holder of Restricted Stock Rights shall have any right as a Member (including any right to attend meetings, vote, or receive any dividend, distribution or other payment of any kind in respect of its Restricted Stock Rights, or any Class B Shares issuable in respect thereof), in each case, unless and until such Class B Shares have been issued and recorded on the Register of Members.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The Company may by Ordinary Resolution:</w:t>
      </w:r>
    </w:p>
    <w:p>
      <w:pPr>
        <w:spacing w:after="0" w:line="131" w:lineRule="exact"/>
        <w:rPr>
          <w:sz w:val="20"/>
          <w:szCs w:val="20"/>
          <w:color w:val="auto"/>
        </w:rPr>
      </w:pPr>
    </w:p>
    <w:p>
      <w:pPr>
        <w:ind w:left="1180" w:right="80" w:hanging="644"/>
        <w:spacing w:after="0" w:line="282"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0"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6" w:name="page37"/>
    <w:bookmarkEnd w:id="36"/>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20.2</w:t>
        <w:tab/>
        <w:t>All new Shares created in accordance with the provisions of this Article 20 shall be subject to the same provisions of the Articles with reference to the payment of calls, liens, transfer, transmission, forfeiture and otherwise as the Shares in the original share capital.</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7"/>
          <w:szCs w:val="17"/>
          <w:color w:val="auto"/>
        </w:rPr>
        <w:t>Subject to the provisions of the Statute, the provisions of the Articles as regards the matters to be dealt with by Ordinary Resolution,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Company may by Special Resolution:</w:t>
      </w:r>
    </w:p>
    <w:p>
      <w:pPr>
        <w:spacing w:after="0" w:line="112" w:lineRule="exact"/>
        <w:rPr>
          <w:sz w:val="20"/>
          <w:szCs w:val="20"/>
          <w:color w:val="auto"/>
        </w:rPr>
      </w:pPr>
    </w:p>
    <w:p>
      <w:pPr>
        <w:ind w:left="1184" w:hanging="644"/>
        <w:spacing w:after="0"/>
        <w:tabs>
          <w:tab w:leader="none" w:pos="1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127" w:lineRule="exact"/>
        <w:rPr>
          <w:sz w:val="20"/>
          <w:szCs w:val="20"/>
          <w:color w:val="auto"/>
        </w:rPr>
      </w:pPr>
    </w:p>
    <w:p>
      <w:pPr>
        <w:ind w:left="544" w:hanging="544"/>
        <w:spacing w:after="0"/>
        <w:tabs>
          <w:tab w:leader="none" w:pos="54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121" w:lineRule="exact"/>
        <w:rPr>
          <w:rFonts w:ascii="Times New Roman" w:cs="Times New Roman" w:eastAsia="Times New Roman" w:hAnsi="Times New Roman"/>
          <w:sz w:val="18"/>
          <w:szCs w:val="18"/>
          <w:b w:val="1"/>
          <w:bCs w:val="1"/>
          <w:color w:val="auto"/>
        </w:rPr>
      </w:pPr>
    </w:p>
    <w:p>
      <w:pPr>
        <w:ind w:left="544"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13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22.2</w:t>
        <w:tab/>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81" w:lineRule="exact"/>
        <w:rPr>
          <w:sz w:val="20"/>
          <w:szCs w:val="20"/>
          <w:color w:val="auto"/>
        </w:rPr>
      </w:pPr>
    </w:p>
    <w:p>
      <w:pPr>
        <w:ind w:left="544" w:right="4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22.3</w:t>
        <w:tab/>
        <w:t>The Directors, the chief executive officer or the chairman of the board of directors of the Company may call general meetings, and, for the avoidance of doubt, Members shall not have the ability to call general meetings.</w:t>
      </w:r>
    </w:p>
    <w:p>
      <w:pPr>
        <w:spacing w:after="0" w:line="67" w:lineRule="exact"/>
        <w:rPr>
          <w:sz w:val="20"/>
          <w:szCs w:val="20"/>
          <w:color w:val="auto"/>
        </w:rPr>
      </w:pPr>
    </w:p>
    <w:p>
      <w:pPr>
        <w:ind w:left="544" w:right="6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22.4</w:t>
        <w:tab/>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of the Company with such deadline being a reasonable time before the Company begins to print and send its related proxy materials.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37" w:name="page38"/>
    <w:bookmarkEnd w:id="37"/>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135" w:lineRule="exact"/>
        <w:rPr>
          <w:sz w:val="20"/>
          <w:szCs w:val="20"/>
          <w:color w:val="auto"/>
        </w:rPr>
      </w:pPr>
    </w:p>
    <w:p>
      <w:pPr>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23.1</w:t>
        <w:tab/>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89" w:lineRule="exact"/>
        <w:rPr>
          <w:sz w:val="20"/>
          <w:szCs w:val="20"/>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thereat; and</w:t>
      </w:r>
    </w:p>
    <w:p>
      <w:pPr>
        <w:spacing w:after="0" w:line="130" w:lineRule="exact"/>
        <w:rPr>
          <w:rFonts w:ascii="Times New Roman" w:cs="Times New Roman" w:eastAsia="Times New Roman" w:hAnsi="Times New Roman"/>
          <w:sz w:val="18"/>
          <w:szCs w:val="18"/>
          <w:color w:val="auto"/>
        </w:rPr>
      </w:pPr>
    </w:p>
    <w:p>
      <w:pPr>
        <w:ind w:left="1180" w:right="600" w:hanging="644"/>
        <w:spacing w:after="0" w:line="282"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95 per cent in par value of the Shares giving that right.</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23.2</w:t>
        <w:tab/>
        <w:t>The accidental omission to give notice of a general meeting to, or the non-receipt of notice of a general meeting by, any person entitled to receive such notice shall not invalidate the proceedings of that general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135" w:lineRule="exact"/>
        <w:rPr>
          <w:sz w:val="20"/>
          <w:szCs w:val="20"/>
          <w:color w:val="auto"/>
        </w:rPr>
      </w:pPr>
    </w:p>
    <w:p>
      <w:pPr>
        <w:ind w:left="540" w:right="2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24.1</w:t>
        <w:tab/>
        <w:t>No business shall be transacted at any general meeting unless a quorum is present. The holders of a majority of the Shares entitled to vote at a general meeting, being individuals present in person or by proxy or if a corporation or other non-natural person by its duly authorised representative or proxy, shall be a quorum.</w:t>
      </w:r>
    </w:p>
    <w:p>
      <w:pPr>
        <w:spacing w:after="0" w:line="81"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24.2</w:t>
        <w:tab/>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1" w:lineRule="exact"/>
        <w:rPr>
          <w:sz w:val="20"/>
          <w:szCs w:val="20"/>
          <w:color w:val="auto"/>
        </w:rPr>
      </w:pPr>
    </w:p>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24.3</w:t>
        <w:tab/>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85" w:lineRule="exact"/>
        <w:rPr>
          <w:sz w:val="20"/>
          <w:szCs w:val="20"/>
          <w:color w:val="auto"/>
        </w:rPr>
      </w:pPr>
    </w:p>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24.4</w:t>
        <w:tab/>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38" w:name="page39"/>
    <w:bookmarkEnd w:id="38"/>
    <w:p>
      <w:pPr>
        <w:ind w:left="540" w:right="1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24.5</w:t>
        <w:tab/>
        <w:t>The Directors may, at any time prior to the time appointed for the meeting to commence, appoint any person to act as chairman of a general meeting of the Company or, if the Directors do not make any such appointment, the chairman, if any, of the board of directors of the Company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89" w:lineRule="exact"/>
        <w:rPr>
          <w:sz w:val="20"/>
          <w:szCs w:val="20"/>
          <w:color w:val="auto"/>
        </w:rPr>
      </w:pPr>
    </w:p>
    <w:p>
      <w:pPr>
        <w:ind w:left="540" w:right="7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24.6</w:t>
        <w:tab/>
        <w:t>If no Director is willing to act as chairman or if no Director is present within fifteen minutes after the time appointed for the meeting to commence, the Members present shall choose one of their number to be chairman of the meeting.</w:t>
      </w:r>
    </w:p>
    <w:p>
      <w:pPr>
        <w:spacing w:after="0" w:line="67"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24.7</w:t>
        <w:tab/>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7"/>
          <w:szCs w:val="17"/>
          <w:color w:val="auto"/>
        </w:rPr>
        <w:t>When a general meeting is adjourned for 30 days or more, notice of the adjourned meeting shall be given as in the case of an original meeting.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112" w:lineRule="exact"/>
        <w:rPr>
          <w:sz w:val="20"/>
          <w:szCs w:val="20"/>
          <w:color w:val="auto"/>
        </w:rPr>
      </w:pPr>
    </w:p>
    <w:p>
      <w:pPr>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24.9</w:t>
        <w:tab/>
        <w:t>If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9" w:lineRule="exact"/>
        <w:rPr>
          <w:sz w:val="20"/>
          <w:szCs w:val="20"/>
          <w:color w:val="auto"/>
        </w:rPr>
      </w:pPr>
    </w:p>
    <w:p>
      <w:pPr>
        <w:jc w:val="both"/>
        <w:ind w:left="540" w:right="180" w:hanging="539"/>
        <w:spacing w:after="0" w:line="266" w:lineRule="auto"/>
        <w:rPr>
          <w:sz w:val="20"/>
          <w:szCs w:val="20"/>
          <w:color w:val="auto"/>
        </w:rPr>
      </w:pPr>
      <w:r>
        <w:rPr>
          <w:rFonts w:ascii="Times New Roman" w:cs="Times New Roman" w:eastAsia="Times New Roman" w:hAnsi="Times New Roman"/>
          <w:sz w:val="18"/>
          <w:szCs w:val="18"/>
          <w:color w:val="auto"/>
        </w:rPr>
        <w:t>24.10 When a general meeting is postponed for 30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24.11</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131" w:lineRule="exact"/>
        <w:rPr>
          <w:sz w:val="20"/>
          <w:szCs w:val="20"/>
          <w:color w:val="auto"/>
        </w:rPr>
      </w:pPr>
    </w:p>
    <w:p>
      <w:pPr>
        <w:ind w:left="540" w:right="220" w:hanging="539"/>
        <w:spacing w:after="0" w:line="282" w:lineRule="auto"/>
        <w:rPr>
          <w:sz w:val="20"/>
          <w:szCs w:val="20"/>
          <w:color w:val="auto"/>
        </w:rPr>
      </w:pPr>
      <w:r>
        <w:rPr>
          <w:rFonts w:ascii="Times New Roman" w:cs="Times New Roman" w:eastAsia="Times New Roman" w:hAnsi="Times New Roman"/>
          <w:sz w:val="18"/>
          <w:szCs w:val="18"/>
          <w:color w:val="auto"/>
        </w:rPr>
        <w:t>24.12 A poll shall be taken as the chairman directs, and the result of the poll shall be deemed to be the resolution of the general meeting at which the poll was demanded.</w:t>
      </w:r>
    </w:p>
    <w:p>
      <w:pPr>
        <w:spacing w:after="0" w:line="67" w:lineRule="exact"/>
        <w:rPr>
          <w:sz w:val="20"/>
          <w:szCs w:val="20"/>
          <w:color w:val="auto"/>
        </w:rPr>
      </w:pPr>
    </w:p>
    <w:p>
      <w:pPr>
        <w:jc w:val="both"/>
        <w:ind w:left="540" w:right="60" w:hanging="539"/>
        <w:spacing w:after="0" w:line="266" w:lineRule="auto"/>
        <w:rPr>
          <w:sz w:val="20"/>
          <w:szCs w:val="20"/>
          <w:color w:val="auto"/>
        </w:rPr>
      </w:pPr>
      <w:r>
        <w:rPr>
          <w:rFonts w:ascii="Times New Roman" w:cs="Times New Roman" w:eastAsia="Times New Roman" w:hAnsi="Times New Roman"/>
          <w:sz w:val="18"/>
          <w:szCs w:val="18"/>
          <w:color w:val="auto"/>
        </w:rPr>
        <w:t>24.13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24.14  In the case of an equality of votes the chairman shall be entitled to a second or casting vote.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135"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25.1</w:t>
        <w:tab/>
        <w:t>Subject to any rights or restrictions attached to any Shares, every Member present in any such manner shall have one vote for every Share of which he is the holder. The Class A Shares and Class B Shares shall vote together as a single class on all matters (subject to Article 12).</w:t>
      </w:r>
    </w:p>
    <w:p>
      <w:pPr>
        <w:spacing w:after="0" w:line="67"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25.2</w:t>
        <w:tab/>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81"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25.3</w:t>
        <w:tab/>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8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25.4</w:t>
        <w:tab/>
        <w:t>No person shall be entitled to vote at any general meeting unless he is registered as a Member on the record date for such meeting nor unless all calls or other monies then payable by him in respect of Shares have been paid.</w:t>
      </w:r>
    </w:p>
    <w:p>
      <w:pPr>
        <w:spacing w:after="0" w:line="67"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25.5</w:t>
        <w:tab/>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1"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25.6</w:t>
        <w:tab/>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85" w:lineRule="exact"/>
        <w:rPr>
          <w:sz w:val="20"/>
          <w:szCs w:val="20"/>
          <w:color w:val="auto"/>
        </w:rPr>
      </w:pPr>
    </w:p>
    <w:p>
      <w:pPr>
        <w:ind w:left="540" w:right="2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25.7</w:t>
        <w:tab/>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40" w:name="page41"/>
    <w:bookmarkEnd w:id="4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135"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26.1</w:t>
        <w:tab/>
        <w:t>The instrument appointing a proxy shall be in writing and shall be executed under the hand of the appointor or of his attorney duly authorised in writing, or, if the appointor is a corporation or other non-natural person, under the hand of its duly authorised representative. A proxy need not be a Member.</w:t>
      </w:r>
    </w:p>
    <w:p>
      <w:pPr>
        <w:spacing w:after="0" w:line="81" w:lineRule="exact"/>
        <w:rPr>
          <w:sz w:val="20"/>
          <w:szCs w:val="20"/>
          <w:color w:val="auto"/>
        </w:rPr>
      </w:pPr>
    </w:p>
    <w:p>
      <w:pPr>
        <w:jc w:val="both"/>
        <w:ind w:left="540" w:right="20" w:hanging="539"/>
        <w:spacing w:after="0" w:line="272" w:lineRule="auto"/>
        <w:tabs>
          <w:tab w:leader="none" w:pos="52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7"/>
          <w:szCs w:val="17"/>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w:t>
      </w:r>
    </w:p>
    <w:p>
      <w:pPr>
        <w:spacing w:after="0" w:line="2" w:lineRule="exact"/>
        <w:rPr>
          <w:sz w:val="20"/>
          <w:szCs w:val="20"/>
          <w:color w:val="auto"/>
        </w:rPr>
      </w:pPr>
    </w:p>
    <w:p>
      <w:pPr>
        <w:jc w:val="both"/>
        <w:ind w:left="540" w:right="160"/>
        <w:spacing w:after="0" w:line="255" w:lineRule="auto"/>
        <w:rPr>
          <w:sz w:val="20"/>
          <w:szCs w:val="20"/>
          <w:color w:val="auto"/>
        </w:rPr>
      </w:pPr>
      <w:r>
        <w:rPr>
          <w:rFonts w:ascii="Times New Roman" w:cs="Times New Roman" w:eastAsia="Times New Roman" w:hAnsi="Times New Roman"/>
          <w:sz w:val="18"/>
          <w:szCs w:val="18"/>
          <w:color w:val="auto"/>
        </w:rPr>
        <w:t>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91"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26.3</w:t>
        <w:tab/>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1" w:lineRule="exact"/>
        <w:rPr>
          <w:sz w:val="20"/>
          <w:szCs w:val="20"/>
          <w:color w:val="auto"/>
        </w:rPr>
      </w:pPr>
    </w:p>
    <w:p>
      <w:pPr>
        <w:ind w:left="540" w:right="5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26.4</w:t>
        <w:tab/>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1" w:lineRule="exact"/>
        <w:rPr>
          <w:sz w:val="20"/>
          <w:szCs w:val="20"/>
          <w:color w:val="auto"/>
        </w:rPr>
      </w:pPr>
    </w:p>
    <w:p>
      <w:pPr>
        <w:ind w:left="540" w:right="10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26.5</w:t>
        <w:tab/>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135" w:lineRule="exact"/>
        <w:rPr>
          <w:sz w:val="20"/>
          <w:szCs w:val="20"/>
          <w:color w:val="auto"/>
        </w:rPr>
      </w:pPr>
    </w:p>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27.1</w:t>
        <w:tab/>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85"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27.2</w:t>
        <w:tab/>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41" w:name="page42"/>
    <w:bookmarkEnd w:id="41"/>
    <w:p>
      <w:pPr>
        <w:ind w:left="544" w:hanging="544"/>
        <w:spacing w:after="0"/>
        <w:tabs>
          <w:tab w:leader="none" w:pos="54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that May Not be Voted</w:t>
      </w:r>
    </w:p>
    <w:p>
      <w:pPr>
        <w:spacing w:after="0" w:line="121" w:lineRule="exact"/>
        <w:rPr>
          <w:rFonts w:ascii="Times New Roman" w:cs="Times New Roman" w:eastAsia="Times New Roman" w:hAnsi="Times New Roman"/>
          <w:sz w:val="18"/>
          <w:szCs w:val="18"/>
          <w:b w:val="1"/>
          <w:bCs w:val="1"/>
          <w:color w:val="auto"/>
        </w:rPr>
      </w:pPr>
    </w:p>
    <w:p>
      <w:pPr>
        <w:ind w:left="5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35" w:lineRule="exact"/>
        <w:rPr>
          <w:sz w:val="20"/>
          <w:szCs w:val="20"/>
          <w:color w:val="auto"/>
        </w:rPr>
      </w:pPr>
    </w:p>
    <w:p>
      <w:pPr>
        <w:ind w:left="544" w:right="7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29.1</w:t>
        <w:tab/>
        <w:t>There shall be a board of directors of the Company consisting of not less than one person. Subject to this Article 29.1 and the Business Combination Agreement, the Directors may increase or reduce the limits in the number of Directors.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135" w:lineRule="exact"/>
        <w:rPr>
          <w:sz w:val="20"/>
          <w:szCs w:val="20"/>
          <w:color w:val="auto"/>
        </w:rPr>
      </w:pPr>
    </w:p>
    <w:p>
      <w:pPr>
        <w:jc w:val="both"/>
        <w:ind w:left="544" w:hanging="539"/>
        <w:spacing w:after="0" w:line="281" w:lineRule="auto"/>
        <w:tabs>
          <w:tab w:leader="none" w:pos="524"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70" w:lineRule="exact"/>
        <w:rPr>
          <w:sz w:val="20"/>
          <w:szCs w:val="20"/>
          <w:color w:val="auto"/>
        </w:rPr>
      </w:pPr>
    </w:p>
    <w:p>
      <w:pPr>
        <w:jc w:val="both"/>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30.2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30.3</w:t>
        <w:tab/>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81" w:lineRule="exact"/>
        <w:rPr>
          <w:sz w:val="20"/>
          <w:szCs w:val="20"/>
          <w:color w:val="auto"/>
        </w:rPr>
      </w:pPr>
    </w:p>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30.4</w:t>
        <w:tab/>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Subject to and as otherwise set out in the Articles, including Articles 29.1 and 31.2:</w:t>
      </w:r>
    </w:p>
    <w:p>
      <w:pPr>
        <w:spacing w:after="0" w:line="131" w:lineRule="exact"/>
        <w:rPr>
          <w:sz w:val="20"/>
          <w:szCs w:val="20"/>
          <w:color w:val="auto"/>
        </w:rPr>
      </w:pPr>
    </w:p>
    <w:p>
      <w:pPr>
        <w:ind w:left="1184" w:hanging="644"/>
        <w:spacing w:after="0"/>
        <w:tabs>
          <w:tab w:leader="none" w:pos="1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 and</w:t>
      </w:r>
    </w:p>
    <w:p>
      <w:pPr>
        <w:spacing w:after="0" w:line="130" w:lineRule="exact"/>
        <w:rPr>
          <w:rFonts w:ascii="Times New Roman" w:cs="Times New Roman" w:eastAsia="Times New Roman" w:hAnsi="Times New Roman"/>
          <w:sz w:val="18"/>
          <w:szCs w:val="18"/>
          <w:color w:val="auto"/>
        </w:rPr>
      </w:pPr>
    </w:p>
    <w:p>
      <w:pPr>
        <w:ind w:left="5424" w:right="2760" w:hanging="4884"/>
        <w:spacing w:after="0" w:line="454" w:lineRule="auto"/>
        <w:tabs>
          <w:tab w:leader="none" w:pos="11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hold office until such time as they are removed from office by Special Resolution. 22</w:t>
      </w:r>
    </w:p>
    <w:p>
      <w:pPr>
        <w:sectPr>
          <w:pgSz w:w="11900" w:h="16838" w:orient="portrait"/>
          <w:cols w:equalWidth="0" w:num="1">
            <w:col w:w="11004"/>
          </w:cols>
          <w:pgMar w:left="436" w:top="266" w:right="459" w:bottom="1440" w:gutter="0" w:footer="0" w:header="0"/>
        </w:sectPr>
      </w:pPr>
    </w:p>
    <w:bookmarkStart w:id="42" w:name="page43"/>
    <w:bookmarkEnd w:id="42"/>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31.2</w:t>
        <w:tab/>
        <w:t>The board of directors of the Company shall consist of three classes, each holding three-year terms, with the term of the first class of Directors expiring at the first annual meeting of the Members following the Effective Date, the term of the second class of Directors expiring at the second annual meeting of Members following the Effective Date and the term of the third class of Directors expiring at the third annual meeting of Members following the Effective Date, and the class into which a Director is to be appointed shall be set out in the resolutions appointing such Director.</w:t>
      </w:r>
    </w:p>
    <w:p>
      <w:pPr>
        <w:spacing w:after="0" w:line="89" w:lineRule="exact"/>
        <w:rPr>
          <w:sz w:val="20"/>
          <w:szCs w:val="20"/>
          <w:color w:val="auto"/>
        </w:rPr>
      </w:pPr>
    </w:p>
    <w:p>
      <w:pPr>
        <w:ind w:left="544" w:right="20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41" w:lineRule="exact"/>
        <w:rPr>
          <w:sz w:val="20"/>
          <w:szCs w:val="20"/>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130" w:lineRule="exact"/>
        <w:rPr>
          <w:rFonts w:ascii="Times New Roman" w:cs="Times New Roman" w:eastAsia="Times New Roman" w:hAnsi="Times New Roman"/>
          <w:sz w:val="18"/>
          <w:szCs w:val="18"/>
          <w:color w:val="auto"/>
        </w:rPr>
      </w:pPr>
    </w:p>
    <w:p>
      <w:pPr>
        <w:jc w:val="both"/>
        <w:ind w:left="1184" w:right="160" w:hanging="644"/>
        <w:spacing w:after="0" w:line="266" w:lineRule="auto"/>
        <w:tabs>
          <w:tab w:leader="none" w:pos="1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of the Company without special leave of absence from the Directors, and the Directors pass a resolution that he has by reason of such absence vacated office;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135"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33.1</w:t>
        <w:tab/>
        <w:t>The quorum for the transaction of the business of the Directors may be fixed by the Directors, and unless so fixed shall be a majority of the Directors then in office.</w:t>
      </w:r>
    </w:p>
    <w:p>
      <w:pPr>
        <w:spacing w:after="0" w:line="67"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33.2</w:t>
        <w:tab/>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67"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33.3</w:t>
        <w:tab/>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70" w:right="499" w:bottom="1440" w:gutter="0" w:footer="0" w:header="0"/>
        </w:sectPr>
      </w:pPr>
    </w:p>
    <w:bookmarkStart w:id="43" w:name="page44"/>
    <w:bookmarkEnd w:id="43"/>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33.4</w:t>
        <w:tab/>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85" w:lineRule="exact"/>
        <w:rPr>
          <w:sz w:val="20"/>
          <w:szCs w:val="20"/>
          <w:color w:val="auto"/>
        </w:rPr>
      </w:pPr>
    </w:p>
    <w:p>
      <w:pPr>
        <w:ind w:left="544" w:right="1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33.5</w:t>
        <w:tab/>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85" w:lineRule="exact"/>
        <w:rPr>
          <w:sz w:val="20"/>
          <w:szCs w:val="20"/>
          <w:color w:val="auto"/>
        </w:rPr>
      </w:pPr>
    </w:p>
    <w:p>
      <w:pPr>
        <w:ind w:left="544" w:right="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85"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33.7</w:t>
        <w:tab/>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81"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33.8</w:t>
        <w:tab/>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81" w:lineRule="exact"/>
        <w:rPr>
          <w:sz w:val="20"/>
          <w:szCs w:val="20"/>
          <w:color w:val="auto"/>
        </w:rPr>
      </w:pPr>
    </w:p>
    <w:p>
      <w:pPr>
        <w:ind w:left="544" w:hanging="544"/>
        <w:spacing w:after="0"/>
        <w:tabs>
          <w:tab w:leader="none" w:pos="54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of the Company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44" w:name="page45"/>
    <w:bookmarkEnd w:id="44"/>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135"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35.1</w:t>
        <w:tab/>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67" w:lineRule="exact"/>
        <w:rPr>
          <w:sz w:val="20"/>
          <w:szCs w:val="20"/>
          <w:color w:val="auto"/>
        </w:rPr>
      </w:pPr>
    </w:p>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35.2</w:t>
        <w:tab/>
        <w:t>A Director may act by himself or by, through or on behalf of his firm in a professional capacity for the Company and he or his firm shall be entitled to remuneration for professional services as if he were not a Director.</w:t>
      </w:r>
    </w:p>
    <w:p>
      <w:pPr>
        <w:spacing w:after="0" w:line="67"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35.3</w:t>
        <w:tab/>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81"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35.4</w:t>
        <w:tab/>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94" w:lineRule="exact"/>
        <w:rPr>
          <w:sz w:val="20"/>
          <w:szCs w:val="20"/>
          <w:color w:val="auto"/>
        </w:rPr>
      </w:pPr>
    </w:p>
    <w:p>
      <w:pPr>
        <w:ind w:left="544" w:right="2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35.5</w:t>
        <w:tab/>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81" w:lineRule="exact"/>
        <w:rPr>
          <w:sz w:val="20"/>
          <w:szCs w:val="20"/>
          <w:color w:val="auto"/>
        </w:rPr>
      </w:pPr>
    </w:p>
    <w:p>
      <w:pPr>
        <w:ind w:left="544" w:hanging="544"/>
        <w:spacing w:after="0"/>
        <w:tabs>
          <w:tab w:leader="none" w:pos="54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135" w:lineRule="exact"/>
        <w:rPr>
          <w:sz w:val="20"/>
          <w:szCs w:val="20"/>
          <w:color w:val="auto"/>
        </w:rPr>
      </w:pPr>
    </w:p>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37.1</w:t>
        <w:tab/>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45" w:name="page46"/>
    <w:bookmarkEnd w:id="45"/>
    <w:p>
      <w:pPr>
        <w:ind w:left="500" w:hanging="539"/>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37.2</w:t>
        <w:tab/>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9" w:lineRule="exact"/>
        <w:rPr>
          <w:sz w:val="20"/>
          <w:szCs w:val="20"/>
          <w:color w:val="auto"/>
        </w:rPr>
      </w:pPr>
    </w:p>
    <w:p>
      <w:pPr>
        <w:ind w:left="500" w:right="40" w:hanging="539"/>
        <w:spacing w:after="0" w:line="253" w:lineRule="auto"/>
        <w:tabs>
          <w:tab w:leader="none" w:pos="480" w:val="left"/>
        </w:tabs>
        <w:rPr>
          <w:sz w:val="20"/>
          <w:szCs w:val="20"/>
          <w:color w:val="auto"/>
        </w:rPr>
      </w:pPr>
      <w:r>
        <w:rPr>
          <w:rFonts w:ascii="Times New Roman" w:cs="Times New Roman" w:eastAsia="Times New Roman" w:hAnsi="Times New Roman"/>
          <w:sz w:val="18"/>
          <w:szCs w:val="18"/>
          <w:color w:val="auto"/>
        </w:rPr>
        <w:t>37.3</w:t>
        <w:tab/>
        <w:t>The Directors may adopt formal written charters for committees. Each of these committees shall be empowered to do all things necessary to exercise the rights of such committee set forth in the Articles and its charter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97" w:lineRule="exact"/>
        <w:rPr>
          <w:sz w:val="20"/>
          <w:szCs w:val="20"/>
          <w:color w:val="auto"/>
        </w:rPr>
      </w:pPr>
    </w:p>
    <w:p>
      <w:pPr>
        <w:ind w:left="500" w:right="300" w:hanging="539"/>
        <w:spacing w:after="0" w:line="312" w:lineRule="auto"/>
        <w:tabs>
          <w:tab w:leader="none" w:pos="480" w:val="left"/>
        </w:tabs>
        <w:rPr>
          <w:sz w:val="20"/>
          <w:szCs w:val="20"/>
          <w:color w:val="auto"/>
        </w:rPr>
      </w:pPr>
      <w:r>
        <w:rPr>
          <w:rFonts w:ascii="Times New Roman" w:cs="Times New Roman" w:eastAsia="Times New Roman" w:hAnsi="Times New Roman"/>
          <w:sz w:val="18"/>
          <w:szCs w:val="18"/>
          <w:color w:val="auto"/>
        </w:rPr>
        <w:t>37.4</w:t>
      </w:r>
      <w:r>
        <w:rPr>
          <w:sz w:val="20"/>
          <w:szCs w:val="20"/>
          <w:color w:val="auto"/>
        </w:rPr>
        <w:tab/>
      </w:r>
      <w:r>
        <w:rPr>
          <w:rFonts w:ascii="Times New Roman" w:cs="Times New Roman" w:eastAsia="Times New Roman" w:hAnsi="Times New Roman"/>
          <w:sz w:val="17"/>
          <w:szCs w:val="17"/>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45" w:lineRule="exact"/>
        <w:rPr>
          <w:sz w:val="20"/>
          <w:szCs w:val="20"/>
          <w:color w:val="auto"/>
        </w:rPr>
      </w:pPr>
    </w:p>
    <w:p>
      <w:pPr>
        <w:ind w:left="500" w:right="120" w:hanging="539"/>
        <w:spacing w:after="0" w:line="256" w:lineRule="auto"/>
        <w:tabs>
          <w:tab w:leader="none" w:pos="480" w:val="left"/>
        </w:tabs>
        <w:rPr>
          <w:sz w:val="20"/>
          <w:szCs w:val="20"/>
          <w:color w:val="auto"/>
        </w:rPr>
      </w:pPr>
      <w:r>
        <w:rPr>
          <w:rFonts w:ascii="Times New Roman" w:cs="Times New Roman" w:eastAsia="Times New Roman" w:hAnsi="Times New Roman"/>
          <w:sz w:val="18"/>
          <w:szCs w:val="18"/>
          <w:color w:val="auto"/>
        </w:rPr>
        <w:t>37.5</w:t>
        <w:tab/>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93" w:lineRule="exact"/>
        <w:rPr>
          <w:sz w:val="20"/>
          <w:szCs w:val="20"/>
          <w:color w:val="auto"/>
        </w:rPr>
      </w:pPr>
    </w:p>
    <w:p>
      <w:pPr>
        <w:ind w:left="500" w:right="20" w:hanging="539"/>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37.6</w:t>
        <w:tab/>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80" w:top="270" w:right="499" w:bottom="1440" w:gutter="0" w:footer="0" w:header="0"/>
        </w:sectPr>
      </w:pPr>
    </w:p>
    <w:bookmarkStart w:id="46" w:name="page47"/>
    <w:bookmarkEnd w:id="46"/>
    <w:p>
      <w:pPr>
        <w:ind w:left="544" w:hanging="544"/>
        <w:spacing w:after="0"/>
        <w:tabs>
          <w:tab w:leader="none" w:pos="54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Minimum Shareholding</w:t>
      </w:r>
    </w:p>
    <w:p>
      <w:pPr>
        <w:spacing w:after="0" w:line="121" w:lineRule="exact"/>
        <w:rPr>
          <w:rFonts w:ascii="Times New Roman" w:cs="Times New Roman" w:eastAsia="Times New Roman" w:hAnsi="Times New Roman"/>
          <w:sz w:val="18"/>
          <w:szCs w:val="18"/>
          <w:b w:val="1"/>
          <w:bCs w:val="1"/>
          <w:color w:val="auto"/>
        </w:rPr>
      </w:pPr>
    </w:p>
    <w:p>
      <w:pPr>
        <w:ind w:left="5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135"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7"/>
          <w:szCs w:val="17"/>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73" w:lineRule="exact"/>
        <w:rPr>
          <w:sz w:val="20"/>
          <w:szCs w:val="20"/>
          <w:color w:val="auto"/>
        </w:rPr>
      </w:pPr>
    </w:p>
    <w:p>
      <w:pPr>
        <w:ind w:left="544" w:right="4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39.2</w:t>
        <w:tab/>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135" w:lineRule="exact"/>
        <w:rPr>
          <w:sz w:val="20"/>
          <w:szCs w:val="20"/>
          <w:color w:val="auto"/>
        </w:rPr>
      </w:pPr>
    </w:p>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40.1</w:t>
        <w:tab/>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81"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40.2</w:t>
        <w:tab/>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1"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40.3</w:t>
        <w:tab/>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Subject to the Statute and the Articles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66" w:right="479" w:bottom="1440" w:gutter="0" w:footer="0" w:header="0"/>
        </w:sectPr>
      </w:pPr>
    </w:p>
    <w:bookmarkStart w:id="47" w:name="page48"/>
    <w:bookmarkEnd w:id="47"/>
    <w:p>
      <w:pPr>
        <w:jc w:val="both"/>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41.2</w:t>
        <w:tab/>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41.3</w:t>
        <w:tab/>
        <w:t>The Directors may deduct from any Dividend or other distribution payable to any Member all sums of money (if any) then payable by him to the Company on account of calls or otherwise.</w:t>
      </w:r>
    </w:p>
    <w:p>
      <w:pPr>
        <w:spacing w:after="0" w:line="67"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41.4</w:t>
        <w:tab/>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93"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41.5</w:t>
        <w:tab/>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67"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41.6</w:t>
        <w:tab/>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1"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41.7</w:t>
        <w:tab/>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131" w:lineRule="exact"/>
        <w:rPr>
          <w:sz w:val="20"/>
          <w:szCs w:val="20"/>
          <w:color w:val="auto"/>
        </w:rPr>
      </w:pPr>
    </w:p>
    <w:p>
      <w:pPr>
        <w:ind w:left="540" w:right="8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41.9</w:t>
        <w:tab/>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8" w:name="page49"/>
    <w:bookmarkEnd w:id="48"/>
    <w:p>
      <w:pPr>
        <w:ind w:left="544" w:hanging="544"/>
        <w:spacing w:after="0"/>
        <w:tabs>
          <w:tab w:leader="none" w:pos="54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Capitalisation</w:t>
      </w:r>
    </w:p>
    <w:p>
      <w:pPr>
        <w:spacing w:after="0" w:line="121" w:lineRule="exact"/>
        <w:rPr>
          <w:rFonts w:ascii="Times New Roman" w:cs="Times New Roman" w:eastAsia="Times New Roman" w:hAnsi="Times New Roman"/>
          <w:sz w:val="18"/>
          <w:szCs w:val="18"/>
          <w:b w:val="1"/>
          <w:bCs w:val="1"/>
          <w:color w:val="auto"/>
        </w:rPr>
      </w:pPr>
    </w:p>
    <w:p>
      <w:pPr>
        <w:ind w:left="544"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95"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w:t>
      </w:r>
    </w:p>
    <w:p>
      <w:pPr>
        <w:spacing w:after="0" w:line="135" w:lineRule="exact"/>
        <w:rPr>
          <w:sz w:val="20"/>
          <w:szCs w:val="20"/>
          <w:color w:val="auto"/>
        </w:rPr>
      </w:pPr>
    </w:p>
    <w:p>
      <w:pPr>
        <w:ind w:left="544" w:right="10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43.1</w:t>
        <w:tab/>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3"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43.2</w:t>
        <w:tab/>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85"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43.3</w:t>
        <w:tab/>
        <w:t>The Directors may cause to be prepared and to be laid before the Company in general meeting profit and loss accounts, balance sheets, group accounts (if any) and such other reports and accounts as may be required by law.</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6" w:right="459" w:bottom="1440" w:gutter="0" w:footer="0" w:header="0"/>
        </w:sectPr>
      </w:pPr>
    </w:p>
    <w:bookmarkStart w:id="49" w:name="page50"/>
    <w:bookmarkEnd w:id="4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131" w:lineRule="exact"/>
        <w:rPr>
          <w:sz w:val="20"/>
          <w:szCs w:val="20"/>
          <w:color w:val="auto"/>
        </w:rPr>
      </w:pPr>
    </w:p>
    <w:p>
      <w:pPr>
        <w:ind w:left="540" w:right="20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44.2</w:t>
        <w:tab/>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94"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44.3</w:t>
        <w:tab/>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44.4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131" w:lineRule="exact"/>
        <w:rPr>
          <w:sz w:val="20"/>
          <w:szCs w:val="20"/>
          <w:color w:val="auto"/>
        </w:rPr>
      </w:pPr>
    </w:p>
    <w:p>
      <w:pPr>
        <w:jc w:val="right"/>
        <w:ind w:right="340"/>
        <w:spacing w:after="0" w:line="282" w:lineRule="auto"/>
        <w:rPr>
          <w:sz w:val="20"/>
          <w:szCs w:val="20"/>
          <w:color w:val="auto"/>
        </w:rPr>
      </w:pPr>
      <w:r>
        <w:rPr>
          <w:rFonts w:ascii="Times New Roman" w:cs="Times New Roman" w:eastAsia="Times New Roman" w:hAnsi="Times New Roman"/>
          <w:sz w:val="18"/>
          <w:szCs w:val="18"/>
          <w:color w:val="auto"/>
        </w:rPr>
        <w:t>44.5   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67"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44.6</w:t>
        <w:tab/>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81" w:lineRule="exact"/>
        <w:rPr>
          <w:sz w:val="20"/>
          <w:szCs w:val="20"/>
          <w:color w:val="auto"/>
        </w:rPr>
      </w:pPr>
    </w:p>
    <w:p>
      <w:pPr>
        <w:ind w:left="540" w:right="1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44.7</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45.1</w:t>
        <w:tab/>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50" w:name="page51"/>
    <w:bookmarkEnd w:id="5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45.2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131" w:lineRule="exact"/>
        <w:rPr>
          <w:sz w:val="20"/>
          <w:szCs w:val="20"/>
          <w:color w:val="auto"/>
        </w:rPr>
      </w:pPr>
    </w:p>
    <w:p>
      <w:pPr>
        <w:ind w:left="1180" w:right="20" w:hanging="644"/>
        <w:spacing w:after="0" w:line="266"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1" w:lineRule="exact"/>
        <w:rPr>
          <w:rFonts w:ascii="Times New Roman" w:cs="Times New Roman" w:eastAsia="Times New Roman" w:hAnsi="Times New Roman"/>
          <w:sz w:val="18"/>
          <w:szCs w:val="18"/>
          <w:color w:val="auto"/>
        </w:rPr>
      </w:pPr>
    </w:p>
    <w:p>
      <w:pPr>
        <w:ind w:left="1180" w:right="160" w:hanging="644"/>
        <w:spacing w:after="0" w:line="266"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81" w:lineRule="exact"/>
        <w:rPr>
          <w:rFonts w:ascii="Times New Roman" w:cs="Times New Roman" w:eastAsia="Times New Roman" w:hAnsi="Times New Roman"/>
          <w:sz w:val="18"/>
          <w:szCs w:val="18"/>
          <w:color w:val="auto"/>
        </w:rPr>
      </w:pPr>
    </w:p>
    <w:p>
      <w:pPr>
        <w:ind w:left="1180" w:right="36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67" w:lineRule="exact"/>
        <w:rPr>
          <w:rFonts w:ascii="Times New Roman" w:cs="Times New Roman" w:eastAsia="Times New Roman" w:hAnsi="Times New Roman"/>
          <w:sz w:val="18"/>
          <w:szCs w:val="18"/>
          <w:color w:val="auto"/>
        </w:rPr>
      </w:pPr>
    </w:p>
    <w:p>
      <w:pPr>
        <w:jc w:val="both"/>
        <w:ind w:left="1180" w:right="100" w:hanging="644"/>
        <w:spacing w:after="0" w:line="266"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81"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67"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45.3</w:t>
        <w:tab/>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9" w:lineRule="exact"/>
        <w:rPr>
          <w:sz w:val="20"/>
          <w:szCs w:val="20"/>
          <w:color w:val="auto"/>
        </w:rPr>
      </w:pPr>
    </w:p>
    <w:p>
      <w:pPr>
        <w:ind w:left="540" w:right="2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45.4</w:t>
        <w:tab/>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51" w:name="page52"/>
    <w:bookmarkEnd w:id="5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135"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46.1</w:t>
        <w:tab/>
        <w:t>If the Company shall be wound up, the liquidator shall apply the assets of the Company in satisfaction of creditors’ claims in such manner and order as such liquidator thinks fit. Subject to the Articles and the rights attaching to any Shares, in a winding up:</w:t>
      </w:r>
    </w:p>
    <w:p>
      <w:pPr>
        <w:spacing w:after="0" w:line="67" w:lineRule="exact"/>
        <w:rPr>
          <w:sz w:val="20"/>
          <w:szCs w:val="20"/>
          <w:color w:val="auto"/>
        </w:rPr>
      </w:pPr>
    </w:p>
    <w:p>
      <w:pPr>
        <w:ind w:left="1180" w:right="180" w:hanging="644"/>
        <w:spacing w:after="0" w:line="266"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1" w:lineRule="exact"/>
        <w:rPr>
          <w:rFonts w:ascii="Times New Roman" w:cs="Times New Roman" w:eastAsia="Times New Roman" w:hAnsi="Times New Roman"/>
          <w:sz w:val="18"/>
          <w:szCs w:val="18"/>
          <w:color w:val="auto"/>
        </w:rPr>
      </w:pPr>
    </w:p>
    <w:p>
      <w:pPr>
        <w:ind w:left="1180" w:right="60" w:hanging="644"/>
        <w:spacing w:after="0" w:line="261"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holding Class A Shares in proportion to the par value of the Class A Shares held by them at the commencement of the winding up subject to a deduction from those Class A Shares in respect of which there are monies due, of all monies payable to the Company for unpaid calls or otherwise.</w:t>
      </w:r>
    </w:p>
    <w:p>
      <w:pPr>
        <w:spacing w:after="0" w:line="85"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46.2</w:t>
        <w:tab/>
        <w:t>If the Company shall be wound up the liquidator may, subject to the Articles and the rights attaching to any Shares and with the approval of a Special Resolution of the Company and any other approval required by the Statute, divide amongst the Members holding Class A Shares in kind the whole or any part of the assets of the Company (whether such assets shall consist of property of the same kind or not) and may for that purpose value any assets and determine how the division shall be carried out as between the Members holding Class A Shares. The liquidator may, with the like approval, vest the whole or any part of such assets in trustees upon such trusts for the benefit of the Members holding Class A Shares as the liquidator, with the like approval, shall think fit, but so that no Member holding Class A Shares shall be compelled to accept any asset upon which there is a liability.</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135" w:lineRule="exact"/>
        <w:rPr>
          <w:sz w:val="20"/>
          <w:szCs w:val="20"/>
          <w:color w:val="auto"/>
        </w:rPr>
      </w:pPr>
    </w:p>
    <w:p>
      <w:pPr>
        <w:ind w:left="540" w:right="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47.1</w:t>
        <w:tab/>
        <w:t>Every Director and Officer (which for the avoidance of doubt, shall not include auditors of the Company), together with every former Director and former Officer, including every former Director and every former Officer prior to the date hereof,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94"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47.2</w:t>
        <w:tab/>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40" w:top="266" w:right="539" w:bottom="1440" w:gutter="0" w:footer="0" w:header="0"/>
        </w:sectPr>
      </w:pPr>
    </w:p>
    <w:bookmarkStart w:id="52" w:name="page53"/>
    <w:bookmarkEnd w:id="52"/>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47.3</w:t>
        <w:tab/>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77" w:lineRule="exact"/>
        <w:rPr>
          <w:sz w:val="20"/>
          <w:szCs w:val="20"/>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121" w:lineRule="exact"/>
        <w:rPr>
          <w:rFonts w:ascii="Times New Roman" w:cs="Times New Roman" w:eastAsia="Times New Roman" w:hAnsi="Times New Roman"/>
          <w:sz w:val="18"/>
          <w:szCs w:val="18"/>
          <w:b w:val="1"/>
          <w:bCs w:val="1"/>
          <w:color w:val="auto"/>
        </w:rPr>
      </w:pPr>
    </w:p>
    <w:p>
      <w:pPr>
        <w:ind w:left="5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121" w:lineRule="exact"/>
        <w:rPr>
          <w:rFonts w:ascii="Times New Roman" w:cs="Times New Roman" w:eastAsia="Times New Roman" w:hAnsi="Times New Roman"/>
          <w:sz w:val="18"/>
          <w:szCs w:val="18"/>
          <w:b w:val="1"/>
          <w:bCs w:val="1"/>
          <w:color w:val="auto"/>
        </w:rPr>
      </w:pPr>
    </w:p>
    <w:p>
      <w:pPr>
        <w:ind w:left="544"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Tax Filings</w:t>
      </w:r>
    </w:p>
    <w:p>
      <w:pPr>
        <w:spacing w:after="0" w:line="121" w:lineRule="exact"/>
        <w:rPr>
          <w:rFonts w:ascii="Times New Roman" w:cs="Times New Roman" w:eastAsia="Times New Roman" w:hAnsi="Times New Roman"/>
          <w:sz w:val="18"/>
          <w:szCs w:val="18"/>
          <w:b w:val="1"/>
          <w:bCs w:val="1"/>
          <w:color w:val="auto"/>
        </w:rPr>
      </w:pPr>
    </w:p>
    <w:p>
      <w:pPr>
        <w:ind w:left="5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135" w:lineRule="exact"/>
        <w:rPr>
          <w:sz w:val="20"/>
          <w:szCs w:val="20"/>
          <w:color w:val="auto"/>
        </w:rPr>
      </w:pPr>
    </w:p>
    <w:p>
      <w:pPr>
        <w:ind w:left="544" w:right="8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52.1</w:t>
        <w:tab/>
        <w:t>To the fullest extent permitted by Applicable Law, no individual serving as a Director who is not also an employee of the Company or its subsidiaries (“</w:t>
      </w:r>
      <w:r>
        <w:rPr>
          <w:rFonts w:ascii="Times New Roman" w:cs="Times New Roman" w:eastAsia="Times New Roman" w:hAnsi="Times New Roman"/>
          <w:sz w:val="18"/>
          <w:szCs w:val="18"/>
          <w:b w:val="1"/>
          <w:bCs w:val="1"/>
          <w:color w:val="auto"/>
        </w:rPr>
        <w:t>Specified Directors</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any Specified Director, on the one hand, and the Company, on the other. Except to the extent expressly assumed by contract, to the fullest extent permitted by Applicable Law, a Specified Director shall have no duty to communicate or offer any such corporate opportunity to the Company and shall not be liable to the Company or its Members for breach of any fiduciary duty as a Member or Director solely by reason of the fact that such Specified Director pursues or acquires such corporate opportunity for himself or herself, directs such corporate opportunity to another person, or does not communicate information regarding such corporate opportunity to the Company.</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53" w:name="page54"/>
    <w:bookmarkEnd w:id="53"/>
    <w:p>
      <w:pPr>
        <w:ind w:left="520" w:hanging="539"/>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52.2</w:t>
        <w:tab/>
        <w:t>Notwithstanding anything to the contrary in this Article 52, this Article 52 shall not apply to any potential transaction or matter that may be a corporate opportunity for the Company or any of its subsidiaries presented to a Specified Director expressly in his or her capacity as a director of the Company or any of its subsidiaries.</w:t>
      </w:r>
    </w:p>
    <w:p>
      <w:pPr>
        <w:spacing w:after="0" w:line="81" w:lineRule="exact"/>
        <w:rPr>
          <w:sz w:val="20"/>
          <w:szCs w:val="20"/>
          <w:color w:val="auto"/>
        </w:rPr>
      </w:pPr>
    </w:p>
    <w:p>
      <w:pPr>
        <w:ind w:left="520" w:right="80" w:hanging="539"/>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52.3</w:t>
        <w:tab/>
        <w:t>To the extent a court might hold that the conduct of any activity related to a corporate opportunity that is renounced in this Article is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60" w:top="270" w:right="4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TAX RECEIVABLE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PROKIDNEY CORP.,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TRA PARTY REPRESENTATIVE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PERSONS NAMED HEREIN</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July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RECEIVABLE AGREEMENT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TAX RECEIVABLE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11, 2022, is hereby entered into by and among ProKidney Corp., a Cayman Islands exempted company limited by shares (formerly known as Social Capital Suvretta Holdings Corp. III),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and together with its Subsidiaries,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the TRA Party Representative and each of the other persons from time to time party hereto (the “</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Capitalized terms used but not defined herein have their respective meanings set forth in the BCA.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WHEREAS, the TRA Parties directly or indirectly hold New Company Common Units of ProKidney LP, a limited partnership organized under the laws of Ireland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WHEREAS, Acquiror, Partnership, and the other parties thereto entered into that certain Business Combination Agreement, dated as of January 18, 2022 (as further amended or modified in whole or in part from time to time in accordance with such agreement,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pursuant to which, among other things, (a) the Partnership shall issue New Company Common Units to Acquiror in exchange for a combination of shares of Acquiror Class B Common Stock and cash, (b) ProKidney Corp. GP Limited shall be admitted as the general partner of the Partnership, and (c) the Partnership shall distribute the shares of Acquiror Class B Common Stock to the TRA Parties in accordance with the Partnership LPA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as of immediately following the Business Combination, ProKidney Corp. GP Limited is the sole voting partner of Partnership;</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Acquiror holds New Company Common Units that were received in exchange for Acquiror’s contribution of amounts in cash via wire transfer of immediately available funds to Partnership in a transaction described under Section 721 of the Code;</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WHEREAS, following the Business Combination, any New Company Common Units held by the TRA Parties, together with Acquiror Class B Common Stock, may be exchanged for Acquiror Class A Common Stock constituting the Stock Exchange Payment or, alternatively, at the election of Acquiror, the Cash Exchange Payment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pursuant to the provisions of the Partnership LPA and the Exchange Agreement, dated as of the date hereof, by and among Acquiror, Partnership, ProKidney Corp. GP Limited, and the TRA Parties, as amended from time to time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either case contributed to Partnership by Acquiror, provided that, at the election of Acquiror in its sole discretion and in accordance with the Exchange Agreement, Acquiror may effect a direct exchange of such cash or Acquiror Class A Common Stock for such New Company Common Units (a “</w:t>
      </w:r>
      <w:r>
        <w:rPr>
          <w:rFonts w:ascii="Times New Roman" w:cs="Times New Roman" w:eastAsia="Times New Roman" w:hAnsi="Times New Roman"/>
          <w:sz w:val="18"/>
          <w:szCs w:val="18"/>
          <w:u w:val="single" w:color="auto"/>
          <w:color w:val="auto"/>
        </w:rPr>
        <w:t>Direct Exchange</w:t>
      </w:r>
      <w:r>
        <w:rPr>
          <w:rFonts w:ascii="Times New Roman" w:cs="Times New Roman" w:eastAsia="Times New Roman" w:hAnsi="Times New Roman"/>
          <w:sz w:val="18"/>
          <w:szCs w:val="18"/>
          <w:color w:val="auto"/>
        </w:rPr>
        <w:t>,” which shall also constitute an Exchange);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56" w:name="page57"/>
    <w:bookmarkEnd w:id="56"/>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Partnership and each of its direct and indirect Subsidiaries that is treated as a partnership for U.S. federal income Tax purposes (but only if such indirect Subsidiaries are held only through Subsidiaries treated as partnerships or disregarded entities) will have in effect an election under Section 754 of the Code (a “</w:t>
      </w:r>
      <w:r>
        <w:rPr>
          <w:rFonts w:ascii="Times New Roman" w:cs="Times New Roman" w:eastAsia="Times New Roman" w:hAnsi="Times New Roman"/>
          <w:sz w:val="18"/>
          <w:szCs w:val="18"/>
          <w:u w:val="single" w:color="auto"/>
          <w:color w:val="auto"/>
        </w:rPr>
        <w:t>Section 754 Election</w:t>
      </w:r>
      <w:r>
        <w:rPr>
          <w:rFonts w:ascii="Times New Roman" w:cs="Times New Roman" w:eastAsia="Times New Roman" w:hAnsi="Times New Roman"/>
          <w:sz w:val="18"/>
          <w:szCs w:val="18"/>
          <w:color w:val="auto"/>
        </w:rPr>
        <w:t>”) for the Taxable Year that includes the Closing Date and each subsequent Taxable Year in which an Exchange occurs, in each case, to the extent eligible to do so, and where applicable, will have in effect elections or legal structures to effect similar Tax treatment and maximize Basis Adjustments under other applicable non-U.S. Tax laws;</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as a result of future Exchanges and Section 754 Elections, the income, gain, deduction, loss, expense, and other Tax items of Corporate Taxpayer may be affected by (i) the Basis Adjustments and (ii) any deduction attributable to any payment (including amounts attributable to Imputed Interest) made under this Agreement (collectively, the “</w:t>
      </w:r>
      <w:r>
        <w:rPr>
          <w:rFonts w:ascii="Times New Roman" w:cs="Times New Roman" w:eastAsia="Times New Roman" w:hAnsi="Times New Roman"/>
          <w:sz w:val="18"/>
          <w:szCs w:val="18"/>
          <w:u w:val="single" w:color="auto"/>
          <w:color w:val="auto"/>
        </w:rPr>
        <w:t>Tax Attributes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to this Agreement desire to provide for certain payments and make certain arrangements with respect to the effect of the Tax Attributes on the liability for Taxes of Corporate Taxpayer.</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in this Agreement, and intending to be legally bound hereby, the parties hereto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the terms set forth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have the following meanings (such meanings to be equally applicable to both the singular and plural forms of the terms defined).</w:t>
      </w:r>
    </w:p>
    <w:p>
      <w:pPr>
        <w:spacing w:after="0" w:line="162"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Tax Liability</w:t>
      </w:r>
      <w:r>
        <w:rPr>
          <w:rFonts w:ascii="Times New Roman" w:cs="Times New Roman" w:eastAsia="Times New Roman" w:hAnsi="Times New Roman"/>
          <w:sz w:val="18"/>
          <w:szCs w:val="18"/>
          <w:color w:val="auto"/>
        </w:rPr>
        <w:t>” means, with respect to any Taxable Year, the actual liability for Taxes, which shall not be less than zero, of (i) Corporate Taxpayer and (ii) without duplication, Partnership and its Subsidiaries, but only with respect to Taxes imposed on Partnership and its Subsidiaries and allocable to Corporate Taxpayer.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Person, where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the management and policies of a Person, whether through the ownership of voting securities, its capacity as a sole or managing member or otherwise. For purposes of this Agreement, no TRA Party shall be considered to be an Affiliate of Corporate Taxpayer or Partnership.</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Rate</w:t>
      </w:r>
      <w:r>
        <w:rPr>
          <w:rFonts w:ascii="Times New Roman" w:cs="Times New Roman" w:eastAsia="Times New Roman" w:hAnsi="Times New Roman"/>
          <w:sz w:val="18"/>
          <w:szCs w:val="18"/>
          <w:color w:val="auto"/>
        </w:rPr>
        <w:t>” means a per annum rate equal to SOFR plus 100 basis points.</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w:t>
      </w:r>
      <w:r>
        <w:rPr>
          <w:rFonts w:ascii="Times New Roman" w:cs="Times New Roman" w:eastAsia="Times New Roman" w:hAnsi="Times New Roman"/>
          <w:sz w:val="18"/>
          <w:szCs w:val="18"/>
          <w:color w:val="auto"/>
        </w:rPr>
        <w:t>” means the portion of any Tax Attribute of Corporate Taxpayer or, without duplication, Partnership or its Subsidiaries, that is attributable to a TRA Party and shall be determined by reference to the Tax Attributes, under the following principles: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7" w:name="page58"/>
    <w:bookmarkEnd w:id="57"/>
    <w:p>
      <w:pPr>
        <w:ind w:firstLine="987"/>
        <w:spacing w:after="0" w:line="282" w:lineRule="auto"/>
        <w:tabs>
          <w:tab w:leader="none" w:pos="12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Basis Adjustments shall be determined separately with respect to each TRA Party and are Attributable to a TRA Party in an amount equal to the total Basis Adjustments relating to the New Company Common Units that are Exchanged by such TRA Party; and</w:t>
      </w:r>
    </w:p>
    <w:p>
      <w:pPr>
        <w:spacing w:after="0" w:line="161" w:lineRule="exact"/>
        <w:rPr>
          <w:rFonts w:ascii="Times New Roman" w:cs="Times New Roman" w:eastAsia="Times New Roman" w:hAnsi="Times New Roman"/>
          <w:sz w:val="18"/>
          <w:szCs w:val="18"/>
          <w:color w:val="auto"/>
        </w:rPr>
      </w:pPr>
    </w:p>
    <w:p>
      <w:pPr>
        <w:ind w:right="460" w:firstLine="987"/>
        <w:spacing w:after="0" w:line="266" w:lineRule="auto"/>
        <w:tabs>
          <w:tab w:leader="none" w:pos="12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deduction to Corporate Taxpayer,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Basis Adjustment</w:t>
      </w:r>
      <w:r>
        <w:rPr>
          <w:rFonts w:ascii="Times New Roman" w:cs="Times New Roman" w:eastAsia="Times New Roman" w:hAnsi="Times New Roman"/>
          <w:sz w:val="18"/>
          <w:szCs w:val="18"/>
          <w:color w:val="auto"/>
        </w:rPr>
        <w:t>” means the Tax basis of a Reference Asset (or a current tax deduction of the Corporate Taxpayer) directly or indirectly acquired by Corporate Taxpayer as a result of an Exchange (including any internal transactions of the Corporate Taxpayer following such Exchange intended to maximize the Tax basis or Tax benefits associated with the Reference Assets following the Exchange) and the payments made pursuant to this Agreement, including, without limitation, the adjustment to the Tax basis of a Reference Asset under Sections 732, 734(b) and/or 1012 of the Code (in situations where, as a result of one or more Exchanges, Partnership becomes an entity that is disregarded as separate from its owner for U.S. federal income Tax purposes) or under Sections 734(b), 743(b), 754 and/or 755 of the Code (in situations where, following an Exchange, Partnership remains in existence as an entity treated as a partnership for U.S. federal income Tax purposes), and, in each case, comparable sections of U.S. state and local and non-U.S. Tax laws. The amount of any Basis Adjustment shall be determined using the Market Value with respect to such Exchange, except, for the avoidance of doubt, as otherwise required by a Determination. For the avoidance of doubt, payments made under this Agreement shall not be treated as resulting in a Basis Adjustment to the extent such payments are treated as Imputed Interest, and the amount of any Basis Adjustment resulting from an Exchange of one or more New Company Common Units shall be determined without regard to any Pre-Exchange Transfer of such New Company Common Units and as if any such Pre-Exchange Transfer had not occurred.</w:t>
      </w:r>
    </w:p>
    <w:p>
      <w:pPr>
        <w:spacing w:after="0" w:line="190"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shall have a correlative meaning.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Acquiror.</w:t>
      </w:r>
    </w:p>
    <w:p>
      <w:pPr>
        <w:spacing w:after="0" w:line="225"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a Saturday, Sunday or other day on which commercial banks in New York, New York or Governmental Authorities in the Cayman Islands (for so long as Acquiror remains domiciled in Cayman Islands) are authorized or required by Law to close.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Exchange Payment</w:t>
      </w:r>
      <w:r>
        <w:rPr>
          <w:rFonts w:ascii="Times New Roman" w:cs="Times New Roman" w:eastAsia="Times New Roman" w:hAnsi="Times New Roman"/>
          <w:sz w:val="18"/>
          <w:szCs w:val="18"/>
          <w:color w:val="auto"/>
        </w:rPr>
        <w:t>” has the meaning set forth in the Exchange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8" w:name="page59"/>
    <w:bookmarkEnd w:id="58"/>
    <w:p>
      <w:pPr>
        <w:ind w:right="80" w:firstLine="987"/>
        <w:spacing w:after="0" w:line="255" w:lineRule="auto"/>
        <w:tabs>
          <w:tab w:leader="none" w:pos="12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or any group of Persons acting together, which would constitute a “group” for purposes of Section 13(d) of the Exchange Act or any successor provisions thereto (excluding (a) a corporation or other entity owned, directly or indirectly, by the stockholders of Acquiror in substantially the same proportions as their ownership of stock of Acquiror or (b) any TRA Party, any Permitted Transferee of any TRA Party, or any group of Persons in which one or more of the TRA Parties, the Permitted Transferees of any such TRA Party, or any Affiliates of such Persons directly or indirectly hold Beneficial Ownership of securities representing more than 50% of the total voting power held by such group) is or becomes the Beneficial Owner, directly or indirectly, of securities of Acquiror representing more than 50% of the combined voting power of Acquiror’s then outstanding voting securities; or</w:t>
      </w:r>
    </w:p>
    <w:p>
      <w:pPr>
        <w:spacing w:after="0" w:line="188" w:lineRule="exact"/>
        <w:rPr>
          <w:rFonts w:ascii="Times New Roman" w:cs="Times New Roman" w:eastAsia="Times New Roman" w:hAnsi="Times New Roman"/>
          <w:sz w:val="18"/>
          <w:szCs w:val="18"/>
          <w:color w:val="auto"/>
        </w:rPr>
      </w:pPr>
    </w:p>
    <w:p>
      <w:pPr>
        <w:ind w:right="100" w:firstLine="987"/>
        <w:spacing w:after="0" w:line="261" w:lineRule="auto"/>
        <w:tabs>
          <w:tab w:leader="none" w:pos="12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Acquiror with any other corporation or other entity, and, immediately after the consummation of such merger or consolidation, the voting securities of Acquiror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3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Acquiror approve a plan of complete liquidation or dissolution of Acquiror or there is consummated an agreement or series of related agreements for the sale, lease or other disposition, directly or indirectly, by Acquiror of all or substantially all of the assets of Acquiror, taken as a whole, other than such sale or other disposition by Acquiror of all or substantially all of the assets of Acquiror, taken as a whole, to an entity at least 50% of the combined voting power of the voting securities of which are owned by shareholders of Acquiror in substantially the same proportions as their ownership of Acquiror immediately prior to such sale.</w:t>
      </w:r>
    </w:p>
    <w:p>
      <w:pPr>
        <w:spacing w:after="0" w:line="183"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a “Change of Control” shall not be deemed to have occurred by virtue of the consummation of any transaction or series of integrated transactions immediately following which the record holders of the shares of Acquiror immediately prior to such transaction or series of transactions continue to have substantially the same proportionate ownership in, and own substantially all of the shares of, an entity which owns all or substantially all of the assets of Acquiror immediately following such transaction or series of transactions.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consummation of the transactions contemplated by the BCA.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means the Companies Act (As Revised) of the Cayman Islands as the same may be amended from time to time.</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Taxpayer Return</w:t>
      </w:r>
      <w:r>
        <w:rPr>
          <w:rFonts w:ascii="Times New Roman" w:cs="Times New Roman" w:eastAsia="Times New Roman" w:hAnsi="Times New Roman"/>
          <w:sz w:val="18"/>
          <w:szCs w:val="18"/>
          <w:color w:val="auto"/>
        </w:rPr>
        <w:t>” means the U.S. federal, state, or local, or non-U.S. Tax Return, as applicable, of Corporate Taxpayer filed with respect to Taxes of any Taxable Year.</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59" w:name="page60"/>
    <w:bookmarkEnd w:id="59"/>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Cumulative Net Realized Tax Benefit</w:t>
      </w:r>
      <w:r>
        <w:rPr>
          <w:rFonts w:ascii="Times New Roman" w:cs="Times New Roman" w:eastAsia="Times New Roman" w:hAnsi="Times New Roman"/>
          <w:sz w:val="18"/>
          <w:szCs w:val="18"/>
          <w:color w:val="auto"/>
        </w:rPr>
        <w:t>” for a Taxable Year means the cumulative amount of Realized Tax Benefits for all Taxable Years of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 provided that the computation of the Cumulative Net Realized Tax Benefit shall be adjusted to reflect any applicable Determination with respect to any Realized Tax Benefits and/or Realized Tax Detriments.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a per annum rate equal to SOFR plus 500 basis points.</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shall have the meaning ascribed to such term in Section 1313(a) of the Code or similar provision of state or local or non-U.S. Tax law, as applicable, or any other event (including the execution of IRS Form 870-AD) that finally and conclusively establishes the amount of any liability for Tax.</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Date</w:t>
      </w:r>
      <w:r>
        <w:rPr>
          <w:rFonts w:ascii="Times New Roman" w:cs="Times New Roman" w:eastAsia="Times New Roman" w:hAnsi="Times New Roman"/>
          <w:sz w:val="18"/>
          <w:szCs w:val="18"/>
          <w:color w:val="auto"/>
        </w:rPr>
        <w:t>” means the date of an Early Termination Notice for purposes of determining the Early Termination Payment.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Rate</w:t>
      </w:r>
      <w:r>
        <w:rPr>
          <w:rFonts w:ascii="Times New Roman" w:cs="Times New Roman" w:eastAsia="Times New Roman" w:hAnsi="Times New Roman"/>
          <w:sz w:val="18"/>
          <w:szCs w:val="18"/>
          <w:color w:val="auto"/>
        </w:rPr>
        <w:t>” means a per annum rate equal to SOFR plus 150 basis points.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means the date of any Exchange.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Hypothetical Tax Liability</w:t>
      </w:r>
      <w:r>
        <w:rPr>
          <w:rFonts w:ascii="Times New Roman" w:cs="Times New Roman" w:eastAsia="Times New Roman" w:hAnsi="Times New Roman"/>
          <w:sz w:val="18"/>
          <w:szCs w:val="18"/>
          <w:color w:val="auto"/>
        </w:rPr>
        <w:t>” means, with respect to any Taxable Year, an amount, not less than zero, equal to the liability for Taxes of</w:t>
      </w:r>
    </w:p>
    <w:p>
      <w:pPr>
        <w:spacing w:after="0" w:line="27" w:lineRule="exact"/>
        <w:rPr>
          <w:sz w:val="20"/>
          <w:szCs w:val="20"/>
          <w:color w:val="auto"/>
        </w:rPr>
      </w:pPr>
    </w:p>
    <w:p>
      <w:pPr>
        <w:ind w:left="4" w:right="20" w:hanging="4"/>
        <w:spacing w:after="0" w:line="252"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Taxpayer and (ii) without duplication, Partnership and its Subsidiaries, but only with respect to Taxes imposed on Partnership and its Subsidiaries and allocable to Corporate Taxpayer,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as applicable.</w:t>
      </w:r>
    </w:p>
    <w:p>
      <w:pPr>
        <w:spacing w:after="0" w:line="188"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Imputed Interest</w:t>
      </w:r>
      <w:r>
        <w:rPr>
          <w:rFonts w:ascii="Times New Roman" w:cs="Times New Roman" w:eastAsia="Times New Roman" w:hAnsi="Times New Roman"/>
          <w:sz w:val="18"/>
          <w:szCs w:val="18"/>
          <w:color w:val="auto"/>
        </w:rPr>
        <w:t>” in respect of a TRA Party shall mean any interest imputed under Section 1272, 1274 or 483 or other provision of the Code and any similar provision of state, local and non-U.S. Tax law, as applicable, with respect to Corporate Taxpayer’s payment obligations in respect of such TRA Party under this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60" w:name="page61"/>
    <w:bookmarkEnd w:id="6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Market Value</w:t>
      </w:r>
      <w:r>
        <w:rPr>
          <w:rFonts w:ascii="Times New Roman" w:cs="Times New Roman" w:eastAsia="Times New Roman" w:hAnsi="Times New Roman"/>
          <w:sz w:val="18"/>
          <w:szCs w:val="18"/>
          <w:color w:val="auto"/>
        </w:rPr>
        <w:t>” shall mean on any date, (a) if Acquiror Class A Common Stock trades on a national securities exchange or automated or electronic quotation system, the arithmetic average of the high trading and the low trading price on such date (or if such date is not a trading day, the immediately preceding trading day) or (b) if Acquiror Class A Common Stock is not then traded on a national securities exchange or automated or electronic quotation system, as applicable, the “Appraiser FMV” (as defined in the Exchange Agreement) on such date of one (1) share of Acquiror Class A Common Stock.</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Non-Stepped Up Tax Basis</w:t>
      </w:r>
      <w:r>
        <w:rPr>
          <w:rFonts w:ascii="Times New Roman" w:cs="Times New Roman" w:eastAsia="Times New Roman" w:hAnsi="Times New Roman"/>
          <w:sz w:val="18"/>
          <w:szCs w:val="18"/>
          <w:color w:val="auto"/>
        </w:rPr>
        <w:t>” means with respect to any Reference Asset at any time, the Tax basis that such asset would have had at such time if no Basis Adjustments had been made.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LPA</w:t>
      </w:r>
      <w:r>
        <w:rPr>
          <w:rFonts w:ascii="Times New Roman" w:cs="Times New Roman" w:eastAsia="Times New Roman" w:hAnsi="Times New Roman"/>
          <w:sz w:val="18"/>
          <w:szCs w:val="18"/>
          <w:color w:val="auto"/>
        </w:rPr>
        <w:t>” means, with respect to Partnership, the Second Amended and Restated Limited Partnership Agreement of Partnership, dated on or about the date hereof, as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has the meaning set forth in the Partnership LPA.</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Pre-Exchange Transfer</w:t>
      </w:r>
      <w:r>
        <w:rPr>
          <w:rFonts w:ascii="Times New Roman" w:cs="Times New Roman" w:eastAsia="Times New Roman" w:hAnsi="Times New Roman"/>
          <w:sz w:val="18"/>
          <w:szCs w:val="18"/>
          <w:color w:val="auto"/>
        </w:rPr>
        <w:t>” means any transfer (including upon the death of a member of Partnership) or distribution in respect of one or more New Company Common Units (a) that occurs prior to an Exchange of such New Company Common Units, and (b) to which Section 743(b) or 734(b) of the Code applies.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Realized Tax Benefit</w:t>
      </w:r>
      <w:r>
        <w:rPr>
          <w:rFonts w:ascii="Times New Roman" w:cs="Times New Roman" w:eastAsia="Times New Roman" w:hAnsi="Times New Roman"/>
          <w:sz w:val="18"/>
          <w:szCs w:val="18"/>
          <w:color w:val="auto"/>
        </w:rPr>
        <w:t>” means, for a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Realized Tax Detriment</w:t>
      </w:r>
      <w:r>
        <w:rPr>
          <w:rFonts w:ascii="Times New Roman" w:cs="Times New Roman" w:eastAsia="Times New Roman" w:hAnsi="Times New Roman"/>
          <w:sz w:val="18"/>
          <w:szCs w:val="18"/>
          <w:color w:val="auto"/>
        </w:rPr>
        <w:t>” means, for a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Asset</w:t>
      </w:r>
      <w:r>
        <w:rPr>
          <w:rFonts w:ascii="Times New Roman" w:cs="Times New Roman" w:eastAsia="Times New Roman" w:hAnsi="Times New Roman"/>
          <w:sz w:val="18"/>
          <w:szCs w:val="18"/>
          <w:color w:val="auto"/>
        </w:rPr>
        <w:t>” means an asset that is held by Partnership, or by any of its direct or indirect Subsidiaries treated as a partnership or disregarded entity (but only if such indirect Subsidiaries are held only through Subsidiaries treated as partnerships or disregarded entities) for purposes of the applicable Tax, at the time of an Exchange.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 or any similar provisions of state, local, or non-U.S. Tax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1" w:name="page62"/>
    <w:bookmarkEnd w:id="6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means any of the following: (a) a Basis Schedule, (b) a Tax Benefit Schedule, or (c) the Early Termination Schedule, and, in each case, any amendments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 Payment</w:t>
      </w:r>
      <w:r>
        <w:rPr>
          <w:rFonts w:ascii="Times New Roman" w:cs="Times New Roman" w:eastAsia="Times New Roman" w:hAnsi="Times New Roman"/>
          <w:sz w:val="18"/>
          <w:szCs w:val="18"/>
          <w:color w:val="auto"/>
        </w:rPr>
        <w:t>” has the meaning set forth in the Exchange Agreement.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means, with respect to any Person, as of any date of determination, any other Person as to which such first Person owns, directly or indirectly, or otherwise controls (i) more than 50% of the voting power or other similar interests or (ii) the sole general partner interest or managing member or similar interest of such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Partnership and its Subsidiaries shall not be treated as a Subsidiary of Corporate Taxpayer.</w:t>
      </w:r>
    </w:p>
    <w:p>
      <w:pPr>
        <w:spacing w:after="0" w:line="18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Stock</w:t>
      </w:r>
      <w:r>
        <w:rPr>
          <w:rFonts w:ascii="Times New Roman" w:cs="Times New Roman" w:eastAsia="Times New Roman" w:hAnsi="Times New Roman"/>
          <w:sz w:val="18"/>
          <w:szCs w:val="18"/>
          <w:color w:val="auto"/>
        </w:rPr>
        <w:t>” means any stock or other equity interest in any Subsidiary of Partnership that is treated as a C corporation for U.S. federal income tax purposes.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taxes, assessments or similar charges that are based on or measured with respect to net income or profits, whether as an exclusive or an alternative basis, and including franchise taxes that are based on or measured with respect to net income or profits, together with any interest, penalties, or additions related to such amounts or imposed in respect thereof under applicable law.</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filing, declaration, report, questionnaire, information statement, or other document filed or required to be filed with respect to Taxes with any Taxing Authority (including any attached schedules), including any information return, claim for refund, amended return and declaration of estimated Tax (whether or not a payment is required to be made with respect to such filing).</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Taxable Year</w:t>
      </w:r>
      <w:r>
        <w:rPr>
          <w:rFonts w:ascii="Times New Roman" w:cs="Times New Roman" w:eastAsia="Times New Roman" w:hAnsi="Times New Roman"/>
          <w:sz w:val="18"/>
          <w:szCs w:val="18"/>
          <w:color w:val="auto"/>
        </w:rPr>
        <w:t>” means a taxable year of Corporate Taxpayer as defined in Section 441(b) of the Code or comparable section of state, local or non-U.S. Tax law, as applicable, (and, therefore, for the avoidance of doubt, may include a period of less than 12 months for which a Tax Return is made) ending on or after the Closing Date.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shall mean any federal, national, state, county, municipal or other local government, or any subdivision, agency, commission or authority thereof, or any quasi-governmental body, or any other authority of any kind, exercising authority in relation to Tax matters.</w:t>
      </w:r>
    </w:p>
    <w:p>
      <w:pPr>
        <w:spacing w:after="0" w:line="162"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 Disinterested Majority</w:t>
      </w:r>
      <w:r>
        <w:rPr>
          <w:rFonts w:ascii="Times New Roman" w:cs="Times New Roman" w:eastAsia="Times New Roman" w:hAnsi="Times New Roman"/>
          <w:sz w:val="17"/>
          <w:szCs w:val="17"/>
          <w:color w:val="auto"/>
        </w:rPr>
        <w:t>” means a majority of the directors of the Board who are disinterested as determined by the Board in accordance with the Companies Act with respect to the matter being considered by the Board; provided that to the extent a matter being considered by the Board is required to be considered by disinterested directors under the rules of the securities exchange on which Acquiror Class A Common Stock are then listed, the Securities Act or the Exchange Act, such rules with respect to the definition of disinterested director shall apply solely with respect to such matter.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2" w:name="page63"/>
    <w:bookmarkEnd w:id="6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 Party Representative</w:t>
      </w:r>
      <w:r>
        <w:rPr>
          <w:rFonts w:ascii="Times New Roman" w:cs="Times New Roman" w:eastAsia="Times New Roman" w:hAnsi="Times New Roman"/>
          <w:sz w:val="18"/>
          <w:szCs w:val="18"/>
          <w:color w:val="auto"/>
        </w:rPr>
        <w:t>” means initially Tolerantia, LLC, and thereafter, that TRA Party or a committee of TRA Parties determined from time to time by a plurality vote of the TRA Parties ratably in accordance with their right to receive Early Termination Payments under this Agreement, determined as if all TRA Parties directly holding New Company Common Units had fully Exchanged their New Company Common Units for Acquiror Class A Common Stock or other consideration and Acquiror had exercised its right of early termination on the date of the most recent Exchange.</w:t>
      </w:r>
    </w:p>
    <w:p>
      <w:pPr>
        <w:spacing w:after="0" w:line="180"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Valuation Assumptions</w:t>
      </w:r>
      <w:r>
        <w:rPr>
          <w:rFonts w:ascii="Times New Roman" w:cs="Times New Roman" w:eastAsia="Times New Roman" w:hAnsi="Times New Roman"/>
          <w:sz w:val="18"/>
          <w:szCs w:val="18"/>
          <w:color w:val="auto"/>
        </w:rPr>
        <w:t>” shall mean, as of an Early Termination Date, the assumptions that in each Taxable Year ending on or after such Early Termination Date,</w:t>
      </w:r>
    </w:p>
    <w:p>
      <w:pPr>
        <w:spacing w:after="0" w:line="162" w:lineRule="exact"/>
        <w:rPr>
          <w:sz w:val="20"/>
          <w:szCs w:val="20"/>
          <w:color w:val="auto"/>
        </w:rPr>
      </w:pPr>
    </w:p>
    <w:p>
      <w:pPr>
        <w:ind w:right="20" w:firstLine="436"/>
        <w:spacing w:after="0" w:line="258"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Taxpayer will have taxable income sufficient to fully utilize the Tax items arising from the Tax Attributes (other than any items addressed in clause (b))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a Corporate Taxpayer Return for the applicable Taxable Year) in which such deductions would become available,</w:t>
      </w:r>
    </w:p>
    <w:p>
      <w:pPr>
        <w:spacing w:after="0" w:line="183" w:lineRule="exact"/>
        <w:rPr>
          <w:rFonts w:ascii="Times New Roman" w:cs="Times New Roman" w:eastAsia="Times New Roman" w:hAnsi="Times New Roman"/>
          <w:sz w:val="18"/>
          <w:szCs w:val="18"/>
          <w:color w:val="auto"/>
        </w:rPr>
      </w:pPr>
    </w:p>
    <w:p>
      <w:pPr>
        <w:jc w:val="both"/>
        <w:ind w:right="300" w:firstLine="436"/>
        <w:spacing w:after="0" w:line="230"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carryovers generated by deductions arising from any Tax Attributes, which loss carryovers are available in the Taxable Year that includes such Early Termination Date, will be used by the Corporate Taxpayer on a pro rata basis from the Early Termination Date through (A) the scheduled expiration date of such loss carryovers (if any) or (B) if there is no such scheduled expiration date, then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Early Termination Date,</w:t>
      </w:r>
    </w:p>
    <w:p>
      <w:pPr>
        <w:spacing w:after="0" w:line="198"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rates, and any state, local, or non-U.S. Tax rates, that will be in effect for each such Taxable Year will be those specified for each such Taxable Year by the Code and other applicable law as in effect on the Early Termination Date, except to the extent any change to such Tax rates for such Taxable Year has already been enacted into law as of the Early Termination Date, and SOFR that will be in effect for each such Taxable Year will be the rate in effect on the Early Termination Date,</w:t>
      </w:r>
    </w:p>
    <w:p>
      <w:pPr>
        <w:spacing w:after="0" w:line="11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non-amortizable, non-depreciable Reference Assets (other than any Subsidiary Stock) will be disposed of 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w:t>
      </w:r>
    </w:p>
    <w:p>
      <w:pPr>
        <w:jc w:val="both"/>
        <w:ind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anniversary of an Exchange which gave rise to the applicable Basis Adjustment and any short-term investments will be disposed of twelve (12) months following the Early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Change of Control, such non-amortizable, non-depreciable assets shall be deemed disposed of at the time of sale of the relevant asset (if earlier than such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w:t>
      </w:r>
    </w:p>
    <w:p>
      <w:pPr>
        <w:spacing w:after="0" w:line="4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Stock will never be disposed of, and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63" w:name="page64"/>
    <w:bookmarkEnd w:id="63"/>
    <w:p>
      <w:pPr>
        <w:ind w:right="420" w:firstLine="436"/>
        <w:spacing w:after="0" w:line="266"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the Early Termination Date, there are New Company Common Units that have not been Exchanged, then each such New Company Common Unit is Exchanged in a fully taxable transaction for the Market Value of Acquiror Class A Common Stock that would be transferred if the Exchange occurred on the Early Termination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36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5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Section</w:t>
            </w:r>
          </w:p>
        </w:tc>
      </w:tr>
      <w:tr>
        <w:trPr>
          <w:trHeight w:val="185"/>
        </w:trPr>
        <w:tc>
          <w:tcPr>
            <w:tcW w:w="39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Acquiror</w:t>
            </w:r>
          </w:p>
        </w:tc>
        <w:tc>
          <w:tcPr>
            <w:tcW w:w="4560" w:type="dxa"/>
            <w:vAlign w:val="bottom"/>
          </w:tcPr>
          <w:p>
            <w:pPr>
              <w:spacing w:after="0"/>
              <w:rPr>
                <w:sz w:val="16"/>
                <w:szCs w:val="16"/>
                <w:color w:val="auto"/>
              </w:rPr>
            </w:pPr>
          </w:p>
        </w:tc>
        <w:tc>
          <w:tcPr>
            <w:tcW w:w="25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6"/>
                <w:szCs w:val="16"/>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Schedule</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Basis Schedule</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BCA</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 Ownership</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Definition of Beneficial Owner</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Definition of Affiliate</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Taxpayer</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Exchange</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Effective Date</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Notice</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Payment</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4.3(b)</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Schedule</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Agreement</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Expert</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Amount</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Liquidity Exceptions</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Objection Notice</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Tax Benefit</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Non-TRA Portion</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2.2(b)</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 Notice</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 Receivable Obligations</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3.3(c)</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Partnership</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Dispute</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Procedures</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754 Election</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Obligations</w:t>
            </w:r>
          </w:p>
        </w:tc>
        <w:tc>
          <w:tcPr>
            <w:tcW w:w="7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Attributes</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Payment</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Schedule</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 Parties</w:t>
            </w:r>
          </w:p>
        </w:tc>
        <w:tc>
          <w:tcPr>
            <w:tcW w:w="45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 Portion</w:t>
            </w:r>
          </w:p>
        </w:tc>
        <w:tc>
          <w:tcPr>
            <w:tcW w:w="4560" w:type="dxa"/>
            <w:vAlign w:val="bottom"/>
          </w:tcPr>
          <w:p>
            <w:pPr>
              <w:spacing w:after="0"/>
              <w:rPr>
                <w:sz w:val="20"/>
                <w:szCs w:val="20"/>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2.2(b)</w:t>
            </w:r>
          </w:p>
        </w:tc>
      </w:tr>
      <w:tr>
        <w:trPr>
          <w:trHeight w:val="365"/>
        </w:trPr>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56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rPr>
              <w:t>-9-</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CERTAIN REALIZED TAX BENEFIT</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Basis Adjustment</w:t>
      </w:r>
      <w:r>
        <w:rPr>
          <w:rFonts w:ascii="Times New Roman" w:cs="Times New Roman" w:eastAsia="Times New Roman" w:hAnsi="Times New Roman"/>
          <w:sz w:val="18"/>
          <w:szCs w:val="18"/>
          <w:color w:val="auto"/>
        </w:rPr>
        <w:t>. Within three hundred and thirty five (335) calendar days after the end of the Taxable Year of Corporate Taxpayer that includes the Closing Date and each Taxable Year thereafter while this Agreement (or any amended and/or restated version thereof) remains in effect, Acquiror shall deliver to each TRA Party a schedule (the “</w:t>
      </w:r>
      <w:r>
        <w:rPr>
          <w:rFonts w:ascii="Times New Roman" w:cs="Times New Roman" w:eastAsia="Times New Roman" w:hAnsi="Times New Roman"/>
          <w:sz w:val="18"/>
          <w:szCs w:val="18"/>
          <w:u w:val="single" w:color="auto"/>
          <w:color w:val="auto"/>
        </w:rPr>
        <w:t>Basis Schedule</w:t>
      </w:r>
      <w:r>
        <w:rPr>
          <w:rFonts w:ascii="Times New Roman" w:cs="Times New Roman" w:eastAsia="Times New Roman" w:hAnsi="Times New Roman"/>
          <w:sz w:val="18"/>
          <w:szCs w:val="18"/>
          <w:color w:val="auto"/>
        </w:rPr>
        <w:t xml:space="preserve">”) that shows, in reasonable detail necessary to perform the calculations required by this Agreement, (a) the actual Tax basis and the Non-Stepped Up Tax Basis of the Reference Assets as of the Closing Date and each applicable Exchange Date occurring during such Taxable Year, (b) the Basis Adjustment with respect to the Reference Assets Attributable to such TRA Party as a result of the Exchanges effected in such Taxable Year and prior Taxable Years by such TRA Party, calculated in the aggregate, (c) the period (or periods) over which the Reference Assets are amortizable and/or depreciable and (d) the period (or periods) over which each Basis Adjustment in respect of such TRA Party is amortizable and/or depreciable, in each case, calculated in the aggregate for all TRA Parties and solely with respect to the TRA Party to which such Basis Schedule is delivered. All costs and expenses incurred in connection with the provision and preparation of the Basis Schedules and Tax Benefit Schedules for each TRA Party in compliance with this Agreement, as well as the procedures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if applicable, shall be borne by Partnership. Each Basis Schedule will become final as provided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may be amended as provided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(subject to the procedures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three hundred and thirty five days (335) calendar days after the end of any Taxable Year in which there is a Realized Tax Benefit or Realized Tax Detriment Attributable to a TRA Party, Acquiror shall provide to such TRA Party a schedule showing, in reasonable detail necessary to perform the calculations required by this Agreement, the calculation of the Tax Benefit Payment, if any, and any Realized Tax Benefit or Realized Tax Detriment, as applicable, Attributable to such TRA Party for such Taxable Year (a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xml:space="preserve">”). Each Tax Benefit Schedule will become final as provided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may be amended as provided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(subject to the procedures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987"/>
        <w:spacing w:after="0" w:line="271" w:lineRule="auto"/>
        <w:tabs>
          <w:tab w:leader="none" w:pos="124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Principles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the Realized Tax Benefit or Realized Tax Detriment for each Taxable Year is intended to measure the decrease or increase in the Actual Tax Liability for such Taxable Year attributable to the Tax Attributes, determined using a “with and without” methodology, and this Agreement shall be interpreted in accordance with such intention. For the avoidance of doubt, the Actual Tax Liability will take into account the deduction of the portion of the Tax Benefit Payment that must be accounted for as interest under the Code or other applicable law based upon the characterization of Tax Benefit Payments as additional consideration payable by Acquiror for the New Company Common Units acquired in an Exchange. Carryovers or carrybacks of any Tax item attributable to the Tax Attributes shall be considered to be subject to the rules of the Code and the Treasury Regulations or the appropriate provisions of U.S. state and local and non-U.S. Tax law, as applicable, governing the use, limitation and expiration of carryovers or carrybacks of the relevant type. If a carryover or carryback of any Tax item includes a portion that is attributable to any Tax Attribute (“</w:t>
      </w:r>
      <w:r>
        <w:rPr>
          <w:rFonts w:ascii="Times New Roman" w:cs="Times New Roman" w:eastAsia="Times New Roman" w:hAnsi="Times New Roman"/>
          <w:sz w:val="17"/>
          <w:szCs w:val="17"/>
          <w:u w:val="single" w:color="auto"/>
          <w:color w:val="auto"/>
        </w:rPr>
        <w:t>TRA Portion</w:t>
      </w:r>
      <w:r>
        <w:rPr>
          <w:rFonts w:ascii="Times New Roman" w:cs="Times New Roman" w:eastAsia="Times New Roman" w:hAnsi="Times New Roman"/>
          <w:sz w:val="17"/>
          <w:szCs w:val="17"/>
          <w:color w:val="auto"/>
        </w:rPr>
        <w:t>”) and another portion that is not (“</w:t>
      </w:r>
      <w:r>
        <w:rPr>
          <w:rFonts w:ascii="Times New Roman" w:cs="Times New Roman" w:eastAsia="Times New Roman" w:hAnsi="Times New Roman"/>
          <w:sz w:val="17"/>
          <w:szCs w:val="17"/>
          <w:u w:val="single" w:color="auto"/>
          <w:color w:val="auto"/>
        </w:rPr>
        <w:t>Non-TRA Portion</w:t>
      </w:r>
      <w:r>
        <w:rPr>
          <w:rFonts w:ascii="Times New Roman" w:cs="Times New Roman" w:eastAsia="Times New Roman" w:hAnsi="Times New Roman"/>
          <w:sz w:val="17"/>
          <w:szCs w:val="17"/>
          <w:color w:val="auto"/>
        </w:rPr>
        <w:t>”), such portions shall be considered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65" w:name="page66"/>
    <w:bookmarkEnd w:id="65"/>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parties agree that (i) all Tax Benefit Payments (other than the portion of Tax Benefit Payments treated as Imputed Interest) made to transferors in an Exchange will be treated as subsequent upward purchase price adjustments that have the effect of creating additional Basis Adjustments to Reference Assets for Corporate Taxpayer in the Taxable Year of payment, (ii) as a result, such additional Basis Adjustments described in clause (i) will be incorporated into the calculation for the Taxable Year of the applicable payment and into the calculations for subsequent Taxable Years, as appropriate, and (iii) the Actual Tax Liability shall take into account the deduction of the portion of the Tax Benefit Payment that must be accounted for as Imputed Interest under applicable law.</w:t>
      </w:r>
    </w:p>
    <w:p>
      <w:pPr>
        <w:spacing w:after="0" w:line="192" w:lineRule="exact"/>
        <w:rPr>
          <w:sz w:val="20"/>
          <w:szCs w:val="20"/>
          <w:color w:val="auto"/>
        </w:rPr>
      </w:pPr>
    </w:p>
    <w:p>
      <w:pPr>
        <w:ind w:left="4" w:right="80" w:firstLine="987"/>
        <w:spacing w:after="0" w:line="256"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Assumptions</w:t>
      </w:r>
      <w:r>
        <w:rPr>
          <w:rFonts w:ascii="Times New Roman" w:cs="Times New Roman" w:eastAsia="Times New Roman" w:hAnsi="Times New Roman"/>
          <w:sz w:val="18"/>
          <w:szCs w:val="18"/>
          <w:color w:val="auto"/>
        </w:rPr>
        <w:t>. For the avoidance of doubt, Acquiror shall be entitled to make reasonable simplifying assumptions in making determinations contemplated by this Agreement, including reasonable assumptions regarding basis recovery periods based on available balance sheet information. Notwithstanding anything to the contrary, to the extent Acquiror reasonably determines (in consultation with its accounting and Tax advisors and the TRA Party Representative) that the administrative burden and costs associated with calculating the Tax Attributes with respect to any subsidiary of Partnership would materially outweigh the Tax Benefit Payment attributable to such Tax Attributes, Acquiror shall be permitted to determine that such Tax Attributes shall not be treated as Tax Attributes for all purposes of this Agreement.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Procedures,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580" w:firstLine="987"/>
        <w:spacing w:after="0" w:line="276" w:lineRule="auto"/>
        <w:tabs>
          <w:tab w:leader="none" w:pos="124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xml:space="preserve">. Every time Acquiror delivers to a TRA Party an applicable Schedule under this Agreement, including any Amended Schedule delivered pursuant to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and any Early Termination Schedule or amended Early Termination Schedule, Acquiror shall also</w:t>
      </w:r>
    </w:p>
    <w:p>
      <w:pPr>
        <w:ind w:left="4" w:right="20" w:hanging="4"/>
        <w:spacing w:after="0" w:line="250"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such TRA Party supporting schedules, valuation reports, if any, and work papers, as determined by Acquiror or reasonably requested by such TRA Party, providing reasonable detail regarding data and calculations that were relevant for the preparation of the Schedule and (y) allow the TRA Party Representative and its advisors reasonable access to the appropriate representatives at the Acquiror or its advisors, as determined by Acquiror, in connection with the review of such Schedule. Without limiting the generality of the preceding sentence, Acquiror shall ensure that each Tax Benefit Schedule or Early Termination Schedule delivered to a TRA Party,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unless the TRA Party Representative</w:t>
      </w:r>
    </w:p>
    <w:p>
      <w:pPr>
        <w:spacing w:after="0" w:line="3" w:lineRule="exact"/>
        <w:rPr>
          <w:rFonts w:ascii="Times New Roman" w:cs="Times New Roman" w:eastAsia="Times New Roman" w:hAnsi="Times New Roman"/>
          <w:sz w:val="18"/>
          <w:szCs w:val="18"/>
          <w:color w:val="auto"/>
        </w:rPr>
      </w:pPr>
    </w:p>
    <w:p>
      <w:pPr>
        <w:ind w:left="4" w:hanging="4"/>
        <w:spacing w:after="0" w:line="260" w:lineRule="auto"/>
        <w:tabs>
          <w:tab w:leader="none" w:pos="2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calendar days from such date provides Acquiror with written notice of a material objection (made in good faith) to such Schedule or amendment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or (ii) provides a written waiver of such right to provide any Objection Notice within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described in clause (i) above, in which case such Schedule or amendment thereto shall become binding on the date such waiver is received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Acquiror and the TRA Party Representative shall negotiate in good faith to resolve the issues raised in an Objection Notice; if Acquiror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 Party Representative are unable to successfully resolve such issues within thirty (30) calendar days after receipt by Acquiror of such Objection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Notice, Acquiror and the TRA Party Representative shall employ the reconciliation procedures described in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of this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Reconciliation Procedures</w:t>
      </w:r>
      <w:r>
        <w:rPr>
          <w:rFonts w:ascii="Times New Roman" w:cs="Times New Roman" w:eastAsia="Times New Roman" w:hAnsi="Times New Roman"/>
          <w:sz w:val="18"/>
          <w:szCs w:val="18"/>
          <w:color w:val="auto"/>
        </w:rPr>
        <w:t>”). The TRA Party Representative will represent the interests of each of the TRA Parties and shall raise and pursue,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any objection to a Schedule or amendment thereto timely given in writing to the TRA Party Representative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 Party.</w:t>
      </w:r>
    </w:p>
    <w:p>
      <w:pPr>
        <w:spacing w:after="0" w:line="207" w:lineRule="exact"/>
        <w:rPr>
          <w:sz w:val="20"/>
          <w:szCs w:val="20"/>
          <w:color w:val="auto"/>
        </w:rPr>
      </w:pPr>
    </w:p>
    <w:p>
      <w:pPr>
        <w:ind w:firstLine="987"/>
        <w:spacing w:after="0" w:line="252"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applicable Schedule for any Taxable Year may be amended from time to time by Acquiror (i) in connection with a Determination affecting such Schedule, (ii) to correct material inaccuracies in the Schedule, including those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 payments made pursuant to this Agreement (any such Schedule, an “</w:t>
      </w: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xml:space="preserve">”). Acquiror shall provide an Amended Schedule to each TRA Party within thirty (30) calendar days of the occurrence of an event referenced in clauses (i) through (vi) of the preceding sentence. In the event a Schedule is amended after such Schedule becomes final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if applicable,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such Amended Schedule shall not accrue any other interest hereunder until after the due date (without extensions) for filing the Tax return of the Corporate Taxpayer for the Taxable Year in which the amendment actually occurs.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Tax Classifications;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Adjustments</w:t>
      </w:r>
      <w:r>
        <w:rPr>
          <w:rFonts w:ascii="Times New Roman" w:cs="Times New Roman" w:eastAsia="Times New Roman" w:hAnsi="Times New Roman"/>
          <w:sz w:val="18"/>
          <w:szCs w:val="18"/>
          <w:color w:val="auto"/>
        </w:rPr>
        <w:t>. The parties to this Agreement acknowledge and agree to treat (A) to the fullest extent permitted by law each Direct Exchange as giving rise to Basis Adjustments and (B) to the fullest extent permitted by law each other Exchange using cash or Acquiror Class A Common Stock contributed to Partnership by Acquiror as a direct purchase of New Company Common Units by Acquiror from the applicable TRA Party pursuant to Section 707(a)(2)(B) of the Code and as giving rise to Basis Adjustments, or similar provisions under applicable non-U.S. Tax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7" w:name="page68"/>
    <w:bookmarkEnd w:id="67"/>
    <w:p>
      <w:pPr>
        <w:ind w:left="4" w:right="80" w:firstLine="987"/>
        <w:spacing w:after="0" w:line="256" w:lineRule="auto"/>
        <w:tabs>
          <w:tab w:leader="none" w:pos="12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754 Election</w:t>
      </w:r>
      <w:r>
        <w:rPr>
          <w:rFonts w:ascii="Times New Roman" w:cs="Times New Roman" w:eastAsia="Times New Roman" w:hAnsi="Times New Roman"/>
          <w:sz w:val="18"/>
          <w:szCs w:val="18"/>
          <w:color w:val="auto"/>
        </w:rPr>
        <w:t>. For the Taxable Year that includes the date hereof and for each Taxable Year in which an Exchange occurs and with respect to which Acquiror has obligations under this Agreement, ProKidney Corp. GP Limited, in its capacity as the sole managing member of Partnership, shall cause (i) Partnership and (ii) each of Partnership’s direct and indirect Subsidiaries (but only if such indirect Subsidiaries are held only through subsidiaries treated as partnerships or disregarded entities) that is treated as a partnership for U.S. federal income Tax purposes, in each case, to have in effect an election under Section 754 of the Code (and under any similar provisions of applicable state or local or non-U.S. Tax law) for each such Taxable Year to the extent eligible to make such election.</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TAX BENEFIT PAYMENTS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71" w:lineRule="auto"/>
        <w:tabs>
          <w:tab w:leader="none" w:pos="124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xml:space="preserve">. Within five (5) Business Days after a Tax Benefit Schedule delivered to a TRA Party becomes final in accordance with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xml:space="preserve">, or, if applicable, </w:t>
      </w:r>
      <w:r>
        <w:rPr>
          <w:rFonts w:ascii="Times New Roman" w:cs="Times New Roman" w:eastAsia="Times New Roman" w:hAnsi="Times New Roman"/>
          <w:sz w:val="17"/>
          <w:szCs w:val="17"/>
          <w:u w:val="single" w:color="auto"/>
          <w:color w:val="auto"/>
        </w:rPr>
        <w:t>Section 7.9</w:t>
      </w:r>
      <w:r>
        <w:rPr>
          <w:rFonts w:ascii="Times New Roman" w:cs="Times New Roman" w:eastAsia="Times New Roman" w:hAnsi="Times New Roman"/>
          <w:sz w:val="17"/>
          <w:szCs w:val="17"/>
          <w:color w:val="auto"/>
        </w:rPr>
        <w:t xml:space="preserve">, Acquiror shall pay such TRA Party for such Taxable Year the Tax Benefit Payment determined pursuant to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that is Attributable to such TRA Party. Each such Tax Benefit Payment shall be made by wire transfer of immediately available funds to the bank account previously designated by such TRA Party to Acquiror or as otherwise agreed by Acquiror and such TRA Party. The payments provided for pursuant to the above sentence shall be computed separately for each TRA Party. For the avoidance of doubt, no Tax Benefit Payment shall be made in respect of estimated Tax payments, including, without limitation, federal estimated income Tax payments. Notwithstanding anything to the contrary in this Agreement, with respect to each Exchange by or with respect to any TRA Party, if such TRA Party notifies Acquiror in writing of a stated maximum selling price (within the meaning of Treasury Regulations Section 15A.453-1(c)(2)), then the aggregate Tax Benefit Payments to such TRA Party in respect of such Exchange (other than amounts accounted for as interest under the Code) shall not exceed such stated maximum selling price.</w:t>
      </w:r>
    </w:p>
    <w:p>
      <w:pPr>
        <w:spacing w:after="0" w:line="173" w:lineRule="exact"/>
        <w:rPr>
          <w:rFonts w:ascii="Times New Roman" w:cs="Times New Roman" w:eastAsia="Times New Roman" w:hAnsi="Times New Roman"/>
          <w:sz w:val="17"/>
          <w:szCs w:val="17"/>
          <w:color w:val="auto"/>
        </w:rPr>
      </w:pPr>
    </w:p>
    <w:p>
      <w:pPr>
        <w:ind w:left="4" w:right="20" w:firstLine="987"/>
        <w:spacing w:after="0" w:line="269" w:lineRule="auto"/>
        <w:tabs>
          <w:tab w:leader="none" w:pos="125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Tax Benefit Payment</w:t>
      </w:r>
      <w:r>
        <w:rPr>
          <w:rFonts w:ascii="Times New Roman" w:cs="Times New Roman" w:eastAsia="Times New Roman" w:hAnsi="Times New Roman"/>
          <w:sz w:val="17"/>
          <w:szCs w:val="17"/>
          <w:color w:val="auto"/>
        </w:rPr>
        <w:t xml:space="preserve">”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New Company Common Units in the applicable Exchange, unless otherwise required by law. Subject to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Net Tax Benefit</w:t>
      </w:r>
      <w:r>
        <w:rPr>
          <w:rFonts w:ascii="Times New Roman" w:cs="Times New Roman" w:eastAsia="Times New Roman" w:hAnsi="Times New Roman"/>
          <w:sz w:val="17"/>
          <w:szCs w:val="17"/>
          <w:color w:val="auto"/>
        </w:rPr>
        <w:t>” for a Taxable Year shall be an amount equal to the excess, if any, of</w:t>
      </w:r>
    </w:p>
    <w:p>
      <w:pPr>
        <w:spacing w:after="0" w:line="2" w:lineRule="exact"/>
        <w:rPr>
          <w:rFonts w:ascii="Times New Roman" w:cs="Times New Roman" w:eastAsia="Times New Roman" w:hAnsi="Times New Roman"/>
          <w:sz w:val="17"/>
          <w:szCs w:val="17"/>
          <w:color w:val="auto"/>
        </w:rPr>
      </w:pPr>
    </w:p>
    <w:p>
      <w:pPr>
        <w:ind w:left="4" w:right="80" w:hanging="4"/>
        <w:spacing w:after="0" w:line="252"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eighty-five percent (85%) of the Cumulative Net Realized Tax Benefit as of the end of such Taxable Year, over (ii) the total amount of payments previously made under the first sentence of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(excluding payments attributable to Interest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Acquiror’s ability to make offsets against Tax Benefit Payments to the extent permitted by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if there is no such excess (or a deficit exists) no TRA Party shall be required to make a payment (or return a payment) to Acquiror in respect of any portion of any Tax Benefit Payment previously paid by Acquiror to such TRA Party. The “</w:t>
      </w:r>
      <w:r>
        <w:rPr>
          <w:rFonts w:ascii="Times New Roman" w:cs="Times New Roman" w:eastAsia="Times New Roman" w:hAnsi="Times New Roman"/>
          <w:sz w:val="18"/>
          <w:szCs w:val="18"/>
          <w:u w:val="single" w:color="auto"/>
          <w:color w:val="auto"/>
        </w:rPr>
        <w:t>Interest Amount</w:t>
      </w:r>
      <w:r>
        <w:rPr>
          <w:rFonts w:ascii="Times New Roman" w:cs="Times New Roman" w:eastAsia="Times New Roman" w:hAnsi="Times New Roman"/>
          <w:sz w:val="18"/>
          <w:szCs w:val="18"/>
          <w:color w:val="auto"/>
        </w:rPr>
        <w:t xml:space="preserve">” shall equal the interest on the Net Tax Benefit calculated at the Agreed Rate from the due date (without extensions) for filing the applicable Corporate Taxpayer Return with respect to Taxes for such Taxable Year until the payment date under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provided that such interest shall not accrue on the amount of any Net Tax</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68" w:name="page69"/>
    <w:bookmarkEnd w:id="68"/>
    <w:p>
      <w:pPr>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Benefit after the date on which such amount is actually paid to the applicable TRA Party, regardless of whether such payment is made prior to the due date for such payment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The Net Tax Benefit and the Interest Amount shall be determined separately with respect to each Exchange, on a New Company Common Unit by New Company Common Unit basis by reference to the resulting Basis Adjustment to Corporate Taxpayer.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 Duplicative Payments</w:t>
      </w:r>
      <w:r>
        <w:rPr>
          <w:rFonts w:ascii="Times New Roman" w:cs="Times New Roman" w:eastAsia="Times New Roman" w:hAnsi="Times New Roman"/>
          <w:sz w:val="18"/>
          <w:szCs w:val="18"/>
          <w:color w:val="auto"/>
        </w:rPr>
        <w:t>. No duplicative payment of any amount (including interest) will be required under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Pro Rata Payments; Coordination of Benefits with Other Tax Receivable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987"/>
        <w:spacing w:after="0" w:line="258"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the contrary, to the extent that the aggregate Realized Tax Benefit of Corporate Taxpayer with respect to the Tax Attributes is limited in a particular Taxable Year because Corporate Taxpayer does not have sufficient taxable income, the Net Tax Benefit for Corporate Taxpayer shall be allocated among all TRA Parties eligible for Tax Benefit Payments under this Agreement in proportion to the respective amounts of Net Tax Benefit that would have been allocated to each such TRA Party if Corporate Taxpayer had sufficient taxable income so that there were no such limitation.</w:t>
      </w:r>
    </w:p>
    <w:p>
      <w:pPr>
        <w:spacing w:after="0" w:line="183"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(including as contemplated by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Acquiror does not fully satisfy its payment obligations to make all Tax Benefit Payments due under this Agreement in respect of a particular Taxable Year, then Acquiror and the TRA Parties agree that (i) Tax Benefit Payments for such Taxable Year shall be allocated to all parties eligible for Tax Benefit Payments under this Agreement in proportion to the relative amounts of Tax Benefit Payments that would have been allocable to each TRA Party if Acquiror had sufficient cash available to make such Tax Benefit Payments and (ii) no Tax Benefit Payment shall be made in respect of any subsequent Taxable Year until all Tax Benefit Payments in respect of prior Taxable Years have been made in full.</w:t>
      </w:r>
    </w:p>
    <w:p>
      <w:pPr>
        <w:spacing w:after="0" w:line="187" w:lineRule="exact"/>
        <w:rPr>
          <w:rFonts w:ascii="Times New Roman" w:cs="Times New Roman" w:eastAsia="Times New Roman" w:hAnsi="Times New Roman"/>
          <w:sz w:val="18"/>
          <w:szCs w:val="18"/>
          <w:color w:val="auto"/>
        </w:rPr>
      </w:pPr>
    </w:p>
    <w:p>
      <w:pPr>
        <w:ind w:right="260" w:firstLine="987"/>
        <w:spacing w:after="0" w:line="289" w:lineRule="auto"/>
        <w:tabs>
          <w:tab w:leader="none" w:pos="123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Benefit Payment or Early Termination Payment required to be made by Acquiror to the TRA Parties under this Agreement shall rank senior in right of payment to any principal, interest or other amounts due and payable in respect of any similar agreement (“</w:t>
      </w:r>
      <w:r>
        <w:rPr>
          <w:rFonts w:ascii="Times New Roman" w:cs="Times New Roman" w:eastAsia="Times New Roman" w:hAnsi="Times New Roman"/>
          <w:sz w:val="17"/>
          <w:szCs w:val="17"/>
          <w:u w:val="single" w:color="auto"/>
          <w:color w:val="auto"/>
        </w:rPr>
        <w:t>Other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Receivable Obligations</w:t>
      </w:r>
      <w:r>
        <w:rPr>
          <w:rFonts w:ascii="Times New Roman" w:cs="Times New Roman" w:eastAsia="Times New Roman" w:hAnsi="Times New Roman"/>
          <w:sz w:val="17"/>
          <w:szCs w:val="17"/>
          <w:color w:val="auto"/>
        </w:rPr>
        <w:t>”). The effect of any other similar agreement shall not be taken into account in respect of any calculations made hereunder.</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Overpayments</w:t>
      </w:r>
      <w:r>
        <w:rPr>
          <w:rFonts w:ascii="Times New Roman" w:cs="Times New Roman" w:eastAsia="Times New Roman" w:hAnsi="Times New Roman"/>
          <w:sz w:val="18"/>
          <w:szCs w:val="18"/>
          <w:color w:val="auto"/>
        </w:rPr>
        <w:t xml:space="preserve">. To the extent Acquiror makes a payment to a TRA Party in respect of a particular Taxable Year under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in an amount in excess of the amount of such payment that should have been made to such TRA Party in respect of such Taxable Year (taking into account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under the terms of this Agreement, then such TRA Party shall not receive further payments under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until such TRA Party has foregone an amount of payments equal to such excess. For clarity, the operation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with respect to any particular TRA Party shall not affect the rights or obligations of any other TRA Party under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69" w:name="page70"/>
    <w:bookmarkEnd w:id="6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Early Termination and Breach of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53"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Acquiror may, with the prior written consent of the TRA Disinterested Majority, terminate this Agreement with respect to all amounts payable to the TRA Parties and with respect to all of the New Company Common Units held by the TRA Parties at any time by paying to each TRA Party the Early Termination Payment in respect of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Agreement shall only terminate upon the receipt of the entire Early Termination Payment by all TRA Parties and payments described in the next sentence, if any,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Acquiror may withdraw any notice to execute its termination rights under this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prior to the time at which any Early Termination Payment has been paid. Upon payment of the entire Early Termination Payment by Acquiror to all of the TRA Parties, none of the TRA Parties or Acquiror shall have any further payment rights or obligations under this Agreement, other than for any (i) Tax Benefit Payment due and payable that remains unpaid as of the Early Termination Date and (ii) any Tax Benefit Payment due for the Taxable Year ending immediately prior to, ending with or including the date of the Early Termination Notice (except to the extent that the amounts described in clause (i) and this clause (ii) are included in the Early Termination Payment). If an Exchange occurs after Acquiror makes all of the required Early Termination Payments, Acquiror shall have no obligations under this Agreement with respect to such Exchange.</w:t>
      </w:r>
    </w:p>
    <w:p>
      <w:pPr>
        <w:spacing w:after="0" w:line="83"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Acquiror (1) materially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 similar law), all obligations hereunder shall be accelerated and such obligations shall be calculated as if an Early Termination Notice had been delivered on the date of such breach and shall include, but not be limited to, (i) the Early Termination Payments calculated as if an Early Termination Notice had been delivered on the date of such breach, (ii) any Tax Benefit Payment in respect of a TRA Party agreed to by Acquiror and such TRA Party as due and payable but unpaid as of the date of such breach, and (iii) any Tax Benefit Payment in respect of any TRA Party due for the Taxable Year ending immediately prior to, with or including the date of such breach (except to the extent included in clause (i) or clause (ii));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procedures similar to the procedures of </w:t>
      </w:r>
      <w:r>
        <w:rPr>
          <w:rFonts w:ascii="Times New Roman" w:cs="Times New Roman" w:eastAsia="Times New Roman" w:hAnsi="Times New Roman"/>
          <w:sz w:val="17"/>
          <w:szCs w:val="17"/>
          <w:u w:val="single" w:color="auto"/>
          <w:color w:val="auto"/>
        </w:rPr>
        <w:t>Section 4.3(b)</w:t>
      </w:r>
      <w:r>
        <w:rPr>
          <w:rFonts w:ascii="Times New Roman" w:cs="Times New Roman" w:eastAsia="Times New Roman" w:hAnsi="Times New Roman"/>
          <w:sz w:val="17"/>
          <w:szCs w:val="17"/>
          <w:color w:val="auto"/>
        </w:rPr>
        <w:t xml:space="preserve"> shall apply with respect to the determination of the amount payable by Acquiror pursuant to this sentence. Notwithstanding the foregoing, in the event that Acquiror breaches a material obligation under this Agreement (and, in the case of a breach of a material obligation other than an obligation to make a payment, does not cure such breach reasonably promptly upon notice thereof), each TRA Party shall be entitled to elect to receive the amounts set forth in clauses (i), (ii) and</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3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to seek specific performance of the terms hereof.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Notwithstanding anything in this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66" w:right="499" w:bottom="1440" w:gutter="0" w:footer="0" w:header="0"/>
        </w:sectPr>
      </w:pPr>
    </w:p>
    <w:bookmarkStart w:id="70" w:name="page71"/>
    <w:bookmarkEnd w:id="7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to the contrary, it shall not be a breach of this Agreement if Acquiror fails to make any Tax Benefit Payment when due to the extent that Acquiror (x) has insufficient funds, or cannot make such payment as a result of obligations imposed in connection with any Senior Obligations, and cannot take commercially reasonable actions to obtain sufficient funds, to make such payment or (y) would become insolvent as a result of making such payment (in each case, as determined by the Board in good faith) (clause (x) and this clause (y) together, the “</w:t>
      </w:r>
      <w:r>
        <w:rPr>
          <w:rFonts w:ascii="Times New Roman" w:cs="Times New Roman" w:eastAsia="Times New Roman" w:hAnsi="Times New Roman"/>
          <w:sz w:val="18"/>
          <w:szCs w:val="18"/>
          <w:u w:val="single" w:color="auto"/>
          <w:color w:val="auto"/>
        </w:rPr>
        <w:t>Liquidity Exceptions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apply to such late payment and any such payment obligation shall nonetheless accrue for the benefit of the TRA Parties and Acquiror shall make such payment at the first opportunity that the Liquidity Exceptions do not apply,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Liquidity Exceptions apply and Acquiror declares or pays any dividend of cash to its shareholders while any Tax Benefit Payment is due and payable and remains unpaid, then the Liquidity Exceptions shall no longer apply. In the case of a breach of a material obligation other than an obligation to make a payment, Acquiror will not be considered to have breached such obligation for purposes of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until Acquiror shall have been provided a reasonable opportunity to cure such breach and shall have failed to cure such breach.</w:t>
      </w:r>
    </w:p>
    <w:p>
      <w:pPr>
        <w:spacing w:after="0" w:line="86" w:lineRule="exact"/>
        <w:rPr>
          <w:sz w:val="20"/>
          <w:szCs w:val="20"/>
          <w:color w:val="auto"/>
        </w:rPr>
      </w:pPr>
    </w:p>
    <w:p>
      <w:pPr>
        <w:ind w:left="4" w:firstLine="987"/>
        <w:spacing w:after="0" w:line="269" w:lineRule="auto"/>
        <w:tabs>
          <w:tab w:leader="none" w:pos="12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Change of Control, all obligations hereunder will be accelerated and such obligations shall be calculated as if an Early Termination Notice had been delivered on the date of such Change of Control and shall include, without duplication, (1) the Early Termination Payments calculated with respect to the TRA Parties as if the Early Termination Date is the date of such Change of Control, (2) any Tax Benefit Payment due and payable and that remains unpaid as of the date of such Change of Control, and (3) any Tax Benefit Payment in respect of any TRA Party due for the Taxable Year ending immediately prior to, with or including the date of such Change of Control (except to the extent included in clause</w:t>
      </w:r>
    </w:p>
    <w:p>
      <w:pPr>
        <w:spacing w:after="0" w:line="2" w:lineRule="exact"/>
        <w:rPr>
          <w:rFonts w:ascii="Times New Roman" w:cs="Times New Roman" w:eastAsia="Times New Roman" w:hAnsi="Times New Roman"/>
          <w:sz w:val="17"/>
          <w:szCs w:val="17"/>
          <w:color w:val="auto"/>
        </w:rPr>
      </w:pPr>
    </w:p>
    <w:p>
      <w:pPr>
        <w:ind w:left="4" w:right="120" w:hanging="4"/>
        <w:spacing w:after="0" w:line="271" w:lineRule="auto"/>
        <w:tabs>
          <w:tab w:leader="none" w:pos="25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clause (2)). In the event of a Change of Control, (i) the TRA Parties shall be entitled to receive the amounts set forth in clauses (1), (2) and (3) of the preceding sentence, (ii) any Early Termination Payment described in the preceding sentence shall be calculated utilizing the Valuation Assumptions by substituting the phrase “date of a Change of Control” in each place “Early Termination Date” appears and (iii)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with respect to payments to the TRA Parties upon the Change of Control. Upon payment by Acquiror of the full amount prescribed by this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xml:space="preserve"> pursuant to a Change of Control, Acquiror shall have no further payment obligations under this Agreement.</w:t>
      </w:r>
    </w:p>
    <w:p>
      <w:pPr>
        <w:spacing w:after="0" w:line="174" w:lineRule="exact"/>
        <w:rPr>
          <w:sz w:val="20"/>
          <w:szCs w:val="20"/>
          <w:color w:val="auto"/>
        </w:rPr>
      </w:pPr>
    </w:p>
    <w:p>
      <w:pPr>
        <w:ind w:left="4" w:right="80" w:firstLine="440"/>
        <w:spacing w:after="0" w:line="239"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xml:space="preserve">. If Acquiror chooses to exercise its right of early termination in accordance with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above, Acquiror shall deliver to each TRA Party a notice (the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and a schedule (the “</w:t>
      </w:r>
      <w:r>
        <w:rPr>
          <w:rFonts w:ascii="Times New Roman" w:cs="Times New Roman" w:eastAsia="Times New Roman" w:hAnsi="Times New Roman"/>
          <w:sz w:val="18"/>
          <w:szCs w:val="18"/>
          <w:u w:val="single" w:color="auto"/>
          <w:color w:val="auto"/>
        </w:rPr>
        <w:t>Early Termination Schedule</w:t>
      </w:r>
      <w:r>
        <w:rPr>
          <w:rFonts w:ascii="Times New Roman" w:cs="Times New Roman" w:eastAsia="Times New Roman" w:hAnsi="Times New Roman"/>
          <w:sz w:val="18"/>
          <w:szCs w:val="18"/>
          <w:color w:val="auto"/>
        </w:rPr>
        <w:t xml:space="preserve">”) specifying Acquiror’s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unless, prior to such thirtieth (30</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calendar day, the TRA Party Representative (a) provides Acquiror with written notice of a material objection to such Schedule made in good faith (“</w:t>
      </w:r>
      <w:r>
        <w:rPr>
          <w:rFonts w:ascii="Times New Roman" w:cs="Times New Roman" w:eastAsia="Times New Roman" w:hAnsi="Times New Roman"/>
          <w:sz w:val="18"/>
          <w:szCs w:val="18"/>
          <w:u w:val="single" w:color="auto"/>
          <w:color w:val="auto"/>
        </w:rPr>
        <w:t>Material Objection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or (b) provides a written waiver of such right of a Material Objection Notice, in which case such Schedule will become binding on the date the waiver is received by Acquiror. If Acquiror and the TRA Party Representative, for any reason, are unable to successfully</w:t>
      </w:r>
    </w:p>
    <w:p>
      <w:pPr>
        <w:spacing w:after="0" w:line="13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71" w:name="page72"/>
    <w:bookmarkEnd w:id="71"/>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resolve the issues raised in such notice within thirty (30) calendar days after receipt by Acquiror of the Material Objection Notice, Acquiror and the TRA Party Representative shall employ the Reconciliation Procedures in which case such Schedule shall become binding in accordance with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The date on which the Early Termination Schedule becomes binding in accordance with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the “</w:t>
      </w:r>
      <w:r>
        <w:rPr>
          <w:rFonts w:ascii="Times New Roman" w:cs="Times New Roman" w:eastAsia="Times New Roman" w:hAnsi="Times New Roman"/>
          <w:sz w:val="18"/>
          <w:szCs w:val="18"/>
          <w:u w:val="single" w:color="auto"/>
          <w:color w:val="auto"/>
        </w:rPr>
        <w:t>Early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Payment upon Early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87"/>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after the Early Termination Effective Date, Acquiror shall pay to each TRA Party an amount equal to the Early Termination Payment in respect of such TRA Party. Such payment shall be made by wire transfer of immediately available funds to a bank account or accounts designated by each TRA Party or as otherwise agreed by Acquiror and such TRA Party.</w:t>
      </w:r>
    </w:p>
    <w:p>
      <w:pPr>
        <w:spacing w:after="0" w:line="6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Payment</w:t>
      </w:r>
      <w:r>
        <w:rPr>
          <w:rFonts w:ascii="Times New Roman" w:cs="Times New Roman" w:eastAsia="Times New Roman" w:hAnsi="Times New Roman"/>
          <w:sz w:val="18"/>
          <w:szCs w:val="18"/>
          <w:color w:val="auto"/>
        </w:rPr>
        <w:t>” in respect of a TRA Party shall equal the present value, discounted at the Early Termination Rate as of the applicable Early Termination Effective Date, of all Tax Benefit Payments in respect of such TRA Party that would be required to be paid by Acquiror beginning from the Early Termination Date and assuming that (i) the Valuation Assumptions in respect of such TRA Party are applied, (ii) for each Taxable Year, the Tax Benefit Payment is paid on the last day of such Taxable Year and (iii) for purposes of calculating the Early Termination Rate, SOFR shall be SOFR as of the date of the Early Termination Notice. For the avoidance of doubt, an Early Termination Payment shall be made to each applicable TRA Party regardless of whether such TRA Party has exchanged all of its New Company Common Units as of the Early Termination Effective Date.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AND LATE PAYMENTS</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Notwithstanding any other provision of this Agreement to the contrary, any Tax Benefit Payment or Early Termination Payment required to be made by Acquiror to the TRA Parties under this Agreement shall rank subordinate and junior in right of payment to any principal, interest or other amounts due and payable in respect of any obligations in respect of indebtedness for borrowed money of Acquiror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shall rank senior in right of payment to any principal, interest or other amounts due and payable in respect of any Other Tax Receivable Obligation,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current or future unsecured obligations of Acquiror that are not Senior Obligations or Other Tax Receivable Obligations. To the extent that any payment under this Agreement is not permitted to be made at the time payment is due as a result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the terms of agreements governing Senior Obligations, such payment obligation nevertheless shall accrue for the benefit of TRA Parties and Acquiror shall make such payments at the first opportunity that such payments are permitted to be made in accordance with the terms of the Senior Obligations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apply to such payment. To the extent Acquiror or its Subsidiaries (including Partnership and its Subsidiaries) incur, create or assume any Senior Obligations after the date hereof, Acquiror shall, and shall cause its Subsidiaries to, use commercially reasonable efforts to ensure that such indebtedness permits the amounts payable hereunder to be paid.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72" w:name="page73"/>
    <w:bookmarkEnd w:id="7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Late Payments by Acquiror</w:t>
      </w:r>
      <w:r>
        <w:rPr>
          <w:rFonts w:ascii="Times New Roman" w:cs="Times New Roman" w:eastAsia="Times New Roman" w:hAnsi="Times New Roman"/>
          <w:sz w:val="18"/>
          <w:szCs w:val="18"/>
          <w:color w:val="auto"/>
        </w:rPr>
        <w:t xml:space="preserve">. The amount of all or any portion of any Tax Benefit Payment or Early Termination Payment not made to the TRA Parties when due under the terms of this Agreement, whether as a result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otherwise, shall be payable together with any interest thereon, computed at the Default Rate and commencing from the date on which such Tax Benefit Payment or Early Termination Payment was due and payable.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NO DISPUTES; CONSISTENCY; COOPERATION</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Participation in Acquiror’s and Partnership’s Tax Matters</w:t>
      </w:r>
      <w:r>
        <w:rPr>
          <w:rFonts w:ascii="Times New Roman" w:cs="Times New Roman" w:eastAsia="Times New Roman" w:hAnsi="Times New Roman"/>
          <w:sz w:val="18"/>
          <w:szCs w:val="18"/>
          <w:color w:val="auto"/>
        </w:rPr>
        <w:t xml:space="preserve">. Except as otherwise provided in this Agreement, the BCA or the Partnership LPA, Acquiror shall have full responsibility for, and sole discretion over, all Tax matters concerning Corporate Taxpayer and Partnership, including the preparation, filing or amending of any Tax Return and defending, contesting or settling any issue pertaining to Taxes. Notwithstanding the foregoing, Acquiror (i) shall notify the TRA Party Representative in writing of the commencement of, and keep the TRA Party Representative reasonably informed with respect to, the portion of any audit of Corporate Taxpayer and Partnership or any of Partnership’s Subsidiaries by a Taxing Authority the outcome of which is reasonably expected to adversely affect the rights and obligations of a TRA Party under this Agreement, and (ii) shall provide to the TRA Party Representative reasonable opportunity to participate in or provide information and other input to Acquiror, Partnership and their respective advisors concerning the conduct of any portion of such audit the outcome of which is reasonably expected to significantly and adversely affect the rights and obligations of a TRA Party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Acquiror and Partnership shall not be required to take any action that is inconsistent with any provision of the Partnership LPA.</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Consistency</w:t>
      </w:r>
      <w:r>
        <w:rPr>
          <w:rFonts w:ascii="Times New Roman" w:cs="Times New Roman" w:eastAsia="Times New Roman" w:hAnsi="Times New Roman"/>
          <w:sz w:val="18"/>
          <w:szCs w:val="18"/>
          <w:color w:val="auto"/>
        </w:rPr>
        <w:t>. Acquiror and the TRA Parties agree to report and cause their respective Affiliates to report for all purposes, including U.S. federal, state, local and non-U.S. Tax purposes and financial reporting purposes, all Tax-related items (including the Basis Adjustments and each Tax Benefit Payment) in a manner consistent with that set forth in this Agreement or specified by Acquiror in any Schedule (or Amended Schedule, as applicable) required to be provided by or on behalf of Acquiror under this Agreement that is final and binding on the parties unless otherwise required by law. Acquiror shall (and shall cause Partnership and its other Subsidiaries to) use commercially reasonable efforts (for the avoidance of doubt,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189"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Each of the TRA Parties shall (a) furnish to Acquiror in a timely manner such information, documents and other materials as Acquiror may reasonably request for purposes of making any determination or computation necessary or appropriate under this Agreement, preparing any Tax Return or contesting or defending any audit, examination or controversy with any Taxing Authority, (b) make itself and its representatives available to Acquiror to provide explanations of documents and materials and such other information as Acquiror or its representatives may reasonably request in connection with any of the matters described in clause (a) above, and (c) reasonably cooperate in connection with any such matter, and Partnership shall reimburse each such TRA Party for any reasonable third-party costs and expenses incurred pursuant to this Section.</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73" w:name="page74"/>
    <w:bookmarkEnd w:id="7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Acquiror,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ProKidney Corp. GP Limited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70 Sir John Rogerson’s Quay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Dublin 2, Ireland</w:t>
      </w:r>
    </w:p>
    <w:p>
      <w:pPr>
        <w:spacing w:after="0" w:line="9"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Tim Bertram</w:t>
      </w:r>
    </w:p>
    <w:p>
      <w:pPr>
        <w:spacing w:after="0" w:line="9"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Tim.Bertram@prokidney.com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Lee Hochbaum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Richard Truesdell</w:t>
      </w:r>
    </w:p>
    <w:p>
      <w:pPr>
        <w:spacing w:after="0" w:line="9"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lee.hochbaum@davispolk.com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richard.truesdell@davispolk.com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Stuart Leblang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Jonathan Pavlich</w:t>
      </w:r>
    </w:p>
    <w:p>
      <w:pPr>
        <w:spacing w:after="0" w:line="9" w:lineRule="exact"/>
        <w:rPr>
          <w:sz w:val="20"/>
          <w:szCs w:val="20"/>
          <w:color w:val="auto"/>
        </w:rPr>
      </w:pPr>
    </w:p>
    <w:p>
      <w:pPr>
        <w:jc w:val="both"/>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sleblang@akingump.com</w:t>
      </w:r>
    </w:p>
    <w:p>
      <w:pPr>
        <w:spacing w:after="0" w:line="9" w:lineRule="exact"/>
        <w:rPr>
          <w:sz w:val="20"/>
          <w:szCs w:val="20"/>
          <w:color w:val="auto"/>
        </w:rPr>
      </w:pPr>
    </w:p>
    <w:p>
      <w:pPr>
        <w:jc w:val="right"/>
        <w:ind w:right="7000"/>
        <w:spacing w:after="0"/>
        <w:rPr>
          <w:sz w:val="20"/>
          <w:szCs w:val="20"/>
          <w:color w:val="auto"/>
        </w:rPr>
      </w:pPr>
      <w:r>
        <w:rPr>
          <w:rFonts w:ascii="Times New Roman" w:cs="Times New Roman" w:eastAsia="Times New Roman" w:hAnsi="Times New Roman"/>
          <w:sz w:val="18"/>
          <w:szCs w:val="18"/>
          <w:color w:val="auto"/>
        </w:rPr>
        <w:t>jpavlich@akingump.com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TRA Parties, to the address and other contact information set forth in the records of Partnership from time to time.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party may change its address, fax number or email by giving the other party written notice of its new address, fax number or email in the manner set forth above.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440" w:top="266" w:right="679" w:bottom="1440" w:gutter="0" w:footer="0" w:header="0"/>
        </w:sectPr>
      </w:pPr>
    </w:p>
    <w:bookmarkStart w:id="74" w:name="page75"/>
    <w:bookmarkEnd w:id="74"/>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e-mail transmission shall be as effective as delivery of a manually signed counterpart of this Agreement. The parties hereby agree that this Agreement may be executed by way of electronic signatures and that the electronic signature has the same binding effect as a physical signature. For the avoidance of doubt, the Parties agree that this Agreement, or any part thereof, shall not be denied legal effect, validity or enforceability solely on the ground that it is in the form of an electronic record.</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Entire Agreement; Third Party Beneficiaries</w:t>
      </w:r>
      <w:r>
        <w:rPr>
          <w:rFonts w:ascii="Times New Roman" w:cs="Times New Roman" w:eastAsia="Times New Roman" w:hAnsi="Times New Roman"/>
          <w:sz w:val="18"/>
          <w:szCs w:val="18"/>
          <w:color w:val="auto"/>
        </w:rPr>
        <w:t>. This Agreement (together with all Exhibits and Schedules to this Agreement), the BCA, the Partnership LPA, and the Confidentiality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6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Successors; Assignment; Amendments; Waivers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Acquiror (the “</w:t>
      </w:r>
      <w:r>
        <w:rPr>
          <w:rFonts w:ascii="Times New Roman" w:cs="Times New Roman" w:eastAsia="Times New Roman" w:hAnsi="Times New Roman"/>
          <w:sz w:val="18"/>
          <w:szCs w:val="18"/>
          <w:u w:val="single" w:color="auto"/>
          <w:color w:val="auto"/>
        </w:rPr>
        <w:t>Joinder Requirement</w:t>
      </w:r>
      <w:r>
        <w:rPr>
          <w:rFonts w:ascii="Times New Roman" w:cs="Times New Roman" w:eastAsia="Times New Roman" w:hAnsi="Times New Roman"/>
          <w:sz w:val="18"/>
          <w:szCs w:val="18"/>
          <w:color w:val="auto"/>
        </w:rPr>
        <w:t xml:space="preserve">”), agreeing to become a TRA Party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any TRA Party sells, exchanges, distributes, or otherwise transfers New Company Common Units to any Person (other than Acquiror or the Partnership) in accordance with the terms of the Exchange Agreement and/or Partnership LPA, such TRA Party shall have the option to assign to the transferee of such New Company Common Units its rights under this Agreement with respect to such transferred New Company Common Units as long as such transferee has executed and delivered, or, in connection with such transfer,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75" w:name="page76"/>
    <w:bookmarkEnd w:id="75"/>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executes and delivers, a joinder to this Agreement, in form and substance reasonably satisfactory to Acquiror. For the avoidance of doubt, if a TRA Party transfers New Company Common Units in accordance with the terms of the Exchange Agreement and/or Partnership LPA but does not assign to the transferee of such New Company Common Units its rights under this Agreement with respect to such transferred New Company Common Units, such TRA Party shall continue to be entitled to receive the Tax Benefit Payments arising in respect of a subsequent Exchange of such New Company Common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Acquiror may not assign any of its rights or obligations under this Agreement to any Person (other than in connection with a Mandatory Assignment) without the prior written consent of the TRA Party Representative, which consent shall not to be unreasonably withheld, conditioned or delayed. Any purported assignment in violation of the terms of this </w:t>
      </w:r>
      <w:r>
        <w:rPr>
          <w:rFonts w:ascii="Times New Roman" w:cs="Times New Roman" w:eastAsia="Times New Roman" w:hAnsi="Times New Roman"/>
          <w:sz w:val="17"/>
          <w:szCs w:val="17"/>
          <w:u w:val="single" w:color="auto"/>
          <w:color w:val="auto"/>
        </w:rPr>
        <w:t>Section 7.6(a)</w:t>
      </w:r>
      <w:r>
        <w:rPr>
          <w:rFonts w:ascii="Times New Roman" w:cs="Times New Roman" w:eastAsia="Times New Roman" w:hAnsi="Times New Roman"/>
          <w:sz w:val="17"/>
          <w:szCs w:val="17"/>
          <w:color w:val="auto"/>
        </w:rPr>
        <w:t xml:space="preserve"> shall be null and void.</w:t>
      </w:r>
    </w:p>
    <w:p>
      <w:pPr>
        <w:spacing w:after="0" w:line="65" w:lineRule="exact"/>
        <w:rPr>
          <w:sz w:val="20"/>
          <w:szCs w:val="20"/>
          <w:color w:val="auto"/>
        </w:rPr>
      </w:pPr>
    </w:p>
    <w:p>
      <w:pPr>
        <w:ind w:right="120" w:firstLine="987"/>
        <w:spacing w:after="0" w:line="254"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Agreement may be amended unless such amendment is approved in writing by Acquiror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Acquiror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80" w:lineRule="exact"/>
        <w:rPr>
          <w:rFonts w:ascii="Times New Roman" w:cs="Times New Roman" w:eastAsia="Times New Roman" w:hAnsi="Times New Roman"/>
          <w:sz w:val="18"/>
          <w:szCs w:val="18"/>
          <w:color w:val="auto"/>
        </w:rPr>
      </w:pPr>
    </w:p>
    <w:p>
      <w:pPr>
        <w:ind w:right="280" w:firstLine="987"/>
        <w:spacing w:after="0" w:line="258"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terms and provisions of this Agreement shall be binding upon, shall inure to the benefit of and shall be enforceable by the parties hereto and their respective successors, permitted assigns, heirs, executors, administrators and legal representatives. Acquiror shall require and cause any direct or indirect successor (whether by purchase, merger, consolidation or otherwise) to all or substantially all of the business or assets of Acquiror, by written agreement, expressly to assume and agree to perform this Agreement in the same manner and to the same extent that Acquiror would be required to perform if no such succession had taken place (any such assignment, a “</w:t>
      </w:r>
      <w:r>
        <w:rPr>
          <w:rFonts w:ascii="Times New Roman" w:cs="Times New Roman" w:eastAsia="Times New Roman" w:hAnsi="Times New Roman"/>
          <w:sz w:val="18"/>
          <w:szCs w:val="18"/>
          <w:u w:val="single" w:color="auto"/>
          <w:color w:val="auto"/>
        </w:rPr>
        <w:t>Mandatory Assignment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 considered in construing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7.8 </w:t>
      </w:r>
      <w:r>
        <w:rPr>
          <w:rFonts w:ascii="Times New Roman" w:cs="Times New Roman" w:eastAsia="Times New Roman" w:hAnsi="Times New Roman"/>
          <w:sz w:val="18"/>
          <w:szCs w:val="18"/>
          <w:u w:val="single" w:color="auto"/>
          <w:color w:val="auto"/>
        </w:rPr>
        <w:t>Waiver of Jury Trial,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8"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AND AGREES THAT ANY CONTROVERSY WHICH MAY ARISE UNDER THIS AGREEMENT HEREBY IS LIKELY TO INVOLVE COMPLICATED AND DIFFICULT ISSUES, AND THEREFORE EACH SUCH PARTY HEREBY IRREVOCABLY, UNCONDITIONALLY AND VOLUNTARILY WAIVES ANY RIGHT SUCH PARTY MAY HAVE TO A TRIAL BY JURY IN RESPECT OF ANY ACTION OR PROCEEDING DIRECTLY OR INDIRECTLY ARISING OUT OF OR RELATING TO THIS AGREEMENT OR ANY OF THE TRANSACTIONS CONTEMPLATED HEREBY.</w:t>
      </w:r>
    </w:p>
    <w:p>
      <w:pPr>
        <w:spacing w:after="0" w:line="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any proceeding or action based upon, arising out of or related to this Agreement must be brought in the Court of Chancery of the State of Delaware (or, only to the extent such court does not have subject matter jurisdiction, the Superior Court of the State of Delaware or, if it has or can acquire jurisdiction, in the United States District Court for the District of Delaware), and each of the parties irrevocably and unconditionally (i) consents and submits to the exclusive jurisdiction of each such court in any such proceeding or action, (ii) waives any objection it may now or hereafter have to personal jurisdiction, venue or to convenience of forum, (iii) agrees that all claims in respect of such proceeding or Action shall be heard and determined only in any such court and (iv) agrees not to bring any proceeding or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or action brought in accordance with this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Reconciliation</w:t>
      </w:r>
      <w:r>
        <w:rPr>
          <w:rFonts w:ascii="Times New Roman" w:cs="Times New Roman" w:eastAsia="Times New Roman" w:hAnsi="Times New Roman"/>
          <w:sz w:val="18"/>
          <w:szCs w:val="18"/>
          <w:color w:val="auto"/>
        </w:rPr>
        <w:t xml:space="preserve">. In the event that Acquiror and the TRA Party Representative are unable to resolve a disagreement with respect to the matters governed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within the relevant period designated in this Agreement (“</w:t>
      </w:r>
      <w:r>
        <w:rPr>
          <w:rFonts w:ascii="Times New Roman" w:cs="Times New Roman" w:eastAsia="Times New Roman" w:hAnsi="Times New Roman"/>
          <w:sz w:val="18"/>
          <w:szCs w:val="18"/>
          <w:u w:val="single" w:color="auto"/>
          <w:color w:val="auto"/>
        </w:rPr>
        <w:t>Reconciliation Dispute</w:t>
      </w:r>
      <w:r>
        <w:rPr>
          <w:rFonts w:ascii="Times New Roman" w:cs="Times New Roman" w:eastAsia="Times New Roman" w:hAnsi="Times New Roman"/>
          <w:sz w:val="18"/>
          <w:szCs w:val="18"/>
          <w:color w:val="auto"/>
        </w:rPr>
        <w:t>”), the Reconciliation Dispute shall be submitted for determination to a nationally recognized expert (the “</w:t>
      </w:r>
      <w:r>
        <w:rPr>
          <w:rFonts w:ascii="Times New Roman" w:cs="Times New Roman" w:eastAsia="Times New Roman" w:hAnsi="Times New Roman"/>
          <w:sz w:val="18"/>
          <w:szCs w:val="18"/>
          <w:u w:val="single" w:color="auto"/>
          <w:color w:val="auto"/>
        </w:rPr>
        <w:t>Expert</w:t>
      </w:r>
      <w:r>
        <w:rPr>
          <w:rFonts w:ascii="Times New Roman" w:cs="Times New Roman" w:eastAsia="Times New Roman" w:hAnsi="Times New Roman"/>
          <w:sz w:val="18"/>
          <w:szCs w:val="18"/>
          <w:color w:val="auto"/>
        </w:rPr>
        <w:t>”) in the particular area of disagreement mutually acceptable to both parties. The Expert shall be a partner or principal in a nationally recognized accounting or law firm, and unless Acquiror and the TRA Party Representative agree in writing otherwise, the Expert shall not, and the firm that employs the Expert shall not, have any material relationship with Acquiror or the TRA Party Representative or other actual or potential conflict of interest. If Acquiror and the TRA Party Representative are unable to agree on an Expert within fifteen (15) calendar days of the commencement of a Reconciliation Dispute, the Expert shall be appointed by the International Chamber of Commerce Centre for Expertise. The Expert shall resolve any matter relating to the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Acquiror, subject to adjustment or amendment upon resolution. The costs and expenses relating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77" w:name="page78"/>
    <w:bookmarkEnd w:id="77"/>
    <w:p>
      <w:pPr>
        <w:ind w:left="4"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engagement of such Expert or amending any Tax Return shall be borne by Partnership except as provided in the next sentence. Acquiror and the TRA Party Representative shall bear their own costs and expenses of such proceeding, unless (i) the Expert adopts the TRA Party Representative’s position, in which case Acquiror shall reimburse the TRA Party Representative for any reasonable out-of-pocket costs and expenses in such proceeding, or (ii) the Expert adopts Acquiror’s position, in which case the TRA Party Representative shall reimburse Acquiror for any reasonable out-of-pocket costs and expenses in such proceeding. Any dispute as to whether a dispute is a Reconciliation Dispute within the meaning of this </w:t>
      </w:r>
      <w:r>
        <w:rPr>
          <w:rFonts w:ascii="Times New Roman" w:cs="Times New Roman" w:eastAsia="Times New Roman" w:hAnsi="Times New Roman"/>
          <w:sz w:val="17"/>
          <w:szCs w:val="17"/>
          <w:u w:val="single" w:color="auto"/>
          <w:color w:val="auto"/>
        </w:rPr>
        <w:t>Section 7.9</w:t>
      </w:r>
      <w:r>
        <w:rPr>
          <w:rFonts w:ascii="Times New Roman" w:cs="Times New Roman" w:eastAsia="Times New Roman" w:hAnsi="Times New Roman"/>
          <w:sz w:val="17"/>
          <w:szCs w:val="17"/>
          <w:color w:val="auto"/>
        </w:rPr>
        <w:t xml:space="preserve"> shall be decided by the Expert. The Expert shall finally determine any Reconciliation Dispute and the determinations of the Expert pursuant to this </w:t>
      </w:r>
      <w:r>
        <w:rPr>
          <w:rFonts w:ascii="Times New Roman" w:cs="Times New Roman" w:eastAsia="Times New Roman" w:hAnsi="Times New Roman"/>
          <w:sz w:val="17"/>
          <w:szCs w:val="17"/>
          <w:u w:val="single" w:color="auto"/>
          <w:color w:val="auto"/>
        </w:rPr>
        <w:t>Section 7.9</w:t>
      </w:r>
      <w:r>
        <w:rPr>
          <w:rFonts w:ascii="Times New Roman" w:cs="Times New Roman" w:eastAsia="Times New Roman" w:hAnsi="Times New Roman"/>
          <w:sz w:val="17"/>
          <w:szCs w:val="17"/>
          <w:color w:val="auto"/>
        </w:rPr>
        <w:t>, absent manifest error, shall be binding on Acquiror and each of the TRA Parties and may be entered and enforced in any court having jurisdiction.</w:t>
      </w:r>
    </w:p>
    <w:p>
      <w:pPr>
        <w:spacing w:after="0" w:line="171"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Acquiror shall be entitled to deduct and withhold from any payment payable pursuant to this Agreement such amounts as Acquiror is required to deduct and withhold with respect to the making of such payment under the Code or any provision of state, local or non-U.S. Tax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Acquiror shall use commercially reasonable efforts to provide notice to the applicable TRA Party of its intent to deduct and withhold (together with information setting forth the basis for such deduction or withholding) prior to the making of such deductions and withholding payments and (ii) the parties shall reasonably cooperate to minimize or eliminate such deductions or withholding payments to the extent permitted by applicable law, in the case of each of clauses (i) and (ii), other than any deduction or withholding required by reason of such TRA Party’s failure to comply with the last sentence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To the extent that amounts are so withheld and timely paid over to the appropriate Taxing Authority by Acquiror, such withheld amounts shall be treated for all purposes of this Agreement as having been paid to the Person in respect of whom such withholding was made. Each TRA Party shall promptly provide Acquiror with any applicable Tax forms and certifications (including IRS Form W-9 or the applicable version of IRS Form W-8) reasonably requested by Acquiror in connection with determining whether any such deductions and withholdings are required under the Code or any provision of state, local or non-U.S. Tax law.</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Consolidated Group Status; Transfers of Corporate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80" w:firstLine="987"/>
        <w:spacing w:after="0" w:line="272" w:lineRule="auto"/>
        <w:tabs>
          <w:tab w:leader="none" w:pos="124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Corporate Taxpayer consists or becomes a member of an affiliated, consolidated, combined or unitary group of corporations that files a consolidated, combined or unitary income Tax Return pursuant to Sections 1501 et seq. of the Code or any corresponding provisions of state, local or non-U.S. Tax law, then: (i) the provisions of this Agreement shall be applied with respect to the group as a whole; and</w:t>
      </w:r>
    </w:p>
    <w:p>
      <w:pPr>
        <w:spacing w:after="0" w:line="1" w:lineRule="exact"/>
        <w:rPr>
          <w:rFonts w:ascii="Times New Roman" w:cs="Times New Roman" w:eastAsia="Times New Roman" w:hAnsi="Times New Roman"/>
          <w:sz w:val="17"/>
          <w:szCs w:val="17"/>
          <w:color w:val="auto"/>
        </w:rPr>
      </w:pPr>
    </w:p>
    <w:p>
      <w:pPr>
        <w:ind w:left="4" w:right="380" w:hanging="4"/>
        <w:spacing w:after="0" w:line="260" w:lineRule="auto"/>
        <w:tabs>
          <w:tab w:leader="none" w:pos="2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 Payments, Early Termination Payments and other applicable items hereunder shall be computed with reference to the consolidated, combined or unitary taxable income of the group as a whole.</w:t>
      </w:r>
    </w:p>
    <w:p>
      <w:pPr>
        <w:spacing w:after="0" w:line="7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the income of which is included in the income of Corporate Taxpayer transfers one or more Reference Assets to an entity the income of which will not be included in the income of Corporate Taxpayer for applicable Tax purposes,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70" w:right="499" w:bottom="1440" w:gutter="0" w:footer="0" w:header="0"/>
        </w:sectPr>
      </w:pPr>
    </w:p>
    <w:bookmarkStart w:id="78" w:name="page79"/>
    <w:bookmarkEnd w:id="7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prior sentence shall be equal to the fair market value of the deemed transferred asset (as determined by an independent expert mutually agreed upon by Corporate Taxpayer and the TRA Party Representative, unless such condition is waived by the TRA Party Representative) on a gross basis, i.e., disregarding (i) the amount of debt to which such asset is subject, in the case of a transfer of an encumbered asset or (ii) the amount of debt allocated to such asset, in the case of a transfer of a partnership interest. The transactions described in this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shall be taken into account in determining the Realized Tax Benefit or Realized Tax Detriment, as applicable, for such Taxable Year based on the income, gain or loss deemed allocated to Corporate Taxpayer using the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Corporate Taxpayer the taxable income of Corporate Taxpayer shall be determined by treating Partnership as having sold the applicable Reference Asset for its fair market value, recovering any basis applicable to such Reference Asset (using the Non-Stepped Up Tax Basis), while the Actual Tax Liability of Corporate Taxpayer would be determined by recovering the actual Tax basis of the Reference Asset that reflects any Basis Adjustments. For purposes of this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a transfer of a partnership interest (including, for the avoidance of doubt, a New Company Common Unit) or an election by any Person the income of which is included in the income of Corporate Taxpayer to be treated as a corporation for U.S. federal income tax purposes (or other applicable provisions of state and local and non-U.S. Tax laws) shall be treated as a transfer of the transferring partner’s share of each of the assets and liabilities of that partnership. Notwithstanding the foregoing, after the occurrence of any such transfer as described in the first sentence of this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if the Corporate Taxpayer takes actions to ensure that the amount to be received by the TRA Parties hereunder and the timing thereof, taking into account such actions, would be the same amount and timing as if such transfer described in the first sentence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did not occur, then this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shall not apply with respect to such transfer.</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TRA Party and each of their respective assignees acknowledges and agrees that the information of Acquiror is confidential and, except in the course of performing any duties as necessary for Acquiror and its Affiliates, as required by law or legal process or to enforce the terms of this Agreement, such person shall keep and retain in confidence in accordance with this Agreement, and not disclose to any Person, any confidential matters acquired pursuant to this Agreement of Acquiror and its Affiliates and successors, concerning Partnership and its Affiliates and successors or the members of Partnership, learned by the TRA Party heretofore or hereafter.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not apply to (i) any information that has been made publicly available by Acquiror or any of its Affiliates, becomes public knowledge or is generally known (except as a result of an act of the TRA Party in violation of this Agreement), (ii) the disclosure of information to the extent necessary for the TRA Party to assert its rights hereunder or defend itself in connection with any action or proceeding arising out of, or relating to, this Agreement, (iii) any information that comes into the possession of, or becomes available to, the TRA Party from a source other than Acquiror, its Affiliates or its or their respective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known by the TRA Party to be bound by a legal, contractual or fiduciary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9" w:name="page80"/>
    <w:bookmarkEnd w:id="7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 obligation not to disclose such information) and (iv) the disclosure of information to the extent necessary for the TRA Party to prepare and file its Tax Returns, to respond to any inquiries regarding the same from any Taxing Authority or to prosecute or defend any action, proceeding or audit by any Taxing Authority with respect to such returns. Notwithstanding anything to the contrary herein, each TRA Party and each of their assignees (and each employee, representative or other agent of the TRA Party or its assignees, as applicable) may disclose to any and all Persons the Tax treatment and Tax structure of Acquiror, Partnership and their Affiliates, and any of their transactions, and all materials of any kind (including opinions or other Tax analyses) that are provided to the TRA Party relating to such Tax treatment and Tax structure.</w:t>
      </w:r>
    </w:p>
    <w:p>
      <w:pPr>
        <w:spacing w:after="0" w:line="79" w:lineRule="exact"/>
        <w:rPr>
          <w:sz w:val="20"/>
          <w:szCs w:val="20"/>
          <w:color w:val="auto"/>
        </w:rPr>
      </w:pPr>
    </w:p>
    <w:p>
      <w:pPr>
        <w:ind w:right="120" w:firstLine="987"/>
        <w:spacing w:after="0" w:line="258"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TRA Party or an assignee commits a breach, or threatens to commit a breach, of any of the provisions of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Acquiror shall have the right and remedy to have the provisions of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specifically enforced by injunctive relief or otherwise by any court of competent jurisdiction without the need to post any bond or other security, it being acknowledged and agreed that any such breach or threatened breach will cause irreparable injury to the Acquiror or any of its Affiliates and that money damages alone will not provide an adequate remedy. Such rights and remedies shall be in addition to, and not in lieu of, any other rights and remedies available at law or in equity.</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written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pursuant to clause (iii) shall not result in an increase in payments under this Agreement at any time as compared to the amounts and times of payments that would have been due in the absence of such amendment.</w:t>
      </w:r>
    </w:p>
    <w:p>
      <w:pPr>
        <w:spacing w:after="0" w:line="18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Independent Nature of TRA Parties’ Rights and Obligations</w:t>
      </w:r>
      <w:r>
        <w:rPr>
          <w:rFonts w:ascii="Times New Roman" w:cs="Times New Roman" w:eastAsia="Times New Roman" w:hAnsi="Times New Roman"/>
          <w:sz w:val="18"/>
          <w:szCs w:val="18"/>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Acquiror acknowledges that the TRA Parties are not acting in concert or as a group, and Acquiror will not assert any such claim, with respect to such obligations or the transactions contemplated hereby.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7.15 </w:t>
      </w:r>
      <w:r>
        <w:rPr>
          <w:rFonts w:ascii="Times New Roman" w:cs="Times New Roman" w:eastAsia="Times New Roman" w:hAnsi="Times New Roman"/>
          <w:sz w:val="18"/>
          <w:szCs w:val="18"/>
          <w:u w:val="single" w:color="auto"/>
          <w:color w:val="auto"/>
        </w:rPr>
        <w:t>TRA Party Representative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987"/>
        <w:spacing w:after="0" w:line="256"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action of any of Acquiror,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 The TRA Party Representative agrees that with respect to any material notice, information or other communication it receives from Acquiror in its capacity as a TRA Party Representative, it will promptly share such notice, information or communication with each TRA Party.</w:t>
      </w:r>
    </w:p>
    <w:p>
      <w:pPr>
        <w:spacing w:after="0" w:line="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TRA Party Representative shall incur out of pocket expenses in connection with the exercise of its duties hereunder, upon written notice to Acquiror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Acquiror shall reduce the future payments (if any) due to the TRA Parties hereunder pro rata by the amount of such expenses which it shall instead remit directly to the TRA Party Representative (provided that, for applicable Tax purposes, such amounts will be deemed to be distributed first to the TRA Parties and then paid over to the TRA Party Representative by the TRA Parties).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w:t>
      </w:r>
      <w:r>
        <w:rPr>
          <w:rFonts w:ascii="Times New Roman" w:cs="Times New Roman" w:eastAsia="Times New Roman" w:hAnsi="Times New Roman"/>
          <w:sz w:val="18"/>
          <w:szCs w:val="18"/>
          <w:u w:val="single" w:color="auto"/>
          <w:color w:val="auto"/>
        </w:rPr>
        <w:t>Section 7.15(b)</w:t>
      </w:r>
      <w:r>
        <w:rPr>
          <w:rFonts w:ascii="Times New Roman" w:cs="Times New Roman" w:eastAsia="Times New Roman" w:hAnsi="Times New Roman"/>
          <w:sz w:val="18"/>
          <w:szCs w:val="18"/>
          <w:color w:val="auto"/>
        </w:rPr>
        <w:t>, it may do so at any time and from time to time in its sole discretion).</w:t>
      </w:r>
    </w:p>
    <w:p>
      <w:pPr>
        <w:spacing w:after="0" w:line="80"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 Party Representative shall not be liable to any TRA Party for any act of the TRA Party Representative arising out of or in connection with the acceptance or administration of its duties under this Agreement, except to the extent any liability, loss, damage, penalty, fine, cost or expense is actually incurred by such TRA Party as a proximate result of the bad faith or willful misconduct of the TRA Party Representative (it being understood that any act done or omitted pursuant to the advice of legal counsel shall be conclusive evidence of such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subsection (b) above) arising out of or in connection with the acceptance or administration of its duties under this Agreement, and such liability, loss, damage, penalty, fine, cost or expense shall be treated as an expense subject to reimbursement pursuant to the provisions of subsection (b) above, 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such good faith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81" w:name="page82"/>
    <w:bookmarkEnd w:id="81"/>
    <w:p>
      <w:pPr>
        <w:ind w:firstLine="987"/>
        <w:spacing w:after="0" w:line="261"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a decision, act, consent or instruction of the TRA Party Representative shall constitute a decision of all TRA Parties and shall be final, binding and conclusive upon each TRA Party, and Acquiror may rely upon any decision, act, consent or instruction of the TRA Party Representative as being the decision, act, consent or instruction of each TRA Party. Acquiror is hereby relieved from any liability to any person for any acts done by Acquiror in accordance with any such decision, act, consent or instruction of the TRA Party Representative.</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BCA Holder Representative Matters</w:t>
      </w:r>
      <w:r>
        <w:rPr>
          <w:rFonts w:ascii="Times New Roman" w:cs="Times New Roman" w:eastAsia="Times New Roman" w:hAnsi="Times New Roman"/>
          <w:sz w:val="18"/>
          <w:szCs w:val="18"/>
          <w:color w:val="auto"/>
        </w:rPr>
        <w:t>Section 7.17 . Section 7.6(f) of the BCA is hereby incorporated by reference into this Agreement and, without limiting the generality of the foregoing, each Existing Company Unitholder and Closing Company Unitholder (each, as defined in the BCA and without duplication) hereby acknowledges and agrees that amounts otherwise payable to such Existing Company Unitholder or Closing Company Unitholder hereunder may instead be remitted to the Holder Representative (as defined in the BCA) in the circumstances, and at the times and in the amounts, set forth in such section of the BCA.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82" w:name="page83"/>
    <w:bookmarkEnd w:id="8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Acquiror, the TRA Party Representative and each TRA Party have duly executed this Agreement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ACQUIROR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Timothy A. Bertram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Tax Receivable Agreement</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83" w:name="page84"/>
    <w:bookmarkEnd w:id="8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Acquiror, the TRA Party Representative and each TRA Party have duly executed this Agreement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TRA PARTY REPRESENTATIVE: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TOLERANTIA,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Tax Receivable Agreement</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84" w:name="page85"/>
    <w:bookmarkEnd w:id="8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Acquiror, the TRA Party Representative and each TRA Party have duly executed this Agreement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TRA PARTIES: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TOLERANTIA,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CONTROL EMPRESARIAL DE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CAPITALES, S.A. DE C.V.</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Armando Ibañez Vázquez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Armando Ibañez Vázquez</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PROKIDNEY MANAGEMENT EQUITY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Tolerantia, LLC, its manager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Tax Receivable Agreement</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EXCHANGE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July 11, 2022, by and among ProKidney Corp., a Cayman Islands exempted company limited by shares (formerly known as Social Capital Suvretta Holdings Corp. III)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ProKidney LP, a limited partnership organized under the laws of Ireland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acting through its general partner ProKidney Corp. GP Limited, a private company limited by shares organized under the laws of Ireland, and the holders, other than the Company (as defined herein), of Common Units (as defined herein) from time to time party hereto.</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provide for the redemption and/or exchange of Paired Interests (as defined herein), on the terms and subject to the conditions set forth herein and the Partnership LPA (as defined herein).</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definitions shall be for all purposes, unless otherwise clearly indicated to the contrary, applied to the terms used in this Agreement.</w:t>
      </w:r>
    </w:p>
    <w:p>
      <w:pPr>
        <w:spacing w:after="0" w:line="22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Appraiser FMV</w:t>
      </w:r>
      <w:r>
        <w:rPr>
          <w:rFonts w:ascii="Times New Roman" w:cs="Times New Roman" w:eastAsia="Times New Roman" w:hAnsi="Times New Roman"/>
          <w:sz w:val="18"/>
          <w:szCs w:val="18"/>
          <w:color w:val="auto"/>
        </w:rPr>
        <w:t>” means the fair market value of a Class A Common Share as determined by an independent appraiser mutually agreed upon by the Company and the relevant Exchanging Partner (such agreement not to be unreasonably withheld),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Partnership.</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has the meaning given to such term in the Partnership LPA.</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George Town, Cayman Islands, Dublin, Ireland and/or New York, New York are authorized or required by Law to close.</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Exchange Class A 5-Day VWAP</w:t>
      </w:r>
      <w:r>
        <w:rPr>
          <w:rFonts w:ascii="Times New Roman" w:cs="Times New Roman" w:eastAsia="Times New Roman" w:hAnsi="Times New Roman"/>
          <w:sz w:val="18"/>
          <w:szCs w:val="18"/>
          <w:color w:val="auto"/>
        </w:rPr>
        <w:t>” means the arithmetic average of the VWAP for each of the five (5) consecutive Trading Days ending on the Trading Day immediately prior to the Exchange Notice Date (in the case of an Unrestricted Exchange) or the Exchange Date (in the case of any other Exchange).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86" w:name="page87"/>
    <w:bookmarkEnd w:id="86"/>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Cash Exchange Payment</w:t>
      </w:r>
      <w:r>
        <w:rPr>
          <w:rFonts w:ascii="Times New Roman" w:cs="Times New Roman" w:eastAsia="Times New Roman" w:hAnsi="Times New Roman"/>
          <w:sz w:val="18"/>
          <w:szCs w:val="18"/>
          <w:color w:val="auto"/>
        </w:rPr>
        <w:t xml:space="preserve">” means, with respect to the portion of any Exchange for which a Cash Exchange Notice is delivered by the Company and the Company has elected to make a Cash Exchange Payment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0" w:firstLine="987"/>
        <w:spacing w:after="0" w:line="258"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A Common Shares trade on a National Securities Exchange or automated or electronic quotation system, an amount of cash equal to the product of: (x) the number of Class A Common Shares that would have been received by the Exchanging Partner in the Exchange for that portion of the Paired Interests subject to a Cash Exchange Notice, had such Paired Interests not been subject to a Cash Exchange Notice and the Partnership or the Company, as applicable, had paid the Stock Exchange Payment with respect to such number of Paired Interests, and (y) the Cash Exchange Class A 5-Day VWAP; or</w:t>
      </w:r>
    </w:p>
    <w:p>
      <w:pPr>
        <w:spacing w:after="0" w:line="183" w:lineRule="exact"/>
        <w:rPr>
          <w:rFonts w:ascii="Times New Roman" w:cs="Times New Roman" w:eastAsia="Times New Roman" w:hAnsi="Times New Roman"/>
          <w:sz w:val="18"/>
          <w:szCs w:val="18"/>
          <w:color w:val="auto"/>
        </w:rPr>
      </w:pPr>
    </w:p>
    <w:p>
      <w:pPr>
        <w:ind w:right="100" w:firstLine="987"/>
        <w:spacing w:after="0" w:line="255"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Common Shares are not then traded on a National Securities Exchange or automated or electronic quotation system, as applicable, an amount of cash equal to the product of (x) the number of Class A Common Shares that would have been received by the Exchanging Partner in the Exchange for that portion of the Paired Interests subject to a Cash Exchange Notice, had such Paired Interests not been subject to a Cash Exchange Notice and the Partnership or the Company, as applicable, had paid the Stock Exchange Payment with respect to such number of Paired Interests , and (y) the Appraiser FMV of one (1) Class A Common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Delivery</w:t>
      </w:r>
      <w:r>
        <w:rPr>
          <w:rFonts w:ascii="Times New Roman" w:cs="Times New Roman" w:eastAsia="Times New Roman" w:hAnsi="Times New Roman"/>
          <w:sz w:val="18"/>
          <w:szCs w:val="18"/>
          <w:color w:val="auto"/>
        </w:rPr>
        <w:t>” means, in the case of any Class B Common Shares to be transferred and surrendered by an Exchanging Partner in connection with an Exchange which are represented by a certificate or certificates, the process by which the Exchanging Partner shall also present and surrender such certificate or certificates representing such Class B Common Shares during normal business hours at the principal executive offices of the Company, or if any agent for the registration or transfer of Class B Common Shares is then duly appointed and acting, at the office of such transfer agent, along with any instruments of transfer reasonably required by the Company or such transfer agent, as applicable, duly executed by the Exchanging Partner or the Exchanging Partner’s duly authorized representative.</w:t>
      </w:r>
    </w:p>
    <w:p>
      <w:pPr>
        <w:spacing w:after="0" w:line="18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has the meaning given to such term in the Tax Receivable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any event that constitutes both a Pubco Offer and a Change of Control of the Company shall be considered a Pubco Offer for purposes of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Shares</w:t>
      </w:r>
      <w:r>
        <w:rPr>
          <w:rFonts w:ascii="Times New Roman" w:cs="Times New Roman" w:eastAsia="Times New Roman" w:hAnsi="Times New Roman"/>
          <w:sz w:val="18"/>
          <w:szCs w:val="18"/>
          <w:color w:val="auto"/>
        </w:rPr>
        <w:t>” means the Class A ordinary shares of the Company, par value $0.0001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Shares</w:t>
      </w:r>
      <w:r>
        <w:rPr>
          <w:rFonts w:ascii="Times New Roman" w:cs="Times New Roman" w:eastAsia="Times New Roman" w:hAnsi="Times New Roman"/>
          <w:sz w:val="18"/>
          <w:szCs w:val="18"/>
          <w:color w:val="auto"/>
        </w:rPr>
        <w:t>” means the Class B ordinary shares of the Company, par value $0.0001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87" w:name="page88"/>
    <w:bookmarkEnd w:id="8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U.S. Securities and Exchange Commission, including any Governmental Entity succeeding to the functions thereof.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Units</w:t>
      </w:r>
      <w:r>
        <w:rPr>
          <w:rFonts w:ascii="Times New Roman" w:cs="Times New Roman" w:eastAsia="Times New Roman" w:hAnsi="Times New Roman"/>
          <w:sz w:val="18"/>
          <w:szCs w:val="18"/>
          <w:color w:val="auto"/>
        </w:rPr>
        <w:t>” means the units of the Partnership designated as a “Common Unit” pursuant to the Partnership LPA.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has the meaning set forth in the Partnership LPA.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 Exchange Election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Blackout Period</w:t>
      </w:r>
      <w:r>
        <w:rPr>
          <w:rFonts w:ascii="Times New Roman" w:cs="Times New Roman" w:eastAsia="Times New Roman" w:hAnsi="Times New Roman"/>
          <w:sz w:val="17"/>
          <w:szCs w:val="17"/>
          <w:color w:val="auto"/>
        </w:rPr>
        <w:t xml:space="preserve">” means (i) any “black out” or similar period under the Company’s policies covering trading in the Company’s securities to which the applicable Exchanging Partner is subject (or will be subject at such time as it owns Class A Common Shares), which period restricts the ability of such Exchanging Partner to immediately resell Class A Common Shares to be issued to such Exchanging Partner in connection with a Stock Exchange Payment and (ii) the period of time commencing on (x) the date of the declaration of a dividend by the Company and ending on the first day following (y) the record date determined by the board of directors of the Company with respect to such dividend declared pursuant to </w:t>
      </w:r>
      <w:r>
        <w:rPr>
          <w:rFonts w:ascii="Times New Roman" w:cs="Times New Roman" w:eastAsia="Times New Roman" w:hAnsi="Times New Roman"/>
          <w:sz w:val="17"/>
          <w:szCs w:val="17"/>
          <w:u w:val="single" w:color="auto"/>
          <w:color w:val="auto"/>
        </w:rPr>
        <w:t>clause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which period of time shall be no longer than 10 Business Days;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 Exchange Blackout Period which respect to </w:t>
      </w:r>
      <w:r>
        <w:rPr>
          <w:rFonts w:ascii="Times New Roman" w:cs="Times New Roman" w:eastAsia="Times New Roman" w:hAnsi="Times New Roman"/>
          <w:sz w:val="17"/>
          <w:szCs w:val="17"/>
          <w:u w:val="single" w:color="auto"/>
          <w:color w:val="auto"/>
        </w:rPr>
        <w:t>clause</w:t>
      </w:r>
    </w:p>
    <w:p>
      <w:pPr>
        <w:spacing w:after="0" w:line="4" w:lineRule="exact"/>
        <w:rPr>
          <w:sz w:val="20"/>
          <w:szCs w:val="20"/>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hereof occur more than four (4) times per calendar year.</w:t>
      </w:r>
    </w:p>
    <w:p>
      <w:pPr>
        <w:spacing w:after="0" w:line="20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xml:space="preserve">” means, subject in all cases to the provisions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in the case of any Unrestricted Exchange, the date that is five (5) Business Days after the date the Exchange Notice is given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unless the Exchanging Partner submits a written request to extend such date and the Company in its sole discretion agrees in writing to such extension, and in any other case, the Quarterly Exchange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Exchange Date for any Exchange with respect to which the Company elects to make a Stock Exchange Payment would otherwise fall within any Exchange Blackout Period, then the Exchange Date shall occur on the next Business Day following the end of such Exchange Blackout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the Company is required under the terms of this Agreement, or otherwise elects, to make a Stock Exchange Payment, the Exchange may be conditioned (including as to timing) by the Exchanging Partner on the closing of an underwritten distribution of the Class A Common Shares that may be issued in connection with such proposed Exchange.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88" w:name="page89"/>
    <w:bookmarkEnd w:id="88"/>
    <w:p>
      <w:pPr>
        <w:ind w:right="8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Notice Date</w:t>
      </w:r>
      <w:r>
        <w:rPr>
          <w:rFonts w:ascii="Times New Roman" w:cs="Times New Roman" w:eastAsia="Times New Roman" w:hAnsi="Times New Roman"/>
          <w:sz w:val="18"/>
          <w:szCs w:val="18"/>
          <w:color w:val="auto"/>
        </w:rPr>
        <w:t xml:space="preserve">” means, with respect to an Exchange, the date the applicable Exchange Notice is delivered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Notice Date Value</w:t>
      </w:r>
      <w:r>
        <w:rPr>
          <w:rFonts w:ascii="Times New Roman" w:cs="Times New Roman" w:eastAsia="Times New Roman" w:hAnsi="Times New Roman"/>
          <w:sz w:val="18"/>
          <w:szCs w:val="18"/>
          <w:color w:val="auto"/>
        </w:rPr>
        <w:t>” means, in the case of an Exchange (other than an Unrestricted Exchange), the arithmetic average of the VWAP for each of the five (5) consecutive Trading Days ending on the Trading Day immediately prior to the Exchange Notice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Rate</w:t>
      </w:r>
      <w:r>
        <w:rPr>
          <w:rFonts w:ascii="Times New Roman" w:cs="Times New Roman" w:eastAsia="Times New Roman" w:hAnsi="Times New Roman"/>
          <w:sz w:val="18"/>
          <w:szCs w:val="18"/>
          <w:color w:val="auto"/>
        </w:rPr>
        <w:t>” means, at any time, the number of Class A Common Shares for which a Paired Interest is entitled to be exchanged at such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the date of this Agreement, the Exchange Rate shall be 1 for 1, subject to adjustment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w:t>
      </w:r>
    </w:p>
    <w:p>
      <w:pPr>
        <w:spacing w:after="0" w:line="20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Exchanged Units</w:t>
      </w:r>
      <w:r>
        <w:rPr>
          <w:rFonts w:ascii="Times New Roman" w:cs="Times New Roman" w:eastAsia="Times New Roman" w:hAnsi="Times New Roman"/>
          <w:sz w:val="18"/>
          <w:szCs w:val="18"/>
          <w:color w:val="auto"/>
        </w:rPr>
        <w:t>” means any Common Units to be Exchanged (as part of a Paired Interest) for the Cash Exchange Payment or Stock Exchange Payment, as applicable, on the applicable Exchange Date.</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Exchanging Partner</w:t>
      </w:r>
      <w:r>
        <w:rPr>
          <w:rFonts w:ascii="Times New Roman" w:cs="Times New Roman" w:eastAsia="Times New Roman" w:hAnsi="Times New Roman"/>
          <w:sz w:val="18"/>
          <w:szCs w:val="18"/>
          <w:color w:val="auto"/>
        </w:rPr>
        <w:t xml:space="preserve">” means, with respect to any Exchange, the Partnership Unitholder exchanging Units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has the meaning given to such term in the Partnership LPA.</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 or government, any state, province or other political subdivision thereof, any entity exercising executive, legislative, judicial, regulatory or administrative functions of or pertaining to government, including any court, arbitrator (public or private) or other body or administrative, regulatory or quasi-judicial authority, agency, department, board, commission or instrumentality of any federal, state, local or foreign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has the meaning given to such term in Section 2.1(b) of this Agreement.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act, code, law (including common law), ordinance, rule, regulation, determination, guidance or governmental order, in each case, of any Governmental Entity.</w:t>
      </w:r>
    </w:p>
    <w:p>
      <w:pPr>
        <w:spacing w:after="0" w:line="15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means that certain Lock-Up Agreement, dated as of the date hereof, by and among the Company and the other parties thereto, as such agreement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 securities exchange that has registered with the Commission under Section 6 of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means one Common Unit and one Class B Common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LPA</w:t>
      </w:r>
      <w:r>
        <w:rPr>
          <w:rFonts w:ascii="Times New Roman" w:cs="Times New Roman" w:eastAsia="Times New Roman" w:hAnsi="Times New Roman"/>
          <w:sz w:val="18"/>
          <w:szCs w:val="18"/>
          <w:color w:val="auto"/>
        </w:rPr>
        <w:t>” means the Second Amended and Restated Limited Partnership Agreement of the Partnership, dated on or about the date hereof, as such agreement may be amended from time to time.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9" w:name="page90"/>
    <w:bookmarkEnd w:id="89"/>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Partnership Unitholder</w:t>
      </w:r>
      <w:r>
        <w:rPr>
          <w:rFonts w:ascii="Times New Roman" w:cs="Times New Roman" w:eastAsia="Times New Roman" w:hAnsi="Times New Roman"/>
          <w:sz w:val="18"/>
          <w:szCs w:val="18"/>
          <w:color w:val="auto"/>
        </w:rPr>
        <w:t>” means each partner in the Partnership who is also a holder of one or more Common Units that may from time to time be a party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Exchange Event</w:t>
      </w:r>
      <w:r>
        <w:rPr>
          <w:rFonts w:ascii="Times New Roman" w:cs="Times New Roman" w:eastAsia="Times New Roman" w:hAnsi="Times New Roman"/>
          <w:sz w:val="18"/>
          <w:szCs w:val="18"/>
          <w:color w:val="auto"/>
        </w:rPr>
        <w:t>” means any of the following events, which has or is occurring, or is otherwise satisfied, as of the Exchange Date:</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 the Exchange is part of one or more Exchanges by a Partnership Unitholder and any related persons (within the meaning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267(b) or 707(b)(1) of the Code) that is part of a “</w:t>
      </w:r>
      <w:r>
        <w:rPr>
          <w:rFonts w:ascii="Times New Roman" w:cs="Times New Roman" w:eastAsia="Times New Roman" w:hAnsi="Times New Roman"/>
          <w:sz w:val="18"/>
          <w:szCs w:val="18"/>
          <w:b w:val="1"/>
          <w:bCs w:val="1"/>
          <w:i w:val="1"/>
          <w:iCs w:val="1"/>
          <w:color w:val="auto"/>
        </w:rPr>
        <w:t>block transfer</w:t>
      </w:r>
      <w:r>
        <w:rPr>
          <w:rFonts w:ascii="Times New Roman" w:cs="Times New Roman" w:eastAsia="Times New Roman" w:hAnsi="Times New Roman"/>
          <w:sz w:val="18"/>
          <w:szCs w:val="18"/>
          <w:color w:val="auto"/>
        </w:rPr>
        <w:t>” within the meaning of Treasury Regulations Section 1.7704-1(e)(2) (for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purpose, treating the General Partner as a “</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within the meaning of Treasury Regulations Section 1.7704-1(k)(1)) (a “</w:t>
      </w:r>
      <w:r>
        <w:rPr>
          <w:rFonts w:ascii="Times New Roman" w:cs="Times New Roman" w:eastAsia="Times New Roman" w:hAnsi="Times New Roman"/>
          <w:sz w:val="18"/>
          <w:szCs w:val="18"/>
          <w:b w:val="1"/>
          <w:bCs w:val="1"/>
          <w:i w:val="1"/>
          <w:iCs w:val="1"/>
          <w:color w:val="auto"/>
        </w:rPr>
        <w:t>Block Transfer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64" w:hanging="273"/>
        <w:spacing w:after="0"/>
        <w:tabs>
          <w:tab w:leader="none" w:pos="12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is in connection with a Pubco Offer or Change of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Exchange pursuant to this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4" w:right="360" w:hanging="4"/>
        <w:spacing w:after="0" w:line="260" w:lineRule="auto"/>
        <w:tabs>
          <w:tab w:leader="none" w:pos="269" w:val="left"/>
        </w:tabs>
        <w:numPr>
          <w:ilvl w:val="0"/>
          <w:numId w:val="8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effective immediately prior to the consummation of the closing of the Pubco Offer or Change of Control date (and, for the avoidance of doubt, shall not be effective if such Pubco Offer is not consummated or Change of Control does not occur); or</w:t>
      </w:r>
    </w:p>
    <w:p>
      <w:pPr>
        <w:spacing w:after="0" w:line="181" w:lineRule="exact"/>
        <w:rPr>
          <w:rFonts w:ascii="Times New Roman" w:cs="Times New Roman" w:eastAsia="Times New Roman" w:hAnsi="Times New Roman"/>
          <w:sz w:val="18"/>
          <w:szCs w:val="18"/>
          <w:u w:val="single" w:color="auto"/>
          <w:color w:val="auto"/>
        </w:rPr>
      </w:pPr>
    </w:p>
    <w:p>
      <w:pPr>
        <w:jc w:val="both"/>
        <w:ind w:left="4" w:right="100" w:firstLine="987"/>
        <w:spacing w:after="0" w:line="289" w:lineRule="auto"/>
        <w:tabs>
          <w:tab w:leader="none" w:pos="131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is permitted by the Company, in its sole discretion, in connection with circumstances not otherwise set forth herein, if the General Partner determines, after consultation with its outside legal counsel and tax advisor, that the Partnership would not be treated as a “</w:t>
      </w:r>
      <w:r>
        <w:rPr>
          <w:rFonts w:ascii="Times New Roman" w:cs="Times New Roman" w:eastAsia="Times New Roman" w:hAnsi="Times New Roman"/>
          <w:sz w:val="17"/>
          <w:szCs w:val="17"/>
          <w:b w:val="1"/>
          <w:bCs w:val="1"/>
          <w:i w:val="1"/>
          <w:iCs w:val="1"/>
          <w:color w:val="auto"/>
        </w:rPr>
        <w:t>publicly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traded partnership</w:t>
      </w:r>
      <w:r>
        <w:rPr>
          <w:rFonts w:ascii="Times New Roman" w:cs="Times New Roman" w:eastAsia="Times New Roman" w:hAnsi="Times New Roman"/>
          <w:sz w:val="17"/>
          <w:szCs w:val="17"/>
          <w:color w:val="auto"/>
        </w:rPr>
        <w:t>” under Section 7704 of the Code (or any successor or similar provision) as a result of or in connection with such Exchange.</w:t>
      </w:r>
    </w:p>
    <w:p>
      <w:pPr>
        <w:spacing w:after="0" w:line="1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Safe Harbor</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safe harbor set forth in Treasury Regulations Section 1.7704-1(h).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Board</w:t>
      </w:r>
      <w:r>
        <w:rPr>
          <w:rFonts w:ascii="Times New Roman" w:cs="Times New Roman" w:eastAsia="Times New Roman" w:hAnsi="Times New Roman"/>
          <w:sz w:val="18"/>
          <w:szCs w:val="18"/>
          <w:color w:val="auto"/>
        </w:rPr>
        <w:t>” has the meaning given to such term in the Partnership LPA.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Quarterly Exchange Date</w:t>
      </w:r>
      <w:r>
        <w:rPr>
          <w:rFonts w:ascii="Times New Roman" w:cs="Times New Roman" w:eastAsia="Times New Roman" w:hAnsi="Times New Roman"/>
          <w:sz w:val="18"/>
          <w:szCs w:val="18"/>
          <w:color w:val="auto"/>
        </w:rPr>
        <w:t xml:space="preserve">” means, either (x) for each fiscal quarter, the first (1st) Business Day occurring after the sixtieth (60th) day after the expiration of the applicable Quarterly Exchange Notice Period or (y) such other date as the Company shall determine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date is at least sixty (60) days after the expiration of the Quarterly Exchange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Company shall use commercially reasonable efforts to ensure that at least one Quarterly Exchange Date occurs each fiscal quarter.</w:t>
      </w:r>
    </w:p>
    <w:p>
      <w:pPr>
        <w:spacing w:after="0" w:line="176"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Quarterly Exchange Date Value</w:t>
      </w:r>
      <w:r>
        <w:rPr>
          <w:rFonts w:ascii="Times New Roman" w:cs="Times New Roman" w:eastAsia="Times New Roman" w:hAnsi="Times New Roman"/>
          <w:sz w:val="18"/>
          <w:szCs w:val="18"/>
          <w:color w:val="auto"/>
        </w:rPr>
        <w:t xml:space="preserve">” means the arithmetic average of the VWAP for each of the five (5) consecutive Trading Days ending on the Trading Day immediately prior to the Exchange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such an Exchange (other than an Unrestricted Exchange) is in connection with a Secondary Offering or other negotiated transaction, the Quarterly Exchange Date Value shall be the per share price of Class A Common Shares in such transaction.</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90" w:name="page91"/>
    <w:bookmarkEnd w:id="9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Quarterly Exchange Notice Period</w:t>
      </w:r>
      <w:r>
        <w:rPr>
          <w:rFonts w:ascii="Times New Roman" w:cs="Times New Roman" w:eastAsia="Times New Roman" w:hAnsi="Times New Roman"/>
          <w:sz w:val="18"/>
          <w:szCs w:val="18"/>
          <w:color w:val="auto"/>
        </w:rPr>
        <w:t>” means, for each fiscal quarter, the period commencing on the third (3rd) Business Day after the day on which the Company releases its earnings for the prior fiscal period, beginning with the first such date that falls on or after the waiver or expiration of any contractual lock-up period relating to the shares of the Company that may be applicable to a Partnership Unitholder (or such other date within such quarter as the Company shall determine in its sole discretion) and ending ten (10) Business Days thereafter. Notwithstanding the foregoing, the Company may change the definition of Quarterly Exchange Notice Period with respect to any Quarterly Exchange Notice Period scheduled to occur in a calendar quarter subsequent to the then-current calendar quarter, if (x) the revised definition provides for a Quarterly Exchange Notice Period occurring at least once in each calendar quarter, (y) the first Quarterly Exchange Notice Period pursuant to the revised definition will occur no less than 10 Business Days from the date written notice of such change is sent to each Partnership Unitholder (other than the Company) and (z) the revised definition, together with the revised Quarterly Exchange Date resulting therefrom, do not materially adversely affect the ability of the Partnership Unitholders to exercise their Exchange rights pursuant to this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date hereof, by and among the Company and the other parties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Common Unit</w:t>
      </w:r>
      <w:r>
        <w:rPr>
          <w:rFonts w:ascii="Times New Roman" w:cs="Times New Roman" w:eastAsia="Times New Roman" w:hAnsi="Times New Roman"/>
          <w:sz w:val="18"/>
          <w:szCs w:val="18"/>
          <w:color w:val="auto"/>
        </w:rPr>
        <w:t>” has the meaning set forth in the Partnership LPA.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Retraction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Secondary Offering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Secondary Offering Paired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Exchange Payment</w:t>
      </w:r>
      <w:r>
        <w:rPr>
          <w:rFonts w:ascii="Times New Roman" w:cs="Times New Roman" w:eastAsia="Times New Roman" w:hAnsi="Times New Roman"/>
          <w:sz w:val="18"/>
          <w:szCs w:val="18"/>
          <w:color w:val="auto"/>
        </w:rPr>
        <w:t>” means, with respect to the portion of any Exchange for which a Cash Exchange Notice is not delivered by the Company, on behalf of the Partnership, a number of Class A Common Shares equal to the product of the number of Exchanged Units multiplied by the Exchange Rate.</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means that certain Tax Receivable Agreement, dated as of the date hereof, by and among the Company and the other parties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Taxing Authority</w:t>
      </w:r>
      <w:r>
        <w:rPr>
          <w:rFonts w:ascii="Times New Roman" w:cs="Times New Roman" w:eastAsia="Times New Roman" w:hAnsi="Times New Roman"/>
          <w:sz w:val="18"/>
          <w:szCs w:val="18"/>
          <w:color w:val="auto"/>
        </w:rPr>
        <w:t>” has the meaning set forth in the Tax Receivable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91" w:name="page92"/>
    <w:bookmarkEnd w:id="91"/>
    <w:p>
      <w:pPr>
        <w:ind w:right="4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“Tolerantia Consent</w:t>
      </w:r>
      <w:r>
        <w:rPr>
          <w:rFonts w:ascii="Times New Roman" w:cs="Times New Roman" w:eastAsia="Times New Roman" w:hAnsi="Times New Roman"/>
          <w:sz w:val="17"/>
          <w:szCs w:val="17"/>
          <w:color w:val="auto"/>
        </w:rPr>
        <w:t>” means the consent of Tolerantia, LLC to an Exchange, which consent shall be deemed standing until Tolerantia, LLC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provides written notice to the Partnership and the Company that such standing consent is no longer applicable for tax, regulatory or other purposes, after which such consent shall mean the written consent of Tolerantia, LLC provided to the Company and the Partnership in connection with such Exchange.</w:t>
      </w:r>
    </w:p>
    <w:p>
      <w:pPr>
        <w:spacing w:after="0" w:line="15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Trading Market is open for the transaction of business (unless such trading shall have been suspended for the entire day).</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Stock Market or such other principal United States securities exchange on which Class A Common Shares are listed, quoted or admitted to trading.</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Exchanges</w:t>
      </w:r>
      <w:r>
        <w:rPr>
          <w:rFonts w:ascii="Times New Roman" w:cs="Times New Roman" w:eastAsia="Times New Roman" w:hAnsi="Times New Roman"/>
          <w:sz w:val="18"/>
          <w:szCs w:val="18"/>
          <w:color w:val="auto"/>
        </w:rPr>
        <w:t>” means any Exchange that is in connection with a Permitted Exchange Event or that occurs during a period in which the Partnership meets the requirements of the Private Placement Safe Harbor.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Vesting Event</w:t>
      </w:r>
      <w:r>
        <w:rPr>
          <w:rFonts w:ascii="Times New Roman" w:cs="Times New Roman" w:eastAsia="Times New Roman" w:hAnsi="Times New Roman"/>
          <w:sz w:val="18"/>
          <w:szCs w:val="18"/>
          <w:color w:val="auto"/>
        </w:rPr>
        <w:t>” has the meaning set forth in the Partnership Agreement.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the daily per share volume-weighted average price of Class A Common Shares on the Trading Market, as displayed under the heading “Bloomberg VWAP” on the Bloomberg page designated for Class A Common Shares (or its equivalent successor if such page is not available) in respect of the period from the open of trading on such Trading Day until the close of trading on such Trading Day (or if such volume-weighted average price is unavailable, (a) the per share volume-weighted average price of a Class A Common Share on such Trading Day (determined without regard to afterhours trading or any other trading outside the regular trading session or trading hours), or (b) if such determination is not feasible, the market price per Class A Common Share, in either case as determined by a nationally recognized independent investment banking firm retained in good faith for this purpose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Exchange Procedure</w:t>
      </w:r>
    </w:p>
    <w:p>
      <w:pPr>
        <w:spacing w:after="0" w:line="117" w:lineRule="exact"/>
        <w:rPr>
          <w:sz w:val="20"/>
          <w:szCs w:val="20"/>
          <w:color w:val="auto"/>
        </w:rPr>
      </w:pPr>
    </w:p>
    <w:p>
      <w:pPr>
        <w:ind w:firstLine="987"/>
        <w:spacing w:after="0" w:line="254"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waiver or expiration of any contractual lock-up period (including pursuant to the Lock-Up Agreement) relating to the shares of the Company that may be applicable to a Partnership Unitholder following the date of the consummation of the Business Combination, each Partnership Unitholder (other than the Company) shall, with Tolerantia Consent, be entitled, upon the terms and subject to the conditions hereof, to surrender Paired Interests to the Partnership and the Company, as applicable, in exchange for the delivery by Partnership of the Stock Exchange Payment or, at the election of the Company, the Cash Exchange Payment (such exchange, a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and, together with a Direct Exchange (as defined below), an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(absent a waiver by the General Partner) any such Exchange is for a minimum of the lesser of (i) 10,000 Common Units (which minimum shall be equitably adjusted in accordance with any adjustments to the Exchange Rate) and (ii) all of the Common Units held by such Partnership Unitholder;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in the event that an Exchanging Partner is participating in an underwritten offering or other block sale of Class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92" w:name="page93"/>
    <w:bookmarkEnd w:id="9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Shares following such Exchange and a portion of its Paired Interests are being surrendered to the Partnership or the Company, as applicable, in furtherance thereof (such portion, the “</w:t>
      </w:r>
      <w:r>
        <w:rPr>
          <w:rFonts w:ascii="Times New Roman" w:cs="Times New Roman" w:eastAsia="Times New Roman" w:hAnsi="Times New Roman"/>
          <w:sz w:val="18"/>
          <w:szCs w:val="18"/>
          <w:b w:val="1"/>
          <w:bCs w:val="1"/>
          <w:i w:val="1"/>
          <w:iCs w:val="1"/>
          <w:color w:val="auto"/>
        </w:rPr>
        <w:t>Secondary Offering Paired Interests</w:t>
      </w:r>
      <w:r>
        <w:rPr>
          <w:rFonts w:ascii="Times New Roman" w:cs="Times New Roman" w:eastAsia="Times New Roman" w:hAnsi="Times New Roman"/>
          <w:sz w:val="18"/>
          <w:szCs w:val="18"/>
          <w:color w:val="auto"/>
        </w:rPr>
        <w:t>”), then the Partnership and the Company shall settle the Exchange of such Secondary Offering Paired Interests by delivery of a Stock Exchange Payment hereunder.</w:t>
      </w:r>
    </w:p>
    <w:p>
      <w:pPr>
        <w:spacing w:after="0" w:line="68" w:lineRule="exact"/>
        <w:rPr>
          <w:sz w:val="20"/>
          <w:szCs w:val="20"/>
          <w:color w:val="auto"/>
        </w:rPr>
      </w:pPr>
    </w:p>
    <w:p>
      <w:pPr>
        <w:ind w:firstLine="987"/>
        <w:spacing w:after="0" w:line="252"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Partnership Unitholder shall exercise its right to make an Exchange as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above by delivering to the Partnership, with a copy to the Company, a written election of exchange in respect of the Paired Interests to be exchanged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 “</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 Partnership Unitholder may deliver an Exchange Notice with respect to an Unrestricted Exchange at any time, and, in any other case, during the Quarterly Exchange Notice Period preceding the desired Exchange Date. An Exchange Notice with respect to an Unrestricted Exchange may specify that the Exchange is to be contingent (including, without limitation, as to timing) upon the consummation of a purchase by another Person (whether in a tender or exchange offer, an underwritten offering or otherwise) of the Class A Common Shares into which the Paired Interests are exchangeable, or contingent (including, without limitation, as to timing) upon the closing of an announced merger, consolidation or other transaction or event in which such Class A Common Shares would be exchanged or converted or become exchangeable for or convertible into cash or other securities or property. Notwithstanding anything to the contrary contained in this Agreement, if, in connection with an Exchange in accordance with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 filing is required under the Hart-Scott-Rodino Antitrust Improvements Act of 1976, as amended (the “</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then the Exchange Date with respect to all Paired Interests which would be exchanged into Class A Common Shares resulting from such Exchange shall be delayed until the earlier of (i) such time as the required filing under the HSR Act has been made and the waiting period applicable to such Exchange under the HSR Act shall have expired or been terminated or (ii) such filing is no longer required, at which time such Exchange shall automatically occur without any further action by the holders of any such Paired Interests. Each of the Partnership Unitholders and the Company agree to promptly take all actions required to make such filing under the HSR Act and the filing fee for such filing shall be paid by Partnership.</w:t>
      </w:r>
    </w:p>
    <w:p>
      <w:pPr>
        <w:spacing w:after="0" w:line="86" w:lineRule="exact"/>
        <w:rPr>
          <w:rFonts w:ascii="Times New Roman" w:cs="Times New Roman" w:eastAsia="Times New Roman" w:hAnsi="Times New Roman"/>
          <w:sz w:val="18"/>
          <w:szCs w:val="18"/>
          <w:color w:val="auto"/>
        </w:rPr>
      </w:pPr>
    </w:p>
    <w:p>
      <w:pPr>
        <w:ind w:right="80" w:firstLine="987"/>
        <w:spacing w:after="0" w:line="254"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2.2(a)</w:t>
      </w:r>
      <w:r>
        <w:rPr>
          <w:rFonts w:ascii="Times New Roman" w:cs="Times New Roman" w:eastAsia="Times New Roman" w:hAnsi="Times New Roman"/>
          <w:sz w:val="18"/>
          <w:szCs w:val="18"/>
          <w:color w:val="auto"/>
        </w:rPr>
        <w:t>, within three (3) Business Days of the giving of an Exchange Notice, the Company may elect that all or a portion of the Exchange is settled in cash (in lieu of Class A Common Shares) in an amount equal to the Cash Exchange Payment by giving written notice of such election to the Partnership and the Exchanging Partner within such three (3) Business Day period (such notice, the “</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The Cash Exchange Notice shall set forth the portion of the Paired Interests which will be exchanged for cash in lieu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Shares. Any portion of the Exchange not settled for a Cash Exchange Payment shall be settled for a Stock Exchange Payment. At any time following the giving of a Cash Exchange Notice and prior to the Exchange Date, the Company may elect (exercisable by giving written notice of such election to the Exchanging Partner) to revoke the Cash Exchange Notice with respect to all or any portion of the Paired Interests and make the Stock Exchange Payment with respect to any such Paired Interests on the Exchange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93" w:name="page94"/>
    <w:bookmarkEnd w:id="93"/>
    <w:p>
      <w:pPr>
        <w:ind w:left="-60" w:right="20" w:firstLine="987"/>
        <w:spacing w:after="0" w:line="253" w:lineRule="auto"/>
        <w:tabs>
          <w:tab w:leader="none" w:pos="118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Exchanging Partner may elect to retract its Exchange Notice with respect to an Unrestricted Exchange by giving written notice of such election to the Partnership, with a copy to the Partnership, no later than (1) Business Day prior to the Exchange Date. Subject to the terms of this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an Exchanging Partner may deliver an Exchange Notice with respect to an Exchange (other than an Unrestricted Exchange) during the Quarterly Exchange Notice Period which conditions such Exchange upon the Quarterly Exchange Date Value being equal to or greater than ninety percent (90%) of the Exchange Notice Date Value and if such requirement is not met, then the Exchanging Partner may elect to retract its Exchange Notice by giving written notice of such election to the Partnership, with a copy to the Company, no later than 12:00 p.m. (New York time) on the Trading Day preceding the Exchange Date (a “</w:t>
      </w:r>
      <w:r>
        <w:rPr>
          <w:rFonts w:ascii="Times New Roman" w:cs="Times New Roman" w:eastAsia="Times New Roman" w:hAnsi="Times New Roman"/>
          <w:sz w:val="18"/>
          <w:szCs w:val="18"/>
          <w:b w:val="1"/>
          <w:bCs w:val="1"/>
          <w:i w:val="1"/>
          <w:iCs w:val="1"/>
          <w:color w:val="auto"/>
        </w:rPr>
        <w:t>Retraction Notice</w:t>
      </w:r>
      <w:r>
        <w:rPr>
          <w:rFonts w:ascii="Times New Roman" w:cs="Times New Roman" w:eastAsia="Times New Roman" w:hAnsi="Times New Roman"/>
          <w:sz w:val="18"/>
          <w:szCs w:val="18"/>
          <w:color w:val="auto"/>
        </w:rPr>
        <w:t xml:space="preserve">”). The delivery of a Retraction Notice shall terminate all of the Exchanging Partner’s, the Company’s and the Partnership’s rights and obligations under this Article II arising from such retracted Exchange Notice (but not, for the avoidance of doubt, from any Exchange Notice not retracted or that may be delivered in the future);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Exchanging Partner may deliver a Retraction Notice only twice in each twelve (12)-month period (and any additional Retraction Notice delivered by such Exchanging Partner within such twelve (12)-month period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ineffective with respect to the revocation of the Exchange specified therein).</w:t>
      </w:r>
    </w:p>
    <w:p>
      <w:pPr>
        <w:spacing w:after="0" w:line="83" w:lineRule="exact"/>
        <w:rPr>
          <w:rFonts w:ascii="Times New Roman" w:cs="Times New Roman" w:eastAsia="Times New Roman" w:hAnsi="Times New Roman"/>
          <w:sz w:val="18"/>
          <w:szCs w:val="18"/>
          <w:color w:val="auto"/>
        </w:rPr>
      </w:pPr>
    </w:p>
    <w:p>
      <w:pPr>
        <w:ind w:left="-60" w:right="80" w:firstLine="987"/>
        <w:spacing w:after="0" w:line="252" w:lineRule="auto"/>
        <w:tabs>
          <w:tab w:leader="none" w:pos="117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the Company closes an underwritten distribution of the Class A Common Shares and the Partnership Unitholders (any of them alone, or together with the Company) were entitled to resell Class A Common Shares in connection therewith (by the exercise by such Partnership Unitholders of Exchange rights or otherwise) (a “</w:t>
      </w:r>
      <w:r>
        <w:rPr>
          <w:rFonts w:ascii="Times New Roman" w:cs="Times New Roman" w:eastAsia="Times New Roman" w:hAnsi="Times New Roman"/>
          <w:sz w:val="18"/>
          <w:szCs w:val="18"/>
          <w:b w:val="1"/>
          <w:bCs w:val="1"/>
          <w:i w:val="1"/>
          <w:iCs w:val="1"/>
          <w:color w:val="auto"/>
        </w:rPr>
        <w:t>Secondary Offering</w:t>
      </w:r>
      <w:r>
        <w:rPr>
          <w:rFonts w:ascii="Times New Roman" w:cs="Times New Roman" w:eastAsia="Times New Roman" w:hAnsi="Times New Roman"/>
          <w:sz w:val="18"/>
          <w:szCs w:val="18"/>
          <w:color w:val="auto"/>
        </w:rPr>
        <w:t>”), then, except as provided in the following proviso, the immediately succeeding Quarterly Exchange Date shall be automatically cancelled and of no force or effect (and no Partnership Unitholder shall be entitled to deliver a Quarterly Exchange Date Notice with respect to an Exchange that is not an Unrestricted Exchange in respect of such Quarterly Exchange Date); provided, that the Company and the Partnership may effect an Exchange if the General Partner determines (in its reasonable discretion), after consultation with its legal counsel and tax advisors, that such Exchange, together with any other Exchanges that have occurred or are expected to occur, would not be reasonably likely to result in the Partnership being treated as a “publicly traded partnership” within the meaning of Section 7704 of the Code. Notwithstanding anything to the contrary in this Agreement (a) for such periods that the Partnership does not meet the requirements of the Private Placement Safe Harbor, any Secondary Offering (other than that pursuant to which all Exchanges are Unrestricted Exchanges) shall only be undertaken if, during the applicable taxable year, the total number of Quarterly Exchange Dates and prior Secondary Offerings (other than any pursuant to which all Exchanges are Unrestricted Exchanges) on which Exchanges occur is three (3) or fewer and (b) the Partnership and the Company shall not be deemed to have failed to comply with their respective obligations under the Registration Rights Agreement, if a Secondary Offering cannot be undertaken due to the restriction set forth in the preceding clause (a).</w:t>
      </w:r>
    </w:p>
    <w:p>
      <w:pPr>
        <w:spacing w:after="0" w:line="89" w:lineRule="exact"/>
        <w:rPr>
          <w:rFonts w:ascii="Times New Roman" w:cs="Times New Roman" w:eastAsia="Times New Roman" w:hAnsi="Times New Roman"/>
          <w:sz w:val="18"/>
          <w:szCs w:val="18"/>
          <w:color w:val="auto"/>
        </w:rPr>
      </w:pPr>
    </w:p>
    <w:p>
      <w:pPr>
        <w:jc w:val="both"/>
        <w:ind w:left="-60" w:firstLine="987"/>
        <w:spacing w:after="0" w:line="261" w:lineRule="auto"/>
        <w:tabs>
          <w:tab w:leader="none" w:pos="11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or the Partnership Agreement, no Restricted Common Unit shall be permitted to be treated as an Exchanged Unit hereunder, and in no event shall the Partnership or the Company effect an Exchange of a Paired Interest that includes a Restricted Common Unit unless and until a Vesting Event and Conversion Date has occurred with respect to such Restricted Common Unit and it has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70" w:right="499" w:bottom="1440" w:gutter="0" w:footer="0" w:header="0"/>
        </w:sectPr>
      </w:pPr>
    </w:p>
    <w:bookmarkStart w:id="94" w:name="page95"/>
    <w:bookmarkEnd w:id="94"/>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converted to a Common Unit in accordance with the terms of the Partnership Agreement. For the avoidance of doubt and without limiting the immediately foregoing sentence, in the event a Vesting Event, Conversion Date and conversion into Common Unit has occurred in respect of a Restricted Common Unit, such then converted Common Unit shall be treated as an Exchanged Unit for all purposes hereunder and the Partnership and the Company may effect an Exchange of such then converted Common Unit (as part of a Paired Interest) in accordance with this Agreement and the Partnership LPA.</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Exchange Payment</w:t>
      </w:r>
    </w:p>
    <w:p>
      <w:pPr>
        <w:spacing w:after="0" w:line="115" w:lineRule="exact"/>
        <w:rPr>
          <w:sz w:val="20"/>
          <w:szCs w:val="20"/>
          <w:color w:val="auto"/>
        </w:rPr>
      </w:pPr>
    </w:p>
    <w:p>
      <w:pPr>
        <w:ind w:left="4" w:firstLine="987"/>
        <w:spacing w:after="0" w:line="254" w:lineRule="auto"/>
        <w:tabs>
          <w:tab w:leader="none" w:pos="12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shall be consummated on the Exchange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an Exchange Notice with respect to an Unrestricted Exchange is delivered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specifies that it is predicated upon the settlement of an Exchange of Paired Interests sooner than on the Exchange Date, the Company and the Partnership shall use their respective commercially reasonable efforts to consummate the Exchange on the date specified in such Exchange Notice, which shall thereafter be deemed the Exchange Date for purposes of such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notwithstanding anything to the contrary contained in this Agreement, in the event that an Exchange Notice is delivered in connection with a Secondary Offering or a block sale pursuant to Rule 144 of the Securities Act or other then available exemption from registration thereunder that is not an underwritten distribution but is an Unrestricted Exchange, and the Company has at least three (3) Business Days’ notice prior to the settlement date thereof, the Exchange Date shall be the settlement date of such Secondary Offering or such block sale and the Exchange shall be consummated no later than the settlement of such Secondary Offering or such block sale on such date.</w:t>
      </w:r>
    </w:p>
    <w:p>
      <w:pPr>
        <w:spacing w:after="0" w:line="8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Exchange, the Exchanging Partner shall make any applicable Certificate Delivery requested or required by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Exchange Date (to be effective immediately prior to the close of business on the Exchange Date), in the case of a Redemption,</w:t>
      </w:r>
    </w:p>
    <w:p>
      <w:pPr>
        <w:spacing w:after="0" w:line="27" w:lineRule="exact"/>
        <w:rPr>
          <w:rFonts w:ascii="Times New Roman" w:cs="Times New Roman" w:eastAsia="Times New Roman" w:hAnsi="Times New Roman"/>
          <w:sz w:val="18"/>
          <w:szCs w:val="18"/>
          <w:color w:val="auto"/>
        </w:rPr>
      </w:pPr>
    </w:p>
    <w:p>
      <w:pPr>
        <w:ind w:left="4" w:hanging="4"/>
        <w:spacing w:after="0" w:line="250" w:lineRule="auto"/>
        <w:tabs>
          <w:tab w:leader="none" w:pos="2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contribute to the Partnership, for delivery to the Exchanging Partner (x) the Stock Exchange Payment with respect to any Paired Interests not subject to a Cash Exchange Notice and (y) the Cash Exchange Payment with respect to any Paired Interests subject to a Cash Exchange Notice, (ii) the Exchanging Partner (A) shall surrender the Exchanged Units to the Partnership, free and clear of all liens and encumbrances, and the Partnership shall cancel such Exchanged Units and (B) transfer and surrender the corresponding number of Class B Common Shares to the Company, free and clear of all liens and encumbrances, and the Company shall cancel such Class B Common Share, (iii) the Partnership shall issue to the Company a number of Common Units equal to the number of Exchanged Units surrendered pursuant to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(iv) solely to the extent necessary in connection with a Redemption, the Company shall undertake all actions, including, without limitation, an issuance, reclassification, distribution, division or recapitalization, with respect to the Class A Common Shares to maintain a one-to-one ratio (or such other ratio then in effect) between the number of Common Units owned by the Company, directly or indirectly, and the number of outstanding Class A Common Shares, taking into account the issuance in the preceding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any Stock Exchange Payment and any other action taken in connection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transfer to the Exchanging Partner the Cash Exchange Payment and/or the Stock Exchange Payment, as applicable.</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95" w:name="page96"/>
    <w:bookmarkEnd w:id="95"/>
    <w:p>
      <w:pPr>
        <w:ind w:left="-40" w:firstLine="987"/>
        <w:spacing w:after="0" w:line="253" w:lineRule="auto"/>
        <w:tabs>
          <w:tab w:leader="none" w:pos="12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Exchange Date (to be effective immediately prior to the close of business on the Exchange Date), in the case of a Direct Exchange, (i) the Company shall deliver to the Exchanging Partner, (x) the Stock Exchange Payment with respect to any Paired Interests not subject to a Cash Exchange Notice and (y) the Cash Exchange Payment with respect to any Paired Interests subject to a Cash Exchange Notice, (ii) the Exchanging Partner shall transfer to the Company the Exchanged Units and the corresponding Class B Common Shares (it being understood that (A) the Company shall cancel the surrendered Class B Common Shares and (B) the Exchanged Units shall remain outstanding and the Company shall be treated for all purposes of this Agreement as the owner of such Exchanged Units), in each case free and clear of all liens and encumbrances, and (iii) solely to the extent necessary in connection with a Direct Exchange, the Company shall undertake all actions, including, without limitation, an issuance, reclassification, distribution, division or recapitalization, with respect to the Class A Common Shares to maintain a one-to-one ratio (or such other ratio then in effect) between the number of Common Units owned by the Company, directly or indirectly, and the number of outstanding Class A Common Shares, taking into account any Stock Exchange Payment and any other action taken in connection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0" w:right="280" w:firstLine="987"/>
        <w:spacing w:after="0" w:line="312" w:lineRule="auto"/>
        <w:tabs>
          <w:tab w:leader="none" w:pos="11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Exchange of all of a Partnership Unitholder’s Common Units and Restricted Common Units, such Partnership Unitholder shall cease, in accordance with the terms of the Partnership LPA, to be a Partner (as such term is defined in the Partnership LPA) of the Partnership.</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Expenses and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firstLine="987"/>
        <w:spacing w:after="0" w:line="255" w:lineRule="auto"/>
        <w:tabs>
          <w:tab w:leader="none" w:pos="11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in this Agreement, the Partnership and each Exchanging Partner shall bear its own expenses in connection with the consummation of any Exchange, whether or not any such Exchange is ultimately consummated, except that the Partnership shall bear any transfer taxes, stamp taxes or duties, or other similar taxes in connection with, or arising by reason of, any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Class A Common Shares are to be issued in a name other than that of the Partnership Unitholder that requested the Exchange, then such Partnership Unitholder and/or the person in whose name such shares are to be issued shall pay to the Partnership the amount of any transfer taxes, stamp taxes or duties, or other similar taxes in connection with, or arising by reason of, such Exchange or shall establish to the reasonable satisfaction of the Partnership that such tax has been paid or is not payable.</w:t>
      </w:r>
    </w:p>
    <w:p>
      <w:pPr>
        <w:spacing w:after="0" w:line="80" w:lineRule="exact"/>
        <w:rPr>
          <w:rFonts w:ascii="Times New Roman" w:cs="Times New Roman" w:eastAsia="Times New Roman" w:hAnsi="Times New Roman"/>
          <w:sz w:val="18"/>
          <w:szCs w:val="18"/>
          <w:color w:val="auto"/>
        </w:rPr>
      </w:pPr>
    </w:p>
    <w:p>
      <w:pPr>
        <w:ind w:left="-40" w:right="120" w:firstLine="987"/>
        <w:spacing w:after="0" w:line="256" w:lineRule="auto"/>
        <w:tabs>
          <w:tab w:leader="none" w:pos="12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to the extent that the Partnership is otherwise eligible for the Private Placement Safe Harbor in any taxable year, the Company and the Partnership shall use commercially reasonable efforts to restrict issuances of Common Units in an amount sufficient for the Partnership to continue to be eligible for the Private Placement Safe Harbor, and, to the extent that the Company or the Partnership determines that the Partnership does not meet the requirements of the Private Placement Safe Harbor at any point in any taxable year, the Company or the Partnership may impose such additional restrictions on Exchanges (other than Exchanges that are Secondary Offerings) during such taxable year as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80" w:top="270" w:right="479" w:bottom="1440" w:gutter="0" w:footer="0" w:header="0"/>
        </w:sectPr>
      </w:pPr>
    </w:p>
    <w:bookmarkStart w:id="96" w:name="page97"/>
    <w:bookmarkEnd w:id="96"/>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the Partnership may determine to be necessary or advisable so that the Partnership is not treated as a “</w:t>
      </w:r>
      <w:r>
        <w:rPr>
          <w:rFonts w:ascii="Times New Roman" w:cs="Times New Roman" w:eastAsia="Times New Roman" w:hAnsi="Times New Roman"/>
          <w:sz w:val="18"/>
          <w:szCs w:val="18"/>
          <w:b w:val="1"/>
          <w:bCs w:val="1"/>
          <w:i w:val="1"/>
          <w:iCs w:val="1"/>
          <w:color w:val="auto"/>
        </w:rPr>
        <w:t>publicly traded partnership</w:t>
      </w:r>
      <w:r>
        <w:rPr>
          <w:rFonts w:ascii="Times New Roman" w:cs="Times New Roman" w:eastAsia="Times New Roman" w:hAnsi="Times New Roman"/>
          <w:sz w:val="18"/>
          <w:szCs w:val="18"/>
          <w:color w:val="auto"/>
        </w:rPr>
        <w:t xml:space="preserve">” under Section 7704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imposed pursuant to this sentence shall not apply to any Unrestricted Exchange. Notwithstanding anything to the contrary herein, no Exchange shall be permitted (and, if attempted, shall be void ab initio) if, in the good faith determination of the Company or of the Partnership, such an Exchange would pose a material risk that the Partnership would be a “publicly traded partnership” under Section 7704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sentence shall not apply to prohibit a Block Transfer unless a change in applicable Law after the date of the signing of the Business Combination Agreement (as defined in the Partnership LPA) modifies the application or availability of Treasury Regulations Section 1.7704-1(e)(2).</w:t>
      </w:r>
    </w:p>
    <w:p>
      <w:pPr>
        <w:spacing w:after="0" w:line="79" w:lineRule="exact"/>
        <w:rPr>
          <w:sz w:val="20"/>
          <w:szCs w:val="20"/>
          <w:color w:val="auto"/>
        </w:rPr>
      </w:pPr>
    </w:p>
    <w:p>
      <w:pPr>
        <w:ind w:right="20" w:firstLine="987"/>
        <w:spacing w:after="0" w:line="255"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herein, a Partnership Unitholder shall not be entitled to effect an Exchange (other than an Exchange in connection with settlement of a Secondary Offering or other Block Transfer) to the extent the Company reasonably determines in good faith that such Exchange (i) would be prohibited by law or regulation (including, without limitation, the unavailability of any requisite registration statement filed under the Securities Act, or any exemption from the registration requirements thereunder), or (ii) would not be permitted under any other agreements with the Company or its subsidiaries to which such Partnership Unitholder is party (including, without limitation, the Partnership LPA) or any written policies of the Company related to unlawful or inappropriate trading applicable to its directors, officers or other personnel.</w:t>
      </w:r>
    </w:p>
    <w:p>
      <w:pPr>
        <w:spacing w:after="0" w:line="80" w:lineRule="exact"/>
        <w:rPr>
          <w:rFonts w:ascii="Times New Roman" w:cs="Times New Roman" w:eastAsia="Times New Roman" w:hAnsi="Times New Roman"/>
          <w:sz w:val="18"/>
          <w:szCs w:val="18"/>
          <w:color w:val="auto"/>
        </w:rPr>
      </w:pPr>
    </w:p>
    <w:p>
      <w:pPr>
        <w:ind w:right="680" w:firstLine="987"/>
        <w:spacing w:after="0" w:line="282"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adopt reasonable procedures for the implementation of the exchange provisions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including, without limitation, procedures for the giving of notice of an election of exchange.</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Common Units that is not accompanied by an identical subdivision or combination of the Class A Common Shares or (b) any subdivision (by any share or stock split, stock dividend or distribution, reclassification, reorganization, recapitalization or otherwise) or combination (by reverse share or stock split, reclassification, reorganization, recapitalization or otherwise) of the Class A Common Shares that is not accompanied by an identical subdivision or combination of the Common Units. If there is any reclassification, reorganization, recapitalization or other similar transaction in which the Class A Common Shares are converted or changed into another security, securities or other property, then upon any subsequent Exchange, an Exchanging Partner shall be entitled to receive the amount of such security, securities or other property that such Exchanging Partner would have received if such Exchange had occurred immediately prior to the effective time of such reclassification, reorganization, recapitalization or other similar transaction, taking into account any adjustment as a result of any subdivision (by any share or stock split, distribution or dividend, reclassification, reorganization, recapitalization or otherwise) or combination (by reverse share or stock split, reclassification, recapitalization or otherwise) of such security, securities or other property that occurs after the effective time of such reclassification, reorganization, recapitalization or other similar transaction. Except as may be required in the immediately preceding sentence, no adjustments in respect of distributions shall be made upon the exchange of any Common Unit.</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Times New Roman" w:cs="Times New Roman" w:eastAsia="Times New Roman" w:hAnsi="Times New Roman"/>
          <w:sz w:val="18"/>
          <w:szCs w:val="18"/>
          <w:u w:val="single" w:color="auto"/>
          <w:color w:val="auto"/>
        </w:rPr>
        <w:t>Class A Common Shares to be Issued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5"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at all times reserve and keep available out of its authorized but unissued Class A Common Shares, solely for the purpose of issuance upon an Exchange, such number of Class A Common Shares as may be issued upon any such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be construed to preclude the Company and the Partnership from satisfying its obligations in respect of the Exchange of the Paired Interests by the sale of Class A Common Shares which are held in the treasury of the Company or are held by the Partnership or any of their subsidiaries or by the issuance/sale of purchased Class A Common Shares (which may or may not be held in the treasury of the Company or held by any subsidiary thereof), or by delivery of the Cash Exchange Payment in accordance with the terms hereof. The Company covenants that all Class A Common Shares issued upon an Exchange will, upon issuance, be validly issued, fully paid and non-assessable.</w:t>
      </w:r>
    </w:p>
    <w:p>
      <w:pPr>
        <w:spacing w:after="0" w:line="80"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Partnership shall at all times ensure that the execution and delivery of this Agreement by each of the Company and the Partnership and the consummation by each of the Company and the Partnership of the transactions contemplated hereby (including, without limitation, the issuance of the Class A Common Shares) have been duly authorized by all necessary corporate or limited liability company or partnership action, as the case may be, on the part of the Company and the Partnership, including, but not limited to, all actions necessary to ensure that the acquisition of Class A Common Shares pursuant to the transactions contemplated hereby, to the fullest extent of the PubCo Board’s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w:t>
      </w:r>
    </w:p>
    <w:p>
      <w:pPr>
        <w:spacing w:after="0" w:line="8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to the extent that a registration statement under the Securities Act is effective and available for Class A Common Shares to be issued with respect to any Exchange, shares that have been registered under the Securities Act shall be issued in respect of such Exchange. In the event that any Exchange in accordance with this Agreement is to be effected at a time when any required registration has not become effective or otherwise is unavailable, upon the request and with the reasonable cooperation of the Partnership Unitholder requesting such Exchange, the Company shall use commercially reasonable efforts to promptly facilitate such Exchange pursuant to any reasonably available exemption from such registration requirements. The Class A Common Shares to be issued following completion of an Exchange may, in the sole discretion of the Company, be restricted and/or legended securities to the extent required under the Securities Act, the regulations promulgated thereunder or any other applicable federal or state securities laws. The Company shall use commercially reasonable efforts to list the Class A Common Shares required to be issued upon the Exchange prior to such issue upon each national securities exchange or inter-dealer quotation system upon which the outstanding Class A Common Shares may be listed or traded at the time of such issue.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98" w:name="page99"/>
    <w:bookmarkEnd w:id="98"/>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Direct Exchange</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Company may, in its sole and absolute discretion, elect to effect on the Exchange Date the Exchange of Paired Interests for the Cash Exchange Payment and/or the Stock Exchange Payment, as the case may be (and subject to the terms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through a direct exchange of such Paired Interests between the Exchanging Partner and the Company (a “</w:t>
      </w:r>
      <w:r>
        <w:rPr>
          <w:rFonts w:ascii="Times New Roman" w:cs="Times New Roman" w:eastAsia="Times New Roman" w:hAnsi="Times New Roman"/>
          <w:sz w:val="18"/>
          <w:szCs w:val="18"/>
          <w:b w:val="1"/>
          <w:bCs w:val="1"/>
          <w:i w:val="1"/>
          <w:iCs w:val="1"/>
          <w:color w:val="auto"/>
        </w:rPr>
        <w:t>Direct Exchange</w:t>
      </w:r>
      <w:r>
        <w:rPr>
          <w:rFonts w:ascii="Times New Roman" w:cs="Times New Roman" w:eastAsia="Times New Roman" w:hAnsi="Times New Roman"/>
          <w:sz w:val="18"/>
          <w:szCs w:val="18"/>
          <w:color w:val="auto"/>
        </w:rPr>
        <w:t xml:space="preserve">”). Upon such Direct Exchange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shall acquire the Exchanged Units (which shall remain outstanding) and the Company shall be treated for all purposes of this Agreement as the owner of such Exchanged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election by the Company shall not relieve the Partnership of its obligation arising with respect to such applicable Exchange Notice. The Company may, at any time prior to an Exchange Date, deliver written notice (an “</w:t>
      </w:r>
      <w:r>
        <w:rPr>
          <w:rFonts w:ascii="Times New Roman" w:cs="Times New Roman" w:eastAsia="Times New Roman" w:hAnsi="Times New Roman"/>
          <w:sz w:val="18"/>
          <w:szCs w:val="18"/>
          <w:b w:val="1"/>
          <w:bCs w:val="1"/>
          <w:i w:val="1"/>
          <w:iCs w:val="1"/>
          <w:color w:val="auto"/>
        </w:rPr>
        <w:t>Direct Exchange Election Notice</w:t>
      </w:r>
      <w:r>
        <w:rPr>
          <w:rFonts w:ascii="Times New Roman" w:cs="Times New Roman" w:eastAsia="Times New Roman" w:hAnsi="Times New Roman"/>
          <w:sz w:val="18"/>
          <w:szCs w:val="18"/>
          <w:color w:val="auto"/>
        </w:rPr>
        <w:t xml:space="preserve">”) to the Partnership and the Exchanging Partner setting forth its election to exercise its right to consummate a Direct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election does not prejudice the ability of the parties to consummate an Exchange or Direct Exchange on the Exchange Date. A Direct Exchange Election Notice may be revoked by the Company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revocation does not prejudice the ability of the parties to consummate an Exchange or Direct Exchange on the Exchange Date. The right to consummate a Direct Exchange in all events shall be exercisable for all of the Paired Interests that would otherwise have been subject to an Exchange. Except as otherwise provided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 Direct Exchange shall be consummated pursuant to the same timeframe and in the same manner as the relevant Exchange would have been consummated had the Company not delivered a Direct Exchange Election Notice.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Pubco Offer or Change of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tender offer, share exchange offer, take-over bid, recapitalization or similar transaction with respect to any Class A Common Shares (a “</w:t>
      </w:r>
      <w:r>
        <w:rPr>
          <w:rFonts w:ascii="Times New Roman" w:cs="Times New Roman" w:eastAsia="Times New Roman" w:hAnsi="Times New Roman"/>
          <w:sz w:val="18"/>
          <w:szCs w:val="18"/>
          <w:b w:val="1"/>
          <w:bCs w:val="1"/>
          <w:i w:val="1"/>
          <w:iCs w:val="1"/>
          <w:color w:val="auto"/>
        </w:rPr>
        <w:t>Pubco Offer</w:t>
      </w:r>
      <w:r>
        <w:rPr>
          <w:rFonts w:ascii="Times New Roman" w:cs="Times New Roman" w:eastAsia="Times New Roman" w:hAnsi="Times New Roman"/>
          <w:sz w:val="18"/>
          <w:szCs w:val="18"/>
          <w:color w:val="auto"/>
        </w:rPr>
        <w:t>”) is proposed by the Company or is proposed to the Company or its shareholders and approved by the PubCo Board or is otherwise effected or to be effected with the consent or approval of the PubCo Board or the Company will undergo a Change of Control, the Partnership Unitholders shall be permitted to deliver an Exchange Notice (which Exchange Notice shall be effective immediately prior to the consummation of such Pubco Offer or Change of Control (and, for the avoidance of doubt, shall be contingent upon such Pubco Offer or Change of Control and not be effective if such Pubco Offer or Change of Control is not consummated)). In the case of a Pubco Offer proposed by the Company, the Company will use its reasonable best efforts expeditiously and in good faith to take all such actions and do all such things as are necessary or desirable to enable and permit the Partnership Unitholders to participate in such Pubco Offer to the same extent or on an economically equivalent basis as the holders of Class A Common Shares without discrimination (but excluding, for the avoidance of doubt, the Partnership Unitholders’ rights under the Tax Receivable Agreement in determining whether such participation is on an economically equivalent basis).</w:t>
      </w:r>
    </w:p>
    <w:p>
      <w:pPr>
        <w:spacing w:after="0" w:line="86"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send written notice to the Partnership and the Partnership Unitholders at least thirty (30) Business Days prior to the closing date of the transactions contemplated by the Pubco Offer or the Change of Control notifying them of their rights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setting forth, in the case of a Pubco Offer, (i) a copy of the written proposal or agreement pursuant to which the Pubco Offer will be effected, (ii)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payable in connection therewith, (iii) the terms and conditions of transfer and payment and (iv) the date and location of and procedures for selling Common Units and Restricted Common Units (if applicable), or in the case of a Change of Control, (x) a description of the event constituting the Change of Control, (y) the date of the Change of Control, and (z) a copy of any written proposals or agreement relating thereto. In the event that the information set forth in such notice changes from that set forth in the initial notice, a subsequent notice shall be delivered by the Company as promptly as reasonably practicable, but in any event no less than five (5) days prior to the closing of the Pubco Offer or Change of Control.</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Additional Partnership Unitholders</w:t>
      </w:r>
      <w:r>
        <w:rPr>
          <w:rFonts w:ascii="Times New Roman" w:cs="Times New Roman" w:eastAsia="Times New Roman" w:hAnsi="Times New Roman"/>
          <w:sz w:val="18"/>
          <w:szCs w:val="18"/>
          <w:color w:val="auto"/>
        </w:rPr>
        <w:t>. To the extent a Partnership Unitholder validly transfers any or all of such holder’s Common Units to another person in a transaction in accordance with, and not in contravention of, the Partnership LPA, the Lock-Up Agreement and any other agreement or agreements with the Company or any of its subsidiaries to which a transferring Partnership Unitholder may be party, then such transferee (each, a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xml:space="preserve">”) shall execute and deliver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whereupon such Permitted Transferee shall become a Partnership Unitholder hereunder. To the extent the Partnership issues Common Units in the future, the Partnership shall be entitled, in its sole discretion, to make any holder of such Common Units a Partnership Unitholder hereunder through such holder’s execution and delivery of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420" w:hanging="439"/>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ProKidney Corp.</w:t>
      </w:r>
    </w:p>
    <w:p>
      <w:pPr>
        <w:spacing w:after="0" w:line="27" w:lineRule="exact"/>
        <w:rPr>
          <w:rFonts w:ascii="Times New Roman" w:cs="Times New Roman" w:eastAsia="Times New Roman" w:hAnsi="Times New Roman"/>
          <w:sz w:val="18"/>
          <w:szCs w:val="18"/>
          <w:color w:val="auto"/>
        </w:rPr>
      </w:pPr>
    </w:p>
    <w:p>
      <w:pPr>
        <w:ind w:left="1420" w:right="69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Frontis Plaza Blvd., Suite 250 Winston-Salem, NC 27103</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Tim Bertram, Chief Executive Officer</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Tim.Bertram@prokidney.com</w:t>
      </w:r>
    </w:p>
    <w:p>
      <w:pPr>
        <w:spacing w:after="0" w:line="11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Partnership, to:</w:t>
      </w:r>
    </w:p>
    <w:p>
      <w:pPr>
        <w:spacing w:after="0" w:line="117" w:lineRule="exact"/>
        <w:rPr>
          <w:rFonts w:ascii="Times New Roman" w:cs="Times New Roman" w:eastAsia="Times New Roman" w:hAnsi="Times New Roman"/>
          <w:sz w:val="18"/>
          <w:szCs w:val="18"/>
          <w:color w:val="auto"/>
        </w:rPr>
      </w:pPr>
    </w:p>
    <w:p>
      <w:pPr>
        <w:jc w:val="both"/>
        <w:ind w:left="1420" w:right="744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ProKidney Corp. GP Limited 70 Sir John Rogerson’s Quay Dublin, Ireland</w:t>
      </w:r>
    </w:p>
    <w:p>
      <w:pPr>
        <w:spacing w:after="0" w:line="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Tim Bertram, Director</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Tim.Bertram@prokidney.com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00" w:name="page101"/>
    <w:bookmarkEnd w:id="100"/>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case, 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Lee Hochbaum, Richard Truesdell</w:t>
      </w:r>
    </w:p>
    <w:p>
      <w:pPr>
        <w:spacing w:after="0" w:line="9" w:lineRule="exact"/>
        <w:rPr>
          <w:sz w:val="20"/>
          <w:szCs w:val="20"/>
          <w:color w:val="auto"/>
        </w:rPr>
      </w:pPr>
    </w:p>
    <w:p>
      <w:pPr>
        <w:ind w:left="1420"/>
        <w:spacing w:after="0"/>
        <w:tabs>
          <w:tab w:leader="none" w:pos="22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lee.hochbaum@davispolk.com</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richard.truesdell@davispolk.com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555 12th Street NW, Suite 1100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Matthew Simpson</w:t>
      </w:r>
    </w:p>
    <w:p>
      <w:pPr>
        <w:spacing w:after="0" w:line="9" w:lineRule="exact"/>
        <w:rPr>
          <w:sz w:val="20"/>
          <w:szCs w:val="20"/>
          <w:color w:val="auto"/>
        </w:rPr>
      </w:pPr>
    </w:p>
    <w:p>
      <w:pPr>
        <w:ind w:left="1420"/>
        <w:spacing w:after="0"/>
        <w:tabs>
          <w:tab w:leader="none" w:pos="22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MTSimpson@mintz.com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Stuart Leblang</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Jonathan Pavlich</w:t>
      </w:r>
    </w:p>
    <w:p>
      <w:pPr>
        <w:spacing w:after="0" w:line="9" w:lineRule="exact"/>
        <w:rPr>
          <w:sz w:val="20"/>
          <w:szCs w:val="20"/>
          <w:color w:val="auto"/>
        </w:rPr>
      </w:pPr>
    </w:p>
    <w:p>
      <w:pPr>
        <w:ind w:left="142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sleblang@akingump.com</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jpavlich@akingump.com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If to any Partnership Unitholder, to the address or other contact information set forth in the records of the Partnership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all of the parties and, to the extent permitted by this Agreement, their successors, executors, administrators, heirs, legal representatives and assigns. No Partnership Unitholder may assign its rights under this Agreement without the consent of the Company and the Partnership.</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40" w:top="270" w:right="559" w:bottom="1440" w:gutter="0" w:footer="0" w:header="0"/>
        </w:sectPr>
      </w:pPr>
    </w:p>
    <w:bookmarkStart w:id="101" w:name="page102"/>
    <w:bookmarkEnd w:id="101"/>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provisions of this Agreement may be amended only by the affirmative vote or written consent of each of (i) the Company (with the approval of the majority of the disinterested members of the PubCo Board), (ii) the Partnership and (iii) Partnership Unitholders holding at least a majority of the then outstanding Common Units (excluding Common Units held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(iii), in addition to the consent required by clauses (i) and (ii), no amendment may materially, disproportionately and adversely affect the rights of a Partnership Unitholder (other than the Company and its subsidiaries) without the consent of such Partnership Unitholder (or, if there is more than one such Partnership Unitholder that is so affected, without the consent of a majority in interest of such affected Partnership Unitholders (other than the Company and its subsidiaries) in accordance with their holdings of Common Units).</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Submission to Jurisdiction;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disputes which cannot be settled amicably with respect to this Agreement, including, without limitation,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(ii) any claim that it or its property is exempt or immune from the jurisdiction of any such court or from any legal process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02" w:name="page103"/>
    <w:bookmarkEnd w:id="102"/>
    <w:p>
      <w:pPr>
        <w:ind w:left="4"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commenced in such courts (whether through service of notice, attachment prior to judgment, attachment in aid of execution of judgment, execution of judgment or otherwise); or (iii) any objection which such party may now or hereafter have (A) 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72" w:lineRule="exact"/>
        <w:rPr>
          <w:sz w:val="20"/>
          <w:szCs w:val="20"/>
          <w:color w:val="auto"/>
        </w:rPr>
      </w:pPr>
    </w:p>
    <w:p>
      <w:pPr>
        <w:ind w:left="4" w:right="240" w:firstLine="987"/>
        <w:spacing w:after="0" w:line="289" w:lineRule="auto"/>
        <w:tabs>
          <w:tab w:leader="none" w:pos="125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49" w:lineRule="exact"/>
        <w:rPr>
          <w:rFonts w:ascii="Times New Roman" w:cs="Times New Roman" w:eastAsia="Times New Roman" w:hAnsi="Times New Roman"/>
          <w:sz w:val="17"/>
          <w:szCs w:val="17"/>
          <w:color w:val="auto"/>
        </w:rPr>
      </w:pPr>
    </w:p>
    <w:p>
      <w:pPr>
        <w:ind w:left="4" w:right="320" w:firstLine="987"/>
        <w:spacing w:after="0" w:line="261"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71"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THIS AGREEMENT.</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without limitation, by facsimile transmission or by e-mail delivery of a “</w:t>
      </w:r>
      <w:r>
        <w:rPr>
          <w:rFonts w:ascii="Times New Roman" w:cs="Times New Roman" w:eastAsia="Times New Roman" w:hAnsi="Times New Roman"/>
          <w:sz w:val="18"/>
          <w:szCs w:val="18"/>
          <w:b w:val="1"/>
          <w:bCs w:val="1"/>
          <w:i w:val="1"/>
          <w:iCs w:val="1"/>
          <w:color w:val="auto"/>
        </w:rPr>
        <w:t>.pdf</w:t>
      </w:r>
      <w:r>
        <w:rPr>
          <w:rFonts w:ascii="Times New Roman" w:cs="Times New Roman" w:eastAsia="Times New Roman" w:hAnsi="Times New Roman"/>
          <w:sz w:val="18"/>
          <w:szCs w:val="18"/>
          <w:color w:val="auto"/>
        </w:rPr>
        <w:t>”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w:t>
      </w:r>
      <w:r>
        <w:rPr>
          <w:rFonts w:ascii="Times New Roman" w:cs="Times New Roman" w:eastAsia="Times New Roman" w:hAnsi="Times New Roman"/>
          <w:sz w:val="18"/>
          <w:szCs w:val="18"/>
          <w:b w:val="1"/>
          <w:bCs w:val="1"/>
          <w:i w:val="1"/>
          <w:iCs w:val="1"/>
          <w:color w:val="auto"/>
        </w:rPr>
        <w:t>.pdf</w:t>
      </w:r>
      <w:r>
        <w:rPr>
          <w:rFonts w:ascii="Times New Roman" w:cs="Times New Roman" w:eastAsia="Times New Roman" w:hAnsi="Times New Roman"/>
          <w:sz w:val="18"/>
          <w:szCs w:val="18"/>
          <w:color w:val="auto"/>
        </w:rPr>
        <w:t xml:space="preserve">” format data file or other electronic transmission service shall be considered original executed counterparts for purposes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This Agreement shall be treated as part of the partnership agreement of the Partnership as described in Section 761(c) of the Code and Sections 1.704-1(b)(2)(ii)(h) and 1.761-1(c) of the Treasury Regulations promulgated thereunder. As required by the Code and the Treasury Regulations, the parties shall report any Exchange consummated hereunder as a taxable sale of the Exchanged Units (together with an equal number of Class B Common Shares) by a Partnership Unitholder to the Company in exchange for (i) the payment by the Company of the Stock Exchange Payment, the Cash Exchange Payment, or other applicable consideration to the Exchanging Partner and, if applicable,</w:t>
      </w:r>
    </w:p>
    <w:p>
      <w:pPr>
        <w:spacing w:after="0" w:line="3" w:lineRule="exact"/>
        <w:rPr>
          <w:sz w:val="20"/>
          <w:szCs w:val="20"/>
          <w:color w:val="auto"/>
        </w:rPr>
      </w:pPr>
    </w:p>
    <w:p>
      <w:pPr>
        <w:ind w:left="4" w:right="360" w:hanging="4"/>
        <w:spacing w:after="0" w:line="255" w:lineRule="auto"/>
        <w:tabs>
          <w:tab w:leader="none" w:pos="26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payments under the Tax Receivable Agreement, and no party shall take a contrary position on any income tax return, amendment thereof or communication with any Taxing Authority unless an alternate position is permitted under the Code and Treasury Regulations and the Company consents in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to such alternate position, such consent not to be unreasonably withheld, conditioned, or delayed. Further, in connection with any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 hereunder, the Partnership and/or the Company shall provide the exchanging Partnership Unitholder with all reasonably 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to enable the exchanging Partnership Unitholder to file its income Tax returns for the taxable year that includes the Exchange,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information with respect to assets under Section 751 of the Code (including, without limitation, relevant information regarding</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unrealized receivables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inventory items</w:t>
      </w:r>
      <w:r>
        <w:rPr>
          <w:rFonts w:ascii="Times New Roman" w:cs="Times New Roman" w:eastAsia="Times New Roman" w:hAnsi="Times New Roman"/>
          <w:sz w:val="18"/>
          <w:szCs w:val="18"/>
          <w:color w:val="auto"/>
        </w:rPr>
        <w:t>”) and basis adjustments under Section 743(b) of the Code as soon as practicable and in all events within 60 days following the close of such taxable year (and use commercially reasonable efforts to provide estimates of such information within 90 days of the applicable Exchanges). Within thirty (30) days following the Exchange Date, the Company shall deliver a notification to the Partnership in accordance with Treasury Regulations Section 1.743-1(k)(2).</w:t>
      </w:r>
    </w:p>
    <w:p>
      <w:pPr>
        <w:spacing w:after="0" w:line="18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and the Partnership shall be entitled to deduct and withhold from any payments made to a Partnership Unitholder pursuant to any Exchange consummated under this Agreement all Taxes that each of the Company and the Partnership is required to deduct and withhold with respect to such payments under the Code and any other provision of applicable law (including, without limitation, under Section 1445 and Section 1446(f) of the Code). In connection with any Exchange, the Exchanging Partner shall, to the extent it is legally entitled to deliver such form, deliver to the Company or the Partnership, as applicable, a certificate, dated as of the Exchange Date, in a form reasonably acceptable to the Company certifying as to such Exchanging Partner’s taxpayer identification number and that such Exchanging Partner is a not a foreign person for purposes of Section 1445 and Section 1446(f) of the Code (which certificate may be an Internal Revenue Service Form W-9 if then sufficient for such purposes under applicable law) (such certificate, a “</w:t>
      </w:r>
      <w:r>
        <w:rPr>
          <w:rFonts w:ascii="Times New Roman" w:cs="Times New Roman" w:eastAsia="Times New Roman" w:hAnsi="Times New Roman"/>
          <w:sz w:val="18"/>
          <w:szCs w:val="18"/>
          <w:b w:val="1"/>
          <w:bCs w:val="1"/>
          <w:i w:val="1"/>
          <w:iCs w:val="1"/>
          <w:color w:val="auto"/>
        </w:rPr>
        <w:t>Non-Foreign Person Certificate</w:t>
      </w:r>
      <w:r>
        <w:rPr>
          <w:rFonts w:ascii="Times New Roman" w:cs="Times New Roman" w:eastAsia="Times New Roman" w:hAnsi="Times New Roman"/>
          <w:sz w:val="18"/>
          <w:szCs w:val="18"/>
          <w:color w:val="auto"/>
        </w:rPr>
        <w:t>”). If an Exchanging Partner is unable to provide a Non-Foreign Person Certificate in connection with an Exchange, then (i) the Partnership shall provide a certificate substantially in the form described in Treasury Regulations Section 1.1446(f)-2(c)(2)(ii)(C) setting forth the liabilities of the Partnership allocated to the Exchanged Units subject to the Exchange under Section 752 of the Code or (ii) each of the Exchanging Partner and the Partnership shall, to the extent it is legally entitled to do so, deliver such other certificate reasonably acceptable to the Company to permit the Partnership and the Company to comply with Sections 1445 and 1446(f), and the Company or the Partnership, as and to the extent applicable, shall be permitted to deduct and withhold on the amount realized by such Exchanging Partner in respect of such Exchange if and as provided in Section 1446(f) of the Code and Treasury Regulations thereunder. The Company or the Partnership, as applicable, may at their sole discretion reduce the Class A Common Shares issued to a Partnership Unitholder in an Exchange in an amount that corresponds to the amount of the required withholding described in the immediately preceding sentence. All amounts so deducted and withheld shall be treated for all purposes of this Agreement as having been paid to such Partnership Unitholder in respect of which such deduction or withholding was made.</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 any of the provisions of this Agreement were not performed in accordance with their specific terms or were otherwise breached. It is accordingly agreed that such parties shall be entitled to specific performance of the terms and provisions hereof, in addition to any other remedy to which they are entitled at law or in equity.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04" w:name="page105"/>
    <w:bookmarkEnd w:id="10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Independent Nature of the Partnership Unitholders’ Rights and Obligations</w:t>
      </w:r>
      <w:r>
        <w:rPr>
          <w:rFonts w:ascii="Times New Roman" w:cs="Times New Roman" w:eastAsia="Times New Roman" w:hAnsi="Times New Roman"/>
          <w:sz w:val="18"/>
          <w:szCs w:val="18"/>
          <w:color w:val="auto"/>
        </w:rPr>
        <w:t>. The obligations of each Partnership Unitholder hereunder are several and not joint with the obligations of any other Partnership Unitholder, and no Partnership Unitholder shall be responsible in any way for the performance of the obligations of any other Partnership Unitholder hereunder. The decision of each Partnership Unitholder to enter into this Agreement has been made by such Partnership Unitholder independently of any other Partnership Unitholder. Nothing contained herein, and no action taken by any Partnership Unitholder pursuant hereto, shall be deemed to constitute the Partnership Unitholders as a partnership, an association, a joint venture or any other kind of entity, or create a presumption that the Partnership Unitholders are in any way acting in concert or as a group with respect to such obligations or the transactions contemplated hereby. The Company acknowledges that the Partnership Unitholders are not acting in concert or as a group, and the Company will not assert any such claim, with respect to such obligations or the transactions contemplated hereby.</w:t>
      </w:r>
    </w:p>
    <w:p>
      <w:pPr>
        <w:spacing w:after="0" w:line="19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 of the State of Delaware, without regards to its principles of conflicts of laws.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all as of the date first set forth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Timothy A. Bertram</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1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70"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all as of the date first set forth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PROKIDNEY LP</w:t>
      </w:r>
      <w:r>
        <w:rPr>
          <w:rFonts w:ascii="Times New Roman" w:cs="Times New Roman" w:eastAsia="Times New Roman" w:hAnsi="Times New Roman"/>
          <w:sz w:val="18"/>
          <w:szCs w:val="18"/>
          <w:color w:val="auto"/>
        </w:rPr>
        <w:t xml:space="preserve"> by its general</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partner, </w:t>
      </w:r>
      <w:r>
        <w:rPr>
          <w:rFonts w:ascii="Times New Roman" w:cs="Times New Roman" w:eastAsia="Times New Roman" w:hAnsi="Times New Roman"/>
          <w:sz w:val="18"/>
          <w:szCs w:val="18"/>
          <w:b w:val="1"/>
          <w:bCs w:val="1"/>
          <w:color w:val="auto"/>
        </w:rPr>
        <w:t>PROKIDNEY CORP. GP LIMITED</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70"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all as of the date first set forth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PARTNERSHIP UNITHOLDERS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TOLERANTIA,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CONTROL EMPRESARIAL DE CAPITALES, S.A. DE</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C.V.</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Armando Ibañez Vázquez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Armando Ibañez Vázquez</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PROKIDNEY MANAGEMENT EQUITY LLC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Tolerantia, LLC, its manager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70" w:right="47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ProKidney Corp. GP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Sir John Rogerson’s Quay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Tim Bertram, Director</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Tim.Bertram@prokidney.com</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Reference is hereby made to the Exchange Agreement, dated as of July 11, 2022 (as amended from time to time,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among ProKidney Corp., a Cayman Islands exempted company limited by shares (formerly known as Social Capital Suvretta Holdings Corp. III)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ProKidney LP, a limited partnership organized under the laws of Ireland (together with any successor thereto,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acting through its general partner ProKidney Corp. GP Limited, and the Partnership Unitholders from time to time party thereto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Capitalized terms used but not defined herein shall have the meanings given to them in the Exchange Agreement.</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undersigned Holder hereby transfers the number of Paired Interests set forth below in Exchange for the Stock Exchange Payment to be issued in its name as set forth below, or the Cash Exchange Payment, as applicable, as set forth in the Exchange Agreement.</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undersigned Holder agrees and acknowledges that as set forth in the Exchange Agreement, the Class A Common Shares to be issued following completion of an Exchange may, in the sole discretion of the Company, be restricted and/or legended securities under the Securities Act, the regulations promulgated thereunder or any other applicable federal or state securities laws, which may not be sold or transferred without a registration statement filed under the Securities Act or an applicable exemption from the registration requirements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17145</wp:posOffset>
            </wp:positionV>
            <wp:extent cx="58032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6497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Paired Interests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14605</wp:posOffset>
            </wp:positionV>
            <wp:extent cx="46805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Brokerage Account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14605</wp:posOffset>
            </wp:positionV>
            <wp:extent cx="5520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1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undersigned hereby represents and warrants that (i) the undersigned has full legal capacity to execute and deliver this Exchange Notice and to perform the undersigned’s obligations hereunder; (ii) this Exchange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Paired Interests subject to this Exchange Notice are being transferred to the Company or the Partnership, as applicable, free and clear of any pledge, lien, security interest, encumbrance, equities or claim; and (iv) no consent, approval, authorization, order, registration or qualification of any third party or with any court or governmental agency or body having jurisdiction over the undersigned or the Paired Interests subject to this Exchange Notice is required to be obtained by the undersigned for the transfer of such Paired Interests to the Company or the Partnership, as applicable.</w:t>
      </w:r>
    </w:p>
    <w:p>
      <w:pPr>
        <w:sectPr>
          <w:pgSz w:w="11900" w:h="16838" w:orient="portrait"/>
          <w:cols w:equalWidth="0" w:num="1">
            <w:col w:w="11000"/>
          </w:cols>
          <w:pgMar w:left="440" w:top="266" w:right="459" w:bottom="1440" w:gutter="0" w:footer="0" w:header="0"/>
        </w:sectPr>
      </w:pPr>
    </w:p>
    <w:bookmarkStart w:id="109" w:name="page110"/>
    <w:bookmarkEnd w:id="10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irrevocably constitutes and appoints any officer of the Company or any director or officer of the General Partner as the attorney of the undersigned, with full power of substitution and resubstitution in the premises, to do any and all things and to take any and all actions that may be necessary to transfer to the Company or the Partnership, as applicable, the Paired Interests subject to this Exchange Notice and to deliver to the undersigned the Stock Exchange Payment or Cash Exchange Payment, as applicable, to be delivered in exchange therefor.</w:t>
      </w:r>
    </w:p>
    <w:p>
      <w:pPr>
        <w:sectPr>
          <w:pgSz w:w="11900" w:h="16838" w:orient="portrait"/>
          <w:cols w:equalWidth="0" w:num="1">
            <w:col w:w="10920"/>
          </w:cols>
          <w:pgMar w:left="440" w:top="270" w:right="539" w:bottom="1440" w:gutter="0" w:footer="0" w:header="0"/>
        </w:sectPr>
      </w:pPr>
    </w:p>
    <w:bookmarkStart w:id="110" w:name="page111"/>
    <w:bookmarkEnd w:id="11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by authority duly given, has caused this Exchange Notice to be executed and delivered by the undersigned or by its duly authorized attorney.</w:t>
      </w: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5715</wp:posOffset>
            </wp:positionV>
            <wp:extent cx="23145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ectPr>
          <w:pgSz w:w="11900" w:h="16838" w:orient="portrait"/>
          <w:cols w:equalWidth="0" w:num="1">
            <w:col w:w="10380"/>
          </w:cols>
          <w:pgMar w:left="440" w:top="270" w:right="107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Joinder Agreement (“</w:t>
      </w:r>
      <w:r>
        <w:rPr>
          <w:rFonts w:ascii="Times New Roman" w:cs="Times New Roman" w:eastAsia="Times New Roman" w:hAnsi="Times New Roman"/>
          <w:sz w:val="18"/>
          <w:szCs w:val="18"/>
          <w:b w:val="1"/>
          <w:bCs w:val="1"/>
          <w:i w:val="1"/>
          <w:iCs w:val="1"/>
          <w:color w:val="auto"/>
        </w:rPr>
        <w:t>Joinder Agreement</w:t>
      </w:r>
      <w:r>
        <w:rPr>
          <w:rFonts w:ascii="Times New Roman" w:cs="Times New Roman" w:eastAsia="Times New Roman" w:hAnsi="Times New Roman"/>
          <w:sz w:val="18"/>
          <w:szCs w:val="18"/>
          <w:color w:val="auto"/>
        </w:rPr>
        <w:t>”) is a joinder to the Exchange Agreement, dated as of July 11, 2022 (as amended from time to time,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among ProKidney Corp., a Cayman Islands exempted company limited by shares (formerly known as Social Capital Suvretta Holdings Corp. III)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ProKidney LP, a limited partnership organized under the laws of Ireland (together with any successor thereto,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acting through its general partner ProKidney Corp. GP Limited, and each of the Partnership Unitholders from time to time party thereto.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undersigned hereby joins and enters into the Exchange Agreement having acquired Common Units in the Partnership. By signing and returning this Joinder Agreement to the Company, the undersigned accepts and agrees to be bound by and subject to all of the terms and conditions of and agreements of a Partnership Unitholder contained in the Exchange Agreement, with all attendant rights, duties and obligations of a Partnership Unitholder thereunder. The parties to the Exchange Agreement shall treat the execution and delivery hereof by the undersigned as the execution and delivery of the Exchange Agreement by the undersigned and, upon receipt of this Joinder Agreement by the Company and by Partnership, the signature of the undersigned set forth below shall constitute a counterpart signature to the signature page of the Exchange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34277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34277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8566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34848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266065</wp:posOffset>
            </wp:positionV>
            <wp:extent cx="12280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403225</wp:posOffset>
            </wp:positionV>
            <wp:extent cx="34848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12280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677545</wp:posOffset>
            </wp:positionV>
            <wp:extent cx="34848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484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814705</wp:posOffset>
            </wp:positionV>
            <wp:extent cx="12280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-7620</wp:posOffset>
            </wp:positionV>
            <wp:extent cx="3399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3991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6858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34848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266065</wp:posOffset>
            </wp:positionV>
            <wp:extent cx="12280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403225</wp:posOffset>
            </wp:positionV>
            <wp:extent cx="34848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3484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12280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677545</wp:posOffset>
            </wp:positionV>
            <wp:extent cx="34848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3484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814705</wp:posOffset>
            </wp:positionV>
            <wp:extent cx="12280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LOCK-UP AGREEMENT</w:t>
      </w:r>
    </w:p>
    <w:p>
      <w:pPr>
        <w:spacing w:after="0" w:line="22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July 11, 2022, by and between ProKidney Corp., a Cayman Islands exempted company limited by shares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(formerly known as Social Capital Suvretta Holdings Corp. III), and each of SCS Sponsor III LLC, a Cayman Islands limited liability company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the Persons set forth on Schedule 1 hereto (the “</w:t>
      </w:r>
      <w:r>
        <w:rPr>
          <w:rFonts w:ascii="Times New Roman" w:cs="Times New Roman" w:eastAsia="Times New Roman" w:hAnsi="Times New Roman"/>
          <w:sz w:val="18"/>
          <w:szCs w:val="18"/>
          <w:b w:val="1"/>
          <w:bCs w:val="1"/>
          <w:i w:val="1"/>
          <w:iCs w:val="1"/>
          <w:color w:val="auto"/>
        </w:rPr>
        <w:t>Sponsor Key Holders</w:t>
      </w:r>
      <w:r>
        <w:rPr>
          <w:rFonts w:ascii="Times New Roman" w:cs="Times New Roman" w:eastAsia="Times New Roman" w:hAnsi="Times New Roman"/>
          <w:sz w:val="18"/>
          <w:szCs w:val="18"/>
          <w:color w:val="auto"/>
        </w:rPr>
        <w:t>”) and certain equityholders of ProKidney LP, a limited partnership organized under the laws of Ireland (“</w:t>
      </w:r>
      <w:r>
        <w:rPr>
          <w:rFonts w:ascii="Times New Roman" w:cs="Times New Roman" w:eastAsia="Times New Roman" w:hAnsi="Times New Roman"/>
          <w:sz w:val="18"/>
          <w:szCs w:val="18"/>
          <w:b w:val="1"/>
          <w:bCs w:val="1"/>
          <w:i w:val="1"/>
          <w:iCs w:val="1"/>
          <w:color w:val="auto"/>
        </w:rPr>
        <w:t>ProKidney</w:t>
      </w:r>
      <w:r>
        <w:rPr>
          <w:rFonts w:ascii="Times New Roman" w:cs="Times New Roman" w:eastAsia="Times New Roman" w:hAnsi="Times New Roman"/>
          <w:sz w:val="18"/>
          <w:szCs w:val="18"/>
          <w:color w:val="auto"/>
        </w:rPr>
        <w:t>”), set forth on Schedule 2 hereto (such equityholders, the “</w:t>
      </w:r>
      <w:r>
        <w:rPr>
          <w:rFonts w:ascii="Times New Roman" w:cs="Times New Roman" w:eastAsia="Times New Roman" w:hAnsi="Times New Roman"/>
          <w:sz w:val="18"/>
          <w:szCs w:val="18"/>
          <w:b w:val="1"/>
          <w:bCs w:val="1"/>
          <w:i w:val="1"/>
          <w:iCs w:val="1"/>
          <w:color w:val="auto"/>
        </w:rPr>
        <w:t>ProKidney Holders</w:t>
      </w:r>
      <w:r>
        <w:rPr>
          <w:rFonts w:ascii="Times New Roman" w:cs="Times New Roman" w:eastAsia="Times New Roman" w:hAnsi="Times New Roman"/>
          <w:sz w:val="18"/>
          <w:szCs w:val="18"/>
          <w:color w:val="auto"/>
        </w:rPr>
        <w:t>”). The Sponsor, the Sponsor Key Holders, the ProKidney Holders and any Person who hereafter becomes a party to this Agreement pursuant to Section 2 are referred to herein, individually, as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but not otherwise defined in this Agreement shall have the meanings ascribed to such terms in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Agreement, dated as of January 18, 2022 (as it may be amended or supplemented from time to time,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ProKidney; and</w:t>
      </w:r>
    </w:p>
    <w:p>
      <w:pPr>
        <w:spacing w:after="0" w:line="171"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Business Combination Agreement, and in view of the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to be received by the parties thereunder, the Company and each of the Holders desire to enter into this Agreement, pursuant to which the Holders’ Lock-Up Shares shall become subject to limitations on Transfer as set forth herein.</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set forth above, which are incorporated in this Agreement as if fully set forth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the Company hereby agrees with each of the Holders as follows:</w:t>
      </w:r>
    </w:p>
    <w:p>
      <w:pPr>
        <w:spacing w:after="0" w:line="159" w:lineRule="exact"/>
        <w:rPr>
          <w:sz w:val="20"/>
          <w:szCs w:val="20"/>
          <w:color w:val="auto"/>
        </w:rPr>
      </w:pPr>
    </w:p>
    <w:p>
      <w:pPr>
        <w:ind w:left="620" w:hanging="184"/>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defined in this Section 1 shall, for all purposes of this Agreement, have the respective meanings set forth below:</w:t>
      </w:r>
    </w:p>
    <w:p>
      <w:pPr>
        <w:spacing w:after="0" w:line="221" w:lineRule="exact"/>
        <w:rPr>
          <w:rFonts w:ascii="Times New Roman" w:cs="Times New Roman" w:eastAsia="Times New Roman" w:hAnsi="Times New Roman"/>
          <w:sz w:val="18"/>
          <w:szCs w:val="18"/>
          <w:color w:val="auto"/>
        </w:rPr>
      </w:pPr>
    </w:p>
    <w:p>
      <w:pPr>
        <w:ind w:right="360" w:firstLine="987"/>
        <w:spacing w:after="0" w:line="286" w:lineRule="auto"/>
        <w:tabs>
          <w:tab w:leader="none" w:pos="12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shall mean the shares of Acquiror Common Stock or New Company Common Units, if any, issued pursuant to Section 2.5 of the Business Combination Agreement.</w:t>
      </w:r>
    </w:p>
    <w:p>
      <w:pPr>
        <w:spacing w:after="0" w:line="154" w:lineRule="exact"/>
        <w:rPr>
          <w:rFonts w:ascii="Times New Roman" w:cs="Times New Roman" w:eastAsia="Times New Roman" w:hAnsi="Times New Roman"/>
          <w:sz w:val="18"/>
          <w:szCs w:val="18"/>
          <w:color w:val="auto"/>
        </w:rPr>
      </w:pPr>
    </w:p>
    <w:p>
      <w:pPr>
        <w:ind w:right="60" w:firstLine="987"/>
        <w:spacing w:after="0" w:line="255" w:lineRule="auto"/>
        <w:tabs>
          <w:tab w:leader="none" w:pos="124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shall mean, except with respect to the Earn-Out Shares, the period beginning on the Closing Date and ending on the earlier of (i) the date that is 180 days after the Closing Date and (ii) (A) in the case of the Private Placement Shares (as defined in the Insider Letters (as defined below)), the last day of the Private Placement Shares Lock-Up Period (as defined in the Insider Letters) and (B) in the case of Lock-Up Shares other than the Private Placement Shares, (I) for 33% of the Lock-Up Shares (other than the Private Placement Shares and the Earn-Out Shares) held by the Holders and their respective Permitted Transferees, the date on which the last reported sale price of Acquiror Class A Common Stock equals or exceeds $12.50 per share (as adjusted for stock splits, stock dividends, reorganizations, recapitalizations and the like) for any twenty (20) trading days within any thirty (30)-trading day period commencing at least thirty (30) days after the Closing Date and (II) for an additional 50% of the Lock-Up Shares (other than the Private Placement Shares and the Earn-Out Shares) held by the</w:t>
      </w:r>
    </w:p>
    <w:p>
      <w:pPr>
        <w:sectPr>
          <w:pgSz w:w="11900" w:h="16838" w:orient="portrait"/>
          <w:cols w:equalWidth="0" w:num="1">
            <w:col w:w="11020"/>
          </w:cols>
          <w:pgMar w:left="440" w:top="117"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and their respective Permitted Transferees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clauses (I) plus (II) totaling an aggregate of 83% of the Lock-Up Shares (other than the Private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Shares and the Earn-Out Shares) held by the Holders and their respective Permitted Transferees), the date on which the last reported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Acquiror Class A Common Stock equals or exceeds $15.00 per share (as adjusted for stock splits, stock dividends, reorganizations,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recapitalizations and the like) for any twenty (20) trading days within any thirty (30)-trading day period commencing at least thirty (30) days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notwithstanding anything to the contrary in the foregoing, in the case of any Lock-Up Shares held by a ProKidney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 affiliate of a ProKidney Holder, solely with respect to fifty percent (50%) of such ProKidney Holder or such affiliate’s Lock-Up Shares, the earlier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 four (4) years following the Closing Date and (ii) the date that the Company shall have received notice of any regulatory market authorization,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full or conditional authorization, to market its lead product candidate, Renal Autologous Cell Therapy (it being understood and agreed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this proviso, such number of Lock-Up Shares shall be based solely on the calculation of such holder’s Lock-Up Shares as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such Lock-Up Period shall not in any case end earlier than 180 days after the Closing Date). With respect to each Earn-Out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shall mean the period beginning on the date on which such Earn-Out Share is issued in accordance with the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(if any) and ending 180 days after such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case of any Earn-Out Shares held by a ProKidney Holder or an affiliate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ProKidney Holder, solely with respect to fifty percent (50%) of such ProKidney Holder or such affiliate’s Earn-Out Shares, the earlier of (i) four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following the Closing Date and (ii) the date that the Company shall have received notice of any regulatory market authorization, including full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conditional authorization, to market its lead product candidate, Renal Autologous Cell Therapy (it being understood and agreed that, with respect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proviso, such Lock-Up Period shall not in any case end earlier than 180 days after the date on which such Earn-Out Shares are issued in accordance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Agreement).</w:t>
      </w:r>
    </w:p>
    <w:p>
      <w:pPr>
        <w:spacing w:after="0" w:line="203" w:lineRule="exact"/>
        <w:rPr>
          <w:sz w:val="20"/>
          <w:szCs w:val="20"/>
          <w:color w:val="auto"/>
        </w:rPr>
      </w:pPr>
    </w:p>
    <w:p>
      <w:pPr>
        <w:ind w:right="180" w:firstLine="987"/>
        <w:spacing w:after="0" w:line="255"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shall mean with respect to (i) Sponsor, the Sponsor Key Holders and their respective Permitted Transferees, the shares of Acquiror Common Stock held by the such Person immediately following the Closing (other than the PIPE Shares or shares of Acquiror Common Stock acquired in the public market) and (ii) the ProKidney Holders and their respective Permitted Transferees, (A) the shares of Acquiror Common Stock, New Company Common Units and other equity interests (including profits interests) of ProKidney held by such Person immediately following the Closing, including any PIPE Shares, but excluding any shares of Acquiror Common Stock acquired in the public market, (B) shares of Acquiror Common Stock, New Company Common Units or other equity interests of ProKidney issued upon settlement or exercise of profits interests, restricted stock units, stock options or other equity awards of the Company, ProKidney or their respective subsidiaries outstanding as of immediately following the Closing and (C) the Earn-Out Shares.</w:t>
      </w:r>
    </w:p>
    <w:p>
      <w:pPr>
        <w:spacing w:after="0" w:line="184" w:lineRule="exact"/>
        <w:rPr>
          <w:rFonts w:ascii="Times New Roman" w:cs="Times New Roman" w:eastAsia="Times New Roman" w:hAnsi="Times New Roman"/>
          <w:sz w:val="18"/>
          <w:szCs w:val="18"/>
          <w:color w:val="auto"/>
        </w:rPr>
      </w:pPr>
    </w:p>
    <w:p>
      <w:pPr>
        <w:ind w:right="40" w:firstLine="987"/>
        <w:spacing w:after="0" w:line="286"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shall mean any Person to whom a Holder is permitted to transfer Lock-Up Shares prior to the expiration of the Lock-Up Period pursuant to Section 2(b).</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PIPE Shares</w:t>
      </w:r>
      <w:r>
        <w:rPr>
          <w:rFonts w:ascii="Times New Roman" w:cs="Times New Roman" w:eastAsia="Times New Roman" w:hAnsi="Times New Roman"/>
          <w:sz w:val="18"/>
          <w:szCs w:val="18"/>
          <w:color w:val="auto"/>
        </w:rPr>
        <w:t>” shall mean shares of Acquiror Common Stock purchased in the PIPE Investment.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4" w:name="page115"/>
    <w:bookmarkEnd w:id="114"/>
    <w:p>
      <w:pPr>
        <w:ind w:left="-40" w:right="160" w:firstLine="987"/>
        <w:spacing w:after="0" w:line="257" w:lineRule="auto"/>
        <w:tabs>
          <w:tab w:leader="none" w:pos="117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(i) sale or assignment of, offer to sell, contract or agreement to sell, hypothecation, pledge, grant of any option to purchase or other disposal of or agreement to dispose of, directly or indirectly, or establishment or increase of a put equivalent position or liquidation or decrease of a call equivalent position within the meaning of Section 16 of the Exchange Act with respect to, any security, (ii) entry into any swap or other arrangement that transfers to another Person,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spacing w:after="0" w:line="186"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460" w:firstLine="987"/>
        <w:spacing w:after="0" w:line="282" w:lineRule="auto"/>
        <w:tabs>
          <w:tab w:leader="none" w:pos="119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2(b), each Holder agrees that it shall not Transfer any Lock-Up Shares until the end of the applicable Lock-Up Period with respect to such Lock-Up Shares.</w:t>
      </w:r>
    </w:p>
    <w:p>
      <w:pPr>
        <w:spacing w:after="0" w:line="161" w:lineRule="exact"/>
        <w:rPr>
          <w:rFonts w:ascii="Times New Roman" w:cs="Times New Roman" w:eastAsia="Times New Roman" w:hAnsi="Times New Roman"/>
          <w:sz w:val="18"/>
          <w:szCs w:val="18"/>
          <w:color w:val="auto"/>
        </w:rPr>
      </w:pPr>
    </w:p>
    <w:p>
      <w:pPr>
        <w:ind w:left="-40" w:firstLine="987"/>
        <w:spacing w:after="0" w:line="252" w:lineRule="auto"/>
        <w:tabs>
          <w:tab w:leader="none" w:pos="120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set forth in Section 2(a), each Holder or its respective Permitted Transferees may Transfer the Lock-Up Shares during the Lock-Up Period (i) to (A) the Company’s or ProKidney’s officers or directors, (B) any affiliates or family members of the Company’s or ProKidney’s officers or directors, (C) any direct or indirect partners, members or equity holders of the Sponsor or Sponsor Key Holders, any affiliates of the Sponsor or the Sponsor Key Holders or any related investment funds or vehicles controlled or managed by such Persons or their respective affiliates, or (D) the ProKidney Holders or any direct or indirect partners, members or equity holders of the ProKidney Holders, any affiliates of the ProKidney Holders or any related investment funds or vehicles controlled or managed by such Persons or their respective affiliates; (ii) in the case of an individual, by gift to a member of such individual’s immediate family or to a trust, the beneficiary of which is such individual or a member of such individual’s immediate family or an affiliate of such Person, or to a charitable organization; (iii) in the case of an individual, by virtue of laws of descent and distribution upon death of such individual; (iv) in the case of an individual, pursuant to a qualified domestic relations order, divorce settlement, divorce decree or separation agreement; (v) to a nominee or custodian of a Person to whom a Transfer would be permitted under clauses (i) through (iv) above; (vi) to the partners, members or equityholders of such Holder by virtue of the Sponsor’s organizational documents, as amended; (vii) in connection with a pledge of shares of Acquiror Class A Common Stock, shares of Acquiror Class B Common Stock or New Company Common Units, or any other securities convertible into or exercisable or exchangeable for shares of Class A Common Stock, shares of Acquiror Class B Common Stock or New Company Common Units, to a financial institution, including the enforcement of any such pledge by a financial institution; (viii) to the Company or ProKidney; (ix) as forfeitures of shares of Acquiror Common Stock pursuant to a “net” or “cashless” exercise of stock options; (x) as forfeitures of shares of Acquiror Common Stock or New Company Common Units to satisfy tax withholding requirements upon the vesting of equity-based awards granted pursuant to an equity incentive plan; (xi) in connection with a liquidation, merger, stock exchange, reorganization, tender offer approved by the Board of Directors of the Company or a duly authorized committee thereof or other similar transaction which results in all of the Company’s stockholders having the right to exchange their shares of Acquiror Common Stock for cash, securities or other property subsequent to the Closing Date; (xii) pursuant to an exchange of New Company Common Units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266" w:right="479" w:bottom="1440" w:gutter="0" w:footer="0" w:header="0"/>
        </w:sectPr>
      </w:pPr>
    </w:p>
    <w:bookmarkStart w:id="115" w:name="page116"/>
    <w:bookmarkEnd w:id="115"/>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shares of Acquiror Common Stock pursuant to the Exchange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shares of Acquiror Common Stock for which New Company Common Units are exchanged pursuant to this clause (xii) shall continue to be Lock-Up Shares for the duration of the applicable Lock-Up Period); or (xiii) in connection with any legal, regulatory or other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(i) through (vi), such Permitted Transferees must enter into a written agreement with the Company agreeing to be bound by the transfer restrictions in this Section 2.</w:t>
      </w:r>
    </w:p>
    <w:p>
      <w:pPr>
        <w:spacing w:after="0" w:line="180" w:lineRule="exact"/>
        <w:rPr>
          <w:sz w:val="20"/>
          <w:szCs w:val="20"/>
          <w:color w:val="auto"/>
        </w:rPr>
      </w:pPr>
    </w:p>
    <w:p>
      <w:pPr>
        <w:ind w:right="400" w:firstLine="987"/>
        <w:spacing w:after="0" w:line="282" w:lineRule="auto"/>
        <w:tabs>
          <w:tab w:leader="none" w:pos="123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enforce this Section 2, the Company and ProKidney may impose stop-transfer instructions with respect to the Lock-Up Shares until the end of the Lock-Up Period.</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each Holder shall retain all of its rights as a stockholder of the Company or equityholder of ProKidney, as applicable, with respect to the Lock-Up Shares during the Lock-Up Period, including the right to vote any Lock-Up Shares that such Holder is entitled to vote.</w:t>
      </w:r>
    </w:p>
    <w:p>
      <w:pPr>
        <w:spacing w:after="0" w:line="171"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is granted a release or waiver from any lock-up agreement (such holder a “</w:t>
      </w:r>
      <w:r>
        <w:rPr>
          <w:rFonts w:ascii="Times New Roman" w:cs="Times New Roman" w:eastAsia="Times New Roman" w:hAnsi="Times New Roman"/>
          <w:sz w:val="18"/>
          <w:szCs w:val="18"/>
          <w:b w:val="1"/>
          <w:bCs w:val="1"/>
          <w:i w:val="1"/>
          <w:iCs w:val="1"/>
          <w:color w:val="auto"/>
        </w:rPr>
        <w:t>Triggering Holder</w:t>
      </w:r>
      <w:r>
        <w:rPr>
          <w:rFonts w:ascii="Times New Roman" w:cs="Times New Roman" w:eastAsia="Times New Roman" w:hAnsi="Times New Roman"/>
          <w:sz w:val="18"/>
          <w:szCs w:val="18"/>
          <w:color w:val="auto"/>
        </w:rPr>
        <w:t xml:space="preserve">”) executed in connection with the Closing prior to the expiration of the Lock-Up Period, then the undersigned shall also be granted an early release from its obligations hereunder on the same terms and on a pro-rata basis with respect to such number of Lock-Up Shares rounded down to the nearest whole Lock-Up Share equal to the product of (i) the total percentage of Lock-Up Shares held by the Triggering Holder immediately following the consummation of the Closing that are being released from the lock-up agreement multiplied by (ii) the total number of Lock-Up Shares held by the undersigned immediately following the consummation of the Closing;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foregoing shall not be applicable with respect to a release or waiver of any Holder that holds less than an aggregate of 100,000 New Company Common Units.</w:t>
      </w:r>
    </w:p>
    <w:p>
      <w:pPr>
        <w:spacing w:after="0" w:line="186" w:lineRule="exact"/>
        <w:rPr>
          <w:rFonts w:ascii="Times New Roman" w:cs="Times New Roman" w:eastAsia="Times New Roman" w:hAnsi="Times New Roman"/>
          <w:sz w:val="18"/>
          <w:szCs w:val="18"/>
          <w:color w:val="auto"/>
        </w:rPr>
      </w:pPr>
    </w:p>
    <w:p>
      <w:pPr>
        <w:ind w:right="80" w:firstLine="987"/>
        <w:spacing w:after="0" w:line="261" w:lineRule="auto"/>
        <w:tabs>
          <w:tab w:leader="none" w:pos="121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provisions in this Section 2 shall supersede the lock-up provisions contained in Sections 7(a) and 7(b) of that certain letter agreement dated as of June 29, 2021 and that certain letter agreement dated as of September 24, 2021, in each case by and among the Company, the Sponsor and certain of the Company’s current and former officers and directors (collectively, the “</w:t>
      </w:r>
      <w:r>
        <w:rPr>
          <w:rFonts w:ascii="Times New Roman" w:cs="Times New Roman" w:eastAsia="Times New Roman" w:hAnsi="Times New Roman"/>
          <w:sz w:val="18"/>
          <w:szCs w:val="18"/>
          <w:b w:val="1"/>
          <w:bCs w:val="1"/>
          <w:i w:val="1"/>
          <w:iCs w:val="1"/>
          <w:color w:val="auto"/>
        </w:rPr>
        <w:t>Insider Letters</w:t>
      </w:r>
      <w:r>
        <w:rPr>
          <w:rFonts w:ascii="Times New Roman" w:cs="Times New Roman" w:eastAsia="Times New Roman" w:hAnsi="Times New Roman"/>
          <w:sz w:val="18"/>
          <w:szCs w:val="18"/>
          <w:color w:val="auto"/>
        </w:rPr>
        <w:t>”) and which provisions in Sections 7(a) and 7(b) of the Insider Letters shall be of no further force or effect.</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governed by and construed in accordance with the internal laws of the State of Delaware applicable to agreements executed and performed entirely within such State.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6" w:name="page117"/>
    <w:bookmarkEnd w:id="116"/>
    <w:p>
      <w:pPr>
        <w:ind w:left="-40" w:firstLine="987"/>
        <w:spacing w:after="0" w:line="269" w:lineRule="auto"/>
        <w:tabs>
          <w:tab w:leader="none" w:pos="120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Jurisdiction and Service of Process</w:t>
      </w:r>
      <w:r>
        <w:rPr>
          <w:rFonts w:ascii="Times New Roman" w:cs="Times New Roman" w:eastAsia="Times New Roman" w:hAnsi="Times New Roman"/>
          <w:sz w:val="17"/>
          <w:szCs w:val="17"/>
          <w:color w:val="auto"/>
        </w:rPr>
        <w:t>. ANY PROCEEDING OR ACTION BASED UPON, ARISING OUT OF OR RELATED TO THIS AGREEMENT OR THE TRANSACTIONS CONTEMPLATED HEREBY MUST BE BROUGHT IN THE COURT OF CHANCERY OF THE STATE OF DELAWARE (OR, ONLY TO THE EXTENT SUCH COURT DOES NOT HAVE SUBJECT MATTER JURISDICTION, THE SUPERIOR COURT OF THE STATE OF DELAWARE OR, IF IT HAS OR CAN ACQUIRE JURISDICTION, IN THE UNITED STATES DISTRICT COURT FOR THE DISTRICT OF DELAWARE), AND EACH OF THE PARTIES IRREVOCABLY AND UNCONDITIONALLY (I) CONSENTS AND SUBMITS TO THE EXCLUSIVE JURISDICTION OF EACH SUCH COURT IN ANY SUCH PROCEEDING OR ACTION, (II) WAIVES ANY OBJECTION IT MAY NOW OR HEREAFTER HAVE TO PERSONAL JURISDICTION, VENUE OR TO CONVENIENCE OF FORUM, (III) AGREES THAT ALL CLAIMS IN RESPECT OF SUCH PROCEEDING OR ACTION SHALL BE HEARD AND DETERMINED ONLY IN ANY SUCH COURT AND (IV) AGREES NOT TO BRING ANY PROCEEDING OR ACTION ARISING OUT OF OR RELATING TO THIS AGREEMENT OR THE TRANSACTIONS CONTEMPLATED HEREBY IN ANY OTHER COURT. SERVICE OF PROCESS WITH RESPECT THERETO MAY BE MADE UPON ANY PARTY TO THIS AGREEMENT BY MAILING A COPY THEREOF BY REGISTERED OR CERTIFIED MAIL, POSTAGE PREPAID, TO SUCH PARTY AT ITS ADDRESS AS PROVIDED IN SECTION 3(h), WITHOUT LIMITING THE RIGHT OF A PARTY TO SERVE PROCESS IN ANY OTHER MATTER PERMITTED BY APPLICABLE LAWS.</w:t>
      </w:r>
    </w:p>
    <w:p>
      <w:pPr>
        <w:spacing w:after="0" w:line="175" w:lineRule="exact"/>
        <w:rPr>
          <w:rFonts w:ascii="Times New Roman" w:cs="Times New Roman" w:eastAsia="Times New Roman" w:hAnsi="Times New Roman"/>
          <w:sz w:val="17"/>
          <w:szCs w:val="17"/>
          <w:color w:val="auto"/>
        </w:rPr>
      </w:pPr>
    </w:p>
    <w:p>
      <w:pPr>
        <w:ind w:left="-40" w:right="40" w:firstLine="987"/>
        <w:spacing w:after="0" w:line="253" w:lineRule="auto"/>
        <w:tabs>
          <w:tab w:leader="none" w:pos="11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SECTION 3(c).</w:t>
      </w:r>
    </w:p>
    <w:p>
      <w:pPr>
        <w:spacing w:after="0" w:line="194" w:lineRule="exact"/>
        <w:rPr>
          <w:rFonts w:ascii="Times New Roman" w:cs="Times New Roman" w:eastAsia="Times New Roman" w:hAnsi="Times New Roman"/>
          <w:sz w:val="18"/>
          <w:szCs w:val="18"/>
          <w:color w:val="auto"/>
        </w:rPr>
      </w:pPr>
    </w:p>
    <w:p>
      <w:pPr>
        <w:jc w:val="both"/>
        <w:ind w:left="-40" w:right="40" w:firstLine="987"/>
        <w:spacing w:after="0" w:line="261" w:lineRule="auto"/>
        <w:tabs>
          <w:tab w:leader="none" w:pos="12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Third Parties</w:t>
      </w:r>
      <w:r>
        <w:rPr>
          <w:rFonts w:ascii="Times New Roman" w:cs="Times New Roman" w:eastAsia="Times New Roman" w:hAnsi="Times New Roman"/>
          <w:sz w:val="18"/>
          <w:szCs w:val="18"/>
          <w:color w:val="auto"/>
        </w:rPr>
        <w:t>. This Agreement and all of the provisions hereof will be binding upon and inure to the benefit of the parties hereto and their respective heirs, successors and permitted assigns. This Agreement and all obligations of a Holder are personal to such Holder and may not be transferred or delegated at any time. Nothing contained in this Agreement shall be construed to confer upon any person who is not a signatory hereto any rights or benefits, as a third party beneficiary or otherwise.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70" w:right="499" w:bottom="1440" w:gutter="0" w:footer="0" w:header="0"/>
        </w:sectPr>
      </w:pPr>
    </w:p>
    <w:bookmarkStart w:id="117" w:name="page118"/>
    <w:bookmarkEnd w:id="117"/>
    <w:p>
      <w:pPr>
        <w:ind w:left="-20" w:right="60" w:firstLine="987"/>
        <w:spacing w:after="0" w:line="255" w:lineRule="auto"/>
        <w:tabs>
          <w:tab w:leader="none" w:pos="12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Performance</w:t>
      </w:r>
      <w:r>
        <w:rPr>
          <w:rFonts w:ascii="Times New Roman" w:cs="Times New Roman" w:eastAsia="Times New Roman" w:hAnsi="Times New Roman"/>
          <w:sz w:val="18"/>
          <w:szCs w:val="18"/>
          <w:color w:val="auto"/>
        </w:rPr>
        <w:t>. Each Holder acknowledges that its obligations under this Agreement are unique, recognizes and affirms that in the event of a breach of this Agreement by such Holder, money damages will be inadequate and the Company will have no adequate remedy at law, and agrees that irreparable damage would occur in the event that any of the provisions of this Agreement were not performed by such Holder in accordance with their specific terms or were otherwise breached. Accordingly, the Company shall be entitled to an injunction or restraining order to prevent breaches of this Agreement by a Holder and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spacing w:after="0" w:line="188" w:lineRule="exact"/>
        <w:rPr>
          <w:rFonts w:ascii="Times New Roman" w:cs="Times New Roman" w:eastAsia="Times New Roman" w:hAnsi="Times New Roman"/>
          <w:sz w:val="18"/>
          <w:szCs w:val="18"/>
          <w:color w:val="auto"/>
        </w:rPr>
      </w:pPr>
    </w:p>
    <w:p>
      <w:pPr>
        <w:ind w:left="-20" w:firstLine="987"/>
        <w:spacing w:after="0" w:line="254" w:lineRule="auto"/>
        <w:tabs>
          <w:tab w:leader="none" w:pos="11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Upon (i) the approval of a majority of the total number of directors serving on the Board of Directors of the Company and (ii) the written consent of the Holders of a majority of the total Lock-Up Shares, compliance with any of the provisions, covenants and conditions set forth in this Agreement may be waived by the Company, or any of such provisions, covenants or conditions may be amended or modified, so long as no Holder is impacted disproportionately than any other Holder by such waiver, amendment or modification;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hereto or waiver hereof that adversely affects a Holder, solely in its capacity as a holder of Lock-Up Shares,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8" w:lineRule="exact"/>
        <w:rPr>
          <w:rFonts w:ascii="Times New Roman" w:cs="Times New Roman" w:eastAsia="Times New Roman" w:hAnsi="Times New Roman"/>
          <w:sz w:val="18"/>
          <w:szCs w:val="18"/>
          <w:color w:val="auto"/>
        </w:rPr>
      </w:pPr>
    </w:p>
    <w:p>
      <w:pPr>
        <w:ind w:left="-20" w:right="60" w:firstLine="987"/>
        <w:spacing w:after="0" w:line="253" w:lineRule="auto"/>
        <w:tabs>
          <w:tab w:leader="none" w:pos="12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in this Agreement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18" w:name="page119"/>
    <w:bookmarkEnd w:id="118"/>
    <w:p>
      <w:pPr>
        <w:ind w:right="80" w:firstLine="987"/>
        <w:spacing w:after="0" w:line="256"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and other communications among the parties hereto shall be in writing and shall be deemed to have been duly given (i) when delivered in person, (ii) when delivered after posting in the United States mail having been sent registered or certified mail return receipt requested, postage prepaid or (iii) when delivered by FedEx or other nationally recognized overnight delivery service, addressed, if to the Company, to: ProKidney Corp., 2000 Frontis Plaza Blvd, Suite 250, Winston-Salem, NC 27103, Attn: Investor Relations, email: elizabeth.goodwin@prokidney.com, with a copy, which shall not constitute notice, to Todd Girolamo, General Counsel, email: todd.girolamo@prokidney.com; and if to any Holder, at such Holder’s address or email address as set forth in the Company’s books and records.</w:t>
      </w:r>
    </w:p>
    <w:p>
      <w:pPr>
        <w:spacing w:after="0" w:line="187" w:lineRule="exact"/>
        <w:rPr>
          <w:rFonts w:ascii="Times New Roman" w:cs="Times New Roman" w:eastAsia="Times New Roman" w:hAnsi="Times New Roman"/>
          <w:sz w:val="18"/>
          <w:szCs w:val="18"/>
          <w:color w:val="auto"/>
        </w:rPr>
      </w:pPr>
    </w:p>
    <w:p>
      <w:pPr>
        <w:ind w:right="160" w:firstLine="987"/>
        <w:spacing w:after="0" w:line="266" w:lineRule="auto"/>
        <w:tabs>
          <w:tab w:leader="none" w:pos="1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75" w:lineRule="exact"/>
        <w:rPr>
          <w:rFonts w:ascii="Times New Roman" w:cs="Times New Roman" w:eastAsia="Times New Roman" w:hAnsi="Times New Roman"/>
          <w:sz w:val="18"/>
          <w:szCs w:val="18"/>
          <w:color w:val="auto"/>
        </w:rPr>
      </w:pPr>
    </w:p>
    <w:p>
      <w:pPr>
        <w:ind w:right="60" w:firstLine="987"/>
        <w:spacing w:after="0" w:line="258" w:lineRule="auto"/>
        <w:tabs>
          <w:tab w:leader="none" w:pos="1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full and entire understanding and agreement among the parties with respect to the subject matter hereof, and any other written or oral agreement relating to the subject matter hereof existing between the parties is expressly canceled. Notwithstanding the foregoing, nothing in this Agreement (other than Section 2(f)) shall limit any of the rights, remedies or obligations of the Company or any of the Holders under any other agreement between any of the Holders and the Company, and nothing in any other agreement, certificate or instrument shall limit any of the rights, remedies or obligations of any of the Holders or the Company under this Agreement.</w:t>
      </w:r>
    </w:p>
    <w:p>
      <w:pPr>
        <w:spacing w:after="0" w:line="183" w:lineRule="exact"/>
        <w:rPr>
          <w:rFonts w:ascii="Times New Roman" w:cs="Times New Roman" w:eastAsia="Times New Roman" w:hAnsi="Times New Roman"/>
          <w:sz w:val="18"/>
          <w:szCs w:val="18"/>
          <w:color w:val="auto"/>
        </w:rPr>
      </w:pPr>
    </w:p>
    <w:p>
      <w:pPr>
        <w:ind w:right="740" w:firstLine="987"/>
        <w:spacing w:after="0" w:line="282"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Several Liability</w:t>
      </w:r>
      <w:r>
        <w:rPr>
          <w:rFonts w:ascii="Times New Roman" w:cs="Times New Roman" w:eastAsia="Times New Roman" w:hAnsi="Times New Roman"/>
          <w:sz w:val="18"/>
          <w:szCs w:val="18"/>
          <w:color w:val="auto"/>
        </w:rPr>
        <w:t>: The liability of any Holder hereunder is several (and not joint). Notwithstanding any other provision of this Agreement, in no event will any Holder be liable for any other Holder’s breach of such other Holder’s obligations under this Agreement.</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undersigned hereby consents to receipt of this Agreement in electronic form and understands and agrees that this Agreement may be signed electronically. In the event that any signature is delivered by facsimile transmission, electronic mail or otherwise by electronic transmission evidencing an intent to sign this Agreement,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Lock-Up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Timothy A. Bertram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SCS SPONSOR III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Chamath Palihapitiya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482" w:right="1440"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8"/>
          <w:szCs w:val="18"/>
          <w:b w:val="1"/>
          <w:bCs w:val="1"/>
          <w:color w:val="auto"/>
        </w:rPr>
        <w:t>UMA SINHA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Uma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MARC SEMIGRAN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Marc Semigran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TOLERANTIA, LLC</w:t>
      </w:r>
    </w:p>
    <w:p>
      <w:pPr>
        <w:spacing w:after="0" w:line="229"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By: /s/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CONTROL EMPRESARIAL DE CAPITALES, S.A. DE</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C.V.</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Armando Ibañez Vázquez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Armando Ibañez Vázquez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13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960"/>
          </w:cols>
          <w:pgMar w:left="1440" w:top="266" w:right="49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PROKIDNEY MANAGEMENT EQUITY LLC</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Tolerantia, LLC, 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280"/>
          </w:cols>
          <w:pgMar w:left="1440" w:top="266" w:right="117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PABLO LEGORRETA</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TIM BERTRAM</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24765</wp:posOffset>
            </wp:positionV>
            <wp:extent cx="27946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7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JAMES COULSTON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DEEPAK JAIN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Deepak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ASHLEY JOHNS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Ashley Johns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JOE STAVAS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Joe Stavas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GAIL WARD</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Gail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DARIN WEBER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Darin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4" w:name="page135"/>
    <w:bookmarkEnd w:id="13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WILLIAM DOYLE</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William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ALAN LOTVIN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Alan Lotvin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6" w:name="page137"/>
    <w:bookmarkEnd w:id="13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BRIAN PEREIRA</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Brian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7" w:name="page138"/>
    <w:bookmarkEnd w:id="13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DEAN KAMEN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Dean Kamen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8" w:name="page139"/>
    <w:bookmarkEnd w:id="13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DEKAVERSE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Dean Kamen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Dean Kamen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39" w:name="page140"/>
    <w:bookmarkEnd w:id="139"/>
    <w:p>
      <w:pPr>
        <w:jc w:val="center"/>
        <w:ind w:right="-10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color w:val="auto"/>
        </w:rPr>
        <w:t>SPONSOR KEY HOLDERS</w:t>
      </w:r>
    </w:p>
    <w:p>
      <w:pPr>
        <w:spacing w:after="0" w:line="252" w:lineRule="exact"/>
        <w:rPr>
          <w:sz w:val="20"/>
          <w:szCs w:val="20"/>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Uma Sinha</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Semigran</w:t>
      </w:r>
    </w:p>
    <w:p>
      <w:pPr>
        <w:sectPr>
          <w:pgSz w:w="11900" w:h="16838" w:orient="portrait"/>
          <w:cols w:equalWidth="0" w:num="1">
            <w:col w:w="10023"/>
          </w:cols>
          <w:pgMar w:left="436" w:top="270" w:right="1440" w:bottom="1440" w:gutter="0" w:footer="0" w:header="0"/>
        </w:sectPr>
      </w:pPr>
    </w:p>
    <w:bookmarkStart w:id="140" w:name="page141"/>
    <w:bookmarkEnd w:id="140"/>
    <w:p>
      <w:pPr>
        <w:jc w:val="center"/>
        <w:ind w:righ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18"/>
          <w:szCs w:val="18"/>
          <w:color w:val="auto"/>
        </w:rPr>
        <w:t>PROKIDNEY HOLDERS</w:t>
      </w:r>
    </w:p>
    <w:p>
      <w:pPr>
        <w:spacing w:after="0" w:line="252" w:lineRule="exact"/>
        <w:rPr>
          <w:sz w:val="20"/>
          <w:szCs w:val="20"/>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Tolerantia, LLC</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Empresarial de Capitales, S.A. de C.V.</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ProKidney Management Equity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Pablo Legorreta</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Bertram</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Coulston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Deepak Jain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Ashley Johns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Joe Stavas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Gail Ward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Darin Weber</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Doyle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Lotvin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Pereira</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Kamen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DEKAVERSE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Closing Company Unitholders not otherwise identified herein</w:t>
      </w:r>
    </w:p>
    <w:p>
      <w:pPr>
        <w:sectPr>
          <w:pgSz w:w="11900" w:h="16838" w:orient="portrait"/>
          <w:cols w:equalWidth="0" w:num="1">
            <w:col w:w="10023"/>
          </w:cols>
          <w:pgMar w:left="436" w:top="27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July 11, 2022, is made and entered into by and among ProKidney Corp., a Cayman Islands exempted company limited by shares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(formerly known as Social Capital Suvretta Holdings Corp. III), SCS Sponsor III LLC, a Cayman Islands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certain holders of partnership interests in ProKidney LP, a limited partnership organized under the laws of Ireland (“</w:t>
      </w:r>
      <w:r>
        <w:rPr>
          <w:rFonts w:ascii="Times New Roman" w:cs="Times New Roman" w:eastAsia="Times New Roman" w:hAnsi="Times New Roman"/>
          <w:sz w:val="18"/>
          <w:szCs w:val="18"/>
          <w:b w:val="1"/>
          <w:bCs w:val="1"/>
          <w:i w:val="1"/>
          <w:iCs w:val="1"/>
          <w:color w:val="auto"/>
        </w:rPr>
        <w:t>ProKidney</w:t>
      </w:r>
      <w:r>
        <w:rPr>
          <w:rFonts w:ascii="Times New Roman" w:cs="Times New Roman" w:eastAsia="Times New Roman" w:hAnsi="Times New Roman"/>
          <w:sz w:val="18"/>
          <w:szCs w:val="18"/>
          <w:color w:val="auto"/>
        </w:rPr>
        <w:t>”), as set forth on Schedule 1 hereto (such stockholders, the “</w:t>
      </w:r>
      <w:r>
        <w:rPr>
          <w:rFonts w:ascii="Times New Roman" w:cs="Times New Roman" w:eastAsia="Times New Roman" w:hAnsi="Times New Roman"/>
          <w:sz w:val="18"/>
          <w:szCs w:val="18"/>
          <w:b w:val="1"/>
          <w:bCs w:val="1"/>
          <w:i w:val="1"/>
          <w:iCs w:val="1"/>
          <w:color w:val="auto"/>
        </w:rPr>
        <w:t>ProKidney Holders</w:t>
      </w:r>
      <w:r>
        <w:rPr>
          <w:rFonts w:ascii="Times New Roman" w:cs="Times New Roman" w:eastAsia="Times New Roman" w:hAnsi="Times New Roman"/>
          <w:sz w:val="18"/>
          <w:szCs w:val="18"/>
          <w:color w:val="auto"/>
        </w:rPr>
        <w:t>”), Marc Semigran and Uma Sinha (together with Marc Semigran, the “</w:t>
      </w:r>
      <w:r>
        <w:rPr>
          <w:rFonts w:ascii="Times New Roman" w:cs="Times New Roman" w:eastAsia="Times New Roman" w:hAnsi="Times New Roman"/>
          <w:sz w:val="18"/>
          <w:szCs w:val="18"/>
          <w:b w:val="1"/>
          <w:bCs w:val="1"/>
          <w:i w:val="1"/>
          <w:iCs w:val="1"/>
          <w:color w:val="auto"/>
        </w:rPr>
        <w:t>Director Holders</w:t>
      </w:r>
      <w:r>
        <w:rPr>
          <w:rFonts w:ascii="Times New Roman" w:cs="Times New Roman" w:eastAsia="Times New Roman" w:hAnsi="Times New Roman"/>
          <w:sz w:val="18"/>
          <w:szCs w:val="18"/>
          <w:color w:val="auto"/>
        </w:rPr>
        <w:t>”), Sukumar Nagendran and David Spiegel (together with Sukumar Nagendran, the “</w:t>
      </w:r>
      <w:r>
        <w:rPr>
          <w:rFonts w:ascii="Times New Roman" w:cs="Times New Roman" w:eastAsia="Times New Roman" w:hAnsi="Times New Roman"/>
          <w:sz w:val="18"/>
          <w:szCs w:val="18"/>
          <w:b w:val="1"/>
          <w:bCs w:val="1"/>
          <w:i w:val="1"/>
          <w:iCs w:val="1"/>
          <w:color w:val="auto"/>
        </w:rPr>
        <w:t>Advisor Holders</w:t>
      </w:r>
      <w:r>
        <w:rPr>
          <w:rFonts w:ascii="Times New Roman" w:cs="Times New Roman" w:eastAsia="Times New Roman" w:hAnsi="Times New Roman"/>
          <w:sz w:val="18"/>
          <w:szCs w:val="18"/>
          <w:color w:val="auto"/>
        </w:rPr>
        <w:t>”) and the parties set forth on Schedule 2 hereto (collectively,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and, collectively with the Sponsor, the ProKidney Holders, the Director Holders, the Advisor Holders and any person or entity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Sponsor and Marc Semigran are party to that certain Registration Rights Agreement, dated as of June 29,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Uma Sinha are party to that certain Director Restricted Stock Unit Agreement, dated as of September 24,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Dr. Sinha received a grant of 30,000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the Company;</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Sukumar Nagendran are party to that certain Advisor Restricted Stock Unit Agreement, dated as of August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pursuant to which Mr. Nagendran received a grant of 10,000 RSUs of the Company;</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David Spiegel are party to that certain Advisor Restricted Stock Unit Agreement, dated as of August 27,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Mr. Spiegel received a grant of 10,000 RSUs of the Company;</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entered into that certain Business Combination Agreement, dated as of January 18, 2022 (as it may be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between the Company and ProKidney;</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pursuant to the Business Combination Agreement, the ProKidney Holders received New Company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and Class B Common Stock;</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New Company Common Units are exchangeable for shares of Class A Common Stock pursuant to the Exchange Agreement;</w:t>
      </w:r>
    </w:p>
    <w:p>
      <w:pPr>
        <w:spacing w:after="0" w:line="225" w:lineRule="exact"/>
        <w:rPr>
          <w:sz w:val="20"/>
          <w:szCs w:val="20"/>
          <w:color w:val="auto"/>
        </w:rPr>
      </w:pPr>
    </w:p>
    <w:p>
      <w:pPr>
        <w:ind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on the date hereof, the Investor Stockholders purchased an aggregate of 12,640,000 shares of Class A Common Stock (the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in a transaction exempt from registration under the Securities Act pursuant to the respective Subscription Agreements, entered into by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the Company and each of the Investor Stockholders (each, a “</w:t>
      </w:r>
      <w:r>
        <w:rPr>
          <w:rFonts w:ascii="Times New Roman" w:cs="Times New Roman" w:eastAsia="Times New Roman" w:hAnsi="Times New Roman"/>
          <w:sz w:val="17"/>
          <w:szCs w:val="17"/>
          <w:b w:val="1"/>
          <w:bCs w:val="1"/>
          <w:i w:val="1"/>
          <w:iCs w:val="1"/>
          <w:color w:val="auto"/>
        </w:rPr>
        <w:t>Subscription Agreement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Subscription Agreements</w:t>
      </w:r>
      <w:r>
        <w:rPr>
          <w:rFonts w:ascii="Times New Roman" w:cs="Times New Roman" w:eastAsia="Times New Roman" w:hAnsi="Times New Roman"/>
          <w:sz w:val="17"/>
          <w:szCs w:val="17"/>
          <w:color w:val="auto"/>
        </w:rPr>
        <w:t>”);</w:t>
      </w:r>
    </w:p>
    <w:p>
      <w:pPr>
        <w:sectPr>
          <w:pgSz w:w="11900" w:h="16838" w:orient="portrait"/>
          <w:cols w:equalWidth="0" w:num="1">
            <w:col w:w="11020"/>
          </w:cols>
          <w:pgMar w:left="440" w:top="117" w:right="439" w:bottom="1440" w:gutter="0" w:footer="0" w:header="0"/>
        </w:sectPr>
      </w:pPr>
    </w:p>
    <w:bookmarkStart w:id="142" w:name="page143"/>
    <w:bookmarkEnd w:id="142"/>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pursuant to Section 5.5 of the Original RRA, the provisions, covenants and conditions set forth therein may be amended or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written consent of the Company and the Holders (as defined in the Original RRA) of at least a majority-in-interest of the Registrable Securities (as defined in the Original RRA) at the time in question, and the Sponsor and Marc Semigran are Holders (as defined in the Original RRA) in the aggregate of at least a majority-in-interest of the Registrable Securities (as defined in the Original RRA) as of the date hereof; and</w:t>
      </w:r>
    </w:p>
    <w:p>
      <w:pPr>
        <w:spacing w:after="0" w:line="176"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Sponsor and Marc Semigran desire to amend and restate the Original RRA in its entirety and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pursuant to which the Company shall grant the Holders certain registration rights with respect to certain securities of the Company, as set forth in this Agreement, and terminate the Original RRA.</w:t>
      </w:r>
    </w:p>
    <w:p>
      <w:pPr>
        <w:spacing w:after="0" w:line="171" w:lineRule="exact"/>
        <w:rPr>
          <w:sz w:val="20"/>
          <w:szCs w:val="20"/>
          <w:color w:val="auto"/>
        </w:rPr>
      </w:pPr>
    </w:p>
    <w:p>
      <w:pPr>
        <w:jc w:val="both"/>
        <w:ind w:right="1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the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in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Advisor 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2.4.1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means the Class A ordinary shares, par value $0.0001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means the Class B ordinary shares, par value $0.0001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have the meaning given in the Business Combination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have the meaning given in the Business Combination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Class A Common Stock and the Class B Common Stock.</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Preamble hereto and includes the Company’s successors by recapitalization, merger, consolidation, spin-off, reorganization or similar transaction.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Registration Rights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 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 and the rules and regulations of the Commission promulgated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shall have the meaning given in the Business Combination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 hereto, for so long as such person or entity holds any Registrable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Stockholders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440" w:top="266" w:right="739" w:bottom="1440" w:gutter="0" w:footer="0" w:header="0"/>
        </w:sectPr>
      </w:pPr>
    </w:p>
    <w:bookmarkStart w:id="144" w:name="page145"/>
    <w:bookmarkEnd w:id="1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light of the circumstances under which they were made) not misleading.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Company Common Units</w:t>
      </w:r>
      <w:r>
        <w:rPr>
          <w:rFonts w:ascii="Times New Roman" w:cs="Times New Roman" w:eastAsia="Times New Roman" w:hAnsi="Times New Roman"/>
          <w:sz w:val="18"/>
          <w:szCs w:val="18"/>
          <w:color w:val="auto"/>
        </w:rPr>
        <w:t>” shall have the meaning given in the Business Combination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10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Transferees</w:t>
      </w:r>
      <w:r>
        <w:rPr>
          <w:rFonts w:ascii="Times New Roman" w:cs="Times New Roman" w:eastAsia="Times New Roman" w:hAnsi="Times New Roman"/>
          <w:sz w:val="17"/>
          <w:szCs w:val="17"/>
          <w:color w:val="auto"/>
        </w:rPr>
        <w:t>” shall mean any person or entity to whom a Holder of Registrable Securities transfers such Registrable Securities, including prior to the expiration of any lock-up period applicable to such Registrable Securities (provided, in each case, such transfer is not prohibited by any applicable agreement between such Holder and/or their respective Permitted Transferees and the Company), and any transferee thereafter.</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ProKidney</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ProKidney 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xml:space="preserve">” shall mean (a) any outstanding shares of Class A Common Stock (including shares of Class A Common Stock issued or issuable upon the exercise or settlement of warrants, RSUs or any other equity security) held by a Holder immediately following the Closing (including any Investor Shares); (b) any shares of Class A Common Stock issued or issuable pursuant to the Exchange Agreement; (c) any Additional Holder Common Stock; (d) any shares of Class A Common Stock acquired by a Holder following the date hereof to the extent that such securities are (i) “restricted securities” (as defined in Rule 144), (ii) held by an “affiliate” (as defined in Rule 144) of the Company or (iii) otherwise cannot be sold pursuant to Rule 144 or any successor rule promulgated under the Securities Act (with no volume or other restrictions or limitations including as to manner or timing of sale); and (d) any other equity security of the Company or any of its subsidiaries issued or issuable with respect to any securities referenced in clause (a), (b), (c) or (d) above by way of a stock dividend or stock split or in connection with a recapitalization, merger, consolidation, spin-off,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 (i) such securities shall have been otherwise transferred</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66" w:right="559" w:bottom="1440" w:gutter="0" w:footer="0" w:header="0"/>
        </w:sectPr>
      </w:pPr>
    </w:p>
    <w:bookmarkStart w:id="145" w:name="page146"/>
    <w:bookmarkEnd w:id="14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other than an affiliate of such Holder, (ii) new certificates for such securities not bearing (or book 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so long as such Holder and its affiliates beneficially own less than three percent (3%) of the outstanding shares of Class A Common Stock in the aggregate, such securities may be sold without registration pursuant to Rule 144 or any successor rule promulgated under the Securities Act (but with no volume or other restrictions or limitations including as to manner or timing of sale); (E) such securities have been sold without registration pursuant to Section 4(a)(1) of the Securities Act or Rule 145 promulgated under the Securities Act or any successor rules promulgated under the Securities Act; and (F) such securities have been sold to, or through, a broker, dealer or underwriter in a public distribution or other public securities transaction.</w:t>
      </w:r>
    </w:p>
    <w:p>
      <w:pPr>
        <w:spacing w:after="0" w:line="188" w:lineRule="exact"/>
        <w:rPr>
          <w:sz w:val="20"/>
          <w:szCs w:val="20"/>
          <w:color w:val="auto"/>
        </w:rPr>
      </w:pPr>
    </w:p>
    <w:p>
      <w:pPr>
        <w:jc w:val="both"/>
        <w:ind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documented, out-of-pocket expenses of a Registration, including, without limitation, the following:</w:t>
      </w:r>
    </w:p>
    <w:p>
      <w:pPr>
        <w:spacing w:after="0" w:line="121" w:lineRule="exact"/>
        <w:rPr>
          <w:sz w:val="20"/>
          <w:szCs w:val="20"/>
          <w:color w:val="auto"/>
        </w:rPr>
      </w:pPr>
    </w:p>
    <w:p>
      <w:pPr>
        <w:ind w:right="540" w:firstLine="436"/>
        <w:spacing w:after="0" w:line="282" w:lineRule="auto"/>
        <w:tabs>
          <w:tab w:leader="none" w:pos="7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listing and filing fees (including fees with respect to filings required to be made with the Financial Industry Regulatory Authority, Inc.) and any national securities exchange on which the Common Stock is then listed;</w:t>
      </w:r>
    </w:p>
    <w:p>
      <w:pPr>
        <w:spacing w:after="0" w:line="53" w:lineRule="exact"/>
        <w:rPr>
          <w:rFonts w:ascii="Times New Roman" w:cs="Times New Roman" w:eastAsia="Times New Roman" w:hAnsi="Times New Roman"/>
          <w:sz w:val="18"/>
          <w:szCs w:val="18"/>
          <w:color w:val="auto"/>
        </w:rPr>
      </w:pPr>
    </w:p>
    <w:p>
      <w:pPr>
        <w:ind w:right="100" w:firstLine="436"/>
        <w:spacing w:after="0" w:line="266" w:lineRule="auto"/>
        <w:tabs>
          <w:tab w:leader="none" w:pos="72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counsel for the Underwriters in connection with blue sky qualifications of Registrable Securities and the fees and expenses of any “qualified independent underwriter” as such term is defined in FINRA Rule 5121);</w:t>
      </w:r>
    </w:p>
    <w:p>
      <w:pPr>
        <w:spacing w:after="0" w:line="67"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counsel for the Company;</w:t>
      </w:r>
    </w:p>
    <w:p>
      <w:pPr>
        <w:spacing w:after="0" w:line="117" w:lineRule="exact"/>
        <w:rPr>
          <w:rFonts w:ascii="Times New Roman" w:cs="Times New Roman" w:eastAsia="Times New Roman" w:hAnsi="Times New Roman"/>
          <w:sz w:val="18"/>
          <w:szCs w:val="18"/>
          <w:color w:val="auto"/>
        </w:rPr>
      </w:pPr>
    </w:p>
    <w:p>
      <w:pPr>
        <w:ind w:right="360" w:firstLine="436"/>
        <w:spacing w:after="0" w:line="282" w:lineRule="auto"/>
        <w:tabs>
          <w:tab w:leader="none" w:pos="7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all independent registered public accountants of the Company, retained by the Company and any other persons, including special experts, incurred in connection with such Registration;</w:t>
      </w:r>
    </w:p>
    <w:p>
      <w:pPr>
        <w:spacing w:after="0" w:line="53" w:lineRule="exact"/>
        <w:rPr>
          <w:rFonts w:ascii="Times New Roman" w:cs="Times New Roman" w:eastAsia="Times New Roman" w:hAnsi="Times New Roman"/>
          <w:sz w:val="18"/>
          <w:szCs w:val="18"/>
          <w:color w:val="auto"/>
        </w:rPr>
      </w:pPr>
    </w:p>
    <w:p>
      <w:pPr>
        <w:ind w:right="80" w:firstLine="436"/>
        <w:spacing w:after="0" w:line="266" w:lineRule="auto"/>
        <w:tabs>
          <w:tab w:leader="none" w:pos="7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 connection with the preparation, printing and filing of a Registration Statement, any Prospectus and amendments and supplements thereto and the mailing and delivering of copies thereof to any Holders, underwriters and dealers and all expenses incidental to delivery of the Registrable Securities;</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7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connection with making “road show” presentations and holding meetings with potential investors to facilitate the sale of Registrable Securities in an Underwritten Offering;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46" w:name="page147"/>
    <w:bookmarkEnd w:id="146"/>
    <w:p>
      <w:pPr>
        <w:ind w:left="740" w:hanging="304"/>
        <w:spacing w:after="0"/>
        <w:tabs>
          <w:tab w:leader="none" w:pos="7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 Underwritten Offering, reasonable fees and expenses of one (1) legal counsel selected by the majority-in-interest of the Demanding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w:t>
      </w:r>
    </w:p>
    <w:p>
      <w:pPr>
        <w:spacing w:after="0" w:line="203"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 and the rules and regulations of the Commission promulgated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Takedown</w:t>
      </w:r>
      <w:r>
        <w:rPr>
          <w:rFonts w:ascii="Times New Roman" w:cs="Times New Roman" w:eastAsia="Times New Roman" w:hAnsi="Times New Roman"/>
          <w:sz w:val="18"/>
          <w:szCs w:val="18"/>
          <w:color w:val="auto"/>
        </w:rPr>
        <w:t>” shall mean an Underwritten Shelf Takedown or any proposed transfer or sale using a Registration Statement, including a Piggyback Registration or Block Trade.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ProKidney 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or assignment of, offer to sell,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47" w:name="page148"/>
    <w:bookmarkEnd w:id="147"/>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 (including for the avoidance of doubt a Block Trade).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 AND OFFERINGS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37"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Within thirty (30) calendar days following the Closing Date, the Company shall submit to or file with the Commission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or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submission or filing thereof, but no later than the earlier of (a)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following the submission or filing date thereof if the Commission notifies the Company that it will “review” the Registration Statement and (b)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xml:space="preserve">. If any Shelf ceases to be effective under the Securities Act for any reason at any time while Registrable Securities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48" w:name="page149"/>
    <w:bookmarkEnd w:id="14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as a Shelf Registration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registering the resale of all Registrable Securities (determined as of two (2) business days prior to such filing).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right="60" w:firstLine="991"/>
        <w:spacing w:after="0" w:line="271"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Additional Registrable Securities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in the event that any Holder holds Registrable Securities that are not registered for resale on a delayed or continuous basis, the Company, upon written request of the Sponsor, a ProKidney Holder, an Investor Stockholder, a Director Holder or an Advisor Holder, shall use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only be required to cause such Registrable Securities to be so covered twice per calendar year for each of the Sponsor, each ProKidney Holder, each Investor Stockholder, each Director Holder and each Advisor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prior to making such filing with respect to any written request by a Holder, the Company shall notify the other Holders and provide such other Holders a reasonable opportunity to include additional Registrable Securities held by such other Holders in such filing.</w:t>
      </w:r>
    </w:p>
    <w:p>
      <w:pPr>
        <w:spacing w:after="0" w:line="6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Requests for Underwritten Shelf Takedowns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is on file with the Commission, the Sponsor, an Investor Stockholder or a ProKidney Holder (any of the Sponsor, an Investor Stockholder or a ProKidney Holder being, in such case, a “</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may request to sell all or any portion of its Registrable Securities in an Underwritten Offering that is registered pursuant to the Shelf (each,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$50.0 million (the “</w:t>
      </w:r>
      <w:r>
        <w:rPr>
          <w:rFonts w:ascii="Times New Roman" w:cs="Times New Roman" w:eastAsia="Times New Roman" w:hAnsi="Times New Roman"/>
          <w:sz w:val="18"/>
          <w:szCs w:val="18"/>
          <w:b w:val="1"/>
          <w:bCs w:val="1"/>
          <w:i w:val="1"/>
          <w:iCs w:val="1"/>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Takedown Threshold</w:t>
      </w:r>
      <w:r>
        <w:rPr>
          <w:rFonts w:ascii="Times New Roman" w:cs="Times New Roman" w:eastAsia="Times New Roman" w:hAnsi="Times New Roman"/>
          <w:sz w:val="18"/>
          <w:szCs w:val="18"/>
          <w:color w:val="auto"/>
        </w:rPr>
        <w:t>”). All requests for Underwritten Shelf Takedowns shall be made by giving written notice to the Company, which shall specify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approximate number of Registrable Securities proposed to be sold in the Underwritten Shelf Takedown. Subject to </w:t>
      </w:r>
      <w:r>
        <w:rPr>
          <w:rFonts w:ascii="Times New Roman" w:cs="Times New Roman" w:eastAsia="Times New Roman" w:hAnsi="Times New Roman"/>
          <w:sz w:val="18"/>
          <w:szCs w:val="18"/>
          <w:u w:val="single" w:color="auto"/>
          <w:color w:val="auto"/>
        </w:rPr>
        <w:t>Section 2.4.4</w:t>
      </w:r>
      <w:r>
        <w:rPr>
          <w:rFonts w:ascii="Times New Roman" w:cs="Times New Roman" w:eastAsia="Times New Roman" w:hAnsi="Times New Roman"/>
          <w:sz w:val="18"/>
          <w:szCs w:val="18"/>
          <w:color w:val="auto"/>
        </w:rPr>
        <w:t>, the Underwriters for such offering (which shall consist of one or more reputable nationally recognized investment banks) shall be selected by the majority-in-interest of the Demanding Holders, subject to the Company’s prior approval (which shall not be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149" w:name="page150"/>
    <w:bookmarkEnd w:id="1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unreasonably withheld, conditioned or delayed). The Sponsor, an Investor Stockholder and a ProKidney Holder may each demand not more than (i) one</w:t>
      </w:r>
    </w:p>
    <w:p>
      <w:pPr>
        <w:spacing w:after="0" w:line="27" w:lineRule="exact"/>
        <w:rPr>
          <w:sz w:val="20"/>
          <w:szCs w:val="20"/>
          <w:color w:val="auto"/>
        </w:rPr>
      </w:pPr>
    </w:p>
    <w:p>
      <w:pPr>
        <w:ind w:left="4" w:right="120" w:hanging="4"/>
        <w:spacing w:after="0" w:line="255"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Underwritten Shelf Takedown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within any six (6) month period or (ii) two (2) Underwritten Shelf Takedowns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 any twelve (12) month period. Notwithstanding anything to the contrary in this Agreement, the Company may effect any Underwritten Offering pursuant to any then effective Registration Statement, including a Form S-3, that is then available for such offering.</w:t>
      </w:r>
    </w:p>
    <w:p>
      <w:pPr>
        <w:spacing w:after="0" w:line="78"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Class A Common Stock or other equity securities that the Company desires to sell and the shares of Class A Common Stock or other equity securities,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before including any shares of Class A Common Stock or other equity securities proposed to be sold by Company or by other holders of Class A Common Stock or other equity securities, the Registrable Securities of the Demanding Holders and the Requesting Holders (if any) (pro rata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w:t>
      </w:r>
    </w:p>
    <w:p>
      <w:pPr>
        <w:spacing w:after="0" w:line="8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Prior to the filing of the applicable “red herring” prospectus or prospectus supplement used for marketing such Underwritten Shelf Takedown, any Demanding Holder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to the Company and the Underwriter or Underwriters (if any) of their intention to withdraw from such Underwritten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Sponsor, an Investor Stockholder or a ProKidney Holder may elect to have the Company continue an Underwritten Shelf Takedown if the Minimum Takedown Threshold would still be satisfied by the Registrable Securities proposed to be sold in the Underwritten Shelf Takedown by the Sponsor, the Investor Stockholders, the ProKidney Holders or any of their respective Permitted Transferees, as applicable. If withdrawn by a Demanding Holder, the Sponsor, an Investor Stockholder or a ProKidney Holder may elect to continue an Underwritten Shelf Takedown pursuant to the proviso in the immediately preceding sentence and such Underwritten Shelf Takedown shall instead count as an Underwritten Shelf Takedown demanded by the Sponsor, such Investor Stockholder or such ProKidney Holder, as applicable,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Following the receipt of any Withdrawal Notice, the Company shall promptly forward such Withdrawal Notice to any other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50" w:name="page151"/>
    <w:bookmarkEnd w:id="15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Holders that had elected to participate in such Shelf Takedown and shall not include the Registrable Securities of such withdrawing Demanding Holder in the applicable registration and such Registrable Securities shall continue to be Registrable Securities for all purposes of this Agreement (subject to the other terms and conditions of this Agreement).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2.4.3</w:t>
      </w:r>
      <w:r>
        <w:rPr>
          <w:rFonts w:ascii="Times New Roman" w:cs="Times New Roman" w:eastAsia="Times New Roman" w:hAnsi="Times New Roman"/>
          <w:sz w:val="17"/>
          <w:szCs w:val="17"/>
          <w:color w:val="auto"/>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(iv) for a dividend reinvestment plan or (v) a Block Trade, then the Company shall give written notice of such proposed offering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(or such shorter period of days (but not less than two (2) days) as may be agreed by holders of at least 25% of the outstanding Registrable Securities), which notice shall</w:t>
      </w:r>
    </w:p>
    <w:p>
      <w:pPr>
        <w:spacing w:after="0" w:line="2" w:lineRule="exact"/>
        <w:rPr>
          <w:sz w:val="20"/>
          <w:szCs w:val="20"/>
          <w:color w:val="auto"/>
        </w:rPr>
      </w:pPr>
    </w:p>
    <w:p>
      <w:pPr>
        <w:ind w:left="4" w:right="60" w:hanging="4"/>
        <w:spacing w:after="0" w:line="251" w:lineRule="auto"/>
        <w:tabs>
          <w:tab w:leader="none" w:pos="2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the amount and type of securities to be included in such offering, the proposed filing date, the intended method(s) of distribution, the name of the proposed managing Underwriter or Underwriters, if any, in such offering and to the extent then known a good faith estimate of the proposed minimum offering price, and (B) offer to all of the Holders of Registrable Securities the opportunity to include in such registered offering such number of Registrable Securities as such Holders may request in writing within five (5) days (or such shorter period of days (but not less than one (1) day) as may be agreed by holders of at least 25% of the outstanding Registrable Securities) after receipt of such written notice (such registered offering,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51" w:name="page152"/>
    <w:bookmarkEnd w:id="151"/>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Class A Common Stock or other equity securities that the Company desires to sell, taken together with (i) the Registrable Securities as to which registration has been requested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and (ii) the shares of Class A Common Stock or other equity securities, if any, of other persons or entities (other than the Holders of Registrable Securities hereunder) that the Company is obligated to register in a Registration pursuant to separate written contractual piggy-back registration rights held by such persons or entities, exceeds the Maximum Number of Securities, then:</w:t>
      </w:r>
    </w:p>
    <w:p>
      <w:pPr>
        <w:spacing w:after="0" w:line="81" w:lineRule="exact"/>
        <w:rPr>
          <w:sz w:val="20"/>
          <w:szCs w:val="20"/>
          <w:color w:val="auto"/>
        </w:rPr>
      </w:pPr>
    </w:p>
    <w:p>
      <w:pPr>
        <w:ind w:firstLine="1428"/>
        <w:spacing w:after="0" w:line="253"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undertaken for the Company’s account, the Company shall include in any such Registration or registered offering (A) first, the shares of Class A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 (A) and (B), the shares of Class A Common Stock or other equity securities, if any, of other persons or entities that the Company is obligated to register in a Registration pursuant to separate written contractual piggy-back registration rights held by such persons or entities, which can be sold without exceeding the Maximum Number of Securities; or</w:t>
      </w:r>
    </w:p>
    <w:p>
      <w:pPr>
        <w:spacing w:after="0" w:line="86"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pursuant to a demand by persons or entities other than the Holders of Registrable Securities (and not undertaken for the Company’s account), then the Company shall include in any such Registration or registered offering (A) first, the shares of Class A Common Stock or other equity securities, if any, of such requesting persons or entities, other than the Holders of Registrable Securities, which can be sold without exceeding the Maximum Number of Securities,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shares of Class A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Class A Common Stock or other equity securities, if any, of other persons or entities that the Company is obligated to register in a Registration pursuant to separate written contractual piggy-back registration rights held by such persons or entities, which can be sold without exceeding the Maximum Number of Securities;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2" w:name="page153"/>
    <w:bookmarkEnd w:id="152"/>
    <w:p>
      <w:pPr>
        <w:ind w:right="200" w:firstLine="1428"/>
        <w:spacing w:after="0" w:line="266" w:lineRule="auto"/>
        <w:tabs>
          <w:tab w:leader="none" w:pos="16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Registration or registered offering and Underwritten Shelf Takedown is pursuant to a request by Holder(s) of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then the Company shall include in any such Registration or registered offering securities in the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(other than a Demanding Holder, whose right to withdraw from an Underwritten Shelf Takedown, and related obligations, shall be governed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or other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Piggyback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be counted as a demand for an Underwritten Shelf Takedown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In connection with any Underwritten Offering of equity securities of the Company pursuant to this Agreement (other than a Block Trade), each participating Holder and each other Holder who, together with its affiliates, beneficially owns greater than five percent (5%) of the outstanding shares of Class A Common Stock in the aggregate,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 ).</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3" w:name="page154"/>
    <w:bookmarkEnd w:id="15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2.4.1 Notwithstanding any other provision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is on file with the Commission, if a Demanding Holder wishes to engage in an underwritten registered offering not involving a “roadshow,” i.e., an offering commonly known as a “block trade” (a “</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with a total offering price reasonably expected to exceed, in the aggregate, either</w:t>
      </w:r>
    </w:p>
    <w:p>
      <w:pPr>
        <w:spacing w:after="0" w:line="1" w:lineRule="exact"/>
        <w:rPr>
          <w:sz w:val="20"/>
          <w:szCs w:val="20"/>
          <w:color w:val="auto"/>
        </w:rPr>
      </w:pPr>
    </w:p>
    <w:p>
      <w:pPr>
        <w:ind w:left="4" w:hanging="4"/>
        <w:spacing w:after="0" w:line="253"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$25.0 million or (y) all remaining Registrable Securities held by the Demanding Holder, then such Demanding Holder shall notify the Company of its request to engage in a Block Trade and, subject to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or the waiver thereof by such Demanding Holder, the Company shall as expeditiously as possible use its commercially reasonable efforts to facilitate such Block Trade;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Demanding Holder shall use commercially reasonable efforts to work with the Company and any Underwriters prior to making such request in order to facilitate preparation of the registration statement, prospectus and other offering documentation related to the Block Trade.</w:t>
      </w:r>
    </w:p>
    <w:p>
      <w:pPr>
        <w:spacing w:after="0" w:line="79"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2.4.2 Prior to the filing of the applicable “red herring” prospectus or prospectus supplement used in connection with a Block Trade or the issuance of a press release by the applicable Demanding Holder or by the Company with respect thereto, the Demanding Holders initiating such Block Trade shall have the right to submit a Withdrawal Notice to the Company and the Underwriter or Underwriters (if any) of their intention to withdraw from such Block Trade. Notwithstanding anything to the contrary in this Agreement, the Company shall be responsible for the Registration Expenses incurred in connection with a Block Trade prior to its withdrawal under this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2.4.3 Notwithstanding anything to the contrary in this Agreement,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apply to a Block Trade initiated by a Demanding Holder pursuant to this Agreement.</w:t>
      </w:r>
    </w:p>
    <w:p>
      <w:pPr>
        <w:spacing w:after="0" w:line="54"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2.4.4 The Demanding Holder in a Block Trade shall have the right to select the Underwriters for such Block Trade (which shall consist of one or more reputable nationally recognized investment banks).</w:t>
      </w:r>
    </w:p>
    <w:p>
      <w:pPr>
        <w:spacing w:after="0" w:line="54"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2.4.5 A Holder in the aggregate may demand no more than two (2) Block Trades per year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For the avoidance of doubt, any Block Trade effected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counted as a demand for an Underwritten Shelf Takedown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229"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In connection with any Shelf and/or Shelf Takedown,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68"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54" w:name="page155"/>
    <w:bookmarkEnd w:id="154"/>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3.1.2 without limiting the provisions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prepare and file with the Commission such amendments and post-effective amendments to the Registration Statement, and such supplements to the Prospectus, as may be reasonably requested by any Holder that holds at least one percent (1%)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79"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any free writing prospectus (as defined in Rule 405 of the Securities Act) and such other documents as the Underwriters and the Holders of Registrable Securities included in such Registration or the legal counsel for any such Holders may request (including any comment letter from the Commission), and all such documents shall be subject to the review and reasonable comment of such counsel who shall, if requested, have a reasonable opportunity to participate in the preparation of such documents in order to facilitate the disposition of the Registrable Securities owned by such Holders;</w:t>
      </w:r>
    </w:p>
    <w:p>
      <w:pPr>
        <w:spacing w:after="0" w:line="64"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agencies or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8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national securities exchange on which similar securities issued by the Company are then listed and, if no such securities are so listed, use commercially reasonable efforts to cause such Registrable Securities to be listed on the New York Stock Exchange or the Nasdaq Stock Market;</w:t>
      </w:r>
    </w:p>
    <w:p>
      <w:pPr>
        <w:spacing w:after="0" w:line="68"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55" w:name="page156"/>
    <w:bookmarkEnd w:id="15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7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furnish a copy thereof to each seller of such Registrable Securities or its counsel (excluding any exhibits thereto and any filing made under the Exchange Act that is to be incorporated by reference therein);</w:t>
      </w:r>
    </w:p>
    <w:p>
      <w:pPr>
        <w:spacing w:after="0" w:line="7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3.1.9 as promptly as practicable notify the Holders in writing upon any of the following events: (A) the filing of the Registration Statement, any Prospectus and any amendment or supplement thereto, and, with respect to the Registration Statement or any post-effective amendment thereto, when the same has become effective; (B) any request by the Commission or any other U.S. or state governmental authority for amendments or supplements to the Registration Statement or any Prospectus or for additional information; (C) the receipt by the Company of any notification with respect to the suspension of the qualification of any Registrable Securities for sale under the securities or “blue sky” laws of any jurisdiction or the initiation or threat of any proceeding for such purpose; (D) if at any time the representations and warranties of the Company contained in any underwriting agreement contemplated by </w:t>
      </w:r>
      <w:r>
        <w:rPr>
          <w:rFonts w:ascii="Times New Roman" w:cs="Times New Roman" w:eastAsia="Times New Roman" w:hAnsi="Times New Roman"/>
          <w:sz w:val="18"/>
          <w:szCs w:val="18"/>
          <w:u w:val="single" w:color="auto"/>
          <w:color w:val="auto"/>
        </w:rPr>
        <w:t>Section 3.1.13</w:t>
      </w:r>
      <w:r>
        <w:rPr>
          <w:rFonts w:ascii="Times New Roman" w:cs="Times New Roman" w:eastAsia="Times New Roman" w:hAnsi="Times New Roman"/>
          <w:sz w:val="18"/>
          <w:szCs w:val="18"/>
          <w:color w:val="auto"/>
        </w:rPr>
        <w:t xml:space="preserve"> below cease to be true and correct in any material respect,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shall only be required if required to be given to the underwriters pursuant to such underwriting agreement; and (E)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3.1.10 in the event of an Underwritten Offering, (A) permit representatives of the Holders, the Underwriters or other financial institutions facilitating such Underwritten Offering,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including to enable them to exercise their due diligence responsibility;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representatives, Underwriters or financial institutions agree to confidentiality arrangements in form and substance reasonably satisfactory to the Company prior to the release or disclosure of any such information and (B) cause the officers, directors and employees of the Company and its subsidiaries (and use its commercially reasonable efforts to cause its auditors) to participate in customary due diligence calls;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56" w:name="page157"/>
    <w:bookmarkEnd w:id="156"/>
    <w:p>
      <w:pPr>
        <w:ind w:left="4" w:right="3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3.1.11 obtain a “cold comfort” letter from the Company’s independent registered public accountants in the event of an Underwritten Offering or a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as the managing Underwriter may reasonably request, and reasonably satisfactory to a majority-in-interest of the participating Holders;</w:t>
      </w:r>
    </w:p>
    <w:p>
      <w:pPr>
        <w:spacing w:after="0" w:line="7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3.1.12 in the event of an Underwritten Offering, on the date the Registrable Securities are delivered for sale pursuant to such Registration, obtain an opinion and negative assurance letter,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75"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3.1.13 in an Underwritten Offering, enter into an underwriting agreement in form, scope and substance as is customary in underwritten offerings and in connection therewith, (A) make representations and warranties to the Holders of such Registrable Securities and the Underwriters, if any, with respect to the business of the Company and its subsidiaries, and the Registration Statement, Prospectus and documents, if any, incorporated or deemed to be incorporated by reference therein, in each case, in form, substance and scope as are customarily made by issuers in underwritten offerings, and, if true, confirm the same if and when requested, (B) include in the underwriting agreement indemnification provisions and procedures substantially to the effect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with respect to the Underwriters and all parties to be indemnified pursuant to said Article except as otherwise agreed by the majority-in-interest of the participating Holders and (C) deliver such documents and certificates as are reasonably requested by a majority-in-interest of the aggregate number of Registrable Securities held by the participating Holders, their counsel and the Underwriters to evidence the continued validity of the representations and warranties made pursuant to sub-clause (A) above and to evidence compliance with any customary conditions contained in the underwriting agreement;</w:t>
      </w:r>
    </w:p>
    <w:p>
      <w:pPr>
        <w:spacing w:after="0" w:line="86"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3.1.14 in the event of any Underwritten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3.1.15 make available to its security holders, as soon as reasonably practicable, an earnings statement covering the period of at least twelve</w:t>
      </w:r>
    </w:p>
    <w:p>
      <w:pPr>
        <w:spacing w:after="0" w:line="27" w:lineRule="exact"/>
        <w:rPr>
          <w:sz w:val="20"/>
          <w:szCs w:val="20"/>
          <w:color w:val="auto"/>
        </w:rPr>
      </w:pPr>
    </w:p>
    <w:p>
      <w:pPr>
        <w:ind w:left="4" w:right="20" w:hanging="4"/>
        <w:spacing w:after="0" w:line="260" w:lineRule="auto"/>
        <w:tabs>
          <w:tab w:leader="none" w:pos="34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57" w:name="page158"/>
    <w:bookmarkEnd w:id="157"/>
    <w:p>
      <w:pPr>
        <w:jc w:val="both"/>
        <w:ind w:right="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3.1.16 with respect to an Underwritten Offering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make available senior executives of the Company to participate in meetings with analysts or customary “road show” presentations that may be reasonably requested by the Underwriter in such Underwritten Offering;</w:t>
      </w:r>
    </w:p>
    <w:p>
      <w:pPr>
        <w:spacing w:after="0" w:line="3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3.1.17 cooperate with the participating Holders and the Underwriters, if any, to facilitate the timely preparation and delivery of certificates (if such securities are certificated and which shall not bear any restrictive legends unless required under applicable law) representing securities sold under any Registration Statement, and enable such securities to be in such denominations and registered in such names as such Holders or Underwriters may request and keep available and make available to the Company’s transfer agent prior to the effectiveness of such Registration Statement a supply of such certificates (if such securities are certificated);</w:t>
      </w:r>
    </w:p>
    <w:p>
      <w:pPr>
        <w:spacing w:after="0" w:line="75"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3.1.18 file the applicable Registration Statement with FINRA within three (3) Business Days of the date such Registration Statement is filed with or submitted to the SEC, and cooperate with each participating Holder and Underwriter, if any, and their respective counsels in connection with any other filings required to be made with FINRA; and</w:t>
      </w:r>
    </w:p>
    <w:p>
      <w:pPr>
        <w:spacing w:after="0" w:line="68"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3.1.19 otherwise, in good faith, cooperate reasonably with, and take such customary actions as may reasonably be requested by the participating Holders, consistent with the terms of this Agreement, in connection with such Registration.</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broker, sales agent or placement agent if such Underwriter, broker, sales agent or placement agent has not then been selected as an Underwriter, broker, sales agent or placement agent, as applicable, with respect to the applicable Underwritten Offering or other offering involving a registration.</w:t>
      </w:r>
    </w:p>
    <w:p>
      <w:pPr>
        <w:spacing w:after="0" w:line="6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Underwriters’ commissions and discounts, brokerage fees, Underwriter marketing costs, transfer taxes and, other than as set forth in the definition of “Registration Expenses,” all fees and expenses of any legal counsel representing the Holders.</w:t>
      </w:r>
    </w:p>
    <w:p>
      <w:pPr>
        <w:spacing w:after="0" w:line="6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Registration Statement in Offerings</w:t>
      </w:r>
      <w:r>
        <w:rPr>
          <w:rFonts w:ascii="Times New Roman" w:cs="Times New Roman" w:eastAsia="Times New Roman" w:hAnsi="Times New Roman"/>
          <w:sz w:val="18"/>
          <w:szCs w:val="18"/>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158" w:name="page159"/>
    <w:bookmarkEnd w:id="1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Suspension of Sales; Adverse Disclosure; Restrictions on Registration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3.4.1 Upon receipt of written notice from the Company that: (a) a Registration Statement or Prospectus contains a Misstatement; or (b) any request by the Commission for any amendment or supplement to any Registration Statement or Prospectus or for additional information or of the occurrence of an event requiring the preparation of a supplement or amendment to such Prospectus so that, as thereafter delivered to the purchasers of the securities covered by such Registration Statement or Prospectus, such Registration Statement or Prospectus will not contain an untrue statement of a material fact or omit to state any material fact required to be stated therein or necessary to make the statements therein not misleading, each of the Holders shall forthwith discontinue disposition of Registrable Securities pursuant to such Registration Statement covering such Registrable Securities until it has received copies of a supplemented or amended Prospectus (it being understood that the Company hereby covenants to prepare and file such supplement or amendment as soon as practicable after the time of such notice) or until it is advised in writing by the Company that the use of the Prospectus may be resumed, and, if so directed by the Company, each such Holder will deliver to the Company all copies, other than permanent file copies then in such Holder’s possession, of the most recent Prospectus covering such Registrable Securities at the time of receipt of such notice. In the event that a Holder exercises a demand right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related offering is expected to, or may, occur during a quarterly earnings blackout period of the Company (such blackout periods determined in accordance with the Company’s written insider trading compliance program adopted by the Board), the Company and such Holder shall act reasonably and work cooperatively in view of such quarterly earnings blackout period.</w:t>
      </w:r>
    </w:p>
    <w:p>
      <w:pPr>
        <w:spacing w:after="0" w:line="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3.4.2 Subject to </w:t>
      </w:r>
      <w:r>
        <w:rPr>
          <w:rFonts w:ascii="Times New Roman" w:cs="Times New Roman" w:eastAsia="Times New Roman" w:hAnsi="Times New Roman"/>
          <w:sz w:val="18"/>
          <w:szCs w:val="18"/>
          <w:u w:val="single" w:color="auto"/>
          <w:color w:val="auto"/>
        </w:rPr>
        <w:t>Section 3.4.4</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(a) require the Company to make an Adverse Disclosure or (b) require the inclusion in such Registration Statement of financial statements that are unavailable to the Company for reasons beyond the Company’s control after the exercise by the Company of reasonable best efforts, or (c) in the good faith judgment of the majority of the Board, be seriously detrimental to the Company and as a result it is essential to defer such filing, initial effectiveness or continued use at such time, the Company may, upon giving prompt written notice of such action to the Holders,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8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3.4.3 (a) During the period starting with the date thirty (30) days prior to the Company’s good faith estimate of the date of the filing of, and ending on a date ninety (90) days after the effective date of, a Company-initiated Registration, and provided that the Company continues to actively employ, in good faith, all reasonable efforts to maintain the effectiveness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59" w:name="page160"/>
    <w:bookmarkEnd w:id="15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Shelf,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(b) during the period starting with the date fifteen (15) days prior to the Company’s good faith estimate of the date of the filing of, and ending on a date forty five (45) days after the effective date of, a Company-initiated Registration, and provided that the Company continues to actively employ, in good faith, all reasonable efforts to maintain the effectiveness of the applicable Shelf,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3.4.4 The right to delay or suspend any filing, initial effectiveness or continued use of a Registration Statement pursuant to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or a registered offering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shall be exercised by the Company, in the aggregate, on not more than ninety (90) consecutive calendar days, or for more than one hundred and twenty (120) total calendar days, in each case during any twelve-month period.</w:t>
      </w:r>
    </w:p>
    <w:p>
      <w:pPr>
        <w:spacing w:after="0" w:line="6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documents publicly filed or furnished with the Commission pursuant to the Electronic Data Gathering, Analysis and Retrieval System shall be deemed to have been furnished or delivered to the Holders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further covenants that it shall (i)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then in effect) and (ii) certify to the Holders in writing that it has filed current Form 10 information with the Commission within four (4) Business Days of the Closing.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directors, partners, members and agents and each person or entity who controls such Holder (within the meaning of the Securities Act), against all losses, claims, damages, liabilities and out-of-pocket expenses (including, without limitation, reasonable outside attorneys’ fees and reasonable expenses of investigation) arising out of, resulting from or based upon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60" w:name="page161"/>
    <w:bookmarkEnd w:id="16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the same are caused by or contained in any information or affidavit so furnished in writing to the Company by such Holder expressly for use therein. The Company shall indemnify the Underwriters, their officers and directors and each person or entity who controls such Underwriters (within the meaning of the Securities Act) to the same extent as provided in the foregoing with respect to the indemnification of the Holder.</w:t>
      </w:r>
    </w:p>
    <w:p>
      <w:pPr>
        <w:spacing w:after="0" w:line="6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4.1.2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officers, partners, members and agents and each person or entity who controls the Company (within the meaning of the Securities Act) against all losses, claims, damages, liabilities and out-of-pocket expenses (including, without limitation, reasonable outside attorneys’ fees and reasonable expenses of investigation) arising out of, resulting from or based upon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Holder Information so furnished in writing by or on behalf of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4.1.3 Any person or entity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After notice from the indemnifying party to the indemnified party of its election to assume the defense of such claim or action, the indemnifying party shall not be liable to the indemnified party under this Article IV for any legal or other expenses subsequently incurred by the indemnified party in connection with the defense thereof other than reasonable costs of investigation, unless (1) such indemnified party reasonably objects to such assumption on the grounds that there may be defenses available to it which are different from or in addition to the defenses available to such indemnifying party, (2) the indemnifying party shall have failed within a reasonable period of time to assume such defense or, having assumed such defense, has not conducted the defense of such claim actively and diligently or (3) the named parties in any such proceeding (including any impleaded parties) include both the indemnified party and the indemnifying party and representation of both parties by the same counsel would be inappropriate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61" w:name="page162"/>
    <w:bookmarkEnd w:id="16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to actual or potential differing interest between them, in which case the indemnified party shall be promptly reimbursed by the indemnifying party for the expenses incurred in connection with retaining one separate legal counsel, in addition to any local counsel (for the avoidance of doubt, for all indemnified parties in connection therewith). If such defense is assumed, (A) the indemnifying party shall keep the indemnified party informed as to the status of such claim at all stages thereof (including all settlement negotiations and offers), promptly submit to such indemnified party copies of all pleadings, responsive pleadings, motions and other similar legal documents and paper received or filed in connection therewith, permit such indemnified party and their respective counsels to confer with the indemnifying party and its counsel with respect to the conduct of the defense thereof, and permit indemnified party and its counsel a reasonable opportunity to review all legal papers to be submitted prior to their submission and (B) the indemnifying party shall not be subject to any liability for any settlement made by the indemnified party without its consent (but such consent shall not be unreasonably withheld). In any action hereunder as to which the indemnifying party has assumed the defense thereof with counsel satisfactory to the indemnified party, the indemnified party shall continue to be entitled to participate in the defense thereof, with counsel of its own choice, but the indemnifying party shall not be obligated hereunder to reimburse the indemnified party for the costs thereof. No indemnifying party shall, without the prior written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culpability or failure to act on the part of such indemnified party or which settlement does not include as an unconditional term thereof the giving by the claimant or plaintiff to such indemnified party of a release from all liability in respect to such claim or litigation that shall be in form and substance satisfactory to such indemnified party.</w:t>
      </w:r>
    </w:p>
    <w:p>
      <w:pPr>
        <w:spacing w:after="0" w:line="8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4.1.4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68"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shall be limited to the amount of the net proceeds actually received by such Holder in such offering giving rise to such liability. The amount paid or payable by a party as a result of the losses or other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162" w:name="page163"/>
    <w:bookmarkEnd w:id="162"/>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No person or entity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4.1.6 The obligations of the parties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in addition to any liability which any party may otherwise have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 in the case of mailed notices, on the third business day following the date on which it is mailed and, (ii) in the case of notices delivered by courier service, hand delivery, electronic 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ProKidney Corp., 2000 Frontis Plaza Blvd, Suite 250, Winston-Salem, NC 27103, Attn: Investor Relations, email: elizabeth.goodwin@prokidney.com, with a copy, which shall not constitute notice, to Todd Girolamo, General Counsel, email: todd.girolamo@prokidney.com; and, if to any Holder, at such Holder’s address, electronic mail address or facsimile number as set forth in the Company’s books and records. Any party may change its address for notice at any time and from time to time by written notice to the other parties hereto, and such change of address shall become effective upon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54"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5.2.2 Subject to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this Agreement and the rights, duties and obligations of a Holder hereunder may be assigned in whole or in part to such Holder’s Permitted Transferees;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the ProKidney Holders, the Investor Stockholders, the Director Holders, the Advisor Holders and the Sponsor, the rights hereunder that are personal to such Holders may not be assigned or delegated in whole or in part, except that (x) each of the ProKidney Holders shall be permitted to transfer its rights hereunder as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163" w:name="page164"/>
    <w:bookmarkEnd w:id="16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ProKidney Holders to one or more affiliates or any direct or indirect partners, members or equity holders of such ProKidney Holder (it being understood that no such transfer shall reduce any rights of such ProKidney Holder or such transferees), (y) each of the Investor Stockholders shall be permitted to transfer its rights hereunder as the Investor Stockholders to one or more affiliates or any direct or indirect partners, members or equity holders of such Investor Stockholder (it being understood that no such transfer shall reduce any rights of such Investor Stockholder or such transferees) and (z) the Sponsor shall be permitted to transfer its rights hereunder as the Sponsor to one or more affiliates or any direct or indirect partners, members or equity holders of the Sponsor and any such transferee shall thereafter have all rights and obligations of the Sponsor hereunder (it being understood that no such transfer shall reduce any rights of the Sponsor or such transferees).</w:t>
      </w:r>
    </w:p>
    <w:p>
      <w:pPr>
        <w:spacing w:after="0" w:line="8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54"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5.2.4 This Agreement shall not confer any rights or benefits on any persons or entities that are not parties hereto, other than as expressly set forth in this Agreement.</w:t>
      </w:r>
    </w:p>
    <w:p>
      <w:pPr>
        <w:spacing w:after="0" w:line="54"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7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79"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(1) THIS AGREEMENT SHALL BE GOVERNED BY AND CONSTRUED UNDER THE LAWS OF THE STATE OF NEW YORK AND (2) THE VENUE FOR ANY ACTION TAKEN WITH RESPECT TO THIS AGREEMENT SHALL BE ANY STATE OR FEDERAL COURT IN NEW YORK COUNTY IN THE STATE OF NEW YORK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64" w:name="page165"/>
    <w:bookmarkEnd w:id="164"/>
    <w:p>
      <w:pPr>
        <w:ind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b w:val="1"/>
          <w:bCs w:val="1"/>
          <w:u w:val="single" w:color="auto"/>
          <w:color w:val="auto"/>
        </w:rPr>
        <w:t>TRIAL BY JURY</w:t>
      </w:r>
      <w:r>
        <w:rPr>
          <w:rFonts w:ascii="Times New Roman" w:cs="Times New Roman" w:eastAsia="Times New Roman" w:hAnsi="Times New Roman"/>
          <w:sz w:val="18"/>
          <w:szCs w:val="18"/>
          <w:b w:val="1"/>
          <w:bCs w:val="1"/>
          <w:color w:val="auto"/>
        </w:rPr>
        <w:t>.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78"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Amendments and Modifications</w:t>
      </w:r>
      <w:r>
        <w:rPr>
          <w:rFonts w:ascii="Times New Roman" w:cs="Times New Roman" w:eastAsia="Times New Roman" w:hAnsi="Times New Roman"/>
          <w:sz w:val="17"/>
          <w:szCs w:val="17"/>
          <w:color w:val="auto"/>
        </w:rPr>
        <w:t xml:space="preserve">.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notwithstanding the foregoing, any amendment hereto or waiver hereof shall also require the written consent of the Sponsor so long as the Sponsor and its affiliates hold, in the aggregate, at least one percent (1%) of the outstanding shares of Class A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notwithstanding the foregoing, any amendment hereto or waiver hereof shall also require the written consent of each Investor Stockholder so long as such Investor Stockholder and its respective affiliates hold, in the aggregate, at least one percent (1%) of the outstanding shares of Class A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notwithstanding the foregoing, any amendment hereto or waiver hereof shall also require the written consent of each ProKidney Holder so long as such ProKidney Holder and its affiliates hold, in the aggregate, at least one percent (1%) of the outstanding shares of Class A Common Stock;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amendment hereto or waiver hereof that adversely affects one Holder, solely in its capacity as a holder of the shares of capital stock of the Company, in a manner that is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Notwithstanding anything herein to the contrary, any provision hereof may be waived by any waiving party on such party’s own behalf, without the consent of any other party.</w:t>
      </w:r>
    </w:p>
    <w:p>
      <w:pPr>
        <w:spacing w:after="0" w:line="7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Other than as provided in the Subscription Agreements,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For so long as (a) the Sponsor and its affiliates hold, in the aggregate, at least one percent (1%) of the outstanding shares of Class A Common Stock,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(such rights “</w:t>
      </w:r>
      <w:r>
        <w:rPr>
          <w:rFonts w:ascii="Times New Roman" w:cs="Times New Roman" w:eastAsia="Times New Roman" w:hAnsi="Times New Roman"/>
          <w:sz w:val="18"/>
          <w:szCs w:val="18"/>
          <w:b w:val="1"/>
          <w:bCs w:val="1"/>
          <w:i w:val="1"/>
          <w:iCs w:val="1"/>
          <w:color w:val="auto"/>
        </w:rPr>
        <w:t>Competing Registration Rights</w:t>
      </w:r>
      <w:r>
        <w:rPr>
          <w:rFonts w:ascii="Times New Roman" w:cs="Times New Roman" w:eastAsia="Times New Roman" w:hAnsi="Times New Roman"/>
          <w:sz w:val="18"/>
          <w:szCs w:val="18"/>
          <w:color w:val="auto"/>
        </w:rPr>
        <w:t>”) without the prior written consent of the Sponsor, (b) an Investor Stockholder and its affiliates hold, in the aggregate, at least one percent (1%) of the outstanding shares of Class A Common Stock, the Company hereby agrees and covenants that it will not grant Competing Registration Rights without the prior written consent of such Investor Stockholder, and (c) a ProKidney Holder and its affiliates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165" w:name="page166"/>
    <w:bookmarkEnd w:id="16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 in the aggregate, at least one percent (1%) of the outstanding shares of Class A Common Stock, the Company hereby agrees and covenants that it will not grant Competing Registration Rights without the prior written consent of such ProKidney Holder.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72" w:lineRule="exact"/>
        <w:rPr>
          <w:sz w:val="20"/>
          <w:szCs w:val="20"/>
          <w:color w:val="auto"/>
        </w:rPr>
      </w:pPr>
    </w:p>
    <w:p>
      <w:pPr>
        <w:ind w:firstLine="440"/>
        <w:spacing w:after="0" w:line="22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on the earlier of (a) the tenth (10</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xml:space="preserve">) anniversary of the date of this Agreement and (b) with respect to any Holder, on the date that such Holder no longer holds any Registrable Securities. The provisions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3.5 and </w:t>
      </w:r>
      <w:r>
        <w:rPr>
          <w:rFonts w:ascii="Times New Roman" w:cs="Times New Roman" w:eastAsia="Times New Roman" w:hAnsi="Times New Roman"/>
          <w:sz w:val="18"/>
          <w:szCs w:val="18"/>
          <w:u w:val="single" w:color="auto"/>
          <w:color w:val="auto"/>
        </w:rPr>
        <w:t>Articles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shall survive any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5256530</wp:posOffset>
            </wp:positionH>
            <wp:positionV relativeFrom="paragraph">
              <wp:posOffset>-161925</wp:posOffset>
            </wp:positionV>
            <wp:extent cx="1714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 by such Holder in order for the Company to make determinations hereunder.</w:t>
      </w:r>
    </w:p>
    <w:p>
      <w:pPr>
        <w:spacing w:after="0" w:line="5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Additional Holders; Joinder</w:t>
      </w:r>
      <w:r>
        <w:rPr>
          <w:rFonts w:ascii="Times New Roman" w:cs="Times New Roman" w:eastAsia="Times New Roman" w:hAnsi="Times New Roman"/>
          <w:sz w:val="18"/>
          <w:szCs w:val="18"/>
          <w:color w:val="auto"/>
        </w:rPr>
        <w:t xml:space="preserve">. In addition to persons or entities who may become Holders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subject to the prior written consent of each of the Sponsor, each ProKidney Holder and each Investor Stockholder (in each case, so long as such Holder and its affiliates hold, in the aggregate, at least one percent (1%) of the outstanding shares of Class A Common Stock), the Company may make any person or entity who acquires Class A Common Stock or rights to acquire Class A Common Stock after the date hereof a party to this Agreement (each such person or entity, an “</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by obtaining an executed joinder to this Agreement from such Additional Holder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Such Joinder shall specify the rights and obligations of the applicable Additional Holder under this Agreement. Upon the execution and delivery and subject to the terms of a Joinder by such Additional Holder, the Class A Common Stock then owned, or underlying any rights then owned, by such Additional Holder (the “</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shall be Registrable Securities to the extent provided herein and therein and such Additional Holder shall be a Holder under this Agreement with respect to such Additional Holder Common Stock.</w:t>
      </w:r>
    </w:p>
    <w:p>
      <w:pPr>
        <w:spacing w:after="0" w:line="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66" w:name="page167"/>
    <w:bookmarkEnd w:id="166"/>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of the parties acknowledges and agrees that the other parties would be damaged irreparably in the event any of the provisions of this Agreement are not performed in accordance with their specific terms or otherwise are breached or violated. Accordingly, to the fullest extent permitted by law, each of the parties agrees that, without posting bond or other undertaking, the other parties will be entitled to an injunction or injunctions to prevent breaches or violations of the provisions of this Agreement and to enforce specifically this Agreement and the terms and provisions hereof in any action, claim or suit in addition to any other remedy to which it may be entitled, at law or in equity. Each party further agrees that, in the event of any action for specific performance in respect of such breach or violation, it will not assert that the defense that a remedy at law would be adequate.</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Entire Agreement; Restatement</w:t>
      </w:r>
      <w:r>
        <w:rPr>
          <w:rFonts w:ascii="Times New Roman" w:cs="Times New Roman" w:eastAsia="Times New Roman" w:hAnsi="Times New Roman"/>
          <w:sz w:val="18"/>
          <w:szCs w:val="18"/>
          <w:color w:val="auto"/>
        </w:rPr>
        <w:t>. This Agreement constitutes the full and entire agreement and understanding between the parties with respect to the subject matter hereof and supersedes all prior agreements and understandings relating to such subject matter. Upon the Closing, the Original RRA shall no longer be of any force or effect.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Timothy A. Bertram</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1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780"/>
          </w:cols>
          <w:pgMar w:left="880" w:top="270" w:right="1239" w:bottom="1440" w:gutter="0" w:footer="0" w:header="0"/>
        </w:sectPr>
      </w:pPr>
    </w:p>
    <w:bookmarkStart w:id="168" w:name="page169"/>
    <w:bookmarkEnd w:id="16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SCS SPONSOR III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Chamath Palihapitiya</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6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69" w:name="page170"/>
    <w:bookmarkEnd w:id="16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TOLERANTIA,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5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70" w:name="page171"/>
    <w:bookmarkEnd w:id="17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CONTROL EMPRESARIAL DE CAPITALES, S.A. DE</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C.V.</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Armando Ibañez Vázquez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Armando Ibañez Vázquez</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15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960"/>
          </w:cols>
          <w:pgMar w:left="1440" w:top="266" w:right="499" w:bottom="1440" w:gutter="0" w:footer="0" w:header="0"/>
        </w:sectPr>
      </w:pPr>
    </w:p>
    <w:bookmarkStart w:id="171" w:name="page172"/>
    <w:bookmarkEnd w:id="17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PROKIDNEY MANAGEMENT EQUITY LLC</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Tolerantia, LLC, 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Jaime Gomez Sotomayor</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5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280"/>
          </w:cols>
          <w:pgMar w:left="1440" w:top="266" w:right="1179" w:bottom="1440" w:gutter="0" w:footer="0" w:header="0"/>
        </w:sectPr>
      </w:pPr>
    </w:p>
    <w:bookmarkStart w:id="172" w:name="page173"/>
    <w:bookmarkEnd w:id="17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MARC SEMIGRAN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Marc Semigran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73" w:name="page174"/>
    <w:bookmarkEnd w:id="17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8"/>
          <w:szCs w:val="18"/>
          <w:b w:val="1"/>
          <w:bCs w:val="1"/>
          <w:color w:val="auto"/>
        </w:rPr>
        <w:t>UMA SINHA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Uma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74" w:name="page175"/>
    <w:bookmarkEnd w:id="17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SUKUMAR NAGENDRAN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Sukumar Nagendran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DAVID SPIEGEL</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76" w:name="page177"/>
    <w:bookmarkEnd w:id="17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SC PIPE HOLDINGS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SC MASTER HOLDINGS, LLC, as sole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SOCIAL CAPITAL GROUP LLC, as sole member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Chamath Palihapitiya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840"/>
          </w:cols>
          <w:pgMar w:left="1440" w:top="266" w:right="619" w:bottom="1440" w:gutter="0" w:footer="0" w:header="0"/>
        </w:sectPr>
      </w:pPr>
    </w:p>
    <w:bookmarkStart w:id="177" w:name="page178"/>
    <w:bookmarkEnd w:id="17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AVERILL MASTER FUND, LTD.</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Glenn Shepard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Glenn Shepard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Registration Rights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78" w:name="page179"/>
    <w:bookmarkEnd w:id="178"/>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18"/>
          <w:szCs w:val="18"/>
          <w:b w:val="1"/>
          <w:bCs w:val="1"/>
          <w:color w:val="auto"/>
        </w:rPr>
        <w:t>ProKidney Holders</w:t>
      </w:r>
    </w:p>
    <w:p>
      <w:pPr>
        <w:spacing w:after="0" w:line="256"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Tolerantia,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Empresarial de Capitales, S.A. de C.V.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ProKidney Management Equity, LLC</w:t>
      </w:r>
    </w:p>
    <w:p>
      <w:pPr>
        <w:sectPr>
          <w:pgSz w:w="11900" w:h="16838" w:orient="portrait"/>
          <w:cols w:equalWidth="0" w:num="1">
            <w:col w:w="10023"/>
          </w:cols>
          <w:pgMar w:left="436" w:top="266" w:right="1440" w:bottom="1440" w:gutter="0" w:footer="0" w:header="0"/>
        </w:sectPr>
      </w:pPr>
    </w:p>
    <w:bookmarkStart w:id="179" w:name="page180"/>
    <w:bookmarkEnd w:id="179"/>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color w:val="auto"/>
        </w:rPr>
        <w:t>Investor Stockholders</w:t>
      </w:r>
    </w:p>
    <w:p>
      <w:pPr>
        <w:spacing w:after="0" w:line="256" w:lineRule="exact"/>
        <w:rPr>
          <w:sz w:val="20"/>
          <w:szCs w:val="20"/>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PIPE Holdings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w:t>
      </w:r>
    </w:p>
    <w:p>
      <w:pPr>
        <w:sectPr>
          <w:pgSz w:w="11900" w:h="16838" w:orient="portrait"/>
          <w:cols w:equalWidth="0" w:num="1">
            <w:col w:w="10023"/>
          </w:cols>
          <w:pgMar w:left="436" w:top="266"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 JOINDER</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The undersigned is executing and delivering this joinder (this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pursuant to the Amended and Restated Registration Rights Agreement, dated as of July 11, 2022 (as the same may hereafter be amended,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by and among ProKidney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other persons or entities named as parties therein. Capitalized terms used but not otherwise defined herein shall have the meanings provided in the Registration Rights Agreement.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undersigned and its permitted assigns (if any) shall not have any rights as a Holder, and the undersigned’s (and its transferees’) shares of Class A Common Stock shall not be included as Registrable Securities, for purposes of the Excluded Sections.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Joinder, “</w:t>
      </w:r>
      <w:r>
        <w:rPr>
          <w:rFonts w:ascii="Times New Roman" w:cs="Times New Roman" w:eastAsia="Times New Roman" w:hAnsi="Times New Roman"/>
          <w:sz w:val="18"/>
          <w:szCs w:val="18"/>
          <w:b w:val="1"/>
          <w:bCs w:val="1"/>
          <w:i w:val="1"/>
          <w:iCs w:val="1"/>
          <w:color w:val="auto"/>
        </w:rPr>
        <w:t>Excluded Sections</w:t>
      </w:r>
      <w:r>
        <w:rPr>
          <w:rFonts w:ascii="Times New Roman" w:cs="Times New Roman" w:eastAsia="Times New Roman" w:hAnsi="Times New Roman"/>
          <w:sz w:val="18"/>
          <w:szCs w:val="18"/>
          <w:color w:val="auto"/>
        </w:rPr>
        <w:t>” shall mean [________].]</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 __________ day of 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171450</wp:posOffset>
            </wp:positionV>
            <wp:extent cx="27946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325755</wp:posOffset>
            </wp:positionV>
            <wp:extent cx="27946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20__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11000"/>
          </w:cols>
          <w:pgMar w:left="440" w:top="266" w:right="45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LIMITED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FOR A LIMITED PARTNERSHIP CALLED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LP</w:t>
      </w:r>
    </w:p>
    <w:p>
      <w:pPr>
        <w:spacing w:after="0" w:line="20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THE COMMON UNITS OF PROKIDNEY LP HAVE NOT BEEN REGISTERED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SECURITIES LAWS OF ANY STATE OR OTHER JURISDICTION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AMENDED AND RESTATED LIMITED PARTNERSHIP AGREEMENT; AND (III) ANY OTHER TERMS AND CONDITIONS AGREED TO IN WRITING BETWEEN THE PARTNERSHIP AND THE APPLICABLE PARTNER. THE UNITS MAY NOT BE TRANSFERRED OF RECORD EXCEPT IN COMPLIANCE WITH SUCH LAWS, THIS AMENDED AND RESTATED LIMITED PARTNERSHIP AGREEMENT, AND ANY OTHER TERMS AND CONDITIONS AGREED TO IN WRITING BY THE PARTNERSHIP AND THE APPLICABLE PARTNER. THEREFORE, PARTNERS AND OTHER TRANSFEREES OF SUCH UNITS WILL BE REQUIRED TO BEAR THE RISK OF THEIR INVESTMENT OR ACQUISITION FOR AN INDEFINITE PERIOD OF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82" w:name="page183"/>
    <w:bookmarkEnd w:id="182"/>
    <w:p>
      <w:pPr>
        <w:ind w:right="40"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SECOND AMENDED AND RESTATED LIMITED PARTNERSHIP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into as of 11 July 2022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among those persons whose names are stated in the column headed ‘</w:t>
      </w:r>
      <w:r>
        <w:rPr>
          <w:rFonts w:ascii="Times New Roman" w:cs="Times New Roman" w:eastAsia="Times New Roman" w:hAnsi="Times New Roman"/>
          <w:sz w:val="17"/>
          <w:szCs w:val="17"/>
          <w:i w:val="1"/>
          <w:iCs w:val="1"/>
          <w:color w:val="auto"/>
        </w:rPr>
        <w:t>Names of Limited Partners</w:t>
      </w:r>
      <w:r>
        <w:rPr>
          <w:rFonts w:ascii="Times New Roman" w:cs="Times New Roman" w:eastAsia="Times New Roman" w:hAnsi="Times New Roman"/>
          <w:sz w:val="17"/>
          <w:szCs w:val="17"/>
          <w:color w:val="auto"/>
        </w:rPr>
        <w:t xml:space="preserve">’ in Part 1 of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and together with such other persons admitted, from time to time, as limited partners of the Partnership in accordance with the provisions of the Act and this Agreement, the “</w:t>
      </w:r>
      <w:r>
        <w:rPr>
          <w:rFonts w:ascii="Times New Roman" w:cs="Times New Roman" w:eastAsia="Times New Roman" w:hAnsi="Times New Roman"/>
          <w:sz w:val="17"/>
          <w:szCs w:val="17"/>
          <w:b w:val="1"/>
          <w:bCs w:val="1"/>
          <w:color w:val="auto"/>
        </w:rPr>
        <w:t>Limited Partners</w:t>
      </w:r>
      <w:r>
        <w:rPr>
          <w:rFonts w:ascii="Times New Roman" w:cs="Times New Roman" w:eastAsia="Times New Roman" w:hAnsi="Times New Roman"/>
          <w:sz w:val="17"/>
          <w:szCs w:val="17"/>
          <w:color w:val="auto"/>
        </w:rPr>
        <w:t>”), and ProKidney Corp. GP Limited (the “</w:t>
      </w:r>
      <w:r>
        <w:rPr>
          <w:rFonts w:ascii="Times New Roman" w:cs="Times New Roman" w:eastAsia="Times New Roman" w:hAnsi="Times New Roman"/>
          <w:sz w:val="17"/>
          <w:szCs w:val="17"/>
          <w:b w:val="1"/>
          <w:bCs w:val="1"/>
          <w:color w:val="auto"/>
        </w:rPr>
        <w:t>General Partner</w:t>
      </w:r>
      <w:r>
        <w:rPr>
          <w:rFonts w:ascii="Times New Roman" w:cs="Times New Roman" w:eastAsia="Times New Roman" w:hAnsi="Times New Roman"/>
          <w:sz w:val="17"/>
          <w:szCs w:val="17"/>
          <w:color w:val="auto"/>
        </w:rPr>
        <w:t>” ) and ProKidney GP Limited (solely for the purposes of approving the Post-Recapitalization Unit Issuance (if any) and retiring as a general partner of the Partnership).</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limited partnership called ProKidney LP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was formed under the Act with registered number L.P.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LP3324 pursuant to a limited partnership agreement effective as of 5 August 2021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6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17 January 2022, the Original Agreement was amended and restated in its entirety on the terms of a certain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Limited Partnership Agreement dated 17 January 2022 (the “</w:t>
      </w:r>
      <w:r>
        <w:rPr>
          <w:rFonts w:ascii="Times New Roman" w:cs="Times New Roman" w:eastAsia="Times New Roman" w:hAnsi="Times New Roman"/>
          <w:sz w:val="18"/>
          <w:szCs w:val="18"/>
          <w:b w:val="1"/>
          <w:bCs w:val="1"/>
          <w:color w:val="auto"/>
        </w:rPr>
        <w:t>Existing Partnership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following the effectiveness of this Agreement, in accordance with the Business Combination Agreement,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18 January 2022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Social Capital Suvretta Holdings Corp. III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and the Partnership, (i) the Partnership shall issue Common Units to certain of its Limited Partners as a Post-Recapitalization Unit Issuance, (ii) the Partnership shall issue Common Units to PubCo in exchange for a contribution by PubCo of a combination of Class B Common Shares, Acquiror Class B PMEL RSRs (as defined in the Business Combination Agreement) and cash, (iii) ProKidney GP Limited shall resign as the general partner of the Partnership and ProKidney Corp. GP Limited shall be admitted as the General Partner in substitution for ProKidney GP Limited, and (iv) the Partnership shall distribute such Class B Common Shares and Acquiror Class B PMEL RSRs to the Limited Partners (other than PubCo) (collectively,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Business Combination, each of the Units (as each is defined in the Existing Partnership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Partner outstanding prior to the effectiveness of this Agreement shall be replaced with the number of Common Units set forth opposite such Partner’s name on Schedule I hereto.</w:t>
      </w:r>
    </w:p>
    <w:p>
      <w:pPr>
        <w:spacing w:after="0" w:line="171" w:lineRule="exact"/>
        <w:rPr>
          <w:sz w:val="20"/>
          <w:szCs w:val="20"/>
          <w:color w:val="auto"/>
        </w:rPr>
      </w:pPr>
    </w:p>
    <w:p>
      <w:pPr>
        <w:jc w:val="both"/>
        <w:ind w:right="3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Partners have agreed to continue the Partnership and to amend and restate the Existing Partnership Agreement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on the terms of this Agreement with effect from the Effective Date, and PubCo, by its execution and delivery of this Agreement, is hereby admitted to the Partnership as a Limited Partner and shall have the rights and obligations as provided in this Agreement.</w:t>
      </w:r>
    </w:p>
    <w:p>
      <w:pPr>
        <w:spacing w:after="0" w:line="171"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set forth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is hereby acknowledged, the Existing Partnership Agreement is hereby amended and restated in its entirety on the terms of this Agreement (including to reflect the admission of PubCo as a new Limited Partner into the Partnership) (but without prejudice to any antecedent breach), such that, subject to the provisions of the Act, all matters between the Partners relating to the Partnership shall, with effect from the Effective Date, be governed by the terms of this Agreement, as follows: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83" w:name="page184"/>
    <w:bookmarkEnd w:id="18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3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As used herein, the following terms shall have the following meanings: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 Day VWAP</w:t>
      </w:r>
      <w:r>
        <w:rPr>
          <w:rFonts w:ascii="Times New Roman" w:cs="Times New Roman" w:eastAsia="Times New Roman" w:hAnsi="Times New Roman"/>
          <w:sz w:val="18"/>
          <w:szCs w:val="18"/>
          <w:color w:val="auto"/>
        </w:rPr>
        <w:t>” means arithmetic average of the VWAP for an equivalent amount of Class A Common Shares each of the five</w:t>
      </w:r>
    </w:p>
    <w:p>
      <w:pPr>
        <w:spacing w:after="0" w:line="31" w:lineRule="exact"/>
        <w:rPr>
          <w:sz w:val="20"/>
          <w:szCs w:val="20"/>
          <w:color w:val="auto"/>
        </w:rPr>
      </w:pPr>
    </w:p>
    <w:p>
      <w:pPr>
        <w:ind w:left="760" w:right="480" w:firstLine="7"/>
        <w:spacing w:after="0" w:line="260" w:lineRule="auto"/>
        <w:tabs>
          <w:tab w:leader="none" w:pos="10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on the Trading Day immediately prior to a requested subscription or redemption date described in Section 7.4.10.</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Limited Partnerships Act 1907 and, as applicable, the Partnership Act 1890, each as amended and in effect at such time.</w:t>
      </w:r>
    </w:p>
    <w:p>
      <w:pPr>
        <w:spacing w:after="0" w:line="117" w:lineRule="exact"/>
        <w:rPr>
          <w:sz w:val="20"/>
          <w:szCs w:val="20"/>
          <w:color w:val="auto"/>
        </w:rPr>
      </w:pPr>
    </w:p>
    <w:p>
      <w:pPr>
        <w:ind w:left="760"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Acting in Concert</w:t>
      </w:r>
      <w:r>
        <w:rPr>
          <w:rFonts w:ascii="Times New Roman" w:cs="Times New Roman" w:eastAsia="Times New Roman" w:hAnsi="Times New Roman"/>
          <w:sz w:val="18"/>
          <w:szCs w:val="18"/>
          <w:color w:val="auto"/>
        </w:rPr>
        <w:t>” has the meaning set out in the Takeover Panel Act 1997 and as regards a takeover, two or more persons are deemed to be acting in concert if, under an agreement or understanding (either formal or informal) between them, they actively cooperate in the acquisition of securities in a company.</w:t>
      </w:r>
    </w:p>
    <w:p>
      <w:pPr>
        <w:spacing w:after="0" w:line="63" w:lineRule="exact"/>
        <w:rPr>
          <w:sz w:val="20"/>
          <w:szCs w:val="20"/>
          <w:color w:val="auto"/>
        </w:rPr>
      </w:pPr>
    </w:p>
    <w:p>
      <w:pPr>
        <w:ind w:left="760" w:right="12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Capital Account Balance</w:t>
      </w:r>
      <w:r>
        <w:rPr>
          <w:rFonts w:ascii="Times New Roman" w:cs="Times New Roman" w:eastAsia="Times New Roman" w:hAnsi="Times New Roman"/>
          <w:sz w:val="18"/>
          <w:szCs w:val="18"/>
          <w:color w:val="auto"/>
        </w:rPr>
        <w:t>” means, with respect to each Partner, the balance in such Partner’s Capital Account adjusted (i) by taking into account the adjustments, allocations and distributions described in Treasury Regulations Sections 1.704-1(b)(2)(ii)(d)(4), (5) and</w:t>
      </w:r>
    </w:p>
    <w:p>
      <w:pPr>
        <w:spacing w:after="0" w:line="1"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8"/>
          <w:szCs w:val="18"/>
          <w:color w:val="auto"/>
        </w:rPr>
        <w:t>(6); and (ii) by adding to such balance such Partner’s share of Partnership Minimum Gain and Partner Nonrecourse Debt Minimum Gain, determined pursuant to Treasury Regulations Sections 1.704-2(g) and 1.704-2(i)(5), and any amounts such Partner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77" w:lineRule="exact"/>
        <w:rPr>
          <w:sz w:val="20"/>
          <w:szCs w:val="20"/>
          <w:color w:val="auto"/>
        </w:rPr>
      </w:pPr>
    </w:p>
    <w:p>
      <w:pPr>
        <w:ind w:left="760"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xml:space="preserve">” means such part of the Capital Contribution of a Partner as is in the form of an interest-free loan which each Partner shall, subject to the terms of this Agreement, make to the Partnership from time to time, which, as of the date of this Agreement, shall be recorded by the General Partner opposite such Partner’s name in Part 2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shall thereafter be updated in the records of the Partnership on an ongoing basis by the General Partner.</w:t>
      </w:r>
    </w:p>
    <w:p>
      <w:pPr>
        <w:spacing w:after="0" w:line="68" w:lineRule="exact"/>
        <w:rPr>
          <w:sz w:val="20"/>
          <w:szCs w:val="20"/>
          <w:color w:val="auto"/>
        </w:rPr>
      </w:pPr>
    </w:p>
    <w:p>
      <w:pPr>
        <w:ind w:left="760"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any other Person that directly, or indirectly through one or more intermediaries, Controls, is Controlled by, or is under common Control with, such specified Person.</w:t>
      </w:r>
    </w:p>
    <w:p>
      <w:pPr>
        <w:spacing w:after="0" w:line="47" w:lineRule="exact"/>
        <w:rPr>
          <w:sz w:val="20"/>
          <w:szCs w:val="20"/>
          <w:color w:val="auto"/>
        </w:rPr>
      </w:pPr>
    </w:p>
    <w:p>
      <w:pPr>
        <w:ind w:left="760"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as executed and as it may be amended, modified, supplemented or restated from time to time, as provided herein.</w:t>
      </w:r>
    </w:p>
    <w:p>
      <w:pPr>
        <w:spacing w:after="0" w:line="47" w:lineRule="exact"/>
        <w:rPr>
          <w:sz w:val="20"/>
          <w:szCs w:val="20"/>
          <w:color w:val="auto"/>
        </w:rPr>
      </w:pPr>
    </w:p>
    <w:p>
      <w:pPr>
        <w:ind w:left="7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6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Assumed Tax Rate</w:t>
      </w:r>
      <w:r>
        <w:rPr>
          <w:rFonts w:ascii="Times New Roman" w:cs="Times New Roman" w:eastAsia="Times New Roman" w:hAnsi="Times New Roman"/>
          <w:sz w:val="17"/>
          <w:szCs w:val="17"/>
          <w:color w:val="auto"/>
        </w:rPr>
        <w:t>” means the highest effective marginal combined statutory U.S. federal, state and local income tax rate (including the tax imposed under Section 1411 of the Code on net investment income) for a taxable year prescribed for an individual or corporate resident in New York, New York (whichever results in the application of the highest state and local tax rate for a given type of income), and taking into account (a) the limitations imposed on the deductibility of expenses and other items, (b) the character (e.g., long-term or short-term capital</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84" w:name="page185"/>
    <w:bookmarkEnd w:id="18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gain or ordinary or exempt income) of the applicable income, and (c) the deductibility of state and local income taxes, to the extent applicable (and with any dollar limitation on state and local income tax deductibility assumed to be exceeded), but not taking into account any deduction under Section 199A of the Code or any similar state or local Law, as determined in good faith by the General Partner. For the avoidance of doubt, the Assumed Tax Rate shall be the same for all Partners.</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as of a particular date, the amount of cash on hand which the General Partner, in its reasonable discretion, deems available for Distribution to the Partners, taking into account all debts, liabilities and obligations of the Partnership then due and amounts that the General Partner, in its reasonable discretion, deems necessary to expend or retain for working capital or to place into reserves for customary and usual claims with respect to the Partnership’s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set forth in the recitals of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has the meaning set forth in the recitals of this Agreement.</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on which commercial banks are open for business in the city of New York, New York, United States of America and in Ireland and the Cayman Islands.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xml:space="preserve">” means the separate capital account maintained for each Partner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Contribution</w:t>
      </w:r>
      <w:r>
        <w:rPr>
          <w:rFonts w:ascii="Times New Roman" w:cs="Times New Roman" w:eastAsia="Times New Roman" w:hAnsi="Times New Roman"/>
          <w:sz w:val="18"/>
          <w:szCs w:val="18"/>
          <w:color w:val="auto"/>
        </w:rPr>
        <w:t>” means, with respect to any Partner, the aggregate amount of the money and the initial Carrying Value of any property (other than money), net of any liabilities assumed by the Partnership upon contribution or to which such property is subject, contributed by a Partner to the Partnership (by way of Equity Contribution or Advance) for the issuance of Units. Any reference to the Capital Contribution of a Partner will include any Capital Contributions made by a predecessor holder of such Partner’s Units to the extent that such Capital Contribution was made in respect of Units Transferred to such Partner. As of the Effective Time, each Partner shall be deemed to have made Capital Contributions equal to the Closing Date Capital Account Balance of such Partner set forth next to such Partner’s name on Schedule I hereto.</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Carrying Value</w:t>
      </w:r>
      <w:r>
        <w:rPr>
          <w:rFonts w:ascii="Times New Roman" w:cs="Times New Roman" w:eastAsia="Times New Roman" w:hAnsi="Times New Roman"/>
          <w:sz w:val="18"/>
          <w:szCs w:val="18"/>
          <w:color w:val="auto"/>
        </w:rPr>
        <w:t xml:space="preserve">” means, with respect to any Partnership asset, the asset’s adjusted basis for U.S. federal income tax purposes, except that the initial carrying value of assets contributed to the Partnership shall be their respective gross Fair Market Values on the date of contribution as determined by the General Partner, in its reasonable discretion, and the Carrying Values of all Partnership assets shall be adjusted to equal their respective Fair Market Values, in accordance with the rules set forth in Treasury Regulation Section 1.704-1(b)(2)(iv)(f), except as otherwise provided herein, as of: (a) the date of the acquisition of any additional Units of the Partnership by any new or existing Partner in exchange for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Capital Contribution; (b) the date of the Distribution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Partnership assets to a Partner as consideration for an interest in the Partnership; (c) the liquidation of the Partnership within the meaning of Treasury Regulations Section 1.704-1(b)(2)(ii)(g); (d) in connection with the grant of an interest in the Partnership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interest) as consideration for the provision of services to or for the benefit of the Partnership by an existing Partner acting in a</w:t>
      </w:r>
    </w:p>
    <w:p>
      <w:pPr>
        <w:spacing w:after="0" w:line="1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40"/>
          </w:cols>
          <w:pgMar w:left="1200" w:top="270" w:right="459" w:bottom="1440" w:gutter="0" w:footer="0" w:header="0"/>
        </w:sectPr>
      </w:pPr>
    </w:p>
    <w:bookmarkStart w:id="185" w:name="page186"/>
    <w:bookmarkEnd w:id="18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 capacity, or by a new Partner acting in a partner capacity in anticipation of being a Partner, (e) the acquisition of an interest in the Partnership upon the exercise of a non-compensatory option in accordance with Treasury Regulations Section 1.704-1(b)(2)(iv)(s); (f) the Effective Date in connection with the closing of the transactions contemplated by the Business Combination Agreement, (g) the conversion of any Restricted Common Units into Common Units upon the occurrence of a Vesting Event, if any, in accordance with principles similar to those set forth in Treasury Regulations Section 1.704-1(b)(2)(iv)(s); or (h) any other date specified in the Treasury Regulations; provided, however, that adjustments pursuant to clauses (a), (b), (d) and (g) above shall be made only if such adjustments are deemed necessary or appropriate by the General Partner, in its reasonable discretion, to reflect the relative economic interests of the Partners; and provided, further, if any non-compensatory option or Restricted Common Unit is outstanding upon the occurrence of an event described in this sentence (other than, if applicable, the non-compensatory options being exercised or the Restricted Common Units being converted that give rise to the occurrence of such event), Carrying Values shall be adjusted in accordance with Treasury Regulations Sections 1.704-1(b)(2)(iv)(f)(1) and 1.704-1(b)(2)(iv)(h)(2) (or, in the case of outstanding Restricted Common Units, in accordance with principles similar to those set forth in such Sections). The Carrying Value of any Partnership asset distributed to any Partner shall be adjusted immediately before such Distribution to equal its Fair Market Value. In the case of any asset that has a Carrying Value that differs from its adjusted tax basis, Carrying Value shall be adjusted by the amount of depreciation calculated for purposes of the definition of “Profits” and “Losses” rather than the amount of depreciation determined for U.S. federal income tax purposes, and depreciation shall be calculated by reference to Carrying Value rather than tax basis once Carrying Value differs from tax basis. The Carrying Value of Partnership assets shall be increased (or decreased) to reflect any adjustments to the adjusted basis of such assets pursuant to Code Section 734(b) or Section 743(b), but only to the extent that such adjustments are taken into account in determining Capital Accounts pursuant to Treasury Regulations Section 1.704-1(b)(2)(iv)(m); provided, however, that Carrying Values shall not be adjusted pursuant to this sentence to the extent that the General Partner reasonably determines that an adjustment pursuant to clauses (a) through (g) of the first sentence of this definition is necessary or appropriate in connection with the transaction that would otherwise result in an adjustment pursuant to this sentence. For clarity purposes, the applicable law for Mexican tax purposes shall be the Mexican income tax law.</w:t>
      </w:r>
    </w:p>
    <w:p>
      <w:pPr>
        <w:spacing w:after="0" w:line="9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has the meaning given to such term in the Tax Receivable Agreement; provided that, for the avoidance of doubt, any event that constitutes both a PubCo Offer and a Change of Control of PubCo shall be considered a PubCo Offer for purposes of this Agreement.</w:t>
      </w:r>
    </w:p>
    <w:p>
      <w:pPr>
        <w:spacing w:after="0" w:line="6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means the classes of Units into which the interests in the Partnership may be classified or divided from time to time by the General Partner pursuant to the provisions of this Agreement. As of the date of this Agreement, the only Class consists of the Common Units, which includes the Restricted Common Units. Subclasses within a Class shall not be separate Classes for purposes of this Agreement. For all purposes hereunder and under the Act, only such Classes expressly established under this Agreement, including by the General Partner in accordance with this Agreement, shall be deemed to be a class of interests in the Partnership.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Shares</w:t>
      </w:r>
      <w:r>
        <w:rPr>
          <w:rFonts w:ascii="Times New Roman" w:cs="Times New Roman" w:eastAsia="Times New Roman" w:hAnsi="Times New Roman"/>
          <w:sz w:val="18"/>
          <w:szCs w:val="18"/>
          <w:color w:val="auto"/>
        </w:rPr>
        <w:t>” means the Class A Ordinary Shares of PubCo, par value $0.0001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Common Shares</w:t>
      </w:r>
      <w:r>
        <w:rPr>
          <w:rFonts w:ascii="Times New Roman" w:cs="Times New Roman" w:eastAsia="Times New Roman" w:hAnsi="Times New Roman"/>
          <w:sz w:val="18"/>
          <w:szCs w:val="18"/>
          <w:color w:val="auto"/>
        </w:rPr>
        <w:t>” means the Class B Ordinary Shares of PubCo, par value $0.0001 per share.</w:t>
      </w:r>
    </w:p>
    <w:p>
      <w:pPr>
        <w:spacing w:after="0" w:line="16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40"/>
          </w:cols>
          <w:pgMar w:left="1200" w:top="270"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 pursuant to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Company Unitholder</w:t>
      </w:r>
      <w:r>
        <w:rPr>
          <w:rFonts w:ascii="Times New Roman" w:cs="Times New Roman" w:eastAsia="Times New Roman" w:hAnsi="Times New Roman"/>
          <w:sz w:val="18"/>
          <w:szCs w:val="18"/>
          <w:color w:val="auto"/>
        </w:rPr>
        <w:t>” has the meaning ascribed to such term in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Percentage Interest</w:t>
      </w:r>
      <w:r>
        <w:rPr>
          <w:rFonts w:ascii="Times New Roman" w:cs="Times New Roman" w:eastAsia="Times New Roman" w:hAnsi="Times New Roman"/>
          <w:sz w:val="18"/>
          <w:szCs w:val="18"/>
          <w:color w:val="auto"/>
        </w:rPr>
        <w:t>” means, with respect to any Partner, the quotient obtained by dividing the aggregate number of Common Units then owned by such Partner by the aggregate number of Common Units then owned by all Partners.</w:t>
      </w:r>
    </w:p>
    <w:p>
      <w:pPr>
        <w:spacing w:after="0" w:line="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means the Units of interest in the Partnership designated as the “Common Units” herein and having the rights pertaining thereto as are set forth in this Agreement, but shall exclude any Restricted Common Units prior to their conversion into Common Units upon the occurrence of a Vesting Event, if any.</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Competitively Sensitive Information</w:t>
      </w:r>
      <w:r>
        <w:rPr>
          <w:rFonts w:ascii="Times New Roman" w:cs="Times New Roman" w:eastAsia="Times New Roman" w:hAnsi="Times New Roman"/>
          <w:sz w:val="18"/>
          <w:szCs w:val="18"/>
          <w:color w:val="auto"/>
        </w:rPr>
        <w:t>” means, as it relates to any Partner, (i) information that contains details regarding the activities of the Partnership and its Affiliates which are competitive with the business of, or present a conflict of interest with, such Partner and/or its Affiliates, (ii) cost, pricing, vendor and supplier terms and information (including margin and profitability) regarding the products and services that the Partnership provides or may provide a Partner and/or its Affiliates pursuant to the Partnership’s commercial relationship with such Partner and/or its Affiliates or (iii) details, discussions or the existence of (or offers, proposals or inquiries for) any agreements with, business relationships with or work performed for, specific customers and other business partners who could be competitors of, or present a conflict of interest with, such Partner and/or its Affiliates, in each case as determined by the General Partner; provided that, this definition shall exclude any information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or otherwise made publicly available.</w:t>
      </w:r>
    </w:p>
    <w:p>
      <w:pPr>
        <w:spacing w:after="0" w:line="80"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w:t>
      </w:r>
      <w:r>
        <w:rPr>
          <w:rFonts w:ascii="Times New Roman" w:cs="Times New Roman" w:eastAsia="Times New Roman" w:hAnsi="Times New Roman"/>
          <w:sz w:val="18"/>
          <w:szCs w:val="18"/>
          <w:color w:val="auto"/>
        </w:rPr>
        <w:t>” means, in relation to any Person, any other person who is (i) connected for the purposes of Section 10 of the Taxes Consolidation Act 1997; (ii) who together with the first main person is Acting in Concert; and / or (iii) an Affiliate.</w:t>
      </w:r>
    </w:p>
    <w:p>
      <w:pPr>
        <w:spacing w:after="0" w:line="4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Partners</w:t>
      </w:r>
      <w:r>
        <w:rPr>
          <w:rFonts w:ascii="Times New Roman" w:cs="Times New Roman" w:eastAsia="Times New Roman" w:hAnsi="Times New Roman"/>
          <w:sz w:val="18"/>
          <w:szCs w:val="18"/>
          <w:color w:val="auto"/>
        </w:rPr>
        <w:t>” means the Limited Partners of the Partnership as of immediately prior to the Closing (as defined in the Business Combination Agreement) of the Business Combination; provided, however, that any PMEL Post-Combination Unitholder, who is or which is admitted as a Limited Partner at Closing, shall also be treated as a Continuing Partner for the purposes of this definition.</w:t>
      </w:r>
    </w:p>
    <w:p>
      <w:pPr>
        <w:spacing w:after="0" w:line="6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Partner Representative</w:t>
      </w:r>
      <w:r>
        <w:rPr>
          <w:rFonts w:ascii="Times New Roman" w:cs="Times New Roman" w:eastAsia="Times New Roman" w:hAnsi="Times New Roman"/>
          <w:sz w:val="18"/>
          <w:szCs w:val="18"/>
          <w:color w:val="auto"/>
        </w:rPr>
        <w:t>” means Pablo Legorreta or such other Person as may be appointed from time to time by the Requisite Continuing Partners.</w:t>
      </w:r>
    </w:p>
    <w:p>
      <w:pPr>
        <w:spacing w:after="0" w:line="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 including the ownership, directly or indirectly, of securities having the power to elect a majority of the board of directors or similar body governing the affairs of such Person.</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1200" w:top="266" w:right="479" w:bottom="1440" w:gutter="0" w:footer="0" w:header="0"/>
        </w:sectPr>
      </w:pPr>
    </w:p>
    <w:bookmarkStart w:id="187" w:name="page188"/>
    <w:bookmarkEnd w:id="187"/>
    <w:p>
      <w:pPr>
        <w:ind w:right="52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means, with respect to any Restricted Common Unit, the date on which a Vesting Event occurs for such Restricted Common Unit or such later date determined pursuant to Section 9.6.</w:t>
      </w:r>
    </w:p>
    <w:p>
      <w:pPr>
        <w:spacing w:after="0" w:line="47"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Transaction</w:t>
      </w:r>
      <w:r>
        <w:rPr>
          <w:rFonts w:ascii="Times New Roman" w:cs="Times New Roman" w:eastAsia="Times New Roman" w:hAnsi="Times New Roman"/>
          <w:sz w:val="18"/>
          <w:szCs w:val="18"/>
          <w:color w:val="auto"/>
        </w:rPr>
        <w:t>” means any liquidation, dissolution or winding up of the Partnership (whether occurring through one transaction or a series of related transactions, and whether voluntary or involuntary) and any other sale, redemption or Transfer of Units.</w:t>
      </w:r>
    </w:p>
    <w:p>
      <w:pPr>
        <w:spacing w:after="0" w:line="4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the transfer of any money or other property to a Partner in respect of its Units or other Equity Interests in the Partnership.</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 other than encumbrances arising under applicable securities Laws.</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Contribution</w:t>
      </w:r>
      <w:r>
        <w:rPr>
          <w:rFonts w:ascii="Times New Roman" w:cs="Times New Roman" w:eastAsia="Times New Roman" w:hAnsi="Times New Roman"/>
          <w:sz w:val="18"/>
          <w:szCs w:val="18"/>
          <w:color w:val="auto"/>
        </w:rPr>
        <w:t xml:space="preserve">” means such part of the Capital Contribution of a Partner as takes the form of amounts contributed to the capital of the Partnership from time to time by such Partner which, as of the date of this Agreement, shall be recorded by the General Partner opposite such Partner’s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shall thereafter be updated in the records of the Partnership on an ongoing basis by the General Partner.</w:t>
      </w:r>
    </w:p>
    <w:p>
      <w:pPr>
        <w:spacing w:after="0" w:line="6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(a) capital stock, membership interests, shares,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of the United States of America,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means the Exchange Agreement dated as of or about the date hereof by and among the Partnership, PubCo, the other Partners of the Partnership from time to time party thereto, and the other parties thereto, as amended from time to time.</w:t>
      </w:r>
    </w:p>
    <w:p>
      <w:pPr>
        <w:spacing w:after="0" w:line="47"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Transaction</w:t>
      </w:r>
      <w:r>
        <w:rPr>
          <w:rFonts w:ascii="Times New Roman" w:cs="Times New Roman" w:eastAsia="Times New Roman" w:hAnsi="Times New Roman"/>
          <w:sz w:val="18"/>
          <w:szCs w:val="18"/>
          <w:color w:val="auto"/>
        </w:rPr>
        <w:t>” means an exchange of Common Units and Class B Common Shares for Class A Common Shares of PubCo pursuant to, and in accordance with, the Exchange Agreement (including pursuant to a Direct Exchange (as defined in the Exchange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Partnership Agreement</w:t>
      </w:r>
      <w:r>
        <w:rPr>
          <w:rFonts w:ascii="Times New Roman" w:cs="Times New Roman" w:eastAsia="Times New Roman" w:hAnsi="Times New Roman"/>
          <w:sz w:val="18"/>
          <w:szCs w:val="18"/>
          <w:color w:val="auto"/>
        </w:rPr>
        <w:t>” has the meaning set forth in the recitals of this Agreement.</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Group</w:t>
      </w:r>
      <w:r>
        <w:rPr>
          <w:rFonts w:ascii="Times New Roman" w:cs="Times New Roman" w:eastAsia="Times New Roman" w:hAnsi="Times New Roman"/>
          <w:sz w:val="18"/>
          <w:szCs w:val="18"/>
          <w:color w:val="auto"/>
        </w:rPr>
        <w:t>” means, with respect to a Person who is an individual, (a) such Person’s spouse and direct descendants (whether natural or adopted) (collectively, for purposes of this definition, “relatives”), and (b) any trust, the trustee of which is such Person and which at all times is and remains solely for the benefit of such Person and/or such Person’s relatives.</w:t>
      </w:r>
    </w:p>
    <w:p>
      <w:pPr>
        <w:spacing w:after="0" w:line="1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40"/>
          </w:cols>
          <w:pgMar w:left="1200" w:top="266" w:right="459" w:bottom="1440" w:gutter="0" w:footer="0" w:header="0"/>
        </w:sectPr>
      </w:pPr>
    </w:p>
    <w:bookmarkStart w:id="188" w:name="page189"/>
    <w:bookmarkEnd w:id="188"/>
    <w:p>
      <w:pPr>
        <w:ind w:right="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unless otherwise determined by the General Partner in its sole discretion in accordance with Section 14.12, any twelve-month period commencing on January 1 and ending on December 31.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accounting principles generally accepted in the United States of America as in effect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Income Amount</w:t>
      </w:r>
      <w:r>
        <w:rPr>
          <w:rFonts w:ascii="Times New Roman" w:cs="Times New Roman" w:eastAsia="Times New Roman" w:hAnsi="Times New Roman"/>
          <w:sz w:val="18"/>
          <w:szCs w:val="18"/>
          <w:color w:val="auto"/>
        </w:rPr>
        <w:t>” has the meaning set forth in Section 6.1.4(a).</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means (a) each director and Officer of the General Partner, (b) any Person who is or was a Partnership Representative, (c) any Person that is required to be indemnified by PubCo as an “indemnitee” in accordance with the memorandum and articles of PubCo as in effect from time to time, (d) any Person or any additional or substitute Person who is or was serving, in each case of the following, at the request of the Partnership as an officer, director, employee, partner, agent, fiduciary or trustee of another Person; provided that, a Person shall not be an Indemnitee by reason of providing, on a fee-for-services basis, trustee, fiduciary or custodial services, (e) any other Person the General Partner in its sole discretion designates as an “Indemnitee” for purposes of this Agreement, (f) any former officer or director of ProKidney GP Limited or the Partnership pursuant to Section 6.7 of the Business Combination Agreement and (g) any heir, executor or administrator with respect to Persons named in clauses (a) through (f).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Partnership or any Partner, as the case may be.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Partner</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Event</w:t>
      </w:r>
      <w:r>
        <w:rPr>
          <w:rFonts w:ascii="Times New Roman" w:cs="Times New Roman" w:eastAsia="Times New Roman" w:hAnsi="Times New Roman"/>
          <w:sz w:val="18"/>
          <w:szCs w:val="18"/>
          <w:color w:val="auto"/>
        </w:rPr>
        <w:t>” means, whether occurring through one transaction or a series of related transactions, any liquidation, dissolution or winding up, voluntary or involuntary, of the Partnership.</w:t>
      </w:r>
    </w:p>
    <w:p>
      <w:pPr>
        <w:spacing w:after="0" w:line="4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means the Lock-Up Agreement dated as of or about the date hereof by and among PubCo, the Partnership, certain Partners of the Partnership and the other parties thereto, as amended from time to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has the meaning set forth in the Lock-Up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Deductions</w:t>
      </w:r>
      <w:r>
        <w:rPr>
          <w:rFonts w:ascii="Times New Roman" w:cs="Times New Roman" w:eastAsia="Times New Roman" w:hAnsi="Times New Roman"/>
          <w:sz w:val="18"/>
          <w:szCs w:val="18"/>
          <w:color w:val="auto"/>
        </w:rPr>
        <w:t>” has the meaning set forth in Treasury Regulations Section 1.704-2(b)(1). The amount of Nonrecourse Deductions of the Partnership for a Fiscal Year equals the net increase, if any, in the amount of Partnership Minimum Gain of the Partnership during that Fiscal Year, determined according to the provisions of Treasury Regulations Section 1.704-2(c).</w:t>
      </w:r>
    </w:p>
    <w:p>
      <w:pPr>
        <w:spacing w:after="0" w:line="1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60"/>
          </w:cols>
          <w:pgMar w:left="1200" w:top="266" w:right="439" w:bottom="1440" w:gutter="0" w:footer="0" w:header="0"/>
        </w:sectPr>
      </w:pPr>
    </w:p>
    <w:bookmarkStart w:id="189" w:name="page190"/>
    <w:bookmarkEnd w:id="189"/>
    <w:p>
      <w:pPr>
        <w:ind w:right="3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means each Person designated as an officer of the Partnership by the General Partner pursuant to and in accordance with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subject to any resolutions of the General Partner appointing such Person as an officer of the General Partner or relating to such appointment.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Unit</w:t>
      </w:r>
      <w:r>
        <w:rPr>
          <w:rFonts w:ascii="Times New Roman" w:cs="Times New Roman" w:eastAsia="Times New Roman" w:hAnsi="Times New Roman"/>
          <w:sz w:val="18"/>
          <w:szCs w:val="18"/>
          <w:color w:val="auto"/>
        </w:rPr>
        <w:t>” means, with respect to any Distribution (or other allocation of proceeds) pursuant to Section 6.1 or Section 6.2, any outstanding Unit, but shall exclude any Restricted Common Units prior to their conversion into Common Units upon the occurrence of a Vesting Event, if any.</w:t>
      </w:r>
    </w:p>
    <w:p>
      <w:pPr>
        <w:spacing w:after="0" w:line="6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w:t>
      </w:r>
      <w:r>
        <w:rPr>
          <w:rFonts w:ascii="Times New Roman" w:cs="Times New Roman" w:eastAsia="Times New Roman" w:hAnsi="Times New Roman"/>
          <w:sz w:val="18"/>
          <w:szCs w:val="18"/>
          <w:color w:val="auto"/>
        </w:rPr>
        <w:t>” means (a) the persons listed in Part 2 of Schedule 1 (including the General Partner); and (b) each Person who is hereafter admitted as a Partner in accordance with the terms of this Agreement and the Act.</w:t>
      </w:r>
    </w:p>
    <w:p>
      <w:pPr>
        <w:spacing w:after="0" w:line="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 Nonrecourse Debt Minimum Gain</w:t>
      </w:r>
      <w:r>
        <w:rPr>
          <w:rFonts w:ascii="Times New Roman" w:cs="Times New Roman" w:eastAsia="Times New Roman" w:hAnsi="Times New Roman"/>
          <w:sz w:val="18"/>
          <w:szCs w:val="18"/>
          <w:color w:val="auto"/>
        </w:rPr>
        <w:t>” means an amount with respect to each partner nonrecourse debt (as defined in Treasury Regulations Section 1.704-2(b)(4)) equal to the Partnership Minimum Gain that would result if such partner nonrecourse debt were treated as a nonrecourse liability (as defined in Treasury Regulations Section 1.704-2(b)(3)) determined in accordance with Treasury Regulations Section 1.704-2(i)(3).</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 Nonrecourse Deduction</w:t>
      </w:r>
      <w:r>
        <w:rPr>
          <w:rFonts w:ascii="Times New Roman" w:cs="Times New Roman" w:eastAsia="Times New Roman" w:hAnsi="Times New Roman"/>
          <w:sz w:val="18"/>
          <w:szCs w:val="18"/>
          <w:color w:val="auto"/>
        </w:rPr>
        <w:t>” has the meaning ascribed to the term “partner nonrecourse deductions” set forth in Treasury Regulations Section 1.704-2(i)(2).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Audit Provisions</w:t>
      </w:r>
      <w:r>
        <w:rPr>
          <w:rFonts w:ascii="Times New Roman" w:cs="Times New Roman" w:eastAsia="Times New Roman" w:hAnsi="Times New Roman"/>
          <w:sz w:val="18"/>
          <w:szCs w:val="18"/>
          <w:color w:val="auto"/>
        </w:rPr>
        <w:t>” means Code Sections 6221 through 6241, as in effect for taxable years of the Partnership together with any subsequent amendments thereto, Treasury Regulations promulgated thereunder, and published administrative interpretations thereof, and any comparable provisions of state, local or non-U.S. tax Law.</w:t>
      </w:r>
    </w:p>
    <w:p>
      <w:pPr>
        <w:spacing w:after="0" w:line="6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Minimum Gain</w:t>
      </w:r>
      <w:r>
        <w:rPr>
          <w:rFonts w:ascii="Times New Roman" w:cs="Times New Roman" w:eastAsia="Times New Roman" w:hAnsi="Times New Roman"/>
          <w:sz w:val="18"/>
          <w:szCs w:val="18"/>
          <w:color w:val="auto"/>
        </w:rPr>
        <w:t>” has the meaning ascribed to the term “partnership minimum gain” set forth in Treasury Regulations Sections 1.704-2(b)(2) and 1.704-2(d).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Representative</w:t>
      </w:r>
      <w:r>
        <w:rPr>
          <w:rFonts w:ascii="Times New Roman" w:cs="Times New Roman" w:eastAsia="Times New Roman" w:hAnsi="Times New Roman"/>
          <w:sz w:val="18"/>
          <w:szCs w:val="18"/>
          <w:color w:val="auto"/>
        </w:rPr>
        <w:t>” means any Person acting as the “partnership representative” pursuant to Section 7.7</w:t>
      </w:r>
      <w:r>
        <w:rPr>
          <w:rFonts w:ascii="Times New Roman" w:cs="Times New Roman" w:eastAsia="Times New Roman" w:hAnsi="Times New Roman"/>
          <w:sz w:val="18"/>
          <w:szCs w:val="18"/>
          <w:u w:val="single" w:color="auto"/>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 Required Tax Distribution</w:t>
      </w:r>
      <w:r>
        <w:rPr>
          <w:rFonts w:ascii="Times New Roman" w:cs="Times New Roman" w:eastAsia="Times New Roman" w:hAnsi="Times New Roman"/>
          <w:sz w:val="18"/>
          <w:szCs w:val="18"/>
          <w:color w:val="auto"/>
        </w:rPr>
        <w:t>” has the meaning set forth in Section 6.1.4.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any transferee in an Exempt Transfer.</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w:t>
      </w:r>
      <w:r>
        <w:rPr>
          <w:rFonts w:ascii="Times New Roman" w:cs="Times New Roman" w:eastAsia="Times New Roman" w:hAnsi="Times New Roman"/>
          <w:sz w:val="18"/>
          <w:szCs w:val="18"/>
          <w:color w:val="auto"/>
        </w:rPr>
        <w:t>” means ProKidney Management Equity LLC.</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Award Agreement Recipients</w:t>
      </w:r>
      <w:r>
        <w:rPr>
          <w:rFonts w:ascii="Times New Roman" w:cs="Times New Roman" w:eastAsia="Times New Roman" w:hAnsi="Times New Roman"/>
          <w:sz w:val="18"/>
          <w:szCs w:val="18"/>
          <w:color w:val="auto"/>
        </w:rPr>
        <w:t>” means the directors, officers, consultants, developers, contractors and employees of the Partnership, its former general partner or any Subsidiary of the Partnership, or any other Person who received PMEL Interests pursuant to the PMEL Award Agreements.</w:t>
      </w:r>
    </w:p>
    <w:p>
      <w:pPr>
        <w:spacing w:after="0" w:line="1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00"/>
          </w:cols>
          <w:pgMar w:left="1200" w:top="266" w:right="499" w:bottom="1440" w:gutter="0" w:footer="0" w:header="0"/>
        </w:sectPr>
      </w:pPr>
    </w:p>
    <w:bookmarkStart w:id="190" w:name="page191"/>
    <w:bookmarkEnd w:id="190"/>
    <w:p>
      <w:pPr>
        <w:ind w:right="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PMEL Award Agreements</w:t>
      </w:r>
      <w:r>
        <w:rPr>
          <w:rFonts w:ascii="Times New Roman" w:cs="Times New Roman" w:eastAsia="Times New Roman" w:hAnsi="Times New Roman"/>
          <w:sz w:val="18"/>
          <w:szCs w:val="18"/>
          <w:color w:val="auto"/>
        </w:rPr>
        <w:t>” means award agreements which were entered into between PMEL and the PMEL Award Agreement Recipients pursuant to which PMEL issued PMEL Interests to the PMEL Award Agreement Recipients, subject to certain terms, including as with respect to vesting and forfeiture, as contained therein.</w:t>
      </w:r>
    </w:p>
    <w:p>
      <w:pPr>
        <w:spacing w:after="0" w:line="6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Interests</w:t>
      </w:r>
      <w:r>
        <w:rPr>
          <w:rFonts w:ascii="Times New Roman" w:cs="Times New Roman" w:eastAsia="Times New Roman" w:hAnsi="Times New Roman"/>
          <w:sz w:val="18"/>
          <w:szCs w:val="18"/>
          <w:color w:val="auto"/>
        </w:rPr>
        <w:t>” means the Class B Profits Units in PMEL granted to the PMEL Award Recipients pursuant to the PMEL Award Agreements.</w:t>
      </w:r>
    </w:p>
    <w:p>
      <w:pPr>
        <w:spacing w:after="0" w:line="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RCU Vesting Event</w:t>
      </w:r>
      <w:r>
        <w:rPr>
          <w:rFonts w:ascii="Times New Roman" w:cs="Times New Roman" w:eastAsia="Times New Roman" w:hAnsi="Times New Roman"/>
          <w:sz w:val="18"/>
          <w:szCs w:val="18"/>
          <w:color w:val="auto"/>
        </w:rPr>
        <w:t>” means, with respect to any PMEL RCUs, the date on which a portion of PMEL RCUs would vest under the terms of the corresponding PMEL Award Agreement. With respect to any PMEL RCUs, the “corresponding PMEL Award Agreement” shall mean the PMEL Award Agreement pursuant to which the applicable PMEL Award Recipient received PMEL Interests, which PMEL Interests, by virtue of the transactions contemplated by the Business Combination Agreement, became PMEL RCUs held by a PMEL Post-Combination Unitholder hereunder.</w:t>
      </w:r>
    </w:p>
    <w:p>
      <w:pPr>
        <w:spacing w:after="0" w:line="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RCUs</w:t>
      </w:r>
      <w:r>
        <w:rPr>
          <w:rFonts w:ascii="Times New Roman" w:cs="Times New Roman" w:eastAsia="Times New Roman" w:hAnsi="Times New Roman"/>
          <w:sz w:val="18"/>
          <w:szCs w:val="18"/>
          <w:color w:val="auto"/>
        </w:rPr>
        <w:t>” means those Restricted Common Units issued to a PMEL Post-Combination Unitholder pursuant to the transactions contemplated by the Business Combination Agreement in respect of PMEL Interests of a PMEL Award Agreement Recipient that had not vested on the Effective Date and which Restricted Common Units are restricted subject to vesting and will vest upon the occurrence of each PMEL RCU Vesting Event, with the rights and privileges as set forth in this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PMEL Post-Combination Unitholder</w:t>
      </w:r>
      <w:r>
        <w:rPr>
          <w:rFonts w:ascii="Times New Roman" w:cs="Times New Roman" w:eastAsia="Times New Roman" w:hAnsi="Times New Roman"/>
          <w:sz w:val="18"/>
          <w:szCs w:val="18"/>
          <w:color w:val="auto"/>
        </w:rPr>
        <w:t>” has the meaning ascribed to such term in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Post-Recapitalization Unit Issuance</w:t>
      </w:r>
      <w:r>
        <w:rPr>
          <w:rFonts w:ascii="Times New Roman" w:cs="Times New Roman" w:eastAsia="Times New Roman" w:hAnsi="Times New Roman"/>
          <w:sz w:val="18"/>
          <w:szCs w:val="18"/>
          <w:color w:val="auto"/>
        </w:rPr>
        <w:t>” has the meaning set forth in the Business Combination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Indemnification</w:t>
      </w:r>
      <w:r>
        <w:rPr>
          <w:rFonts w:ascii="Times New Roman" w:cs="Times New Roman" w:eastAsia="Times New Roman" w:hAnsi="Times New Roman"/>
          <w:sz w:val="18"/>
          <w:szCs w:val="18"/>
          <w:color w:val="auto"/>
        </w:rPr>
        <w:t>” has the meaning set forth in Section 12.2.1.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has the meaning set forth in Section 12.2.1.</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Profits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means, for each Fiscal Year or other period, the taxable income or loss of the Partnership, or particular items thereof, determined in accordance with the accounting method used by the Partnership for U.S. federal income tax purposes with the following adjustments: (a) all items of income, gain, loss or deduction allocated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not be taken into account in computing such taxable income or loss (but the amounts of items to be specially allocated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determined by applying rules analogous to those set forth in the remainder of this definition of “Profits” and “Losses”); (b) any income of the Partnership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 recovery deductions with respect to such asset for purposes of determining Profits and Losses, if any, shall be an amount which bears the same ratio to such Carrying Value as the U.S. federal</w:t>
      </w:r>
    </w:p>
    <w:p>
      <w:pPr>
        <w:spacing w:after="0" w:line="1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00"/>
          </w:cols>
          <w:pgMar w:left="1200" w:top="266" w:right="499" w:bottom="1440" w:gutter="0" w:footer="0" w:header="0"/>
        </w:sectPr>
      </w:pPr>
    </w:p>
    <w:bookmarkStart w:id="191" w:name="page192"/>
    <w:bookmarkEnd w:id="19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income tax depreciation, amortization or other cost recovery deductions bears to such adjusted tax basis (provided that, if the U.S. federal income tax depreciation, amortization or other cost recovery deduction is zero, the General Partner may use any reasonable method for purposes of determining depreciation, amortization or other cost recovery deductions in calculating Profits and Losses); (f) to the extent that an adjustment to the adjusted tax basis of any Partnership asset pursuant to Code Section 734(b) is required pursuant to Treasury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such taxable income or loss and (g) except for items in (a) above, any expenditures of the Partnership not deductible in computing taxable income or loss, not properly capitalizable and not otherwise taken into account in computing Profits and Losses pursuant to this definition shall be treated as deductible items.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Board</w:t>
      </w:r>
      <w:r>
        <w:rPr>
          <w:rFonts w:ascii="Times New Roman" w:cs="Times New Roman" w:eastAsia="Times New Roman" w:hAnsi="Times New Roman"/>
          <w:sz w:val="18"/>
          <w:szCs w:val="18"/>
          <w:color w:val="auto"/>
        </w:rPr>
        <w:t>” means the board of directors of PubCo.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Offer</w:t>
      </w:r>
      <w:r>
        <w:rPr>
          <w:rFonts w:ascii="Times New Roman" w:cs="Times New Roman" w:eastAsia="Times New Roman" w:hAnsi="Times New Roman"/>
          <w:sz w:val="18"/>
          <w:szCs w:val="18"/>
          <w:color w:val="auto"/>
        </w:rPr>
        <w:t>” has the meaning set forth in Section 10.2.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Transaction</w:t>
      </w:r>
      <w:r>
        <w:rPr>
          <w:rFonts w:ascii="Times New Roman" w:cs="Times New Roman" w:eastAsia="Times New Roman" w:hAnsi="Times New Roman"/>
          <w:sz w:val="18"/>
          <w:szCs w:val="18"/>
          <w:color w:val="auto"/>
        </w:rPr>
        <w:t>” shall mean a Change of Control.</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Requisite Continuing Partners</w:t>
      </w:r>
      <w:r>
        <w:rPr>
          <w:rFonts w:ascii="Times New Roman" w:cs="Times New Roman" w:eastAsia="Times New Roman" w:hAnsi="Times New Roman"/>
          <w:sz w:val="17"/>
          <w:szCs w:val="17"/>
          <w:color w:val="auto"/>
        </w:rPr>
        <w:t>” means, as of the time of determination, the Partners that hold a majority of the Units that are collectively held by the Continuing Partners (other than PMEL) immediately prior to the Closing (as defined in the Business Combination Agreement).</w:t>
      </w:r>
    </w:p>
    <w:p>
      <w:pPr>
        <w:spacing w:after="0" w:line="2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Common Unit</w:t>
      </w:r>
      <w:r>
        <w:rPr>
          <w:rFonts w:ascii="Times New Roman" w:cs="Times New Roman" w:eastAsia="Times New Roman" w:hAnsi="Times New Roman"/>
          <w:sz w:val="18"/>
          <w:szCs w:val="18"/>
          <w:color w:val="auto"/>
        </w:rPr>
        <w:t>” means Units which are restricted and subject to vesting, and with the rights and privileges as set forth in this Agreement (including the Series 1 RCUs, the Series 2 RCUs, the Series 3 RCUs and the PMEL RCUs (which PMEL RCUs incorporate by reference the terms of the corresponding PMEL Award Agreements), and the General Partner shall maintain copies of the terms of such arrangements in its books and records.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1 RCU</w:t>
      </w:r>
      <w:r>
        <w:rPr>
          <w:rFonts w:ascii="Times New Roman" w:cs="Times New Roman" w:eastAsia="Times New Roman" w:hAnsi="Times New Roman"/>
          <w:sz w:val="18"/>
          <w:szCs w:val="18"/>
          <w:color w:val="auto"/>
        </w:rPr>
        <w:t>” means a Restricted Common Unit which is restricted subject to vesting and will vest upon the occurrence of a Series 1 Vesting Event, with the rights and privileges as set forth in this Agreement.</w:t>
      </w:r>
    </w:p>
    <w:p>
      <w:pPr>
        <w:spacing w:after="0" w:line="4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2 RCU</w:t>
      </w:r>
      <w:r>
        <w:rPr>
          <w:rFonts w:ascii="Times New Roman" w:cs="Times New Roman" w:eastAsia="Times New Roman" w:hAnsi="Times New Roman"/>
          <w:sz w:val="18"/>
          <w:szCs w:val="18"/>
          <w:color w:val="auto"/>
        </w:rPr>
        <w:t>” means a Restricted Common Unit which is restricted subject to vesting and will vest upon the occurrence of a Series 2 Vesting Event, with the rights and privileges as set forth in this Agreement.</w:t>
      </w:r>
    </w:p>
    <w:p>
      <w:pPr>
        <w:spacing w:after="0" w:line="4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3 RCU</w:t>
      </w:r>
      <w:r>
        <w:rPr>
          <w:rFonts w:ascii="Times New Roman" w:cs="Times New Roman" w:eastAsia="Times New Roman" w:hAnsi="Times New Roman"/>
          <w:sz w:val="18"/>
          <w:szCs w:val="18"/>
          <w:color w:val="auto"/>
        </w:rPr>
        <w:t>” means a Restricted Common Unit which is restricted subject to vesting and will vest upon the occurrence of a Series 3 Vesting Event, with the rights and privileges as set forth in this Agreement.</w:t>
      </w:r>
    </w:p>
    <w:p>
      <w:pPr>
        <w:spacing w:after="0" w:line="4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1 Vesting Event</w:t>
      </w:r>
      <w:r>
        <w:rPr>
          <w:rFonts w:ascii="Times New Roman" w:cs="Times New Roman" w:eastAsia="Times New Roman" w:hAnsi="Times New Roman"/>
          <w:sz w:val="18"/>
          <w:szCs w:val="18"/>
          <w:color w:val="auto"/>
        </w:rPr>
        <w:t>” means the occurrence or deemed occurrence of Triggering Event I (as defined in the Business Combination Agreement) in accordance with the Business Combination Agreement.</w:t>
      </w:r>
    </w:p>
    <w:p>
      <w:pPr>
        <w:spacing w:after="0" w:line="9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20"/>
          </w:cols>
          <w:pgMar w:left="1200" w:top="270" w:right="479" w:bottom="1440" w:gutter="0" w:footer="0" w:header="0"/>
        </w:sectPr>
      </w:pPr>
    </w:p>
    <w:bookmarkStart w:id="192" w:name="page193"/>
    <w:bookmarkEnd w:id="192"/>
    <w:p>
      <w:pPr>
        <w:ind w:right="5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Series 2 Vesting Event</w:t>
      </w:r>
      <w:r>
        <w:rPr>
          <w:rFonts w:ascii="Times New Roman" w:cs="Times New Roman" w:eastAsia="Times New Roman" w:hAnsi="Times New Roman"/>
          <w:sz w:val="18"/>
          <w:szCs w:val="18"/>
          <w:color w:val="auto"/>
        </w:rPr>
        <w:t>” means the occurrence or deemed occurrence of Triggering Event II (as defined in the Business Combination Agreement) in accordance with the Business Combination Agreement.</w:t>
      </w:r>
    </w:p>
    <w:p>
      <w:pPr>
        <w:spacing w:after="0" w:line="4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3 Vesting Event</w:t>
      </w:r>
      <w:r>
        <w:rPr>
          <w:rFonts w:ascii="Times New Roman" w:cs="Times New Roman" w:eastAsia="Times New Roman" w:hAnsi="Times New Roman"/>
          <w:sz w:val="18"/>
          <w:szCs w:val="18"/>
          <w:color w:val="auto"/>
        </w:rPr>
        <w:t>” means the occurrence or deemed occurrence of Triggering Event III (as defined in the Business Combination Agreement) in accordance with the Business Combination Agreement.</w:t>
      </w:r>
    </w:p>
    <w:p>
      <w:pPr>
        <w:spacing w:after="0" w:line="4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Law</w:t>
      </w:r>
      <w:r>
        <w:rPr>
          <w:rFonts w:ascii="Times New Roman" w:cs="Times New Roman" w:eastAsia="Times New Roman" w:hAnsi="Times New Roman"/>
          <w:sz w:val="18"/>
          <w:szCs w:val="18"/>
          <w:color w:val="auto"/>
        </w:rPr>
        <w:t>” means any law or regulation that could cause the underlying assets of the Partnership to be treated as assets of the Partner by virtue of its interest in the Partnership and thereby subject the Partnership and PubCo (or other persons responsible for the investment and operation of the Partnership’s assets) to laws or regulations that are similar to the fiduciary responsibility or prohibited transaction provisions contained in Title I of ERISA or Section 4975 of the Code.</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shares, membership interests,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Partnership shall be given effect only at such times that the Partnership has one or more Subsidiaries, and, unless otherwise indicated, the term “Subsidiary” refers to a Subsidiary of the Partnership.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Advances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Distributions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6.1.4(b).</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Estimation Period</w:t>
      </w:r>
      <w:r>
        <w:rPr>
          <w:rFonts w:ascii="Times New Roman" w:cs="Times New Roman" w:eastAsia="Times New Roman" w:hAnsi="Times New Roman"/>
          <w:sz w:val="18"/>
          <w:szCs w:val="18"/>
          <w:color w:val="auto"/>
        </w:rPr>
        <w:t>” shall mean each period from January 1 through March 31, from April 1 through May 31, from June 1 through August 31, and from September 1 through December 31 of each taxable year.</w:t>
      </w:r>
    </w:p>
    <w:p>
      <w:pPr>
        <w:spacing w:after="0" w:line="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means the Tax Receivable Agreement dated as of or about the date hereof among the Partnership, PubCo and the other parties from time to time party thereto, as amended from time to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has the meaning provided in the Exchange Agreement.</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in respect of any Unit, property or other asset, any sale, assignment, transfer, distribution, exchange, mortgage, pledge, hypothecation or other disposition thereof, whether voluntarily or by operation of Law, directly or indirectly, in whole or in part, including the exchange of any Unit for any other security or the entry into any swap or other arrangement that transfers to another, in whole or in part, any of the economic consequences of ownership of any Unit, whether any such transaction is to be settled by delivery of such securities, in cash or otherwise. The term “Transferred” shall have a meaning correlative to the foregoing.</w:t>
      </w:r>
    </w:p>
    <w:p>
      <w:pPr>
        <w:spacing w:after="0" w:line="1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40"/>
          </w:cols>
          <w:pgMar w:left="1200" w:top="266" w:right="459" w:bottom="1440" w:gutter="0" w:footer="0" w:header="0"/>
        </w:sectPr>
      </w:pPr>
    </w:p>
    <w:bookmarkStart w:id="193" w:name="page194"/>
    <w:bookmarkEnd w:id="193"/>
    <w:p>
      <w:pPr>
        <w:ind w:left="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means any Person that is a permitted transferee of a Partner’s interest in the Partnership, or part thereof.</w:t>
      </w:r>
    </w:p>
    <w:p>
      <w:pPr>
        <w:spacing w:after="0" w:line="117" w:lineRule="exact"/>
        <w:rPr>
          <w:sz w:val="20"/>
          <w:szCs w:val="20"/>
          <w:color w:val="auto"/>
        </w:rPr>
      </w:pPr>
    </w:p>
    <w:p>
      <w:pPr>
        <w:ind w:left="76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means a single unit of account for the purposes of (a) calculating the shares of the Partners in the profits of the Partnership,</w:t>
      </w:r>
    </w:p>
    <w:p>
      <w:pPr>
        <w:spacing w:after="0" w:line="31" w:lineRule="exact"/>
        <w:rPr>
          <w:sz w:val="20"/>
          <w:szCs w:val="20"/>
          <w:color w:val="auto"/>
        </w:rPr>
      </w:pPr>
    </w:p>
    <w:p>
      <w:pPr>
        <w:ind w:left="1020" w:hanging="25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voting rights of the Partners, and (c) ascertaining the respective rights, as between the Partners, in any other matters in</w:t>
      </w:r>
    </w:p>
    <w:p>
      <w:pPr>
        <w:spacing w:after="0" w:line="9" w:lineRule="exact"/>
        <w:rPr>
          <w:rFonts w:ascii="Times New Roman" w:cs="Times New Roman" w:eastAsia="Times New Roman" w:hAnsi="Times New Roman"/>
          <w:sz w:val="18"/>
          <w:szCs w:val="18"/>
          <w:color w:val="auto"/>
        </w:rPr>
      </w:pPr>
    </w:p>
    <w:p>
      <w:pPr>
        <w:ind w:left="7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term is used in this Agreement, and a Unit shall constitute an interest in the Partnership as provided in this Agreement and under the Act, entitling the holders thereof to the relative rights, title and interests in the profits, losses, deductions and credits of the Partnership at any particular time as set forth in this Agreement, and any and all other benefits to which a holder thereof may be entitled as a Partner as provided in this Agreement, together with the obligations of such Partner to comply with all terms and provisions of this Agreement. As at the Effective Date, the term “Units” means the Common Units, which includes the Restricted Common Units. The term “Units” shall also include any other Class of Units that is established after the Effective Date in accordance with this Agreement. For the avoidance of doubt, only Partners may hold Units.</w:t>
      </w:r>
    </w:p>
    <w:p>
      <w:pPr>
        <w:spacing w:after="0" w:line="76" w:lineRule="exact"/>
        <w:rPr>
          <w:sz w:val="20"/>
          <w:szCs w:val="20"/>
          <w:color w:val="auto"/>
        </w:rPr>
      </w:pPr>
    </w:p>
    <w:p>
      <w:pPr>
        <w:ind w:left="760"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Event</w:t>
      </w:r>
      <w:r>
        <w:rPr>
          <w:rFonts w:ascii="Times New Roman" w:cs="Times New Roman" w:eastAsia="Times New Roman" w:hAnsi="Times New Roman"/>
          <w:sz w:val="18"/>
          <w:szCs w:val="18"/>
          <w:color w:val="auto"/>
        </w:rPr>
        <w:t>” means (a) with respect to each Series 1 RCU, a Series 1 Vesting Event, (b) with respect to each Series 2 RCU, a Series 2 Vesting Event, (c) with respect to each Series 3 RCU, a Series 3 Vesting Event, and (d) with respect to each PMEL RCU, a PMEL RCU Vesting Event.</w:t>
      </w:r>
    </w:p>
    <w:p>
      <w:pPr>
        <w:spacing w:after="0" w:line="63" w:lineRule="exact"/>
        <w:rPr>
          <w:sz w:val="20"/>
          <w:szCs w:val="20"/>
          <w:color w:val="auto"/>
        </w:rPr>
      </w:pPr>
    </w:p>
    <w:p>
      <w:pPr>
        <w:jc w:val="center"/>
        <w:ind w:right="4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has the meaning provided in the Exchange Agreement.</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and the Schedules, unless the context otherwise requires:</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 reference to:</w:t>
      </w:r>
    </w:p>
    <w:p>
      <w:pPr>
        <w:spacing w:after="0" w:line="117" w:lineRule="exact"/>
        <w:rPr>
          <w:sz w:val="20"/>
          <w:szCs w:val="20"/>
          <w:color w:val="auto"/>
        </w:rPr>
      </w:pPr>
    </w:p>
    <w:p>
      <w:pPr>
        <w:ind w:left="1640" w:hanging="252"/>
        <w:spacing w:after="0"/>
        <w:tabs>
          <w:tab w:leader="none" w:pos="1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includes its personal representatives, successors in title and permitted assigns;</w:t>
      </w:r>
    </w:p>
    <w:p>
      <w:pPr>
        <w:spacing w:after="0" w:line="117" w:lineRule="exact"/>
        <w:rPr>
          <w:rFonts w:ascii="Times New Roman" w:cs="Times New Roman" w:eastAsia="Times New Roman" w:hAnsi="Times New Roman"/>
          <w:sz w:val="18"/>
          <w:szCs w:val="18"/>
          <w:color w:val="auto"/>
        </w:rPr>
      </w:pPr>
    </w:p>
    <w:p>
      <w:pPr>
        <w:ind w:left="980" w:right="940" w:firstLine="408"/>
        <w:spacing w:after="0" w:line="282" w:lineRule="auto"/>
        <w:tabs>
          <w:tab w:leader="none" w:pos="16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shall be construed so as to include any company, corporation or body corporate, wherever and however incorporated or established;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or similar expressions includes, unless otherwise specified, transmission by facsimile and email;</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 shall mean a calendar month; and</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referred to in this Agreement is a reference to that document as amended, varied, novated or supplemented at any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94" w:name="page195"/>
    <w:bookmarkEnd w:id="194"/>
    <w:p>
      <w:pPr>
        <w:spacing w:after="0"/>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w:t>
      </w:r>
      <w:r>
        <w:rPr>
          <w:sz w:val="20"/>
          <w:szCs w:val="20"/>
          <w:color w:val="auto"/>
        </w:rPr>
        <w:tab/>
      </w:r>
      <w:r>
        <w:rPr>
          <w:rFonts w:ascii="Times New Roman" w:cs="Times New Roman" w:eastAsia="Times New Roman" w:hAnsi="Times New Roman"/>
          <w:sz w:val="18"/>
          <w:szCs w:val="18"/>
          <w:color w:val="auto"/>
        </w:rPr>
        <w:t>A reference to a statute or statutory provision shall be construed as a reference to the laws of Ireland unless otherwise specified and includes:</w:t>
      </w:r>
    </w:p>
    <w:p>
      <w:pPr>
        <w:spacing w:after="0" w:line="117" w:lineRule="exact"/>
        <w:rPr>
          <w:sz w:val="20"/>
          <w:szCs w:val="20"/>
          <w:color w:val="auto"/>
        </w:rPr>
      </w:pPr>
    </w:p>
    <w:p>
      <w:pPr>
        <w:ind w:left="1640" w:hanging="252"/>
        <w:spacing w:after="0"/>
        <w:tabs>
          <w:tab w:leader="none" w:pos="1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made under it including all regulations, by-laws, orders and codes made thereunder;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repealed statute or statutory provision which it re-enacts (with or without modification);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 or statutory provision which modifies, consolidates, re-enacts or supersedes it.</w:t>
      </w:r>
    </w:p>
    <w:p>
      <w:pPr>
        <w:spacing w:after="0" w:line="131" w:lineRule="exact"/>
        <w:rPr>
          <w:sz w:val="20"/>
          <w:szCs w:val="20"/>
          <w:color w:val="auto"/>
        </w:rPr>
      </w:pPr>
    </w:p>
    <w:p>
      <w:pPr>
        <w:ind w:left="760" w:right="2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rule known as the ejusdem generis rule shall not apply and accordingly general words introduced by the word “other”, “including”, “include” and “in particular” or any similar expression shall not be given a restrictive meaning by reason of the fact that they are preceded by words indicating a particular class of acts, matters or things and shall be construed as illustrative and shall not limit the sense of the words preceding those terms.</w:t>
      </w:r>
    </w:p>
    <w:p>
      <w:pPr>
        <w:spacing w:after="0" w:line="85" w:lineRule="exact"/>
        <w:rPr>
          <w:sz w:val="20"/>
          <w:szCs w:val="20"/>
          <w:color w:val="auto"/>
        </w:rPr>
      </w:pPr>
    </w:p>
    <w:p>
      <w:pPr>
        <w:ind w:left="760" w:right="6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Notwithstanding anything to the contrary herein, the only amounts contributed as contributions of capital by the Partners, or any of them, for the purposes of the Act are their Equity Contributions and not the amount of any Advance.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FORMATION, TERM, PURPOSE</w:t>
      </w:r>
    </w:p>
    <w:p>
      <w:pPr>
        <w:spacing w:after="0" w:line="230" w:lineRule="exact"/>
        <w:rPr>
          <w:sz w:val="20"/>
          <w:szCs w:val="20"/>
          <w:color w:val="auto"/>
        </w:rPr>
      </w:pPr>
    </w:p>
    <w:p>
      <w:pPr>
        <w:ind w:left="760" w:right="2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 xml:space="preserve">Formation </w:t>
      </w:r>
      <w:r>
        <w:rPr>
          <w:rFonts w:ascii="Times New Roman" w:cs="Times New Roman" w:eastAsia="Times New Roman" w:hAnsi="Times New Roman"/>
          <w:sz w:val="18"/>
          <w:szCs w:val="18"/>
          <w:color w:val="auto"/>
        </w:rPr>
        <w:t>The Partnership has been formed as a limited partnership pursuant to the Act. This Agreement shall constitute the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the Partnership. The Partnership shall have no legal personality of its own. The rights, powers, duties, obligations and liabilities of the Partners shall be determined pursuant to the Act and this Agreement. To the extent that the rights, powers, duties, obligations and liabilities of any Partner are different by reason of any provision of this Agreement than they would be under the Act in the absence of such provision, this Agreement shall, to the extent permitted by the Act, control.</w:t>
      </w:r>
    </w:p>
    <w:p>
      <w:pPr>
        <w:spacing w:after="0" w:line="85" w:lineRule="exact"/>
        <w:rPr>
          <w:sz w:val="20"/>
          <w:szCs w:val="20"/>
          <w:color w:val="auto"/>
        </w:rPr>
      </w:pPr>
    </w:p>
    <w:p>
      <w:pPr>
        <w:jc w:val="both"/>
        <w:ind w:left="760" w:right="80" w:hanging="768"/>
        <w:spacing w:after="0" w:line="268" w:lineRule="auto"/>
        <w:tabs>
          <w:tab w:leader="none" w:pos="7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The name of the Partnership is ProKidney LP or such other name as shall from time to time be substituted by the General Partner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by the General Partner in accordance with the Act. The business of the Partnership shall be carried on under the partnership name. All proprietary and other rights in the partnership name are vested exclusively in the Partnership.</w:t>
      </w:r>
    </w:p>
    <w:p>
      <w:pPr>
        <w:spacing w:after="0" w:line="76" w:lineRule="exact"/>
        <w:rPr>
          <w:sz w:val="20"/>
          <w:szCs w:val="20"/>
          <w:color w:val="auto"/>
        </w:rPr>
      </w:pPr>
    </w:p>
    <w:p>
      <w:pPr>
        <w:ind w:left="760" w:right="160" w:hanging="76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Partnership shall continue in existence for as long as there are at least two Partners, except that the Partnership may be dissolved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w:t>
      </w:r>
    </w:p>
    <w:p>
      <w:pPr>
        <w:spacing w:after="0" w:line="60" w:lineRule="exact"/>
        <w:rPr>
          <w:sz w:val="20"/>
          <w:szCs w:val="20"/>
          <w:color w:val="auto"/>
        </w:rPr>
      </w:pPr>
    </w:p>
    <w:p>
      <w:pPr>
        <w:ind w:left="760" w:right="160" w:hanging="768"/>
        <w:spacing w:after="0" w:line="291" w:lineRule="auto"/>
        <w:tabs>
          <w:tab w:leader="none" w:pos="7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color w:val="auto"/>
        </w:rPr>
        <w:t xml:space="preserve">Registered principal place of business </w:t>
      </w:r>
      <w:r>
        <w:rPr>
          <w:rFonts w:ascii="Times New Roman" w:cs="Times New Roman" w:eastAsia="Times New Roman" w:hAnsi="Times New Roman"/>
          <w:sz w:val="17"/>
          <w:szCs w:val="17"/>
          <w:color w:val="auto"/>
        </w:rPr>
        <w:t>The registered principal place of business of the Partnership is at 70 Sir John Rogerson’s Quay,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Dublin 2, Ireland or such other place, in accordance with the Act, as may be decided by the General Partner from time to time. The General Partner shall make all necessary filings in connection with any such change to the registered principal place of business of the Partnership.</w:t>
      </w:r>
    </w:p>
    <w:p>
      <w:pPr>
        <w:spacing w:after="0" w:line="58" w:lineRule="exact"/>
        <w:rPr>
          <w:sz w:val="20"/>
          <w:szCs w:val="20"/>
          <w:color w:val="auto"/>
        </w:rPr>
      </w:pPr>
    </w:p>
    <w:p>
      <w:pPr>
        <w:ind w:left="760" w:hanging="768"/>
        <w:spacing w:after="0" w:line="262" w:lineRule="auto"/>
        <w:tabs>
          <w:tab w:leader="none" w:pos="7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auto"/>
        </w:rPr>
        <w:t xml:space="preserve">Liability </w:t>
      </w:r>
      <w:r>
        <w:rPr>
          <w:rFonts w:ascii="Times New Roman" w:cs="Times New Roman" w:eastAsia="Times New Roman" w:hAnsi="Times New Roman"/>
          <w:sz w:val="18"/>
          <w:szCs w:val="18"/>
          <w:color w:val="auto"/>
        </w:rPr>
        <w:t>The Partnership shall be a limited partnership within the meaning of the Act. If the Partnership is unable to pay its debts,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obligations, the liability of each Limited Partner to meet any shortfall will be limited to the amount of its Equity Contribution. The General Partner will be liable for all of the Partnership’s debts, liabilities and obligations which the Partnership is unable to pay in excess of the amounts for which the Limited Partners are liable.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95" w:name="page196"/>
    <w:bookmarkEnd w:id="195"/>
    <w:p>
      <w:pPr>
        <w:ind w:left="740" w:hanging="768"/>
        <w:spacing w:after="0" w:line="254" w:lineRule="auto"/>
        <w:tabs>
          <w:tab w:leader="none" w:pos="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w:t>
      </w:r>
      <w:r>
        <w:rPr>
          <w:sz w:val="20"/>
          <w:szCs w:val="20"/>
          <w:color w:val="auto"/>
        </w:rPr>
        <w:tab/>
      </w:r>
      <w:r>
        <w:rPr>
          <w:rFonts w:ascii="Times New Roman" w:cs="Times New Roman" w:eastAsia="Times New Roman" w:hAnsi="Times New Roman"/>
          <w:sz w:val="18"/>
          <w:szCs w:val="18"/>
          <w:b w:val="1"/>
          <w:bCs w:val="1"/>
          <w:color w:val="auto"/>
        </w:rPr>
        <w:t xml:space="preserve">Classification for Tax Purposes </w:t>
      </w:r>
      <w:r>
        <w:rPr>
          <w:rFonts w:ascii="Times New Roman" w:cs="Times New Roman" w:eastAsia="Times New Roman" w:hAnsi="Times New Roman"/>
          <w:sz w:val="18"/>
          <w:szCs w:val="18"/>
          <w:color w:val="auto"/>
        </w:rPr>
        <w:t>The Partners hereby acknowledge their intention that the Partnership be classified as a partnership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 “publicly traded partnership”) and not as an association taxable as a corporation for U.S. federal and state income tax purposes. Each Partner, by its execution or acceptance of this Agreement, covenants and agrees that, to the extent such Partner files any U.S. federal and state income tax or other U.S. tax return, such Partner will file such returns in a manner that is consistent with the Partnership’s tax classification as a partnership (other than a “publicly traded partnership”) for U.S. federal and state income tax purposes and will not take any action or make any election which is inconsistent with the classification of the Partnership, except as otherwise required pursuant to a “determination” within the meaning of Section 1313(a) of the Code. Notwithstanding anything to the contrary in this Agreement, this Agreement does not intend to create obligations for any Partner for U.S. federal and state tax purposes unless such Partner is considered as a U.S. person or is otherwise subject to tax under U.S. federal or state tax Law. For Mexican tax purposes, the Partnership will be treated as a corporation.</w:t>
      </w:r>
    </w:p>
    <w:p>
      <w:pPr>
        <w:spacing w:after="0" w:line="94" w:lineRule="exact"/>
        <w:rPr>
          <w:sz w:val="20"/>
          <w:szCs w:val="20"/>
          <w:color w:val="auto"/>
        </w:rPr>
      </w:pPr>
    </w:p>
    <w:p>
      <w:pPr>
        <w:ind w:left="740" w:right="20" w:hanging="768"/>
        <w:spacing w:after="0" w:line="254" w:lineRule="auto"/>
        <w:tabs>
          <w:tab w:leader="none" w:pos="7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color w:val="auto"/>
        </w:rPr>
        <w:t xml:space="preserve">Existence and Good Standing; Foreign Qualification </w:t>
      </w:r>
      <w:r>
        <w:rPr>
          <w:rFonts w:ascii="Times New Roman" w:cs="Times New Roman" w:eastAsia="Times New Roman" w:hAnsi="Times New Roman"/>
          <w:sz w:val="18"/>
          <w:szCs w:val="18"/>
          <w:color w:val="auto"/>
        </w:rPr>
        <w:t>The General Partner in its sole discretion may take all action which may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appropriate (i) for the continuation of the Partnership’s valid existence as a limited partnership under the laws of Ireland (and of each other jurisdiction in which such existence is necessary to enable the Partnership to conduct the business in which it is engaged) and (ii) for the maintenance, preservation and operation of the business of the Partnership in accordance with the provisions of this Agreement and applicable Laws and regulations. The General Partner in its sole discretion may file or cause to be filed for recordation in the proper office or offices in each other jurisdiction in which the Partnership is qualified, such certificates (including certificates of formation) and other documents as are required by the applicable statutes, rules or regulations of any such jurisdiction or as are required to reflect the identity of the Partners. The General Partner in its sole discretion may cause the Partnership to comply, to the extent procedures are available and those matters are reasonably within the control of the General Partner, with all requirements necessary to qualify the Partnership to do business in any jurisdiction other than Ireland.</w:t>
      </w:r>
    </w:p>
    <w:p>
      <w:pPr>
        <w:spacing w:after="0" w:line="91" w:lineRule="exact"/>
        <w:rPr>
          <w:sz w:val="20"/>
          <w:szCs w:val="20"/>
          <w:color w:val="auto"/>
        </w:rPr>
      </w:pPr>
    </w:p>
    <w:p>
      <w:pPr>
        <w:ind w:left="740" w:right="140" w:hanging="768"/>
        <w:spacing w:after="0" w:line="278" w:lineRule="auto"/>
        <w:tabs>
          <w:tab w:leader="none" w:pos="7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b w:val="1"/>
          <w:bCs w:val="1"/>
          <w:color w:val="auto"/>
        </w:rPr>
        <w:t xml:space="preserve">Business Purpose </w:t>
      </w:r>
      <w:r>
        <w:rPr>
          <w:rFonts w:ascii="Times New Roman" w:cs="Times New Roman" w:eastAsia="Times New Roman" w:hAnsi="Times New Roman"/>
          <w:sz w:val="17"/>
          <w:szCs w:val="17"/>
          <w:color w:val="auto"/>
        </w:rPr>
        <w:t>The purpose of the Partnership is to engage in (i) the ownership and operation of a biopharmaceutical business to, among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things, develop therapies designed to enhance renal functioning in humans with chronically diseased kidneys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740" w:right="520" w:firstLine="5"/>
        <w:spacing w:after="0" w:line="260" w:lineRule="auto"/>
        <w:tabs>
          <w:tab w:leader="none" w:pos="10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activities necessary or incidental thereto. The Partners shall carry on the Business in partnership in accordance with this Agreement and the requirements of the Act.</w:t>
      </w:r>
    </w:p>
    <w:p>
      <w:pPr>
        <w:spacing w:after="0" w:line="83" w:lineRule="exact"/>
        <w:rPr>
          <w:sz w:val="20"/>
          <w:szCs w:val="20"/>
          <w:color w:val="auto"/>
        </w:rPr>
      </w:pPr>
    </w:p>
    <w:p>
      <w:pPr>
        <w:ind w:left="740" w:right="740" w:hanging="768"/>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b w:val="1"/>
          <w:bCs w:val="1"/>
          <w:color w:val="auto"/>
        </w:rPr>
        <w:t xml:space="preserve">Title to Partnership Assets </w:t>
      </w:r>
      <w:r>
        <w:rPr>
          <w:rFonts w:ascii="Times New Roman" w:cs="Times New Roman" w:eastAsia="Times New Roman" w:hAnsi="Times New Roman"/>
          <w:sz w:val="18"/>
          <w:szCs w:val="18"/>
          <w:color w:val="auto"/>
        </w:rPr>
        <w:t>All property and assets of the Partnership, real and personal (including intellectual and other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shall belong to the Partners in proportion to their Common Percentage Interest.</w:t>
      </w:r>
    </w:p>
    <w:p>
      <w:pPr>
        <w:spacing w:after="0" w:line="60" w:lineRule="exact"/>
        <w:rPr>
          <w:sz w:val="20"/>
          <w:szCs w:val="20"/>
          <w:color w:val="auto"/>
        </w:rPr>
      </w:pPr>
    </w:p>
    <w:p>
      <w:pPr>
        <w:ind w:left="740" w:right="40" w:hanging="768"/>
        <w:spacing w:after="0" w:line="256" w:lineRule="auto"/>
        <w:tabs>
          <w:tab w:leader="none" w:pos="7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b w:val="1"/>
          <w:bCs w:val="1"/>
          <w:color w:val="auto"/>
        </w:rPr>
        <w:t xml:space="preserve">Partners; Reclassification; Admission of New Partners </w:t>
      </w:r>
      <w:r>
        <w:rPr>
          <w:rFonts w:ascii="Times New Roman" w:cs="Times New Roman" w:eastAsia="Times New Roman" w:hAnsi="Times New Roman"/>
          <w:sz w:val="18"/>
          <w:szCs w:val="18"/>
          <w:color w:val="auto"/>
        </w:rPr>
        <w:t>Each of the Persons listed on Schedule I hereto, as the same may be amended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to time in accordance with this Agreement, by virtue of its execution of this Agreement, are the Partners of the Partnership. The rights, duties and liabilities of the Partners shall be as provided in this Agreement and the Act. Subject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and the last sentence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with respect to substitute Partners, a Person may be admitted from time to time as a new Partner with the written consent of the General Partner in its sole discretion. Each new Partner shall execute and deliver to the General Partner an appropriate supplement to this Agreement pursuant to which the Person agrees to be bound by the terms and conditions of this Agreement, as it may be amended from time to time. A new General Partner or substitute General Partner may be admitted to the Partnership solely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66" w:right="459" w:bottom="1440" w:gutter="0" w:footer="0" w:header="0"/>
        </w:sectPr>
      </w:pPr>
    </w:p>
    <w:bookmarkStart w:id="196" w:name="page197"/>
    <w:bookmarkEnd w:id="196"/>
    <w:p>
      <w:pPr>
        <w:ind w:left="760" w:right="640" w:hanging="76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2.11</w:t>
      </w:r>
      <w:r>
        <w:rPr>
          <w:sz w:val="20"/>
          <w:szCs w:val="20"/>
          <w:color w:val="auto"/>
        </w:rPr>
        <w:tab/>
      </w:r>
      <w:r>
        <w:rPr>
          <w:rFonts w:ascii="Times New Roman" w:cs="Times New Roman" w:eastAsia="Times New Roman" w:hAnsi="Times New Roman"/>
          <w:sz w:val="18"/>
          <w:szCs w:val="18"/>
          <w:b w:val="1"/>
          <w:bCs w:val="1"/>
          <w:color w:val="auto"/>
        </w:rPr>
        <w:t xml:space="preserve">Resignation </w:t>
      </w:r>
      <w:r>
        <w:rPr>
          <w:rFonts w:ascii="Times New Roman" w:cs="Times New Roman" w:eastAsia="Times New Roman" w:hAnsi="Times New Roman"/>
          <w:sz w:val="18"/>
          <w:szCs w:val="18"/>
          <w:color w:val="auto"/>
        </w:rPr>
        <w:t>No Partner shall have the right to resign as a partner of the Partnership other than following the Transfer, redemption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of all Units owned by such Partner in accordance this Agreement.</w:t>
      </w:r>
    </w:p>
    <w:p>
      <w:pPr>
        <w:spacing w:after="0" w:line="6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color w:val="auto"/>
        </w:rPr>
        <w:t xml:space="preserve">Maximum number of partners </w:t>
      </w:r>
      <w:r>
        <w:rPr>
          <w:rFonts w:ascii="Times New Roman" w:cs="Times New Roman" w:eastAsia="Times New Roman" w:hAnsi="Times New Roman"/>
          <w:sz w:val="17"/>
          <w:szCs w:val="17"/>
          <w:color w:val="auto"/>
        </w:rPr>
        <w:t>The Partnership shall have no more than 20 partners.</w:t>
      </w:r>
    </w:p>
    <w:p>
      <w:pPr>
        <w:spacing w:after="0" w:line="131" w:lineRule="exact"/>
        <w:rPr>
          <w:sz w:val="20"/>
          <w:szCs w:val="20"/>
          <w:color w:val="auto"/>
        </w:rPr>
      </w:pPr>
    </w:p>
    <w:p>
      <w:pPr>
        <w:ind w:left="760" w:right="20" w:hanging="768"/>
        <w:spacing w:after="0" w:line="268" w:lineRule="auto"/>
        <w:tabs>
          <w:tab w:leader="none" w:pos="7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Each Partner, on behalf of itself and its successors and assigns, hereby represents, warrants, and agrees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 of the other Partners and the Partnership that as of such Partner’s admittance to the Partnership (or as of the date hereof for any Partner as of the date hereof) and as of each subsequent date that such Partner acquires any additional Units that:</w:t>
      </w:r>
    </w:p>
    <w:p>
      <w:pPr>
        <w:spacing w:after="0" w:line="78" w:lineRule="exact"/>
        <w:rPr>
          <w:sz w:val="20"/>
          <w:szCs w:val="20"/>
          <w:color w:val="auto"/>
        </w:rPr>
      </w:pPr>
    </w:p>
    <w:p>
      <w:pPr>
        <w:ind w:left="1420" w:right="40" w:hanging="647"/>
        <w:spacing w:after="0" w:line="254" w:lineRule="auto"/>
        <w:tabs>
          <w:tab w:leader="none" w:pos="1400" w:val="left"/>
        </w:tabs>
        <w:rPr>
          <w:sz w:val="20"/>
          <w:szCs w:val="20"/>
          <w:color w:val="auto"/>
        </w:rPr>
      </w:pPr>
      <w:r>
        <w:rPr>
          <w:rFonts w:ascii="Times New Roman" w:cs="Times New Roman" w:eastAsia="Times New Roman" w:hAnsi="Times New Roman"/>
          <w:sz w:val="18"/>
          <w:szCs w:val="18"/>
          <w:color w:val="auto"/>
        </w:rPr>
        <w:t>2.13.1</w:t>
      </w:r>
      <w:r>
        <w:rPr>
          <w:sz w:val="20"/>
          <w:szCs w:val="20"/>
          <w:color w:val="auto"/>
        </w:rPr>
        <w:tab/>
      </w:r>
      <w:r>
        <w:rPr>
          <w:rFonts w:ascii="Times New Roman" w:cs="Times New Roman" w:eastAsia="Times New Roman" w:hAnsi="Times New Roman"/>
          <w:sz w:val="18"/>
          <w:szCs w:val="18"/>
          <w:i w:val="1"/>
          <w:iCs w:val="1"/>
          <w:color w:val="auto"/>
        </w:rPr>
        <w:t xml:space="preserve">Organization; Authority </w:t>
      </w:r>
      <w:r>
        <w:rPr>
          <w:rFonts w:ascii="Times New Roman" w:cs="Times New Roman" w:eastAsia="Times New Roman" w:hAnsi="Times New Roman"/>
          <w:sz w:val="18"/>
          <w:szCs w:val="18"/>
          <w:color w:val="auto"/>
        </w:rPr>
        <w:t>To the extent it is not a natural person, (x) it is duly formed, validly existing and in good standing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under the Laws of the jurisdiction of its formation, and if required by Law is duly qualified to conduct business and is in good standing in the jurisdiction of its principal place of business (if not formed in such jurisdiction), and (y) has full corporate, limited liability company, partnership, trust or other applicable power and authority to execute and deliver this Agreement and to perform its obligations under this Agreement and all necessary actions by the board of directors, shareholders, managers, members, partners, trustees, beneficiaries or other Persons necessary for the due authorization, execution, delivery and performance of this Agreement by that Partner have been duly taken. It has duly executed and delivered this Agreement, and this Agreement is enforceable against such Partner in accordance with its terms, subject to bankruptcy, moratorium, insolvency and other Laws generally affecting creditors’ rights and general principles of equity (whether applied in a proceeding in a court of law or equity).</w:t>
      </w:r>
    </w:p>
    <w:p>
      <w:pPr>
        <w:spacing w:after="0" w:line="94" w:lineRule="exact"/>
        <w:rPr>
          <w:sz w:val="20"/>
          <w:szCs w:val="20"/>
          <w:color w:val="auto"/>
        </w:rPr>
      </w:pPr>
    </w:p>
    <w:p>
      <w:pPr>
        <w:ind w:left="1420" w:hanging="647"/>
        <w:spacing w:after="0" w:line="290" w:lineRule="auto"/>
        <w:tabs>
          <w:tab w:leader="none" w:pos="1400" w:val="left"/>
        </w:tabs>
        <w:rPr>
          <w:sz w:val="20"/>
          <w:szCs w:val="20"/>
          <w:color w:val="auto"/>
        </w:rPr>
      </w:pPr>
      <w:r>
        <w:rPr>
          <w:rFonts w:ascii="Times New Roman" w:cs="Times New Roman" w:eastAsia="Times New Roman" w:hAnsi="Times New Roman"/>
          <w:sz w:val="18"/>
          <w:szCs w:val="18"/>
          <w:color w:val="auto"/>
        </w:rPr>
        <w:t>2.13.2</w:t>
      </w:r>
      <w:r>
        <w:rPr>
          <w:sz w:val="20"/>
          <w:szCs w:val="20"/>
          <w:color w:val="auto"/>
        </w:rPr>
        <w:tab/>
      </w:r>
      <w:r>
        <w:rPr>
          <w:rFonts w:ascii="Times New Roman" w:cs="Times New Roman" w:eastAsia="Times New Roman" w:hAnsi="Times New Roman"/>
          <w:sz w:val="17"/>
          <w:szCs w:val="17"/>
          <w:i w:val="1"/>
          <w:iCs w:val="1"/>
          <w:color w:val="auto"/>
        </w:rPr>
        <w:t xml:space="preserve">Non-Contravention </w:t>
      </w:r>
      <w:r>
        <w:rPr>
          <w:rFonts w:ascii="Times New Roman" w:cs="Times New Roman" w:eastAsia="Times New Roman" w:hAnsi="Times New Roman"/>
          <w:sz w:val="17"/>
          <w:szCs w:val="17"/>
          <w:color w:val="auto"/>
        </w:rPr>
        <w:t>Its authorization, execution, delivery, and performance of this Agreement does not breach or conflict with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default under (x) such Partner’s charter or other governing documents to the extent it is not a natural person, (y) any material obligation under any other material agreement to which that Partner is a party or by which it is bound or (z) applicable Law.</w:t>
      </w:r>
    </w:p>
    <w:p>
      <w:pPr>
        <w:spacing w:after="0" w:line="61" w:lineRule="exact"/>
        <w:rPr>
          <w:sz w:val="20"/>
          <w:szCs w:val="20"/>
          <w:color w:val="auto"/>
        </w:rPr>
      </w:pPr>
    </w:p>
    <w:p>
      <w:pPr>
        <w:ind w:left="1420" w:right="340" w:hanging="647"/>
        <w:spacing w:after="0" w:line="281" w:lineRule="auto"/>
        <w:tabs>
          <w:tab w:leader="none" w:pos="1400" w:val="left"/>
        </w:tabs>
        <w:rPr>
          <w:sz w:val="20"/>
          <w:szCs w:val="20"/>
          <w:color w:val="auto"/>
        </w:rPr>
      </w:pPr>
      <w:r>
        <w:rPr>
          <w:rFonts w:ascii="Times New Roman" w:cs="Times New Roman" w:eastAsia="Times New Roman" w:hAnsi="Times New Roman"/>
          <w:sz w:val="18"/>
          <w:szCs w:val="18"/>
          <w:color w:val="auto"/>
        </w:rPr>
        <w:t>2.13.3</w:t>
      </w:r>
      <w:r>
        <w:rPr>
          <w:sz w:val="20"/>
          <w:szCs w:val="20"/>
          <w:color w:val="auto"/>
        </w:rPr>
        <w:tab/>
      </w:r>
      <w:r>
        <w:rPr>
          <w:rFonts w:ascii="Times New Roman" w:cs="Times New Roman" w:eastAsia="Times New Roman" w:hAnsi="Times New Roman"/>
          <w:sz w:val="17"/>
          <w:szCs w:val="17"/>
          <w:i w:val="1"/>
          <w:iCs w:val="1"/>
          <w:color w:val="auto"/>
        </w:rPr>
        <w:t xml:space="preserve">Due Inquiry </w:t>
      </w:r>
      <w:r>
        <w:rPr>
          <w:rFonts w:ascii="Times New Roman" w:cs="Times New Roman" w:eastAsia="Times New Roman" w:hAnsi="Times New Roman"/>
          <w:sz w:val="17"/>
          <w:szCs w:val="17"/>
          <w:color w:val="auto"/>
        </w:rPr>
        <w:t>It has had, prior to the execution and delivery of this Agreement, the opportunity to ask questions of and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answers from representatives of the Partnership concerning an investment in the Partnership, as well as the finances, operations, business and prospects of the Partnership, and the opportunity to obtain additional information to verify the accuracy of all information so obtained, and received all such information about the Partnership and the Units as it has requested.</w:t>
      </w:r>
    </w:p>
    <w:p>
      <w:pPr>
        <w:spacing w:after="0" w:line="70" w:lineRule="exact"/>
        <w:rPr>
          <w:sz w:val="20"/>
          <w:szCs w:val="20"/>
          <w:color w:val="auto"/>
        </w:rPr>
      </w:pPr>
    </w:p>
    <w:p>
      <w:pPr>
        <w:ind w:left="1420" w:right="80" w:hanging="647"/>
        <w:spacing w:after="0" w:line="258" w:lineRule="auto"/>
        <w:tabs>
          <w:tab w:leader="none" w:pos="1400" w:val="left"/>
        </w:tabs>
        <w:rPr>
          <w:sz w:val="20"/>
          <w:szCs w:val="20"/>
          <w:color w:val="auto"/>
        </w:rPr>
      </w:pPr>
      <w:r>
        <w:rPr>
          <w:rFonts w:ascii="Times New Roman" w:cs="Times New Roman" w:eastAsia="Times New Roman" w:hAnsi="Times New Roman"/>
          <w:sz w:val="18"/>
          <w:szCs w:val="18"/>
          <w:color w:val="auto"/>
        </w:rPr>
        <w:t>2.13.4</w:t>
      </w:r>
      <w:r>
        <w:rPr>
          <w:sz w:val="20"/>
          <w:szCs w:val="20"/>
          <w:color w:val="auto"/>
        </w:rPr>
        <w:tab/>
      </w:r>
      <w:r>
        <w:rPr>
          <w:rFonts w:ascii="Times New Roman" w:cs="Times New Roman" w:eastAsia="Times New Roman" w:hAnsi="Times New Roman"/>
          <w:sz w:val="18"/>
          <w:szCs w:val="18"/>
          <w:i w:val="1"/>
          <w:iCs w:val="1"/>
          <w:color w:val="auto"/>
        </w:rPr>
        <w:t xml:space="preserve">Purpose of Investment </w:t>
      </w:r>
      <w:r>
        <w:rPr>
          <w:rFonts w:ascii="Times New Roman" w:cs="Times New Roman" w:eastAsia="Times New Roman" w:hAnsi="Times New Roman"/>
          <w:sz w:val="18"/>
          <w:szCs w:val="18"/>
          <w:color w:val="auto"/>
        </w:rPr>
        <w:t>It is acquiring and holding its Units solely for investment purposes, for its own account and not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or benefit of any other Person and not with a view towards the distribution or dissemination thereof, did not decide to enter into this Agreement as a result of any general solicitation or general advertising within the meaning of Rule 502 of Regulation D under the Securities Act, and acknowledges and understands that no United States federal or state agency has passed upon or made any recommendation or endorsement of the offering of any Units.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197" w:name="page198"/>
    <w:bookmarkEnd w:id="197"/>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2.13.5</w:t>
      </w:r>
      <w:r>
        <w:rPr>
          <w:sz w:val="20"/>
          <w:szCs w:val="20"/>
          <w:color w:val="auto"/>
        </w:rPr>
        <w:tab/>
      </w:r>
      <w:r>
        <w:rPr>
          <w:rFonts w:ascii="Times New Roman" w:cs="Times New Roman" w:eastAsia="Times New Roman" w:hAnsi="Times New Roman"/>
          <w:sz w:val="17"/>
          <w:szCs w:val="17"/>
          <w:i w:val="1"/>
          <w:iCs w:val="1"/>
          <w:color w:val="auto"/>
        </w:rPr>
        <w:t xml:space="preserve">Transfer Restrictions </w:t>
      </w:r>
      <w:r>
        <w:rPr>
          <w:rFonts w:ascii="Times New Roman" w:cs="Times New Roman" w:eastAsia="Times New Roman" w:hAnsi="Times New Roman"/>
          <w:sz w:val="17"/>
          <w:szCs w:val="17"/>
          <w:color w:val="auto"/>
        </w:rPr>
        <w:t>It understands that the Units and the Class B Common Shares are each being Transferred in a transaction not</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involving a public offering within the meaning of the Securities Act, and the Units and Class B Common Shares will comprise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securities</w:t>
      </w:r>
      <w:r>
        <w:rPr>
          <w:rFonts w:ascii="Times New Roman" w:cs="Times New Roman" w:eastAsia="Times New Roman" w:hAnsi="Times New Roman"/>
          <w:sz w:val="17"/>
          <w:szCs w:val="17"/>
          <w:color w:val="auto"/>
        </w:rPr>
        <w:t>” within the meaning of Rule 144(a)(3) under the Securities Act which shall not be sold, pledged, hypothecated</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or otherwise transferred except in accordance with the terms of this Agreement. It understands and agrees that each of the Units and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Class B Common Shares received or retained by it as consideration under the Business Combination Agreement, including any Units</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or Class B Common Shares issued or delivered to it after the Closing pursuant to the Business Combination Agreement, may not be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Transferred during the Lock-Up Period except in accordance with the terms hereof. It agrees that, if in the future it decides to offer,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resell, pledge or otherwise Transfer any portion of its Units or Class B Common Shares, such Units and/or Class B Common Shares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may be offered, resold or otherwise Transferred only pursuant to an effective registration statement under the Securities Act or 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applicable exemption from registration and/or qualification under the Securities Act and applicable state securities Laws, and as 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condition precedent to any such Transfer, it may be required to deliver to the Partnership an opinion of counsel satisfactory to the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Partnership, and agrees, absent registration or an exemption with respect to its Units, not to resell any such Units and/or Class B</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Common Shares. For the avoidance of doubt, no Partner may Transfer all or any portion of its Units or other interest in the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Partnership (or beneficial interest therein), except as set forth in Section 10.</w:t>
      </w:r>
    </w:p>
    <w:p>
      <w:pPr>
        <w:spacing w:after="0" w:line="110" w:lineRule="exact"/>
        <w:rPr>
          <w:sz w:val="20"/>
          <w:szCs w:val="20"/>
          <w:color w:val="auto"/>
        </w:rPr>
      </w:pPr>
    </w:p>
    <w:p>
      <w:pPr>
        <w:ind w:left="1420" w:right="40" w:hanging="647"/>
        <w:spacing w:after="0" w:line="254" w:lineRule="auto"/>
        <w:tabs>
          <w:tab w:leader="none" w:pos="1400" w:val="left"/>
        </w:tabs>
        <w:rPr>
          <w:sz w:val="20"/>
          <w:szCs w:val="20"/>
          <w:color w:val="auto"/>
        </w:rPr>
      </w:pPr>
      <w:r>
        <w:rPr>
          <w:rFonts w:ascii="Times New Roman" w:cs="Times New Roman" w:eastAsia="Times New Roman" w:hAnsi="Times New Roman"/>
          <w:sz w:val="18"/>
          <w:szCs w:val="18"/>
          <w:color w:val="auto"/>
        </w:rPr>
        <w:t>2.13.6</w:t>
      </w:r>
      <w:r>
        <w:rPr>
          <w:sz w:val="20"/>
          <w:szCs w:val="20"/>
          <w:color w:val="auto"/>
        </w:rPr>
        <w:tab/>
      </w:r>
      <w:r>
        <w:rPr>
          <w:rFonts w:ascii="Times New Roman" w:cs="Times New Roman" w:eastAsia="Times New Roman" w:hAnsi="Times New Roman"/>
          <w:sz w:val="18"/>
          <w:szCs w:val="18"/>
          <w:i w:val="1"/>
          <w:iCs w:val="1"/>
          <w:color w:val="auto"/>
        </w:rPr>
        <w:t xml:space="preserve">Investor Status </w:t>
      </w:r>
      <w:r>
        <w:rPr>
          <w:rFonts w:ascii="Times New Roman" w:cs="Times New Roman" w:eastAsia="Times New Roman" w:hAnsi="Times New Roman"/>
          <w:sz w:val="18"/>
          <w:szCs w:val="18"/>
          <w:color w:val="auto"/>
        </w:rPr>
        <w:t>It (i) has adequate means of providing for its current needs and possible contingencies, is able to bear the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of its investment for an indefinite period of time and has a sufficient net worth to sustain a loss of its entire investment in the Partnership in the event such loss should occur, (ii) is sophisticated in financial matters and has such knowledge and experience in financial and business matters as to be capable of evaluating the merits and risks of an investment in the Partnership, (iii) is, or is controlled by, an “accredited investor,” as that term is defined in Rule 501(a) of Regulation D, promulgated under the Securities Act, and acknowledges the issuance of Units under this Agreement is being made in reliance on a private placement exemption to “accredited investors” within the meaning of Section 501(a) of Regulation D under the Securities Act or similar exemptions under federal and state Law, and (iv) is treated as a single partner within the meaning of Treasury Regulations Section 1.7704-1(h) (determined taking into account the rules of Treasury Regulations Section 1.7704-1(h)(3)).</w:t>
      </w:r>
    </w:p>
    <w:p>
      <w:pPr>
        <w:spacing w:after="0" w:line="94" w:lineRule="exact"/>
        <w:rPr>
          <w:sz w:val="20"/>
          <w:szCs w:val="20"/>
          <w:color w:val="auto"/>
        </w:rPr>
      </w:pPr>
    </w:p>
    <w:p>
      <w:pPr>
        <w:ind w:left="1420" w:right="40" w:hanging="647"/>
        <w:spacing w:after="0" w:line="273" w:lineRule="auto"/>
        <w:tabs>
          <w:tab w:leader="none" w:pos="1400" w:val="left"/>
        </w:tabs>
        <w:rPr>
          <w:sz w:val="20"/>
          <w:szCs w:val="20"/>
          <w:color w:val="auto"/>
        </w:rPr>
      </w:pPr>
      <w:r>
        <w:rPr>
          <w:rFonts w:ascii="Times New Roman" w:cs="Times New Roman" w:eastAsia="Times New Roman" w:hAnsi="Times New Roman"/>
          <w:sz w:val="18"/>
          <w:szCs w:val="18"/>
          <w:color w:val="auto"/>
        </w:rPr>
        <w:t>2.13.7</w:t>
      </w:r>
      <w:r>
        <w:rPr>
          <w:sz w:val="20"/>
          <w:szCs w:val="20"/>
          <w:color w:val="auto"/>
        </w:rPr>
        <w:tab/>
      </w:r>
      <w:r>
        <w:rPr>
          <w:rFonts w:ascii="Times New Roman" w:cs="Times New Roman" w:eastAsia="Times New Roman" w:hAnsi="Times New Roman"/>
          <w:sz w:val="17"/>
          <w:szCs w:val="17"/>
          <w:i w:val="1"/>
          <w:iCs w:val="1"/>
          <w:color w:val="auto"/>
        </w:rPr>
        <w:t xml:space="preserve">No Fraudulent Transfer </w:t>
      </w:r>
      <w:r>
        <w:rPr>
          <w:rFonts w:ascii="Times New Roman" w:cs="Times New Roman" w:eastAsia="Times New Roman" w:hAnsi="Times New Roman"/>
          <w:sz w:val="17"/>
          <w:szCs w:val="17"/>
          <w:color w:val="auto"/>
        </w:rPr>
        <w:t>The consummation of the transaction contemplated hereby will not render such Partner insolvent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fraudulent conveyance or fraudulent transfer under any Applicable Law, such Partner has not made any general assignment for the benefit of creditors and no proceeding seeking (a) relief for such Partner under any bankruptcy or insolvency law,</w:t>
      </w:r>
    </w:p>
    <w:p>
      <w:pPr>
        <w:spacing w:after="0" w:line="1" w:lineRule="exact"/>
        <w:rPr>
          <w:sz w:val="20"/>
          <w:szCs w:val="20"/>
          <w:color w:val="auto"/>
        </w:rPr>
      </w:pPr>
    </w:p>
    <w:p>
      <w:pPr>
        <w:ind w:left="1420" w:hanging="7"/>
        <w:spacing w:after="0" w:line="255" w:lineRule="auto"/>
        <w:tabs>
          <w:tab w:leader="none" w:pos="16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rearrangement or readjustment of such Partner debt, (c) the appointment of a receiver, custodian, liquidator or trustee to take possession of substantially all of the assets of such Partner, or (d) the liquidation of such Partner, has been commenced, is planned by such Partner or has been threatened by any other Person.</w:t>
      </w:r>
    </w:p>
    <w:p>
      <w:pPr>
        <w:spacing w:after="0" w:line="87" w:lineRule="exact"/>
        <w:rPr>
          <w:sz w:val="20"/>
          <w:szCs w:val="20"/>
          <w:color w:val="auto"/>
        </w:rPr>
      </w:pPr>
    </w:p>
    <w:p>
      <w:pPr>
        <w:ind w:left="760" w:right="20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b w:val="1"/>
          <w:bCs w:val="1"/>
          <w:color w:val="auto"/>
        </w:rPr>
        <w:t xml:space="preserve">Prior Partnership Agreement </w:t>
      </w:r>
      <w:r>
        <w:rPr>
          <w:rFonts w:ascii="Times New Roman" w:cs="Times New Roman" w:eastAsia="Times New Roman" w:hAnsi="Times New Roman"/>
          <w:sz w:val="18"/>
          <w:szCs w:val="18"/>
          <w:color w:val="auto"/>
        </w:rPr>
        <w:t>Each of the Partners agrees and acknowledges that this Agreement amends and restates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Agreement, which shall cease to be in effect upon this Agreement coming into effect. This Agreement shall come into effect on the Effective Date immediately prior to the Closing. The Post-Recapitalization Unit Issuance (if any) shall be treated as taking place immediately prior to the Closing. PubCo shall be admitted as a Limited Partner upon the Closing (and, for the avoidance of doubt, shall not be a Limited Partner at any time prior to the Closing).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198" w:name="page199"/>
    <w:bookmarkEnd w:id="1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INTERESTS IN PARTNERSHIP; PARTNERS; FORM OF CAPITAL CONTRIBUTIONS;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3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b w:val="1"/>
          <w:bCs w:val="1"/>
          <w:color w:val="auto"/>
        </w:rPr>
        <w:t xml:space="preserve">Units </w:t>
      </w:r>
      <w:r>
        <w:rPr>
          <w:rFonts w:ascii="Times New Roman" w:cs="Times New Roman" w:eastAsia="Times New Roman" w:hAnsi="Times New Roman"/>
          <w:sz w:val="18"/>
          <w:szCs w:val="18"/>
          <w:color w:val="auto"/>
        </w:rPr>
        <w:t>The interests of Partners in the Partnership shall be represented by Units, in accordance with Section 9.</w:t>
      </w:r>
    </w:p>
    <w:p>
      <w:pPr>
        <w:spacing w:after="0" w:line="131" w:lineRule="exact"/>
        <w:rPr>
          <w:sz w:val="20"/>
          <w:szCs w:val="20"/>
          <w:color w:val="auto"/>
        </w:rPr>
      </w:pPr>
    </w:p>
    <w:p>
      <w:pPr>
        <w:jc w:val="both"/>
        <w:ind w:left="760" w:right="220" w:hanging="768"/>
        <w:spacing w:after="0" w:line="262" w:lineRule="auto"/>
        <w:tabs>
          <w:tab w:leader="none" w:pos="7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Partners </w:t>
      </w:r>
      <w:r>
        <w:rPr>
          <w:rFonts w:ascii="Times New Roman" w:cs="Times New Roman" w:eastAsia="Times New Roman" w:hAnsi="Times New Roman"/>
          <w:sz w:val="18"/>
          <w:szCs w:val="18"/>
          <w:color w:val="auto"/>
        </w:rPr>
        <w:t>The respective names, addresses for notice number of Common Units and Capital Contributions made by the Partners are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Part 2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which are fully vested at the time of issuance.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shall be amended from time to time by the General Partner to reflect any changes of address, the admission of any substitute or additional Partners, any changes to the Common Units of any Partner or any changes to the information set forth thereon.</w:t>
      </w:r>
    </w:p>
    <w:p>
      <w:pPr>
        <w:spacing w:after="0" w:line="82" w:lineRule="exact"/>
        <w:rPr>
          <w:sz w:val="20"/>
          <w:szCs w:val="20"/>
          <w:color w:val="auto"/>
        </w:rPr>
      </w:pPr>
    </w:p>
    <w:p>
      <w:pPr>
        <w:ind w:left="76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 xml:space="preserve">Form of Capital Contributions </w:t>
      </w:r>
      <w:r>
        <w:rPr>
          <w:rFonts w:ascii="Times New Roman" w:cs="Times New Roman" w:eastAsia="Times New Roman" w:hAnsi="Times New Roman"/>
          <w:sz w:val="18"/>
          <w:szCs w:val="18"/>
          <w:color w:val="auto"/>
        </w:rPr>
        <w:t>Each Partner has made the Capital Contributions equal to the Equity Contribution and Advance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opposite each Partner’s name in Part 2 of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under the heading, “</w:t>
      </w:r>
      <w:r>
        <w:rPr>
          <w:rFonts w:ascii="Times New Roman" w:cs="Times New Roman" w:eastAsia="Times New Roman" w:hAnsi="Times New Roman"/>
          <w:sz w:val="18"/>
          <w:szCs w:val="18"/>
          <w:i w:val="1"/>
          <w:iCs w:val="1"/>
          <w:color w:val="auto"/>
        </w:rPr>
        <w:t>Capital Contribution</w:t>
      </w:r>
      <w:r>
        <w:rPr>
          <w:rFonts w:ascii="Times New Roman" w:cs="Times New Roman" w:eastAsia="Times New Roman" w:hAnsi="Times New Roman"/>
          <w:sz w:val="18"/>
          <w:szCs w:val="18"/>
          <w:color w:val="auto"/>
        </w:rPr>
        <w:t>”. Partners may make Capital Contributions (a) in full by way of an Equity Contribution or (b) partly by way of an Equity Contribution and partly by way of an Advance provided that at least 0.01% of the Capital Contribution shall be an Equity Contribution (with up to 99.99% being an Advance). No Limited Partner shall, while it remains a Limited Partner, be entitled directly or indirectly to draw out or receive back all or part of its Equity Contribution or Advances other than with the written agreement of the General Partner and the written consent of PubCo. The Partners intend to treat any Advances or Equity Contributions of a Partner to the Partnership as a contribution of property to the Partnership in exchange for an interest in the Partnership pursuant to Section 721 of the Code for U.S. federal income tax (or any similar provisions of applicable state or local tax Law) purposes and an equity contribution to the Partnership for Mexican tax purposes.</w:t>
      </w:r>
    </w:p>
    <w:p>
      <w:pPr>
        <w:spacing w:after="0" w:line="94" w:lineRule="exact"/>
        <w:rPr>
          <w:sz w:val="20"/>
          <w:szCs w:val="20"/>
          <w:color w:val="auto"/>
        </w:rPr>
      </w:pPr>
    </w:p>
    <w:p>
      <w:pPr>
        <w:ind w:left="760" w:right="140" w:hanging="768"/>
        <w:spacing w:after="0" w:line="268" w:lineRule="auto"/>
        <w:tabs>
          <w:tab w:leader="none" w:pos="7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 xml:space="preserve">No Additional Capital Contributions </w:t>
      </w:r>
      <w:r>
        <w:rPr>
          <w:rFonts w:ascii="Times New Roman" w:cs="Times New Roman" w:eastAsia="Times New Roman" w:hAnsi="Times New Roman"/>
          <w:sz w:val="18"/>
          <w:szCs w:val="18"/>
          <w:color w:val="auto"/>
        </w:rPr>
        <w:t>No Partner shall be required to make additional Capital Contributions to the Partnership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such Partner or permitted to make additional capital contributions to the Partnership without the consent of the General Partner, which may be granted or withheld in its sole discretion.</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 OF THE PARTNERSHIP</w:t>
      </w:r>
    </w:p>
    <w:p>
      <w:pPr>
        <w:spacing w:after="0" w:line="230" w:lineRule="exact"/>
        <w:rPr>
          <w:sz w:val="20"/>
          <w:szCs w:val="20"/>
          <w:color w:val="auto"/>
        </w:rPr>
      </w:pPr>
    </w:p>
    <w:p>
      <w:pPr>
        <w:ind w:left="760" w:right="8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Authority of the General Partner </w:t>
      </w:r>
      <w:r>
        <w:rPr>
          <w:rFonts w:ascii="Times New Roman" w:cs="Times New Roman" w:eastAsia="Times New Roman" w:hAnsi="Times New Roman"/>
          <w:sz w:val="18"/>
          <w:szCs w:val="18"/>
          <w:color w:val="auto"/>
        </w:rPr>
        <w:t>Except as expressly set forth herein, the business, property and affairs of the Partnership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exclusively managed, operated and controlled by the General Partner, and the General Partner shall have, and is hereby granted, the full and complete power, authority and discretion for, on behalf of and in the name of the Partnership, to take such actions as it may in its sole discretion deem necessary or advisable to carry out any and all of the objectives and purposes of the Partnership, subject only to the terms of this Agreement. The General Partner may from time to time delegate authority to Officers or to others to act on behalf of the Partnership.</w:t>
      </w:r>
    </w:p>
    <w:p>
      <w:pPr>
        <w:spacing w:after="0" w:line="85" w:lineRule="exact"/>
        <w:rPr>
          <w:sz w:val="20"/>
          <w:szCs w:val="20"/>
          <w:color w:val="auto"/>
        </w:rPr>
      </w:pPr>
    </w:p>
    <w:p>
      <w:pPr>
        <w:ind w:left="760" w:right="100" w:hanging="76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No Authority for the Limited Partners </w:t>
      </w:r>
      <w:r>
        <w:rPr>
          <w:rFonts w:ascii="Times New Roman" w:cs="Times New Roman" w:eastAsia="Times New Roman" w:hAnsi="Times New Roman"/>
          <w:sz w:val="18"/>
          <w:szCs w:val="18"/>
          <w:color w:val="auto"/>
        </w:rPr>
        <w:t>No Limited Partner, in his, her or its capacity as such, shall have any authority or right to act for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 the Partnership or to participate in or have any control over Partnership business.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6" w:right="499" w:bottom="1440" w:gutter="0" w:footer="0" w:header="0"/>
        </w:sectPr>
      </w:pPr>
    </w:p>
    <w:bookmarkStart w:id="199" w:name="page200"/>
    <w:bookmarkEnd w:id="199"/>
    <w:p>
      <w:pPr>
        <w:ind w:left="76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8"/>
          <w:szCs w:val="18"/>
          <w:b w:val="1"/>
          <w:bCs w:val="1"/>
          <w:color w:val="auto"/>
        </w:rPr>
        <w:t xml:space="preserve">Duties of the General Partner </w:t>
      </w:r>
      <w:r>
        <w:rPr>
          <w:rFonts w:ascii="Times New Roman" w:cs="Times New Roman" w:eastAsia="Times New Roman" w:hAnsi="Times New Roman"/>
          <w:sz w:val="18"/>
          <w:szCs w:val="18"/>
          <w:color w:val="auto"/>
        </w:rPr>
        <w:t>The General Partner shall exercise reasonable care and act in good faith in the best interests of the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performance of its duties and exercise of its powers hereunder and shall have regard to and, as necessary, comply with such matters as a prudent general partner would have regard to and comply with (having regard to trends and developments in the sectors in which the Partnership is operating) in the proper discharge of its duties including, without limitation, compliance with legislation applicable to the performance of its duties and exercise of its powers as General Partner as provided for herein.</w:t>
      </w:r>
    </w:p>
    <w:p>
      <w:pPr>
        <w:spacing w:after="0" w:line="85" w:lineRule="exact"/>
        <w:rPr>
          <w:sz w:val="20"/>
          <w:szCs w:val="20"/>
          <w:color w:val="auto"/>
        </w:rPr>
      </w:pPr>
    </w:p>
    <w:p>
      <w:pPr>
        <w:ind w:left="760" w:hanging="76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auto"/>
        </w:rPr>
        <w:t xml:space="preserve">Authorisation of the General Partner </w:t>
      </w:r>
      <w:r>
        <w:rPr>
          <w:rFonts w:ascii="Times New Roman" w:cs="Times New Roman" w:eastAsia="Times New Roman" w:hAnsi="Times New Roman"/>
          <w:sz w:val="18"/>
          <w:szCs w:val="18"/>
          <w:color w:val="auto"/>
        </w:rPr>
        <w:t>Without limiting the generality of the foregoing, but subject to any situations in which the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Limited Partners or PubCo is specifically required by this Agreement, (x) the General Partner shall have discretion in determining whether to issue Equity Interests of the Partnership, the number of Equity Interests of the Partnership to be issued at any particular time, the purchase price for any Equity Interests of the Partnership issued, and all other terms and conditions governing the issuance of Equity Interests of the Partnership; provided that notwithstanding anything to the contrary herein, no Equity Interests ranking senior to the Common Units held by PubCo (including with respect to voting, liquidation and distribution rights) shall be authorized or issued without the prior written consent of PubCo; and (y) the General Partner (with the prior written consent of PubCo) may enter into, approve, and consummate any Liquidity Event or other extraordinary or business combination or divestiture transaction, and execute and deliver on behalf of the Partnership or the Partners any agreement, document and instrument in connection therewith (including amendments, if any, to this Agreement or adoptions of new constituent documents) without the approval or consent of any other Partner. The General Partner shall operate the Partnership and its Subsidiaries in accordance in all material respects with an annual budget, business plan and financial forecasts for the Partnership and its Subsidiaries for each fiscal year. Without prejudice to the generality of the foregoing, the General Partner shall have full power and authority, on behalf of the Partnership and so as to bind the Partnership thereby, and the Limited Partners expressly authorise the General Partner:</w:t>
      </w:r>
    </w:p>
    <w:p>
      <w:pPr>
        <w:spacing w:after="0" w:line="95"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color w:val="auto"/>
        </w:rPr>
        <w:t>to develop and prepare a business plan each year which will set forth the operating goals and plans for the Partnership;</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7"/>
          <w:szCs w:val="17"/>
          <w:color w:val="auto"/>
        </w:rPr>
        <w:t>to deal with the entire legal and/or beneficial interest in all or any part of the Partnership Assets;</w:t>
      </w:r>
    </w:p>
    <w:p>
      <w:pPr>
        <w:spacing w:after="0" w:line="131" w:lineRule="exact"/>
        <w:rPr>
          <w:sz w:val="20"/>
          <w:szCs w:val="20"/>
          <w:color w:val="auto"/>
        </w:rPr>
      </w:pPr>
    </w:p>
    <w:p>
      <w:pPr>
        <w:ind w:left="1420" w:right="140" w:hanging="647"/>
        <w:spacing w:after="0" w:line="254" w:lineRule="auto"/>
        <w:tabs>
          <w:tab w:leader="none" w:pos="140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8"/>
          <w:szCs w:val="18"/>
          <w:color w:val="auto"/>
        </w:rPr>
        <w:t>to carry out the objectives of the Business including, where necessary or desirable for the purpose of doing so, to identify, evaluate and negotiate opportunities for the acquisition, holding and realisation of assets or for the purchase, holding or sale of shares, ownership interests or other equity of bodies corporate or partnerships holding assets (directly or indirectly) or for the purchase or holding or acquisition of debt, to prepare and approve any agreements or other documents required to allow the Partnership to acquire such assets and to (or to agree to) purchase, sell, alone or together with others, assets or shares, ownership interests or other equity or capital in bodies corporate or partnerships holding assets and to either maximise the value of such assets and to enter into agreements or other documents on behalf of the Partnership accordingly (in each case whether personally or through an attorney or other agent);</w:t>
      </w:r>
    </w:p>
    <w:p>
      <w:pPr>
        <w:spacing w:after="0" w:line="97" w:lineRule="exact"/>
        <w:rPr>
          <w:sz w:val="20"/>
          <w:szCs w:val="20"/>
          <w:color w:val="auto"/>
        </w:rPr>
      </w:pPr>
    </w:p>
    <w:p>
      <w:pPr>
        <w:ind w:left="1420" w:right="20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4.4.4</w:t>
      </w:r>
      <w:r>
        <w:rPr>
          <w:sz w:val="20"/>
          <w:szCs w:val="20"/>
          <w:color w:val="auto"/>
        </w:rPr>
        <w:tab/>
      </w:r>
      <w:r>
        <w:rPr>
          <w:rFonts w:ascii="Times New Roman" w:cs="Times New Roman" w:eastAsia="Times New Roman" w:hAnsi="Times New Roman"/>
          <w:sz w:val="18"/>
          <w:szCs w:val="18"/>
          <w:color w:val="auto"/>
        </w:rPr>
        <w:t>to exercise all rights conferred upon the Partnership under the terms of any agreement or document entered into by the Partnership and generally to take any action the General Partner considers appropriate for the protection of Partnership Assets;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00" w:name="page201"/>
    <w:bookmarkEnd w:id="200"/>
    <w:p>
      <w:pPr>
        <w:spacing w:after="0"/>
        <w:tabs>
          <w:tab w:leader="none" w:pos="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4.4.5</w:t>
      </w:r>
      <w:r>
        <w:rPr>
          <w:sz w:val="20"/>
          <w:szCs w:val="20"/>
          <w:color w:val="auto"/>
        </w:rPr>
        <w:tab/>
      </w:r>
      <w:r>
        <w:rPr>
          <w:rFonts w:ascii="Times New Roman" w:cs="Times New Roman" w:eastAsia="Times New Roman" w:hAnsi="Times New Roman"/>
          <w:sz w:val="17"/>
          <w:szCs w:val="17"/>
          <w:color w:val="auto"/>
        </w:rPr>
        <w:t>to commence, conduct, settle or defend litigation that pertains to the Partnership or to any of the Partnership Assets;</w:t>
      </w:r>
    </w:p>
    <w:p>
      <w:pPr>
        <w:spacing w:after="0" w:line="131" w:lineRule="exact"/>
        <w:rPr>
          <w:sz w:val="20"/>
          <w:szCs w:val="20"/>
          <w:color w:val="auto"/>
        </w:rPr>
      </w:pPr>
    </w:p>
    <w:p>
      <w:pPr>
        <w:ind w:left="660" w:right="80" w:hanging="647"/>
        <w:spacing w:after="0" w:line="274" w:lineRule="auto"/>
        <w:tabs>
          <w:tab w:leader="none" w:pos="640" w:val="left"/>
        </w:tabs>
        <w:rPr>
          <w:sz w:val="20"/>
          <w:szCs w:val="20"/>
          <w:color w:val="auto"/>
        </w:rPr>
      </w:pPr>
      <w:r>
        <w:rPr>
          <w:rFonts w:ascii="Times New Roman" w:cs="Times New Roman" w:eastAsia="Times New Roman" w:hAnsi="Times New Roman"/>
          <w:sz w:val="18"/>
          <w:szCs w:val="18"/>
          <w:color w:val="auto"/>
        </w:rPr>
        <w:t>4.4.6</w:t>
      </w:r>
      <w:r>
        <w:rPr>
          <w:sz w:val="20"/>
          <w:szCs w:val="20"/>
          <w:color w:val="auto"/>
        </w:rPr>
        <w:tab/>
      </w:r>
      <w:r>
        <w:rPr>
          <w:rFonts w:ascii="Times New Roman" w:cs="Times New Roman" w:eastAsia="Times New Roman" w:hAnsi="Times New Roman"/>
          <w:sz w:val="17"/>
          <w:szCs w:val="17"/>
          <w:color w:val="auto"/>
        </w:rPr>
        <w:t>to maintain records and books of account of and in the name of the Partnership at the Partnership’s or its own principal place of business or at the principal place of business of the General Partner and to allow any Partner holding at least 5% of the Common Percentage Interest (excluding, for purposes of this calculation, Common Units then owned by the PubCo (if any) or any Subsidiary of PubCo (if any)) and its representatives access thereto at any reasonable time, subject to giving 3 (three) days written notice in advance, for the purpose of inspecting same. In any event, upon request by the Partners or within 10 (ten) days before any proposed change, the General Partner must notify the Partners of the place of maintenance of the books and records of the Partnership;</w:t>
      </w:r>
    </w:p>
    <w:p>
      <w:pPr>
        <w:spacing w:after="0" w:line="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4.4.7</w:t>
      </w:r>
      <w:r>
        <w:rPr>
          <w:sz w:val="20"/>
          <w:szCs w:val="20"/>
          <w:color w:val="auto"/>
        </w:rPr>
        <w:tab/>
      </w:r>
      <w:r>
        <w:rPr>
          <w:rFonts w:ascii="Times New Roman" w:cs="Times New Roman" w:eastAsia="Times New Roman" w:hAnsi="Times New Roman"/>
          <w:sz w:val="17"/>
          <w:szCs w:val="17"/>
          <w:color w:val="auto"/>
        </w:rPr>
        <w:t>to make distributions to the Partners in accordance with the terms of this Agreement;</w:t>
      </w:r>
    </w:p>
    <w:p>
      <w:pPr>
        <w:spacing w:after="0" w:line="131" w:lineRule="exact"/>
        <w:rPr>
          <w:sz w:val="20"/>
          <w:szCs w:val="20"/>
          <w:color w:val="auto"/>
        </w:rPr>
      </w:pPr>
    </w:p>
    <w:p>
      <w:pPr>
        <w:ind w:left="660" w:right="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4.4.8</w:t>
      </w:r>
      <w:r>
        <w:rPr>
          <w:sz w:val="20"/>
          <w:szCs w:val="20"/>
          <w:color w:val="auto"/>
        </w:rPr>
        <w:tab/>
      </w:r>
      <w:r>
        <w:rPr>
          <w:rFonts w:ascii="Times New Roman" w:cs="Times New Roman" w:eastAsia="Times New Roman" w:hAnsi="Times New Roman"/>
          <w:sz w:val="18"/>
          <w:szCs w:val="18"/>
          <w:color w:val="auto"/>
        </w:rPr>
        <w:t xml:space="preserve">to engage independent agents, lawyers, accountants, custodians, paying and collecting agents and financial and other advisers and consultants as it may deem necessary or advisable in relation to the affairs of the Partnership to perform or assist in the performance of all or any of the activities set forth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right"/>
        <w:ind w:right="200"/>
        <w:spacing w:after="0" w:line="282" w:lineRule="auto"/>
        <w:rPr>
          <w:sz w:val="20"/>
          <w:szCs w:val="20"/>
          <w:color w:val="auto"/>
        </w:rPr>
      </w:pPr>
      <w:r>
        <w:rPr>
          <w:rFonts w:ascii="Times New Roman" w:cs="Times New Roman" w:eastAsia="Times New Roman" w:hAnsi="Times New Roman"/>
          <w:sz w:val="18"/>
          <w:szCs w:val="18"/>
          <w:color w:val="auto"/>
        </w:rPr>
        <w:t>4.4.9   to register and publish all such notices, statements or other instruments as may be required pursuant to the Act to be registered and published in relation to the establishment of the Partnership and in relation to any changes occurring in relation to the Partnership;</w:t>
      </w:r>
    </w:p>
    <w:p>
      <w:pPr>
        <w:spacing w:after="0" w:line="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4.4.10</w:t>
      </w:r>
      <w:r>
        <w:rPr>
          <w:sz w:val="20"/>
          <w:szCs w:val="20"/>
          <w:color w:val="auto"/>
        </w:rPr>
        <w:tab/>
      </w:r>
      <w:r>
        <w:rPr>
          <w:rFonts w:ascii="Times New Roman" w:cs="Times New Roman" w:eastAsia="Times New Roman" w:hAnsi="Times New Roman"/>
          <w:sz w:val="17"/>
          <w:szCs w:val="17"/>
          <w:color w:val="auto"/>
        </w:rPr>
        <w:t>to open bank accounts in the name of the Partnership and to place funds not immediately required for the purposes of the Business;</w:t>
      </w:r>
    </w:p>
    <w:p>
      <w:pPr>
        <w:spacing w:after="0" w:line="131" w:lineRule="exact"/>
        <w:rPr>
          <w:sz w:val="20"/>
          <w:szCs w:val="20"/>
          <w:color w:val="auto"/>
        </w:rPr>
      </w:pPr>
    </w:p>
    <w:p>
      <w:pPr>
        <w:ind w:left="660" w:right="1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4.4.11</w:t>
        <w:tab/>
        <w:t>to lend or borrow money, to assume or guarantee, or otherwise contract for, indebtedness and other liabilities, to issue evidences of indebtedness and to incur any other obligations;</w:t>
      </w:r>
    </w:p>
    <w:p>
      <w:pPr>
        <w:spacing w:after="0" w:line="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4.4.12</w:t>
      </w:r>
      <w:r>
        <w:rPr>
          <w:sz w:val="20"/>
          <w:szCs w:val="20"/>
          <w:color w:val="auto"/>
        </w:rPr>
        <w:tab/>
      </w:r>
      <w:r>
        <w:rPr>
          <w:rFonts w:ascii="Times New Roman" w:cs="Times New Roman" w:eastAsia="Times New Roman" w:hAnsi="Times New Roman"/>
          <w:sz w:val="17"/>
          <w:szCs w:val="17"/>
          <w:color w:val="auto"/>
        </w:rPr>
        <w:t>to establish and enforce limits of authority and internal controls with respect to all personnel and functions;</w:t>
      </w:r>
    </w:p>
    <w:p>
      <w:pPr>
        <w:spacing w:after="0" w:line="13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4.4.13</w:t>
        <w:tab/>
        <w:t>to sign any written resolutions and to attend, speak and vote at any shareholder meetings of any company or companies in which the Partnership may hold shares or otherwise to act as attorney or proxy in respect of any stocks, shares or other investments now held or which may hereafter be acquired by the Partnership or in any company whether solely or jointly with any other person or persons;</w:t>
      </w:r>
    </w:p>
    <w:p>
      <w:pPr>
        <w:spacing w:after="0" w:line="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4.4.14</w:t>
      </w:r>
      <w:r>
        <w:rPr>
          <w:sz w:val="20"/>
          <w:szCs w:val="20"/>
          <w:color w:val="auto"/>
        </w:rPr>
        <w:tab/>
      </w:r>
      <w:r>
        <w:rPr>
          <w:rFonts w:ascii="Times New Roman" w:cs="Times New Roman" w:eastAsia="Times New Roman" w:hAnsi="Times New Roman"/>
          <w:sz w:val="17"/>
          <w:szCs w:val="17"/>
          <w:color w:val="auto"/>
        </w:rPr>
        <w:t>to sign, seal and deliver all resolutions and agreements concerning any holding of shares or any interest in any company;</w:t>
      </w:r>
    </w:p>
    <w:p>
      <w:pPr>
        <w:spacing w:after="0" w:line="131" w:lineRule="exact"/>
        <w:rPr>
          <w:sz w:val="20"/>
          <w:szCs w:val="20"/>
          <w:color w:val="auto"/>
        </w:rPr>
      </w:pPr>
    </w:p>
    <w:p>
      <w:pPr>
        <w:ind w:left="660" w:right="1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4.4.15</w:t>
        <w:tab/>
        <w:t>to execute, deliver and file any other certificates (and any amendments and/or restatements thereof) necessary for the Partnership to qualify to do business in a jurisdiction in which the Partnership may wish to conduct business;</w:t>
      </w:r>
    </w:p>
    <w:p>
      <w:pPr>
        <w:spacing w:after="0" w:line="67" w:lineRule="exact"/>
        <w:rPr>
          <w:sz w:val="20"/>
          <w:szCs w:val="20"/>
          <w:color w:val="auto"/>
        </w:rPr>
      </w:pPr>
    </w:p>
    <w:p>
      <w:pPr>
        <w:ind w:left="660" w:right="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4.4.16</w:t>
        <w:tab/>
        <w:t>to do all or any other acts as are required of the General Partner by this Agreement or as are necessary or desirable in the reasonable opinion of the General Partner in furtherance of the foregoing powers and consistent within the terms of this Agreement.</w:t>
      </w:r>
    </w:p>
    <w:p>
      <w:pPr>
        <w:spacing w:after="0" w:line="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40"/>
          </w:cols>
          <w:pgMar w:left="1200" w:top="270" w:right="459" w:bottom="1440" w:gutter="0" w:footer="0" w:header="0"/>
        </w:sectPr>
      </w:pPr>
    </w:p>
    <w:bookmarkStart w:id="201" w:name="page202"/>
    <w:bookmarkEnd w:id="201"/>
    <w:p>
      <w:pPr>
        <w:ind w:left="76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to the contrary, without the consent of any Partner being required, the General Partner is hereby authorized to execute, deliver and perform (x) the Tax Receivable Agreement; and (y) any amendment and any agreement, document or other instrument contemplated thereby or related thereto. The General Partner is hereby authorized to enter into the documents described in the preceding sentence on behalf of the Partnership and the Partners, but such authorization shall not be deemed a restriction on the power of the General Partner (or any Officer or director of the General Partner) to enter into other documents on behalf of the Partnership. Nothing set forth in this Agreement shall reduce or restrict the rights of any Person set forth in the Tax Receivable Agreement, subject to the terms and conditions thereof.</w:t>
      </w:r>
    </w:p>
    <w:p>
      <w:pPr>
        <w:spacing w:after="0" w:line="81"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auto"/>
        </w:rPr>
        <w:t>The Partnership shall not enter into any contract, transaction or arrangement with any Partner or any Connected person of a Partner, without PubCo’s prior written consent (other than contracts and dealings solely among the Partnership and its Subsidiaries).</w:t>
      </w:r>
    </w:p>
    <w:p>
      <w:pPr>
        <w:spacing w:after="0" w:line="63" w:lineRule="exact"/>
        <w:rPr>
          <w:sz w:val="20"/>
          <w:szCs w:val="20"/>
          <w:color w:val="auto"/>
        </w:rPr>
      </w:pPr>
    </w:p>
    <w:p>
      <w:pPr>
        <w:ind w:left="760" w:right="60" w:hanging="76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Maintaining the limited liability of the Limited Partners</w:t>
      </w:r>
      <w:r>
        <w:rPr>
          <w:rFonts w:ascii="Times New Roman" w:cs="Times New Roman" w:eastAsia="Times New Roman" w:hAnsi="Times New Roman"/>
          <w:sz w:val="18"/>
          <w:szCs w:val="18"/>
          <w:color w:val="auto"/>
        </w:rPr>
        <w:t>. The General Partner shall do all things and discharge all duties or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imposed on a general partner by the Act and in particular so as to ensure, so far as it is able, that the liability of each Limited Partner is and remains limited as provided in the Act. If, for any reason, a Limited Partner is adjudicated to have lost its limited liability status or privileges as a limited partner under the Act by reason of taking part in the management of the Partnership business or otherwise, the General Partner and each other Limited Partner agrees and undertakes not to bring any claim itself or to support any claim by any other person that such Limited Partner should be liable for the debts or obligations of the Partnership beyond the amount it would otherwise be liable for under section 4 of the Act if it had retained such limited liability status and privileges.</w:t>
      </w:r>
    </w:p>
    <w:p>
      <w:pPr>
        <w:spacing w:after="0" w:line="8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color w:val="auto"/>
        </w:rPr>
        <w:t>Salary or fees</w:t>
      </w:r>
      <w:r>
        <w:rPr>
          <w:rFonts w:ascii="Times New Roman" w:cs="Times New Roman" w:eastAsia="Times New Roman" w:hAnsi="Times New Roman"/>
          <w:sz w:val="18"/>
          <w:szCs w:val="18"/>
          <w:color w:val="auto"/>
        </w:rPr>
        <w:t>. No salary or fees will be paid to the General Partner for the performance of its duties under this Agreement.</w:t>
      </w:r>
    </w:p>
    <w:p>
      <w:pPr>
        <w:spacing w:after="0" w:line="131" w:lineRule="exact"/>
        <w:rPr>
          <w:sz w:val="20"/>
          <w:szCs w:val="20"/>
          <w:color w:val="auto"/>
        </w:rPr>
      </w:pPr>
    </w:p>
    <w:p>
      <w:pPr>
        <w:ind w:left="760" w:right="380" w:hanging="76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b w:val="1"/>
          <w:bCs w:val="1"/>
          <w:color w:val="auto"/>
        </w:rPr>
        <w:t xml:space="preserve">Legal and Accounting Services </w:t>
      </w:r>
      <w:r>
        <w:rPr>
          <w:rFonts w:ascii="Times New Roman" w:cs="Times New Roman" w:eastAsia="Times New Roman" w:hAnsi="Times New Roman"/>
          <w:sz w:val="18"/>
          <w:szCs w:val="18"/>
          <w:color w:val="auto"/>
        </w:rPr>
        <w:t>The General Partner may obtain legal and accounting services on behalf of the Partnership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for the conduct of the Partnership’s business.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PARTNERS</w:t>
      </w:r>
    </w:p>
    <w:p>
      <w:pPr>
        <w:spacing w:after="0" w:line="1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 xml:space="preserve">Prohibition on management </w:t>
      </w:r>
      <w:r>
        <w:rPr>
          <w:rFonts w:ascii="Times New Roman" w:cs="Times New Roman" w:eastAsia="Times New Roman" w:hAnsi="Times New Roman"/>
          <w:sz w:val="18"/>
          <w:szCs w:val="18"/>
          <w:color w:val="auto"/>
        </w:rPr>
        <w:t>The Limited Partners shall not:</w:t>
      </w:r>
    </w:p>
    <w:p>
      <w:pPr>
        <w:spacing w:after="0" w:line="135"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take any part in the management of the Partnership or its Business or affairs;</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have any right or authority to act for the Partnership; or</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color w:val="auto"/>
        </w:rPr>
        <w:t>take any part in or in any way interfere with the conduct or management of the Partnership.</w:t>
      </w:r>
    </w:p>
    <w:p>
      <w:pPr>
        <w:spacing w:after="0" w:line="127" w:lineRule="exact"/>
        <w:rPr>
          <w:sz w:val="20"/>
          <w:szCs w:val="20"/>
          <w:color w:val="auto"/>
        </w:rPr>
      </w:pPr>
    </w:p>
    <w:p>
      <w:pPr>
        <w:ind w:left="76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 xml:space="preserve">Prohibition on acting on behalf of the Partnership </w:t>
      </w:r>
      <w:r>
        <w:rPr>
          <w:rFonts w:ascii="Times New Roman" w:cs="Times New Roman" w:eastAsia="Times New Roman" w:hAnsi="Times New Roman"/>
          <w:sz w:val="18"/>
          <w:szCs w:val="18"/>
          <w:color w:val="auto"/>
        </w:rPr>
        <w:t>The Limited Partners shall have no power or authority to act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or to bind the Partnership in any way. The conduct, control and management of the Partnership shall be vested exclusively in the General Partner. No Limited Partner shall participate in or have any control over the management of the business of the Partnership. Except as expressly provided herein, the Units do not confer any rights upon the Limited Partners to participate in the affairs of the Partnership described in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 AND ALLOCATIONS</w:t>
      </w:r>
    </w:p>
    <w:p>
      <w:pPr>
        <w:spacing w:after="0" w:line="1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Distributions</w:t>
      </w:r>
    </w:p>
    <w:p>
      <w:pPr>
        <w:spacing w:after="0" w:line="133" w:lineRule="exact"/>
        <w:rPr>
          <w:sz w:val="20"/>
          <w:szCs w:val="20"/>
          <w:color w:val="auto"/>
        </w:rPr>
      </w:pPr>
    </w:p>
    <w:p>
      <w:pPr>
        <w:ind w:left="760" w:hanging="768"/>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i w:val="1"/>
          <w:iCs w:val="1"/>
          <w:color w:val="auto"/>
        </w:rPr>
        <w:t>Distributions Generally</w:t>
      </w:r>
      <w:r>
        <w:rPr>
          <w:rFonts w:ascii="Times New Roman" w:cs="Times New Roman" w:eastAsia="Times New Roman" w:hAnsi="Times New Roman"/>
          <w:sz w:val="18"/>
          <w:szCs w:val="18"/>
          <w:color w:val="auto"/>
        </w:rPr>
        <w:t>. The General Partner may, subject to (i) any restrictions contained in the financing agreements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or any its Subsidiaries is a party, (ii) having Available Cash, and (iii) any other restrictions set forth in this Agreement, make Distributions at any time and from time to time. If any assets of the Partnership are to be distributed in kind, they shall be distributed on the basis of their Fair Market Value. The Partners’ Capital Accounts shall be appropriately adjusted before any such distribution to reflect the increases or decreases to the Capital Accounts which would have occurred if the property distributed in kind had been sold for its Fair Market Value by the Partnership prior to the distributions. Notwithstanding any other provision of this Agreement to the contrary, no Distribution, Tax Distribution or other payment in respect of Units shall be required to be made to any Partner if, and to the extent that, such Distribution, Tax Distribution or other payment in respect of Units would not be permitted under the Act or other applicable Law.</w:t>
      </w:r>
    </w:p>
    <w:p>
      <w:pPr>
        <w:spacing w:after="0" w:line="90" w:lineRule="exact"/>
        <w:rPr>
          <w:sz w:val="20"/>
          <w:szCs w:val="20"/>
          <w:color w:val="auto"/>
        </w:rPr>
      </w:pPr>
    </w:p>
    <w:p>
      <w:pPr>
        <w:ind w:left="76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i w:val="1"/>
          <w:iCs w:val="1"/>
          <w:color w:val="auto"/>
        </w:rPr>
        <w:t xml:space="preserve">Operating Distributions. </w:t>
      </w:r>
      <w:r>
        <w:rPr>
          <w:rFonts w:ascii="Times New Roman" w:cs="Times New Roman" w:eastAsia="Times New Roman" w:hAnsi="Times New Roman"/>
          <w:sz w:val="18"/>
          <w:szCs w:val="18"/>
          <w:color w:val="auto"/>
        </w:rPr>
        <w:t>The General Partner, in its sole discretion, may authorize Distributions (to the extent of Available Cash)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to the Partners at any time and from time to time. All Distributions by the Partnership (other than those made in connection with a Liquidity Event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made or allocated to holders of Participating Units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Participating Units held by each such holder.</w:t>
      </w:r>
    </w:p>
    <w:p>
      <w:pPr>
        <w:spacing w:after="0" w:line="83" w:lineRule="exact"/>
        <w:rPr>
          <w:sz w:val="20"/>
          <w:szCs w:val="20"/>
          <w:color w:val="auto"/>
        </w:rPr>
      </w:pPr>
    </w:p>
    <w:p>
      <w:pPr>
        <w:jc w:val="both"/>
        <w:ind w:left="760" w:hanging="768"/>
        <w:spacing w:after="0" w:line="262" w:lineRule="auto"/>
        <w:tabs>
          <w:tab w:leader="none" w:pos="74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i w:val="1"/>
          <w:iCs w:val="1"/>
          <w:color w:val="auto"/>
        </w:rPr>
        <w:t>Restricted Common Unit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Restricted Common Unit shall be entitled to receive any Distributions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unless and until a Vesting Event has occurred with respect to such Restricted Common Unit (and then only with respect to periods following such Vesting Event). Notwithstanding anything to the contrary herein, Restricted Common Units shall not be entitled to any “catch up” distributions in respect of periods prior to such Vesting Event.</w:t>
      </w:r>
    </w:p>
    <w:p>
      <w:pPr>
        <w:spacing w:after="0" w:line="8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7"/>
          <w:szCs w:val="17"/>
          <w:i w:val="1"/>
          <w:iCs w:val="1"/>
          <w:color w:val="auto"/>
        </w:rPr>
        <w:t>Tax Distributions.</w:t>
      </w:r>
    </w:p>
    <w:p>
      <w:pPr>
        <w:spacing w:after="0" w:line="119" w:lineRule="exact"/>
        <w:rPr>
          <w:sz w:val="20"/>
          <w:szCs w:val="20"/>
          <w:color w:val="auto"/>
        </w:rPr>
      </w:pPr>
    </w:p>
    <w:p>
      <w:pPr>
        <w:ind w:left="760" w:right="100" w:firstLine="417"/>
        <w:spacing w:after="0" w:line="253" w:lineRule="auto"/>
        <w:tabs>
          <w:tab w:leader="none" w:pos="141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 Required Tax Distribution</w:t>
      </w:r>
      <w:r>
        <w:rPr>
          <w:rFonts w:ascii="Times New Roman" w:cs="Times New Roman" w:eastAsia="Times New Roman" w:hAnsi="Times New Roman"/>
          <w:sz w:val="18"/>
          <w:szCs w:val="18"/>
          <w:color w:val="auto"/>
        </w:rPr>
        <w:t xml:space="preserve"> With respect to each Partner, the Partnership shall calculate the excess of (x)(A) the Income Amount allocated or allocable to such Partner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Partner pursuant to </w:t>
      </w:r>
      <w:r>
        <w:rPr>
          <w:rFonts w:ascii="Times New Roman" w:cs="Times New Roman" w:eastAsia="Times New Roman" w:hAnsi="Times New Roman"/>
          <w:sz w:val="18"/>
          <w:szCs w:val="18"/>
          <w:u w:val="single" w:color="auto"/>
          <w:color w:val="auto"/>
        </w:rPr>
        <w:t>Section 6.1.2, Section 6.1.3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Times New Roman" w:cs="Times New Roman" w:eastAsia="Times New Roman" w:hAnsi="Times New Roman"/>
          <w:sz w:val="18"/>
          <w:szCs w:val="18"/>
          <w:b w:val="1"/>
          <w:bCs w:val="1"/>
          <w:color w:val="auto"/>
        </w:rPr>
        <w:t>Partner’s Required Tax Distribution</w:t>
      </w:r>
      <w:r>
        <w:rPr>
          <w:rFonts w:ascii="Times New Roman" w:cs="Times New Roman" w:eastAsia="Times New Roman" w:hAnsi="Times New Roman"/>
          <w:sz w:val="18"/>
          <w:szCs w:val="18"/>
          <w:color w:val="auto"/>
        </w:rPr>
        <w:t xml:space="preserve">”); provided, however, that the General Partner may make adjustments in its reasonable discretion to reflect transactions occurring during the taxable year; provided, further, that if the amount of a Tax Distribution actually made with respect to a Tax Estimation Period is greater than or less than any such Partner’s Required Tax Distribution that would have been made under this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for such period based on subsequent tax information and assuming no limitations based on prohibitions under applicable Law, Available Cash, or insolvency (such limitations, the “</w:t>
      </w:r>
      <w:r>
        <w:rPr>
          <w:rFonts w:ascii="Times New Roman" w:cs="Times New Roman" w:eastAsia="Times New Roman" w:hAnsi="Times New Roman"/>
          <w:sz w:val="18"/>
          <w:szCs w:val="18"/>
          <w:b w:val="1"/>
          <w:bCs w:val="1"/>
          <w:color w:val="auto"/>
        </w:rPr>
        <w:t>Liquidity Limitations</w:t>
      </w:r>
      <w:r>
        <w:rPr>
          <w:rFonts w:ascii="Times New Roman" w:cs="Times New Roman" w:eastAsia="Times New Roman" w:hAnsi="Times New Roman"/>
          <w:sz w:val="18"/>
          <w:szCs w:val="18"/>
          <w:color w:val="auto"/>
        </w:rPr>
        <w:t>”) (e.g., because the estimated Tax Distribution for a Tax Estimation Period was greater than or less than the amount calculated based on actual taxable income for such Tax Estimation Period or because such Tax</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6" w:right="479" w:bottom="1440" w:gutter="0" w:footer="0" w:header="0"/>
        </w:sectPr>
      </w:pPr>
    </w:p>
    <w:bookmarkStart w:id="203" w:name="page204"/>
    <w:bookmarkEnd w:id="20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would have rendered the Partnership insolvent), then, for subsequent Tax Estimation Periods, the General Partner shall, subject to the Liquidity Limitations, cause the Partnership to adjust the next Partner’s Required Tax Distribution downward (but not below zero) or upward (but the resulting Tax Distribution shall in all cases remain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each Partner’s Common Percentage Interest) to reflect such excess or shortfall; provided, further, with respect to PubCo and its wholly owned Subsidiaries, the Partner’s Required Tax Distribution for any Tax Estimation Period shall be an amount sufficient for PubCo and its wholly owned Subsidiaries to receive a Distribution pursuant to Section 6.1.1 and this Section 6.1.4 sufficient to enable PubCo and its wholly owned Subsidiaries to meet (i) their U.S. federal, state and local and non-U.S. tax obligations and (ii) their obligations under the Tax Receivable Agreement for such Tax Estimation Period (but the resulting Tax Distribution shall in all cases remain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rata in accordance with each Partner’s Common Percentage Interest). For purposes of this Agreement, the “</w:t>
      </w:r>
      <w:r>
        <w:rPr>
          <w:rFonts w:ascii="Times New Roman" w:cs="Times New Roman" w:eastAsia="Times New Roman" w:hAnsi="Times New Roman"/>
          <w:sz w:val="18"/>
          <w:szCs w:val="18"/>
          <w:b w:val="1"/>
          <w:bCs w:val="1"/>
          <w:color w:val="auto"/>
        </w:rPr>
        <w:t>Income Amount</w:t>
      </w:r>
      <w:r>
        <w:rPr>
          <w:rFonts w:ascii="Times New Roman" w:cs="Times New Roman" w:eastAsia="Times New Roman" w:hAnsi="Times New Roman"/>
          <w:sz w:val="18"/>
          <w:szCs w:val="18"/>
          <w:color w:val="auto"/>
        </w:rPr>
        <w:t xml:space="preserve">” for a Tax Estimation Period shall equal, with respect to any Partner, the net taxable income (or, if applicable, gross taxable income, except to the extent offset by items of loss thereof) of the Partnership allocated or allocable to such Partner for such Tax Estimation Period (excluding any compensation paid to a Partner but taking into account any corrective allocations made pursuant to </w:t>
      </w:r>
      <w:r>
        <w:rPr>
          <w:rFonts w:ascii="Times New Roman" w:cs="Times New Roman" w:eastAsia="Times New Roman" w:hAnsi="Times New Roman"/>
          <w:sz w:val="18"/>
          <w:szCs w:val="18"/>
          <w:u w:val="single" w:color="auto"/>
          <w:color w:val="auto"/>
        </w:rPr>
        <w:t>Section 7.4.10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7.4.12</w:t>
      </w:r>
      <w:r>
        <w:rPr>
          <w:rFonts w:ascii="Times New Roman" w:cs="Times New Roman" w:eastAsia="Times New Roman" w:hAnsi="Times New Roman"/>
          <w:sz w:val="18"/>
          <w:szCs w:val="18"/>
          <w:color w:val="auto"/>
        </w:rPr>
        <w:t>). For purposes of computing the Income Amount, the taxable income shall be determined by including (i) any special adjustments of tax items required as a result of any election under Section 754 of the Code, including adjustments required by Sections 734 and 743 of the Code, and (ii) adjustments to taxable income in respect of Section 704(c) of the Code (including “</w:t>
      </w:r>
      <w:r>
        <w:rPr>
          <w:rFonts w:ascii="Times New Roman" w:cs="Times New Roman" w:eastAsia="Times New Roman" w:hAnsi="Times New Roman"/>
          <w:sz w:val="18"/>
          <w:szCs w:val="18"/>
          <w:b w:val="1"/>
          <w:bCs w:val="1"/>
          <w:color w:val="auto"/>
        </w:rPr>
        <w:t>reverse Section 704(c) allocations</w:t>
      </w:r>
      <w:r>
        <w:rPr>
          <w:rFonts w:ascii="Times New Roman" w:cs="Times New Roman" w:eastAsia="Times New Roman" w:hAnsi="Times New Roman"/>
          <w:sz w:val="18"/>
          <w:szCs w:val="18"/>
          <w:color w:val="auto"/>
        </w:rPr>
        <w:t>”). For the avoidance of doubt, taxable income will include any amounts required to be included in taxable income by a Partner as a result of ownership by the Partnership of an entity classified as a: (i) “passive foreign investment company” within the meaning of Section 1297 of the Code (including by reason of a “qualifying electing fund” election or a mark-to-market election) or (ii) “controlled foreign corporation” within the meaning of Section 957 of the Code in which a Partner (or any of its direct or indirect owners) could be a “United States shareholder” for U.S. federal income tax purposes.</w:t>
      </w:r>
    </w:p>
    <w:p>
      <w:pPr>
        <w:spacing w:after="0" w:line="83" w:lineRule="exact"/>
        <w:rPr>
          <w:sz w:val="20"/>
          <w:szCs w:val="20"/>
          <w:color w:val="auto"/>
        </w:rPr>
      </w:pPr>
    </w:p>
    <w:p>
      <w:pPr>
        <w:ind w:firstLine="417"/>
        <w:spacing w:after="0" w:line="252" w:lineRule="auto"/>
        <w:tabs>
          <w:tab w:leader="none" w:pos="6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Tax Distributions</w:t>
      </w:r>
      <w:r>
        <w:rPr>
          <w:rFonts w:ascii="Times New Roman" w:cs="Times New Roman" w:eastAsia="Times New Roman" w:hAnsi="Times New Roman"/>
          <w:sz w:val="18"/>
          <w:szCs w:val="18"/>
          <w:color w:val="auto"/>
        </w:rPr>
        <w:t xml:space="preserve"> At least five (5) days before the quarterly due date for payment of estimated tax payments by corporations or individuals (whichever is earlier) on a calendar year under the Code, the Partnership shall distribute (to the extent of Available Cash and unless prohibited by applicable Law or by any restrictions applicable to tax distributions contained in the Partnership’s or its Subsidiaries’ then applicable bank financing agreements by which the Partnership or its Subsidiaries are bound) to the Partners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Common Percentage Interest), an aggregate amount of cash sufficient to provide each such Partner with a Distribution at least equal to such Partner’s Required Tax Distribution (with amounts distributed pursuant to this Section 6.1.4, “</w:t>
      </w:r>
      <w:r>
        <w:rPr>
          <w:rFonts w:ascii="Times New Roman" w:cs="Times New Roman" w:eastAsia="Times New Roman" w:hAnsi="Times New Roman"/>
          <w:sz w:val="18"/>
          <w:szCs w:val="18"/>
          <w:b w:val="1"/>
          <w:bCs w:val="1"/>
          <w:color w:val="auto"/>
        </w:rPr>
        <w:t>Tax Distributions</w:t>
      </w:r>
      <w:r>
        <w:rPr>
          <w:rFonts w:ascii="Times New Roman" w:cs="Times New Roman" w:eastAsia="Times New Roman" w:hAnsi="Times New Roman"/>
          <w:sz w:val="18"/>
          <w:szCs w:val="18"/>
          <w:color w:val="auto"/>
        </w:rPr>
        <w:t xml:space="preserve">”). Notwithstanding anything to the contrary contained in this Agreement, (i) the General Partner shall make, in its reasonable discretion, equitable adjustments (downward (but not below zero) or upward) to the Partners’ Required Tax Distributions (but the resulting Tax Distribution shall in all cases remain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each Partner’s Common Percentage Interest) to take into account increases or decreases in the number of Common Units held by each Partner during the relevant period (including as a result of conversion of any Restricted Common Units into Common Units in connection with the occurrence of a Vesting Event); provided that, no such adjustments shall be made that would have a material adverse effect on the Continuing Partners without the Continuing Partner Representative’s prior written consent (which consent shall not be unreasonably withheld, conditioned, or delayed), and (ii) no Tax Distributions (or downward (but not below zero) or upward adjustment to any Tax Distributions) shall be made other than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proportion to the Partners’ respective number of Common Units). Any Tax Distributions shall be treated in all respects as advances against future Distributions pursuant to Section 6.1.2 and Section 6.2 and shall be treated for all purposes of this Agreement as having been paid pursuant to Section 6.1.2 or Section 6.2, as applicable.</w:t>
      </w:r>
    </w:p>
    <w:p>
      <w:pPr>
        <w:spacing w:after="0" w:line="1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40"/>
          </w:cols>
          <w:pgMar w:left="1200" w:top="270" w:right="45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04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 No Tax Distributions for Covered Transactions Notwithstanding anything to the contrary herein, no Tax Distributions will be</w:t>
            </w:r>
          </w:p>
        </w:tc>
      </w:tr>
      <w:tr>
        <w:trPr>
          <w:trHeight w:val="20"/>
        </w:trPr>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18"/>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required to be made with respect to items arising with respect to any Covered Transaction, provided that any unpaid Tax Distributions with</w:t>
            </w:r>
          </w:p>
        </w:tc>
      </w:tr>
      <w:tr>
        <w:trPr>
          <w:trHeight w:val="216"/>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respect to any Tax Estimation Period, or portion thereof, ending before a Covered Transaction shall continue to be required to be paid prior to</w:t>
            </w:r>
          </w:p>
        </w:tc>
      </w:tr>
      <w:tr>
        <w:trPr>
          <w:trHeight w:val="234"/>
        </w:trPr>
        <w:tc>
          <w:tcPr>
            <w:tcW w:w="56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any Distributions being made under Section 6.1.2 and Section 6.2.</w:t>
            </w:r>
          </w:p>
        </w:tc>
      </w:tr>
      <w:tr>
        <w:trPr>
          <w:trHeight w:val="31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Liquidation Distribution </w:t>
            </w:r>
            <w:r>
              <w:rPr>
                <w:rFonts w:ascii="Times New Roman" w:cs="Times New Roman" w:eastAsia="Times New Roman" w:hAnsi="Times New Roman"/>
                <w:sz w:val="18"/>
                <w:szCs w:val="18"/>
                <w:color w:val="auto"/>
              </w:rPr>
              <w:t>All Distributions by the Partnership, and all proceeds (whether received by the Partnership or directly by the</w:t>
            </w:r>
          </w:p>
        </w:tc>
      </w:tr>
      <w:tr>
        <w:trPr>
          <w:trHeight w:val="218"/>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 xml:space="preserve">Partners) in connection with dissolution of the Partnership shall be made or allocated among the holders of Participating Units </w:t>
            </w:r>
            <w:r>
              <w:rPr>
                <w:rFonts w:ascii="Times New Roman" w:cs="Times New Roman" w:eastAsia="Times New Roman" w:hAnsi="Times New Roman"/>
                <w:sz w:val="18"/>
                <w:szCs w:val="18"/>
                <w:i w:val="1"/>
                <w:iCs w:val="1"/>
                <w:color w:val="auto"/>
                <w:w w:val="99"/>
              </w:rPr>
              <w:t>pro rata</w:t>
            </w:r>
            <w:r>
              <w:rPr>
                <w:rFonts w:ascii="Times New Roman" w:cs="Times New Roman" w:eastAsia="Times New Roman" w:hAnsi="Times New Roman"/>
                <w:sz w:val="18"/>
                <w:szCs w:val="18"/>
                <w:color w:val="auto"/>
                <w:w w:val="99"/>
              </w:rPr>
              <w:t xml:space="preserve"> based</w:t>
            </w:r>
          </w:p>
        </w:tc>
      </w:tr>
      <w:tr>
        <w:trPr>
          <w:trHeight w:val="234"/>
        </w:trPr>
        <w:tc>
          <w:tcPr>
            <w:tcW w:w="56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on the number of Participating Units held by each such holder.</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Limitations on Distribution </w:t>
            </w:r>
            <w:r>
              <w:rPr>
                <w:rFonts w:ascii="Times New Roman" w:cs="Times New Roman" w:eastAsia="Times New Roman" w:hAnsi="Times New Roman"/>
                <w:sz w:val="18"/>
                <w:szCs w:val="18"/>
                <w:color w:val="auto"/>
              </w:rPr>
              <w:t>Notwithstanding any provision to the contrary contained in this Agreement, the General Partner shall not make</w:t>
            </w:r>
          </w:p>
        </w:tc>
      </w:tr>
      <w:tr>
        <w:trPr>
          <w:trHeight w:val="234"/>
        </w:trPr>
        <w:tc>
          <w:tcPr>
            <w:tcW w:w="56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Distribution to any Partner if such Distribution would violate the Act or other applicable Law.</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Use of Distribution Funds by PubCo </w:t>
            </w:r>
            <w:r>
              <w:rPr>
                <w:rFonts w:ascii="Times New Roman" w:cs="Times New Roman" w:eastAsia="Times New Roman" w:hAnsi="Times New Roman"/>
                <w:sz w:val="18"/>
                <w:szCs w:val="18"/>
                <w:color w:val="auto"/>
              </w:rPr>
              <w:t>PubCo shall use Distributions received from the Partnership for payment of taxes, obligations under</w:t>
            </w:r>
          </w:p>
        </w:tc>
      </w:tr>
      <w:tr>
        <w:trPr>
          <w:trHeight w:val="216"/>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the Tax Receivable Agreement, liabilities or expenses, to loan funds to the Partnership in accordance with this Agreement, for the payment of</w:t>
            </w:r>
          </w:p>
        </w:tc>
      </w:tr>
      <w:tr>
        <w:trPr>
          <w:trHeight w:val="216"/>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dividends to its shareholders or for other general corporate purposes as determined in the sole discretion of the PubCo; provided that, PubCo</w:t>
            </w:r>
          </w:p>
        </w:tc>
      </w:tr>
      <w:tr>
        <w:trPr>
          <w:trHeight w:val="234"/>
        </w:trPr>
        <w:tc>
          <w:tcPr>
            <w:tcW w:w="56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may not use such Distributions to acquire any Units, except as otherwise provided in Section 9.5.</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Distributions to the General Partner </w:t>
            </w:r>
            <w:r>
              <w:rPr>
                <w:rFonts w:ascii="Times New Roman" w:cs="Times New Roman" w:eastAsia="Times New Roman" w:hAnsi="Times New Roman"/>
                <w:sz w:val="18"/>
                <w:szCs w:val="18"/>
                <w:color w:val="auto"/>
              </w:rPr>
              <w:t>Notwithstanding any other provision of this Agreement, the General Partner shall be allocated an</w:t>
            </w:r>
          </w:p>
        </w:tc>
      </w:tr>
      <w:tr>
        <w:trPr>
          <w:trHeight w:val="216"/>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amount equal to a 0.000001% share of profits and losses of the Partnership, up to a maximum allocated profit or loss of $10 per year, and the</w:t>
            </w:r>
          </w:p>
        </w:tc>
      </w:tr>
      <w:tr>
        <w:trPr>
          <w:trHeight w:val="216"/>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aggregate of its reasonable vouched expenses. The Available Cash available for distribution to the Limited Partners shall be determined after</w:t>
            </w:r>
          </w:p>
        </w:tc>
      </w:tr>
      <w:tr>
        <w:trPr>
          <w:trHeight w:val="216"/>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reserving an amount of Available Cash equal to any profits so allocated to the General Partner (after taking into account any allocated losses),</w:t>
            </w:r>
          </w:p>
        </w:tc>
      </w:tr>
      <w:tr>
        <w:trPr>
          <w:trHeight w:val="216"/>
        </w:trPr>
        <w:tc>
          <w:tcPr>
            <w:tcW w:w="56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which may be distributed by the Partnership to the General Partner any time after 180 days following the end of each Fiscal Year. Other than</w:t>
            </w:r>
          </w:p>
        </w:tc>
      </w:tr>
      <w:tr>
        <w:trPr>
          <w:trHeight w:val="234"/>
        </w:trPr>
        <w:tc>
          <w:tcPr>
            <w:tcW w:w="56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 specified in this Section 6.5 the General Partner shall have no entitlement to participate in any Distribution.</w:t>
            </w:r>
          </w:p>
        </w:tc>
      </w:tr>
      <w:tr>
        <w:trPr>
          <w:trHeight w:val="626"/>
        </w:trPr>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60" w:type="dxa"/>
            <w:vAlign w:val="bottom"/>
          </w:tcPr>
          <w:p>
            <w:pPr>
              <w:jc w:val="center"/>
              <w:ind w:right="4650"/>
              <w:spacing w:after="0"/>
              <w:rPr>
                <w:sz w:val="20"/>
                <w:szCs w:val="20"/>
                <w:color w:val="auto"/>
              </w:rPr>
            </w:pPr>
            <w:r>
              <w:rPr>
                <w:rFonts w:ascii="Times New Roman" w:cs="Times New Roman" w:eastAsia="Times New Roman" w:hAnsi="Times New Roman"/>
                <w:sz w:val="18"/>
                <w:szCs w:val="18"/>
                <w:b w:val="1"/>
                <w:bCs w:val="1"/>
                <w:color w:val="auto"/>
                <w:w w:val="99"/>
              </w:rPr>
              <w:t>SECTION 7</w:t>
            </w:r>
          </w:p>
        </w:tc>
      </w:tr>
      <w:tr>
        <w:trPr>
          <w:trHeight w:val="238"/>
        </w:trPr>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540" w:type="dxa"/>
            <w:vAlign w:val="bottom"/>
            <w:gridSpan w:val="2"/>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8"/>
              </w:rPr>
              <w:t>CAPITAL ACCOUNTS; TAX ALLOCATIONS; TAX MATTERS</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Capital Contributions Made Prior to the Effective Date </w:t>
            </w:r>
            <w:r>
              <w:rPr>
                <w:rFonts w:ascii="Times New Roman" w:cs="Times New Roman" w:eastAsia="Times New Roman" w:hAnsi="Times New Roman"/>
                <w:sz w:val="18"/>
                <w:szCs w:val="18"/>
                <w:color w:val="auto"/>
              </w:rPr>
              <w:t>The Continuing Partners have made, prior to the date hereof, Capital</w:t>
            </w:r>
          </w:p>
        </w:tc>
      </w:tr>
      <w:tr>
        <w:trPr>
          <w:trHeight w:val="234"/>
        </w:trPr>
        <w:tc>
          <w:tcPr>
            <w:tcW w:w="56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Contributions and, in exchange, the Continuing Partners have been allocated the number of Common Units as specified in Schedule 1 hereto.</w:t>
            </w:r>
          </w:p>
        </w:tc>
      </w:tr>
      <w:tr>
        <w:trPr>
          <w:trHeight w:val="33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Accounts.</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7.2.1</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Partner Capital Accounts </w:t>
            </w:r>
            <w:r>
              <w:rPr>
                <w:rFonts w:ascii="Times New Roman" w:cs="Times New Roman" w:eastAsia="Times New Roman" w:hAnsi="Times New Roman"/>
                <w:sz w:val="18"/>
                <w:szCs w:val="18"/>
                <w:color w:val="auto"/>
              </w:rPr>
              <w:t>A separate capital account (a “</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shall be established and maintained for each Partner in</w:t>
            </w:r>
          </w:p>
        </w:tc>
      </w:tr>
      <w:tr>
        <w:trPr>
          <w:trHeight w:val="234"/>
        </w:trPr>
        <w:tc>
          <w:tcPr>
            <w:tcW w:w="56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accordance with the provisions of Treasury Regulations Section 1.704-1(b)(2)(iv) and this Section 7.2.1. The Partnership may adjust the</w:t>
            </w:r>
          </w:p>
        </w:tc>
      </w:tr>
    </w:tbl>
    <w:p>
      <w:pPr>
        <w:ind w:left="760" w:right="100"/>
        <w:spacing w:after="0" w:line="29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Accounts of its Partners to reflect revaluations of the property of any Subsidiary of the Partnership that is treated as a partnership (or entity disregarded from a partnership) for U.S. federal income tax purposes. The Capital Account of each Partner shall be credited with such</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57" w:right="499" w:bottom="1440" w:gutter="0" w:footer="0" w:header="0"/>
        </w:sectPr>
      </w:pPr>
    </w:p>
    <w:bookmarkStart w:id="205" w:name="page206"/>
    <w:bookmarkEnd w:id="205"/>
    <w:p>
      <w:pPr>
        <w:ind w:left="7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Partner’s Capital Contributions, if any, all Profits allocated to such Partner pursuant to Section 7.3 and any items of income or gain which are specially allocated pursuant to Section 7.4; and shall be debited with all Losses allocated to such Partner pursuant to Section 7.3, any items of loss or deduction of the Partnership specially allocated to such Partner pursuant to Section 7.4, and all cash and the Carrying Value of any property (net of liabilities assumed by such Partner and the liabilities to which such property is subject) distributed by the Partnership to such Partner. Any references in any section of this Agreement to the Capital Account of a Partner shall be deemed to refer to such Capital Account as the same may be credited or debited from time to time as set forth above. In the event of any Transfer of any interest in the Partnership in accordance with the terms of this Agreement, the Transferee shall succeed to the Capital Account of the transferor to the extent it relates to the transferred interest. The General Partner shall also (i) make any adjustments that are necessary or appropriate in accordance with Treasury Regulations Section 1.704-1(b)(2)(iv)(q) and (ii) make any appropriate modifications for unanticipated events that might otherwise cause this Agreement not to comply with Treasury Regulations Section 1.704-1(b), provided that, to the extent that any such adjustment is inconsistent with any other provisions of this Agreement and would have a disproportionate (compared to PubCo) and material adverse effect on any Partner, such adjustment shall require the consent of such Partner. For Mexican tax purposes, the applicable rules shall be article 4-A, and related provisions of the Mexican income tax law.</w:t>
      </w:r>
    </w:p>
    <w:p>
      <w:pPr>
        <w:spacing w:after="0" w:line="93" w:lineRule="exact"/>
        <w:rPr>
          <w:sz w:val="20"/>
          <w:szCs w:val="20"/>
          <w:color w:val="auto"/>
        </w:rPr>
      </w:pPr>
    </w:p>
    <w:p>
      <w:pPr>
        <w:ind w:left="760" w:right="2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u w:val="single" w:color="auto"/>
          <w:color w:val="auto"/>
        </w:rPr>
        <w:t xml:space="preserve">Loans to the Partnership </w:t>
      </w:r>
      <w:r>
        <w:rPr>
          <w:rFonts w:ascii="Times New Roman" w:cs="Times New Roman" w:eastAsia="Times New Roman" w:hAnsi="Times New Roman"/>
          <w:sz w:val="18"/>
          <w:szCs w:val="18"/>
          <w:color w:val="auto"/>
        </w:rPr>
        <w:t>If a Partner advances or lends any funds to the Partnership (other than, for the avoidance of doubt, any Advance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made as part of a Capital Contribution), the amount of any such loan shall not increase the Partner’s Capital Account or affect in any way his, her or its share, as a Partner, in the profits, losses or distributions of the Partnership, but shall be a debt due from the Partnership.</w:t>
      </w:r>
    </w:p>
    <w:p>
      <w:pPr>
        <w:spacing w:after="0" w:line="77" w:lineRule="exact"/>
        <w:rPr>
          <w:sz w:val="20"/>
          <w:szCs w:val="20"/>
          <w:color w:val="auto"/>
        </w:rPr>
      </w:pPr>
    </w:p>
    <w:p>
      <w:pPr>
        <w:ind w:left="760" w:right="10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 xml:space="preserve">Allocations of Profits and Losses </w:t>
      </w:r>
      <w:r>
        <w:rPr>
          <w:rFonts w:ascii="Times New Roman" w:cs="Times New Roman" w:eastAsia="Times New Roman" w:hAnsi="Times New Roman"/>
          <w:sz w:val="18"/>
          <w:szCs w:val="18"/>
          <w:color w:val="auto"/>
        </w:rPr>
        <w:t>Except as otherwise provided in this Agreement, Profits and Losses (and, to the extent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items of income, gain or loss or deduction of the Partnership) shall be allocated in a manner such that the Capital Account of each Partner after giving effect to the special allocations set forth in Section 7.4 is, as nearly as possible, equal (proportionately) to (i) the Distributions that would be made pursuant to Section 6.2 if the Partnership were dissolved, its affairs wound up and its assets sold for cash equal to their Carrying Value, all Partnership liabilities were satisfied in cash in accordance with their terms (limited with respect to each nonrecourse liability to the Carrying Value of the assets securing such liability) and all remaining or resulting cash was distributed to the Partners, minus (ii) such Partner’s share of Partnership Minimum Gain and Partnership Nonrecourse Debt Minimum Gain, computed immediately prior to the hypothetical sale of assets. Notwithstanding the foregoing, the General Partner shall make such adjustments to Capital Accounts as it determines in its reasonable discretion to be appropriate to ensure allocations are made in accordance with a Partner’s interest in the Partnership.</w:t>
      </w:r>
    </w:p>
    <w:p>
      <w:pPr>
        <w:spacing w:after="0" w:line="9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 xml:space="preserve">Special Allocations </w:t>
      </w:r>
      <w:r>
        <w:rPr>
          <w:rFonts w:ascii="Times New Roman" w:cs="Times New Roman" w:eastAsia="Times New Roman" w:hAnsi="Times New Roman"/>
          <w:sz w:val="18"/>
          <w:szCs w:val="18"/>
          <w:color w:val="auto"/>
        </w:rPr>
        <w:t>Notwithstanding any other provisions in this Section 7:</w:t>
      </w:r>
    </w:p>
    <w:p>
      <w:pPr>
        <w:spacing w:after="0" w:line="133" w:lineRule="exact"/>
        <w:rPr>
          <w:sz w:val="20"/>
          <w:szCs w:val="20"/>
          <w:color w:val="auto"/>
        </w:rPr>
      </w:pPr>
    </w:p>
    <w:p>
      <w:pPr>
        <w:ind w:left="760" w:right="60" w:hanging="76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8"/>
          <w:szCs w:val="18"/>
          <w:i w:val="1"/>
          <w:iCs w:val="1"/>
          <w:color w:val="auto"/>
        </w:rPr>
        <w:t>Minimum Gain Chargeback</w:t>
      </w:r>
      <w:r>
        <w:rPr>
          <w:rFonts w:ascii="Times New Roman" w:cs="Times New Roman" w:eastAsia="Times New Roman" w:hAnsi="Times New Roman"/>
          <w:sz w:val="18"/>
          <w:szCs w:val="18"/>
          <w:color w:val="auto"/>
        </w:rPr>
        <w:t>. If there is a net decrease in Partnership Minimum Gain (determined in accordance with the principles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Regulations Section 1.704-2(d))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 1.704-2(g). The items to be so allocated shall be determined in accordance with Treasury Regulations Sections 1.704-2(f)(6) and 1.704-2(j)(2). This Section 7.4.1 is intended to comply with the minimum gain chargeback requirements in Treasury Regulations Section 1.704-2(f) shall be interpreted consistently therewith, including that no chargeback shall be required to the extent of the exceptions provided therein.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06" w:name="page207"/>
    <w:bookmarkEnd w:id="206"/>
    <w:p>
      <w:pPr>
        <w:ind w:left="720" w:hanging="768"/>
        <w:spacing w:after="0" w:line="256" w:lineRule="auto"/>
        <w:tabs>
          <w:tab w:leader="none" w:pos="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7.4.2</w:t>
      </w:r>
      <w:r>
        <w:rPr>
          <w:sz w:val="20"/>
          <w:szCs w:val="20"/>
          <w:color w:val="auto"/>
        </w:rPr>
        <w:tab/>
      </w:r>
      <w:r>
        <w:rPr>
          <w:rFonts w:ascii="Times New Roman" w:cs="Times New Roman" w:eastAsia="Times New Roman" w:hAnsi="Times New Roman"/>
          <w:sz w:val="18"/>
          <w:szCs w:val="18"/>
          <w:i w:val="1"/>
          <w:iCs w:val="1"/>
          <w:color w:val="auto"/>
        </w:rPr>
        <w:t>Nonrecourse Debt Minimum Gain Chargeback</w:t>
      </w:r>
      <w:r>
        <w:rPr>
          <w:rFonts w:ascii="Times New Roman" w:cs="Times New Roman" w:eastAsia="Times New Roman" w:hAnsi="Times New Roman"/>
          <w:sz w:val="18"/>
          <w:szCs w:val="18"/>
          <w:color w:val="auto"/>
        </w:rPr>
        <w:t>. If there is a net decrease in Partner Nonrecourse Debt Minimum Gain (determined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principles of Treasury Regulations Section 1.704-2(i))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 1.704-2(i)(5). The items to be so allocated shall be determined in accordance with Treasury Regulations Sections 1.704-2(i)(4) and 1.704-2(j)(2). This Section 7.4.2 is intended to comply with the minimum gain chargeback requirements in such Treasury Regulations Section 1.704-2(i)(4) and shall be interpreted consistently therewith, including that no chargeback shall be required to the extent of the exceptions provided therein.</w:t>
      </w:r>
    </w:p>
    <w:p>
      <w:pPr>
        <w:spacing w:after="0" w:line="88" w:lineRule="exact"/>
        <w:rPr>
          <w:sz w:val="20"/>
          <w:szCs w:val="20"/>
          <w:color w:val="auto"/>
        </w:rPr>
      </w:pPr>
    </w:p>
    <w:p>
      <w:pPr>
        <w:ind w:left="720" w:hanging="768"/>
        <w:spacing w:after="0" w:line="256" w:lineRule="auto"/>
        <w:tabs>
          <w:tab w:leader="none" w:pos="70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8"/>
          <w:szCs w:val="18"/>
          <w:i w:val="1"/>
          <w:iCs w:val="1"/>
          <w:color w:val="auto"/>
        </w:rPr>
        <w:t>Qualified Income Offset</w:t>
      </w:r>
      <w:r>
        <w:rPr>
          <w:rFonts w:ascii="Times New Roman" w:cs="Times New Roman" w:eastAsia="Times New Roman" w:hAnsi="Times New Roman"/>
          <w:sz w:val="18"/>
          <w:szCs w:val="18"/>
          <w:color w:val="auto"/>
        </w:rPr>
        <w:t>. If any Partner unexpectedly receives any adjustments, allocations, or distributions described in Treasury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1.704-1(b)(2)(ii)(d)(4), (5) or (6), items of Partnership income and gain shall be specially allocated to such Partner in an amount and manner sufficient to eliminate the deficit balance in such Partner’s Adjusted Capital Account Balance created by such adjustments, allocations or distributions as promptly as possible; provided that, an allocation pursuant to this Section 7.4.3 shall be made only to the extent that a Partner would have a deficit Adjusted Capital Account Balance in excess of such sum after all other allocations provided for in this Section 7 have been tentatively made as if this Section 7.4.3 were not in this Agreement. This Section 7.4.3 is intended to comply with the “qualified income offset” requirement of the Code and shall be interpreted consistently therewith.</w:t>
      </w:r>
    </w:p>
    <w:p>
      <w:pPr>
        <w:spacing w:after="0" w:line="88" w:lineRule="exact"/>
        <w:rPr>
          <w:sz w:val="20"/>
          <w:szCs w:val="20"/>
          <w:color w:val="auto"/>
        </w:rPr>
      </w:pPr>
    </w:p>
    <w:p>
      <w:pPr>
        <w:ind w:left="720" w:right="20" w:hanging="768"/>
        <w:spacing w:after="0" w:line="254" w:lineRule="auto"/>
        <w:tabs>
          <w:tab w:leader="none" w:pos="700" w:val="left"/>
        </w:tabs>
        <w:rPr>
          <w:sz w:val="20"/>
          <w:szCs w:val="20"/>
          <w:color w:val="auto"/>
        </w:rPr>
      </w:pPr>
      <w:r>
        <w:rPr>
          <w:rFonts w:ascii="Times New Roman" w:cs="Times New Roman" w:eastAsia="Times New Roman" w:hAnsi="Times New Roman"/>
          <w:sz w:val="18"/>
          <w:szCs w:val="18"/>
          <w:color w:val="auto"/>
        </w:rPr>
        <w:t>7.4.4</w:t>
      </w:r>
      <w:r>
        <w:rPr>
          <w:sz w:val="20"/>
          <w:szCs w:val="20"/>
          <w:color w:val="auto"/>
        </w:rPr>
        <w:tab/>
      </w:r>
      <w:r>
        <w:rPr>
          <w:rFonts w:ascii="Times New Roman" w:cs="Times New Roman" w:eastAsia="Times New Roman" w:hAnsi="Times New Roman"/>
          <w:sz w:val="18"/>
          <w:szCs w:val="18"/>
          <w:i w:val="1"/>
          <w:iCs w:val="1"/>
          <w:color w:val="auto"/>
        </w:rPr>
        <w:t>Gross Income Allocation</w:t>
      </w:r>
      <w:r>
        <w:rPr>
          <w:rFonts w:ascii="Times New Roman" w:cs="Times New Roman" w:eastAsia="Times New Roman" w:hAnsi="Times New Roman"/>
          <w:sz w:val="18"/>
          <w:szCs w:val="18"/>
          <w:color w:val="auto"/>
        </w:rPr>
        <w:t>. If any Partner has a deficit Capital Account at the end of any Fiscal Year which is in excess of the sum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such Partner is obligated to restore, if any, pursuant to any provision of this Agreement, and (ii) the amount such Partner is deemed to be obligated to restore pursuant to the penultimate sentences of Treasury Regulations Section 1.704-2(g)(1) and 1.704-2(i)(5), each such Partner shall be specially allocated items of Partnership income and gain in the amount of such excess as quickly as possible; provided that, an allocation pursuant to this Section 7.4.4 shall be made only if and to the extent that a Partner would have a deficit Capital Account in excess of such sum after all other allocations provided for in this Section 7 have been tentatively made as if Section 7.4.3 and this</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Section 7.4.4 were not in this Agreement.</w:t>
      </w:r>
    </w:p>
    <w:p>
      <w:pPr>
        <w:spacing w:after="0" w:line="110" w:lineRule="exact"/>
        <w:rPr>
          <w:sz w:val="20"/>
          <w:szCs w:val="20"/>
          <w:color w:val="auto"/>
        </w:rPr>
      </w:pPr>
    </w:p>
    <w:p>
      <w:pPr>
        <w:ind w:left="720" w:right="620" w:hanging="768"/>
        <w:spacing w:after="0" w:line="284" w:lineRule="auto"/>
        <w:tabs>
          <w:tab w:leader="none" w:pos="700" w:val="left"/>
        </w:tabs>
        <w:rPr>
          <w:sz w:val="20"/>
          <w:szCs w:val="20"/>
          <w:color w:val="auto"/>
        </w:rPr>
      </w:pPr>
      <w:r>
        <w:rPr>
          <w:rFonts w:ascii="Times New Roman" w:cs="Times New Roman" w:eastAsia="Times New Roman" w:hAnsi="Times New Roman"/>
          <w:sz w:val="18"/>
          <w:szCs w:val="18"/>
          <w:color w:val="auto"/>
        </w:rPr>
        <w:t>7.4.5</w:t>
      </w:r>
      <w:r>
        <w:rPr>
          <w:sz w:val="20"/>
          <w:szCs w:val="20"/>
          <w:color w:val="auto"/>
        </w:rPr>
        <w:tab/>
      </w:r>
      <w:r>
        <w:rPr>
          <w:rFonts w:ascii="Times New Roman" w:cs="Times New Roman" w:eastAsia="Times New Roman" w:hAnsi="Times New Roman"/>
          <w:sz w:val="18"/>
          <w:szCs w:val="18"/>
          <w:i w:val="1"/>
          <w:iCs w:val="1"/>
          <w:color w:val="auto"/>
        </w:rPr>
        <w:t>Nonrecourse Deductions</w:t>
      </w:r>
      <w:r>
        <w:rPr>
          <w:rFonts w:ascii="Times New Roman" w:cs="Times New Roman" w:eastAsia="Times New Roman" w:hAnsi="Times New Roman"/>
          <w:sz w:val="18"/>
          <w:szCs w:val="18"/>
          <w:color w:val="auto"/>
        </w:rPr>
        <w:t>. Nonrecourse Deductions for any taxable period shall be allocated to the Partners holding Common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their respective Common Percentage Interest.</w:t>
      </w:r>
    </w:p>
    <w:p>
      <w:pPr>
        <w:spacing w:after="0" w:line="64" w:lineRule="exact"/>
        <w:rPr>
          <w:sz w:val="20"/>
          <w:szCs w:val="20"/>
          <w:color w:val="auto"/>
        </w:rPr>
      </w:pPr>
    </w:p>
    <w:p>
      <w:pPr>
        <w:ind w:left="720" w:right="60" w:hanging="768"/>
        <w:spacing w:after="0" w:line="267" w:lineRule="auto"/>
        <w:tabs>
          <w:tab w:leader="none" w:pos="700" w:val="left"/>
        </w:tabs>
        <w:rPr>
          <w:sz w:val="20"/>
          <w:szCs w:val="20"/>
          <w:color w:val="auto"/>
        </w:rPr>
      </w:pPr>
      <w:r>
        <w:rPr>
          <w:rFonts w:ascii="Times New Roman" w:cs="Times New Roman" w:eastAsia="Times New Roman" w:hAnsi="Times New Roman"/>
          <w:sz w:val="18"/>
          <w:szCs w:val="18"/>
          <w:color w:val="auto"/>
        </w:rPr>
        <w:t>7.4.6</w:t>
      </w:r>
      <w:r>
        <w:rPr>
          <w:sz w:val="20"/>
          <w:szCs w:val="20"/>
          <w:color w:val="auto"/>
        </w:rPr>
        <w:tab/>
      </w:r>
      <w:r>
        <w:rPr>
          <w:rFonts w:ascii="Times New Roman" w:cs="Times New Roman" w:eastAsia="Times New Roman" w:hAnsi="Times New Roman"/>
          <w:sz w:val="18"/>
          <w:szCs w:val="18"/>
          <w:i w:val="1"/>
          <w:iCs w:val="1"/>
          <w:color w:val="auto"/>
        </w:rPr>
        <w:t>Partner Nonrecourse Deductions</w:t>
      </w:r>
      <w:r>
        <w:rPr>
          <w:rFonts w:ascii="Times New Roman" w:cs="Times New Roman" w:eastAsia="Times New Roman" w:hAnsi="Times New Roman"/>
          <w:sz w:val="18"/>
          <w:szCs w:val="18"/>
          <w:color w:val="auto"/>
        </w:rPr>
        <w:t>. Partner Nonrecourse Deductions for any taxable period shall be allocated to the Partner who bears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risk of loss with respect to the liability to which such Partner Nonrecourse Deductions are attributable in accordance with Treasury Regulations Section 1.704-2(i)(1).</w:t>
      </w:r>
    </w:p>
    <w:p>
      <w:pPr>
        <w:spacing w:after="0" w:line="79" w:lineRule="exact"/>
        <w:rPr>
          <w:sz w:val="20"/>
          <w:szCs w:val="20"/>
          <w:color w:val="auto"/>
        </w:rPr>
      </w:pPr>
    </w:p>
    <w:p>
      <w:pPr>
        <w:jc w:val="both"/>
        <w:ind w:left="720" w:right="120" w:hanging="768"/>
        <w:spacing w:after="0" w:line="261" w:lineRule="auto"/>
        <w:tabs>
          <w:tab w:leader="none" w:pos="700" w:val="left"/>
        </w:tabs>
        <w:rPr>
          <w:sz w:val="20"/>
          <w:szCs w:val="20"/>
          <w:color w:val="auto"/>
        </w:rPr>
      </w:pPr>
      <w:r>
        <w:rPr>
          <w:rFonts w:ascii="Times New Roman" w:cs="Times New Roman" w:eastAsia="Times New Roman" w:hAnsi="Times New Roman"/>
          <w:sz w:val="18"/>
          <w:szCs w:val="18"/>
          <w:color w:val="auto"/>
        </w:rPr>
        <w:t>7.4.7</w:t>
      </w:r>
      <w:r>
        <w:rPr>
          <w:sz w:val="20"/>
          <w:szCs w:val="20"/>
          <w:color w:val="auto"/>
        </w:rPr>
        <w:tab/>
      </w:r>
      <w:r>
        <w:rPr>
          <w:rFonts w:ascii="Times New Roman" w:cs="Times New Roman" w:eastAsia="Times New Roman" w:hAnsi="Times New Roman"/>
          <w:sz w:val="18"/>
          <w:szCs w:val="18"/>
          <w:i w:val="1"/>
          <w:iCs w:val="1"/>
          <w:color w:val="auto"/>
        </w:rPr>
        <w:t xml:space="preserve">Section 754 Adjustments. </w:t>
      </w:r>
      <w:r>
        <w:rPr>
          <w:rFonts w:ascii="Times New Roman" w:cs="Times New Roman" w:eastAsia="Times New Roman" w:hAnsi="Times New Roman"/>
          <w:sz w:val="18"/>
          <w:szCs w:val="18"/>
          <w:color w:val="auto"/>
        </w:rPr>
        <w:t>To the extent an adjustment to the adjusted tax basis of any Partnership Asset, pursuant to Code Section 734(b)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743(b) is required, pursuant to Treasury Regulations Section 1.704-1(b)(2)(iv)(m)(2) or Section 1.704-1(b)(2)(iv)(m)(4), to be taken into account in determining Capital Accounts as the result of a Distribution to a Partner in complete liquidation of such Partner’s interest in the Partnership, the amount of such adjustment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80" w:top="268" w:right="479" w:bottom="1440" w:gutter="0" w:footer="0" w:header="0"/>
        </w:sectPr>
      </w:pPr>
    </w:p>
    <w:bookmarkStart w:id="207" w:name="page208"/>
    <w:bookmarkEnd w:id="207"/>
    <w:p>
      <w:pPr>
        <w:jc w:val="both"/>
        <w:ind w:left="760"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Capital Accounts shall be treated as an item of gain (if the adjustment increases the basis of the asset) or loss (if the adjustment decreases such basis) and such gain or loss shall be specially allocated to the Partners in accordance with their interests in the Partnership in the event Treasury Regulations Section 1.704-1(b)(2)(iv)(m)(2) applies, or to the Partner to whom such Distribution was made in the event Treasury Regulations Section 1.704-1(b)(2)(iv)(m)(4) applies.</w:t>
      </w:r>
    </w:p>
    <w:p>
      <w:pPr>
        <w:spacing w:after="0" w:line="83" w:lineRule="exact"/>
        <w:rPr>
          <w:sz w:val="20"/>
          <w:szCs w:val="20"/>
          <w:color w:val="auto"/>
        </w:rPr>
      </w:pPr>
    </w:p>
    <w:p>
      <w:pPr>
        <w:ind w:left="760" w:right="8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7.4.8</w:t>
      </w:r>
      <w:r>
        <w:rPr>
          <w:sz w:val="20"/>
          <w:szCs w:val="20"/>
          <w:color w:val="auto"/>
        </w:rPr>
        <w:tab/>
      </w:r>
      <w:r>
        <w:rPr>
          <w:rFonts w:ascii="Times New Roman" w:cs="Times New Roman" w:eastAsia="Times New Roman" w:hAnsi="Times New Roman"/>
          <w:sz w:val="18"/>
          <w:szCs w:val="18"/>
          <w:i w:val="1"/>
          <w:iCs w:val="1"/>
          <w:color w:val="auto"/>
        </w:rPr>
        <w:t>Ameliorative Allocations</w:t>
      </w:r>
      <w:r>
        <w:rPr>
          <w:rFonts w:ascii="Times New Roman" w:cs="Times New Roman" w:eastAsia="Times New Roman" w:hAnsi="Times New Roman"/>
          <w:sz w:val="18"/>
          <w:szCs w:val="18"/>
          <w:color w:val="auto"/>
        </w:rPr>
        <w:t>. Any special allocations of income or gain pursuant to Sections 7.4.1, 7.4.2, 7.4.3 or 7.4.4 hereof shall be taken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in computing subsequent allocations pursuant to Section 7.3 and this Section 7.4.8, so that the net amount of any items so allocated and all other items allocated to each Partner shall, to the extent possible, be equal to the net amount that would have been allocated to each Partner if such allocations pursuant to Sections 7.4.1, 7.4.2, 7.4.3 or 7.4.4 had not occurred.</w:t>
      </w:r>
    </w:p>
    <w:p>
      <w:pPr>
        <w:spacing w:after="0" w:line="85" w:lineRule="exact"/>
        <w:rPr>
          <w:sz w:val="20"/>
          <w:szCs w:val="20"/>
          <w:color w:val="auto"/>
        </w:rPr>
      </w:pPr>
    </w:p>
    <w:p>
      <w:pPr>
        <w:ind w:left="760" w:right="80" w:hanging="768"/>
        <w:spacing w:after="0" w:line="257" w:lineRule="auto"/>
        <w:tabs>
          <w:tab w:leader="none" w:pos="740" w:val="left"/>
        </w:tabs>
        <w:rPr>
          <w:sz w:val="20"/>
          <w:szCs w:val="20"/>
          <w:color w:val="auto"/>
        </w:rPr>
      </w:pPr>
      <w:r>
        <w:rPr>
          <w:rFonts w:ascii="Times New Roman" w:cs="Times New Roman" w:eastAsia="Times New Roman" w:hAnsi="Times New Roman"/>
          <w:sz w:val="18"/>
          <w:szCs w:val="18"/>
          <w:color w:val="auto"/>
        </w:rPr>
        <w:t>7.4.9</w:t>
      </w:r>
      <w:r>
        <w:rPr>
          <w:sz w:val="20"/>
          <w:szCs w:val="20"/>
          <w:color w:val="auto"/>
        </w:rPr>
        <w:tab/>
      </w:r>
      <w:r>
        <w:rPr>
          <w:rFonts w:ascii="Times New Roman" w:cs="Times New Roman" w:eastAsia="Times New Roman" w:hAnsi="Times New Roman"/>
          <w:sz w:val="18"/>
          <w:szCs w:val="18"/>
          <w:i w:val="1"/>
          <w:iCs w:val="1"/>
          <w:color w:val="auto"/>
        </w:rPr>
        <w:t>Allocations Relating to Taxable Issuance of Partnership Units</w:t>
      </w:r>
      <w:r>
        <w:rPr>
          <w:rFonts w:ascii="Times New Roman" w:cs="Times New Roman" w:eastAsia="Times New Roman" w:hAnsi="Times New Roman"/>
          <w:sz w:val="18"/>
          <w:szCs w:val="18"/>
          <w:color w:val="auto"/>
        </w:rPr>
        <w:t>. Any income, gain, loss, or deduction realized as a direct or indirect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issuance of Units by the Partnership to a Partner (the “</w:t>
      </w:r>
      <w:r>
        <w:rPr>
          <w:rFonts w:ascii="Times New Roman" w:cs="Times New Roman" w:eastAsia="Times New Roman" w:hAnsi="Times New Roman"/>
          <w:sz w:val="18"/>
          <w:szCs w:val="18"/>
          <w:b w:val="1"/>
          <w:bCs w:val="1"/>
          <w:color w:val="auto"/>
        </w:rPr>
        <w:t>Issuance Items</w:t>
      </w:r>
      <w:r>
        <w:rPr>
          <w:rFonts w:ascii="Times New Roman" w:cs="Times New Roman" w:eastAsia="Times New Roman" w:hAnsi="Times New Roman"/>
          <w:sz w:val="18"/>
          <w:szCs w:val="18"/>
          <w:color w:val="auto"/>
        </w:rPr>
        <w:t>”) shall be allocated among the Partners so that, to the extent possible, the net amount of such Issuance Items, together with all other allocations under this Agreement to each Partner shall be equal to the net amount that would have been allocated to each such Partner if the Issuance Items had not been realized. The forfeiture allocations described in Proposed Regulations Section 1.704-1(b)(4)(xii)(C) (2005), and the allocations to which they relate, shall be treated as Issuance Items.</w:t>
      </w:r>
    </w:p>
    <w:p>
      <w:pPr>
        <w:spacing w:after="0" w:line="88" w:lineRule="exact"/>
        <w:rPr>
          <w:sz w:val="20"/>
          <w:szCs w:val="20"/>
          <w:color w:val="auto"/>
        </w:rPr>
      </w:pPr>
    </w:p>
    <w:p>
      <w:pPr>
        <w:ind w:left="760" w:hanging="76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7.4.10</w:t>
      </w:r>
      <w:r>
        <w:rPr>
          <w:sz w:val="20"/>
          <w:szCs w:val="20"/>
          <w:color w:val="auto"/>
        </w:rPr>
        <w:tab/>
      </w:r>
      <w:r>
        <w:rPr>
          <w:rFonts w:ascii="Times New Roman" w:cs="Times New Roman" w:eastAsia="Times New Roman" w:hAnsi="Times New Roman"/>
          <w:sz w:val="18"/>
          <w:szCs w:val="18"/>
          <w:i w:val="1"/>
          <w:iCs w:val="1"/>
          <w:color w:val="auto"/>
        </w:rPr>
        <w:t>Restricted Common Units</w:t>
      </w:r>
      <w:r>
        <w:rPr>
          <w:rFonts w:ascii="Times New Roman" w:cs="Times New Roman" w:eastAsia="Times New Roman" w:hAnsi="Times New Roman"/>
          <w:sz w:val="18"/>
          <w:szCs w:val="18"/>
          <w:color w:val="auto"/>
        </w:rPr>
        <w:t>. Notwithstanding anything to the contrary contained in this Agreement, (1) no allocation (of Profits or Losses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shall be made in respect of any Restricted Common Units in determining Capital Accounts unless and until such Restricted Common Units are converted into Common Units upon the occurrence of a Vesting Event and (2) in the event the Carrying Value is adjusted pursuant to clause (g) of the definition of Carrying Value, any Profits or Losses resulting from such adjustment shall, in the manner reasonably determined by the General Partner, be allocated among the Partners (including the Partners who held the Restricted Common Units giving rise to such adjustment) such that the Capital Account balance relating to each Common Unit (including such Restricted Common Units that have been converted into Common Units) is equal in amount immediately after making such allocation in accordance with principles similar to those set forth in Treasury Regulations Section 1.704-1(b)(2)(iv)(s). In connection with and following the occurrence of each Vesting Event, Tolerantia, LLC may require that the Partnership either (A) allow it or its Affiliate to subscribe for and purchase $10,000 worth of Common Units from the Partnership (or a larger amount with the consent of the General Partner) rounded down to the nearest Common Unit for cash consideration priced using the 5 Day VWAP (at which time Carrying Value shall be adjusted pursuant to clause (a) of the definition of Carrying Value); or (B) redeem Tolerantia, LLC of $10,000 worth of its Common Units (or a larger amount with the consent of the General Partner) rounded down to the nearest Common Unit for cash consideration priced using 5 Day VWAP (at which time Carrying Value shall be adjusted pursuant to clause (b) of the definition of Carrying Value).</w:t>
      </w:r>
    </w:p>
    <w:p>
      <w:pPr>
        <w:spacing w:after="0" w:line="91" w:lineRule="exact"/>
        <w:rPr>
          <w:sz w:val="20"/>
          <w:szCs w:val="20"/>
          <w:color w:val="auto"/>
        </w:rPr>
      </w:pPr>
    </w:p>
    <w:p>
      <w:pPr>
        <w:ind w:left="760" w:right="380" w:hanging="768"/>
        <w:spacing w:after="0" w:line="284" w:lineRule="auto"/>
        <w:tabs>
          <w:tab w:leader="none" w:pos="740" w:val="left"/>
        </w:tabs>
        <w:rPr>
          <w:sz w:val="20"/>
          <w:szCs w:val="20"/>
          <w:color w:val="auto"/>
        </w:rPr>
      </w:pPr>
      <w:r>
        <w:rPr>
          <w:rFonts w:ascii="Times New Roman" w:cs="Times New Roman" w:eastAsia="Times New Roman" w:hAnsi="Times New Roman"/>
          <w:sz w:val="18"/>
          <w:szCs w:val="18"/>
          <w:color w:val="auto"/>
        </w:rPr>
        <w:t>7.4.11</w:t>
      </w:r>
      <w:r>
        <w:rPr>
          <w:sz w:val="20"/>
          <w:szCs w:val="20"/>
          <w:color w:val="auto"/>
        </w:rPr>
        <w:tab/>
      </w:r>
      <w:r>
        <w:rPr>
          <w:rFonts w:ascii="Times New Roman" w:cs="Times New Roman" w:eastAsia="Times New Roman" w:hAnsi="Times New Roman"/>
          <w:sz w:val="18"/>
          <w:szCs w:val="18"/>
          <w:i w:val="1"/>
          <w:iCs w:val="1"/>
          <w:color w:val="auto"/>
        </w:rPr>
        <w:t>Forfeiture Allocation</w:t>
      </w:r>
      <w:r>
        <w:rPr>
          <w:rFonts w:ascii="Times New Roman" w:cs="Times New Roman" w:eastAsia="Times New Roman" w:hAnsi="Times New Roman"/>
          <w:sz w:val="18"/>
          <w:szCs w:val="18"/>
          <w:color w:val="auto"/>
        </w:rPr>
        <w:t>. In the event that the Units of any Partner are forfeited, then for the fiscal year of such forfeiture or other period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General Partner):</w:t>
      </w:r>
    </w:p>
    <w:p>
      <w:pPr>
        <w:spacing w:after="0" w:line="52" w:lineRule="exact"/>
        <w:rPr>
          <w:sz w:val="20"/>
          <w:szCs w:val="20"/>
          <w:color w:val="auto"/>
        </w:rPr>
      </w:pPr>
    </w:p>
    <w:p>
      <w:pPr>
        <w:ind w:left="980" w:right="140" w:firstLine="7"/>
        <w:spacing w:after="0" w:line="261" w:lineRule="auto"/>
        <w:tabs>
          <w:tab w:leader="none" w:pos="11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income, gain, loss, and deduction shall be excluded from the calculation of Profits and Losses and shall be specially allocated to the Partner whose Units have been forfeited so as to cause such Partner’s Capital Account to equal such Partner’s Distribution entitlements under Section 6.1 after giving effect to the adjustment in the Partner’s Common Percentage Interest resulting from the applicable forfeiture;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208" w:name="page209"/>
    <w:bookmarkEnd w:id="208"/>
    <w:p>
      <w:pPr>
        <w:ind w:left="940" w:right="220" w:firstLine="7"/>
        <w:spacing w:after="0" w:line="282" w:lineRule="auto"/>
        <w:tabs>
          <w:tab w:leader="none" w:pos="12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General Partner may elect to apply another allocation or Capital Account adjustment method to a Unit forfeiture as it reasonably deems appropriate in lieu of the method set forth in Section 7.4.11(i).</w:t>
      </w:r>
    </w:p>
    <w:p>
      <w:pPr>
        <w:spacing w:after="0" w:line="65" w:lineRule="exact"/>
        <w:rPr>
          <w:sz w:val="20"/>
          <w:szCs w:val="20"/>
          <w:color w:val="auto"/>
        </w:rPr>
      </w:pPr>
    </w:p>
    <w:p>
      <w:pPr>
        <w:ind w:left="720" w:right="20" w:hanging="768"/>
        <w:spacing w:after="0" w:line="267" w:lineRule="auto"/>
        <w:tabs>
          <w:tab w:leader="none" w:pos="700" w:val="left"/>
        </w:tabs>
        <w:rPr>
          <w:sz w:val="20"/>
          <w:szCs w:val="20"/>
          <w:color w:val="auto"/>
        </w:rPr>
      </w:pPr>
      <w:r>
        <w:rPr>
          <w:rFonts w:ascii="Times New Roman" w:cs="Times New Roman" w:eastAsia="Times New Roman" w:hAnsi="Times New Roman"/>
          <w:sz w:val="18"/>
          <w:szCs w:val="18"/>
          <w:color w:val="auto"/>
        </w:rPr>
        <w:t>7.4.12</w:t>
      </w:r>
      <w:r>
        <w:rPr>
          <w:sz w:val="20"/>
          <w:szCs w:val="20"/>
          <w:color w:val="auto"/>
        </w:rPr>
        <w:tab/>
      </w:r>
      <w:r>
        <w:rPr>
          <w:rFonts w:ascii="Times New Roman" w:cs="Times New Roman" w:eastAsia="Times New Roman" w:hAnsi="Times New Roman"/>
          <w:sz w:val="18"/>
          <w:szCs w:val="18"/>
          <w:i w:val="1"/>
          <w:iCs w:val="1"/>
          <w:color w:val="auto"/>
        </w:rPr>
        <w:t>Non-compensatory Options</w:t>
      </w:r>
      <w:r>
        <w:rPr>
          <w:rFonts w:ascii="Times New Roman" w:cs="Times New Roman" w:eastAsia="Times New Roman" w:hAnsi="Times New Roman"/>
          <w:sz w:val="18"/>
          <w:szCs w:val="18"/>
          <w:color w:val="auto"/>
        </w:rPr>
        <w:t>. If, as a result of an exercise of a non-compensatory option to acquire an interest in the Partnership, a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reallocation is required under Treasury Regulations Section 1.704-1(b)(2)(iv)(s)(3), the Partnership shall make corrective allocations pursuant to Treasury Regulations Section 1.704-1(b)(4)(x).</w:t>
      </w:r>
    </w:p>
    <w:p>
      <w:pPr>
        <w:spacing w:after="0" w:line="77" w:lineRule="exact"/>
        <w:rPr>
          <w:sz w:val="20"/>
          <w:szCs w:val="20"/>
          <w:color w:val="auto"/>
        </w:rPr>
      </w:pPr>
    </w:p>
    <w:p>
      <w:pPr>
        <w:ind w:left="720" w:hanging="768"/>
        <w:spacing w:after="0" w:line="252" w:lineRule="auto"/>
        <w:tabs>
          <w:tab w:leader="none" w:pos="7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color w:val="auto"/>
        </w:rPr>
        <w:t xml:space="preserve">Tax Allocations </w:t>
      </w:r>
      <w:r>
        <w:rPr>
          <w:rFonts w:ascii="Times New Roman" w:cs="Times New Roman" w:eastAsia="Times New Roman" w:hAnsi="Times New Roman"/>
          <w:sz w:val="18"/>
          <w:szCs w:val="18"/>
          <w:color w:val="auto"/>
        </w:rPr>
        <w:t>For U.S. federal income tax purposes, each item of income, gain, loss and deduction of the Partnership shall be allocated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Partners in the same manner as the corresponding items of Profits and Losses and specially allocated items are allocated for Capital Account purposes; provided that, in the case of any asset the Carrying Value of which differs from its adjusted tax basis for U.S. federal income tax purposes, income, gain, loss and deduction with respect to such asset shall be allocated solely for income tax purposes in accordance with the principles of Sections 704(b) and (c) of the Code (in any manner determined by the General Partner and permitted by the Code and Treasury Regulations; provided that, except as otherwise provided in this Section 7.5, the prior written consent of the Requisite Continuing Partners shall be required for use of any method other than the traditional method (without curative allocations) described in Treasury Regulation Section 1.704-3(b)) so as to take account of the difference between Carrying Value and adjusted basis of such asset; provided, further, that with respect to the reverse Section 704(c) allocations resulting from the adjustment that occurred immediately prior to the investment by PubCo in connection with the Existing Partnership Agreement and the subsequent purchase of interests in the Partnership by PubCo pursuant to the Business Combination Agreement, the Partnership shall adopt the “remedial allocation method” described in Treasury Regulation Section 1.704-3(d) (unless otherwise consented to by PubCo), for making such allocations. Notwithstanding the foregoing, the General Partner shall make such allocations for tax purposes as it determines in its reasonable discretion, subject to, for so long as the Continuing Partners collectively own at least 10% of the Units, the prior written consent, not to be unreasonably withheld, conditioned or delayed, of the Requisite Continuing Partners, to be appropriate to ensure allocations are made in accordance with a Partner’s interest in the Partnership.</w:t>
      </w:r>
    </w:p>
    <w:p>
      <w:pPr>
        <w:spacing w:after="0" w:line="100" w:lineRule="exact"/>
        <w:rPr>
          <w:sz w:val="20"/>
          <w:szCs w:val="20"/>
          <w:color w:val="auto"/>
        </w:rPr>
      </w:pPr>
    </w:p>
    <w:p>
      <w:pPr>
        <w:ind w:left="720" w:hanging="768"/>
        <w:spacing w:after="0" w:line="254" w:lineRule="auto"/>
        <w:tabs>
          <w:tab w:leader="none" w:pos="7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 xml:space="preserve">Tax Advances </w:t>
      </w:r>
      <w:r>
        <w:rPr>
          <w:rFonts w:ascii="Times New Roman" w:cs="Times New Roman" w:eastAsia="Times New Roman" w:hAnsi="Times New Roman"/>
          <w:sz w:val="18"/>
          <w:szCs w:val="18"/>
          <w:color w:val="auto"/>
        </w:rPr>
        <w:t>If the Partnership or any other Person in which the Partnership holds an interest is required by Law to withhold or to make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on behalf of or with respect to any Partner, or the Partnership is subjected to tax itself (including any amounts withheld from amounts directly or indirectly payable to the Partnership or to any other Person in which the Partnership holds an interest) by reason of the status of any Partner as such or that is specifically attributable to a Partner (including U.S. federal, state, or local or non-U.S. withholding, personal property, unincorporated business or other taxes, the amount of any taxes arising under the Partnership Audit Provisions, the amount of any taxes imposed under Code Section 1446(f), and any interest, penalties, additions to tax, and expenses related to any such amounts) (“</w:t>
      </w:r>
      <w:r>
        <w:rPr>
          <w:rFonts w:ascii="Times New Roman" w:cs="Times New Roman" w:eastAsia="Times New Roman" w:hAnsi="Times New Roman"/>
          <w:sz w:val="18"/>
          <w:szCs w:val="18"/>
          <w:b w:val="1"/>
          <w:bCs w:val="1"/>
          <w:color w:val="auto"/>
        </w:rPr>
        <w:t>Tax Advances</w:t>
      </w:r>
      <w:r>
        <w:rPr>
          <w:rFonts w:ascii="Times New Roman" w:cs="Times New Roman" w:eastAsia="Times New Roman" w:hAnsi="Times New Roman"/>
          <w:sz w:val="18"/>
          <w:szCs w:val="18"/>
          <w:color w:val="auto"/>
        </w:rPr>
        <w:t>”), the General Partner may cause the Partnership to withhold such amounts and cause the Partnership to make such tax payments as so required. All Tax Advances made on behalf of a Partner shall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For all purposes of this Agreement, such Partner shall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80" w:top="270" w:right="479" w:bottom="1440" w:gutter="0" w:footer="0" w:header="0"/>
        </w:sectPr>
      </w:pPr>
    </w:p>
    <w:bookmarkStart w:id="209" w:name="page210"/>
    <w:bookmarkEnd w:id="209"/>
    <w:p>
      <w:pPr>
        <w:ind w:left="76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treated as having received the amount of the Distribution that is equal to the Tax Advance. Each Partner hereby agrees to indemnify and hold harmless the Partnership and the other Partners from and against any liability (including any liability for taxes, penalties, additions to tax or interest other than any penalties, additions to tax or interest imposed as a result of the Partnership’s failure to withhold or make a tax payment on behalf of such Partner which withholding or payment is required pursuant to applicable Law) with respect to income attributable to or Distributions or other payments to such Partner. For the avoidance of doubt, any income taxes, penalties, additions to tax and interest payable by the Partnership or any fiscally transparent entity in which the Partnership owns an interest shall be treated as specifically attributable to the Partners and shall be allocated among the Partners such that the burden of (or any diminution in distributable proceeds resulting from) any such amounts is borne by those Partners to whom such amounts are specifically attributable (whether as a result of their status, actions, inactions or otherwise, including pursuant to an allocation made under Section 7.7), in each case as reasonably determined by the General Partner. For the avoidance of doubt, any taxes, penalties, and interest payable under the Partnership Audit Provisions by the Partnership or any fiscally transparent entity in which the Partnership owns an interest shall be treated as specifically attributable to the Partners of the Partnership, and the General Partner shall use commercially reasonable efforts to allocate the burden of (or any diminution in distributable proceeds resulting from) any such taxes, penalties or interest to those Partners to whom such amounts are specifically attributable (whether as a result of their status, actions, inactions or otherwise), as reasonably determined by the General Partner.</w:t>
      </w:r>
    </w:p>
    <w:p>
      <w:pPr>
        <w:spacing w:after="0" w:line="9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b w:val="1"/>
          <w:bCs w:val="1"/>
          <w:color w:val="auto"/>
        </w:rPr>
        <w:t>Partnership Representative</w:t>
      </w:r>
    </w:p>
    <w:p>
      <w:pPr>
        <w:spacing w:after="0" w:line="121" w:lineRule="exact"/>
        <w:rPr>
          <w:sz w:val="20"/>
          <w:szCs w:val="20"/>
          <w:color w:val="auto"/>
        </w:rPr>
      </w:pPr>
    </w:p>
    <w:p>
      <w:pPr>
        <w:ind w:left="760" w:firstLine="417"/>
        <w:spacing w:after="0" w:line="254" w:lineRule="auto"/>
        <w:tabs>
          <w:tab w:leader="none" w:pos="141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Partner as Partnership Representative</w:t>
      </w:r>
      <w:r>
        <w:rPr>
          <w:rFonts w:ascii="Times New Roman" w:cs="Times New Roman" w:eastAsia="Times New Roman" w:hAnsi="Times New Roman"/>
          <w:sz w:val="18"/>
          <w:szCs w:val="18"/>
          <w:color w:val="auto"/>
        </w:rPr>
        <w:t xml:space="preserve"> The General Partner is hereby designated as the “partnership representative” as that term is defined in Partnership Audit Provisions for taxable years of the Partnership beginning with the taxable year including the Effective Date. In addition, the General Partner is hereby authorized to designate or remove any other Person as the Partnership Representative. For each Fiscal Year in which the Partnership Representative is an entity, the Partnership Representative shall appoint an individual identified by the Partnership Representative for such Fiscal Year to act on its behalf (the “</w:t>
      </w:r>
      <w:r>
        <w:rPr>
          <w:rFonts w:ascii="Times New Roman" w:cs="Times New Roman" w:eastAsia="Times New Roman" w:hAnsi="Times New Roman"/>
          <w:sz w:val="18"/>
          <w:szCs w:val="18"/>
          <w:b w:val="1"/>
          <w:bCs w:val="1"/>
          <w:color w:val="auto"/>
        </w:rPr>
        <w:t>Designated Individual</w:t>
      </w:r>
      <w:r>
        <w:rPr>
          <w:rFonts w:ascii="Times New Roman" w:cs="Times New Roman" w:eastAsia="Times New Roman" w:hAnsi="Times New Roman"/>
          <w:sz w:val="18"/>
          <w:szCs w:val="18"/>
          <w:color w:val="auto"/>
        </w:rPr>
        <w:t>”) in accordance with the applicable regulations or analogous provisions of state or local Law. Each Partner hereby expressly consents to such designations and agrees to take, and that the General Partner is authorized to take (or cause the Partnership to take), such other actions as may be necessary or advisable pursuant to Treasury Regulations or other IRS or Treasury guidance or state or local Law to cause such designations or evidence such Partner’s consent to such designations.</w:t>
      </w:r>
    </w:p>
    <w:p>
      <w:pPr>
        <w:spacing w:after="0" w:line="80" w:lineRule="exact"/>
        <w:rPr>
          <w:rFonts w:ascii="Times New Roman" w:cs="Times New Roman" w:eastAsia="Times New Roman" w:hAnsi="Times New Roman"/>
          <w:sz w:val="18"/>
          <w:szCs w:val="18"/>
          <w:color w:val="auto"/>
        </w:rPr>
      </w:pPr>
    </w:p>
    <w:p>
      <w:pPr>
        <w:ind w:left="760" w:right="20" w:firstLine="417"/>
        <w:spacing w:after="0" w:line="256" w:lineRule="auto"/>
        <w:tabs>
          <w:tab w:leader="none" w:pos="14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Partnership Representative</w:t>
      </w:r>
      <w:r>
        <w:rPr>
          <w:rFonts w:ascii="Times New Roman" w:cs="Times New Roman" w:eastAsia="Times New Roman" w:hAnsi="Times New Roman"/>
          <w:sz w:val="18"/>
          <w:szCs w:val="18"/>
          <w:color w:val="auto"/>
        </w:rPr>
        <w:t xml:space="preserve"> Subject to this Section 7.7, the Partnership Representative shall have the sole authority to act on behalf of the Partnership in connection with, make all relevant decisions regarding application of, and to exercise the rights and powers provided for in the Partnership Audit Provisions, including making any elections under the Partnership Audit Provisions or any decisions to settle, compromise, challenge, litigate or otherwise alter the defense of any action, audit or examination before the IRS or any other tax authority (each, an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and to expend Partnership funds for professional services and other expenses reasonably incurred in connection therewith.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210" w:name="page211"/>
    <w:bookmarkEnd w:id="210"/>
    <w:p>
      <w:pPr>
        <w:ind w:left="-7" w:right="60" w:firstLine="417"/>
        <w:spacing w:after="0" w:line="253" w:lineRule="auto"/>
        <w:tabs>
          <w:tab w:leader="none" w:pos="64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Audits</w:t>
      </w:r>
      <w:r>
        <w:rPr>
          <w:rFonts w:ascii="Times New Roman" w:cs="Times New Roman" w:eastAsia="Times New Roman" w:hAnsi="Times New Roman"/>
          <w:sz w:val="18"/>
          <w:szCs w:val="18"/>
          <w:color w:val="auto"/>
        </w:rPr>
        <w:t xml:space="preserve"> Without limiting the foregoing, the Partnership Representative shall give prompt written notice to the Continuing Partner Representative of the commencement of any Audit of the Partnership or any of its Subsidiaries the resolution of which would reasonably be expected to have a disproportionate (compared to PubCo) and material adverse effect on the Continuing Partners (a “</w:t>
      </w:r>
      <w:r>
        <w:rPr>
          <w:rFonts w:ascii="Times New Roman" w:cs="Times New Roman" w:eastAsia="Times New Roman" w:hAnsi="Times New Roman"/>
          <w:sz w:val="18"/>
          <w:szCs w:val="18"/>
          <w:b w:val="1"/>
          <w:b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The Partnership Representative shall (i) keep the Continuing Partner Representative reasonably informed of the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developments and status of any such Specified Audit, (ii) permit the Continuing Partner Representative (or its designee) to participate (including using separate counsel), in each case at the Continuing Partner’ sole cost and expense, in any such Specified Audit, and</w:t>
      </w:r>
    </w:p>
    <w:p>
      <w:pPr>
        <w:spacing w:after="0" w:line="5" w:lineRule="exact"/>
        <w:rPr>
          <w:rFonts w:ascii="Times New Roman" w:cs="Times New Roman" w:eastAsia="Times New Roman" w:hAnsi="Times New Roman"/>
          <w:sz w:val="18"/>
          <w:szCs w:val="18"/>
          <w:color w:val="auto"/>
        </w:rPr>
      </w:pPr>
    </w:p>
    <w:p>
      <w:pPr>
        <w:ind w:left="-7" w:firstLine="7"/>
        <w:spacing w:after="0" w:line="251" w:lineRule="auto"/>
        <w:tabs>
          <w:tab w:leader="none" w:pos="3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Continuing Partner Representative of receipt of a notice of a final partnership adjustment (or equivalent under applicable Laws) or a final decision of a court or IRS Independent Office of Appeals panel (or equivalent body under applicable Laws) with respect to such Specified Audit. The Partnership Representative or the Partnership shall promptly provide the Continuing Partner Representative with copies of all material correspondence between the Partnership Representative or the Partnership (as applicable) and any governmental entity in connection with such Specified Audit and shall give the Continuing Partner Representative a reasonable opportunity to review and comment on any material correspondence, submission (including settlement or compromise offers) or filing in connection with any such Specified Audit. Additionally, the Partnership Representative shall not (and the Partnership shall not (and shall not authorize the Partnership Representative to)) settle, compromise or abandon any Specified Audit in a manner that would reasonably be expected to have a disproportionate (compared to PubCo) and material adverse effect on the Continuing Partners without the Requisite Continuing Partners’ prior written consent (which consent shall not be unreasonably withheld, delayed or conditioned). The Partnership Representative shall obtain the prior written consent of the Requisite Continuing Partners (which consent shall not be unreasonably withheld, delayed or conditioned) before (i) making an election under Section 6226(a) of the Code (or any analogous provision of state, local or non-U.S. Law) or (ii) taking any material action under the Partnership Audit Provisions that would reasonably be expected to have a disproportionate (compared to PubCo) and material adverse effect on the Continuing Partners, in the case of clauses (i) and (ii); provided that, no consent from the Requisite Continuing Partners is required in order to make an election under Section 6226(a) of the Code with respect to taxable periods that began on or before the Effective Time.</w:t>
      </w:r>
    </w:p>
    <w:p>
      <w:pPr>
        <w:spacing w:after="0" w:line="82" w:lineRule="exact"/>
        <w:rPr>
          <w:rFonts w:ascii="Times New Roman" w:cs="Times New Roman" w:eastAsia="Times New Roman" w:hAnsi="Times New Roman"/>
          <w:sz w:val="18"/>
          <w:szCs w:val="18"/>
          <w:color w:val="auto"/>
        </w:rPr>
      </w:pPr>
    </w:p>
    <w:p>
      <w:pPr>
        <w:ind w:left="-7" w:right="20" w:firstLine="417"/>
        <w:spacing w:after="0" w:line="253" w:lineRule="auto"/>
        <w:tabs>
          <w:tab w:leader="none" w:pos="65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Partnership Representative</w:t>
      </w:r>
      <w:r>
        <w:rPr>
          <w:rFonts w:ascii="Times New Roman" w:cs="Times New Roman" w:eastAsia="Times New Roman" w:hAnsi="Times New Roman"/>
          <w:sz w:val="18"/>
          <w:szCs w:val="18"/>
          <w:color w:val="auto"/>
        </w:rPr>
        <w:t xml:space="preserve"> All expenses incurred by the Partnership Representative or Designated Individual in connection with its duties as partnership representative or designated individual, as applicable, shall be expenses of the Partnership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clauses (i) and (ii) of the final sentence of this Section 7.7(d)), and the Partnership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Partnership, any Partner or any Affiliate thereof for any costs or losses to any Persons, any diminution in value or any liability whatsoever arising as a result of the performance of its duties pursuant to this Section 7.7 absent (i) willful breach of any provision of this Section 7.7 or (ii) bad faith, fraud, gross negligence or wilful misconduct on the part of the Partnership Representative or Designated Individual, as applicable.</w:t>
      </w:r>
    </w:p>
    <w:p>
      <w:pPr>
        <w:spacing w:after="0" w:line="122" w:lineRule="exact"/>
        <w:rPr>
          <w:sz w:val="20"/>
          <w:szCs w:val="20"/>
          <w:color w:val="auto"/>
        </w:rPr>
      </w:pPr>
    </w:p>
    <w:p>
      <w:pPr>
        <w:ind w:left="465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233"/>
          </w:cols>
          <w:pgMar w:left="1207" w:top="270" w:right="45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04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9"/>
              </w:rPr>
              <w:t>(e) Adherence to Business Combination Agreement The Partnership, the Partnership Representative, and the Partners expressly agree to</w:t>
            </w:r>
          </w:p>
        </w:tc>
      </w:tr>
      <w:tr>
        <w:trPr>
          <w:trHeight w:val="20"/>
        </w:trPr>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18"/>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be bound by the terms of Section 7.6 of the Business Combination Agreement. Notwithstanding anything to the contrary contained in this</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Agreement, in the event of any conflict between Section 7.6 of the Business Combination Agreement and this Agreement, Section 7.6 of the</w:t>
            </w:r>
          </w:p>
        </w:tc>
      </w:tr>
      <w:tr>
        <w:trPr>
          <w:trHeight w:val="234"/>
        </w:trPr>
        <w:tc>
          <w:tcPr>
            <w:tcW w:w="560" w:type="dxa"/>
            <w:vAlign w:val="bottom"/>
          </w:tcPr>
          <w:p>
            <w:pPr>
              <w:spacing w:after="0"/>
              <w:rPr>
                <w:sz w:val="20"/>
                <w:szCs w:val="20"/>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Business Combination Agreement shall control.</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Other Allocation Provisions </w:t>
            </w:r>
            <w:r>
              <w:rPr>
                <w:rFonts w:ascii="Times New Roman" w:cs="Times New Roman" w:eastAsia="Times New Roman" w:hAnsi="Times New Roman"/>
                <w:sz w:val="18"/>
                <w:szCs w:val="18"/>
                <w:color w:val="auto"/>
              </w:rPr>
              <w:t>Certain of the foregoing provisions and the other provisions of this Agreement relating to the maintenance of</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Capital Accounts are intended to comply with Treasury Regulations Section 1.704-1(b) and shall be interpreted and applied in a manner</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consistent with such regulations. In addition to amendments effected in accordance with Section 14.12 or otherwise in accordance with this</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Agreement, Sections 7.2, 7.3 and 7.4 may also, so long as any such amendment does not materially change the relative economic interests of</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the Partners, be amended at any time by the General Partner if necessary, in the opinion of tax counsel to the Partnership, to comply with such</w:t>
            </w:r>
          </w:p>
        </w:tc>
      </w:tr>
      <w:tr>
        <w:trPr>
          <w:trHeight w:val="234"/>
        </w:trPr>
        <w:tc>
          <w:tcPr>
            <w:tcW w:w="560" w:type="dxa"/>
            <w:vAlign w:val="bottom"/>
          </w:tcPr>
          <w:p>
            <w:pPr>
              <w:spacing w:after="0"/>
              <w:rPr>
                <w:sz w:val="20"/>
                <w:szCs w:val="20"/>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regulations or any applicable Law.</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Sections 7.6 and 7.7 shall be interpreted to apply to Partners and former Partners and shall survive the Transfer of a Partner’s Units</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and the termination, dissolution, liquidation and winding up of the Partnership and, for this purpose to the extent not prohibited by applicable</w:t>
            </w:r>
          </w:p>
        </w:tc>
      </w:tr>
      <w:tr>
        <w:trPr>
          <w:trHeight w:val="234"/>
        </w:trPr>
        <w:tc>
          <w:tcPr>
            <w:tcW w:w="560" w:type="dxa"/>
            <w:vAlign w:val="bottom"/>
          </w:tcPr>
          <w:p>
            <w:pPr>
              <w:spacing w:after="0"/>
              <w:rPr>
                <w:sz w:val="20"/>
                <w:szCs w:val="20"/>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Law, the Partnership shall be treated as continuing in existence.</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Mexican Income Tax Law </w:t>
            </w:r>
            <w:r>
              <w:rPr>
                <w:rFonts w:ascii="Times New Roman" w:cs="Times New Roman" w:eastAsia="Times New Roman" w:hAnsi="Times New Roman"/>
                <w:sz w:val="18"/>
                <w:szCs w:val="18"/>
                <w:color w:val="auto"/>
              </w:rPr>
              <w:t>With respect to Sections 7.4.1 to 7.4.6 (inclusive), 7.4.9, 7.4.11 and 7.5, for Mexican tax purposes, Mexican</w:t>
            </w:r>
          </w:p>
        </w:tc>
      </w:tr>
      <w:tr>
        <w:trPr>
          <w:trHeight w:val="234"/>
        </w:trPr>
        <w:tc>
          <w:tcPr>
            <w:tcW w:w="560" w:type="dxa"/>
            <w:vAlign w:val="bottom"/>
          </w:tcPr>
          <w:p>
            <w:pPr>
              <w:spacing w:after="0"/>
              <w:rPr>
                <w:sz w:val="20"/>
                <w:szCs w:val="20"/>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income tax law shall apply to any Partner that is resident in Mexico for tax purposes.</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Business Combination Agreement Holder Representative Matters </w:t>
            </w:r>
            <w:r>
              <w:rPr>
                <w:rFonts w:ascii="Times New Roman" w:cs="Times New Roman" w:eastAsia="Times New Roman" w:hAnsi="Times New Roman"/>
                <w:sz w:val="18"/>
                <w:szCs w:val="18"/>
                <w:color w:val="auto"/>
              </w:rPr>
              <w:t>Section 7.6(f) of the Business Combination Agreement is hereby</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incorporated by reference into this Agreement and, without limiting the generality of the foregoing, each Existing Company Unitholder and</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Closing Company Unitholder hereby acknowledges and agrees that amounts otherwise payable to such Existing Company Unitholder or</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Closing Company Unitholder hereunder may instead be remitted to the Holder Representative (as defined in the Business Combination</w:t>
            </w:r>
          </w:p>
        </w:tc>
      </w:tr>
      <w:tr>
        <w:trPr>
          <w:trHeight w:val="234"/>
        </w:trPr>
        <w:tc>
          <w:tcPr>
            <w:tcW w:w="560" w:type="dxa"/>
            <w:vAlign w:val="bottom"/>
          </w:tcPr>
          <w:p>
            <w:pPr>
              <w:spacing w:after="0"/>
              <w:rPr>
                <w:sz w:val="20"/>
                <w:szCs w:val="20"/>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Agreement) in the circumstances, and at the times and in the amounts, set forth in such section of the Business Combination Agreement.</w:t>
            </w:r>
          </w:p>
        </w:tc>
      </w:tr>
      <w:tr>
        <w:trPr>
          <w:trHeight w:val="626"/>
        </w:trPr>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80" w:type="dxa"/>
            <w:vAlign w:val="bottom"/>
          </w:tcPr>
          <w:p>
            <w:pPr>
              <w:jc w:val="center"/>
              <w:ind w:right="4770"/>
              <w:spacing w:after="0"/>
              <w:rPr>
                <w:sz w:val="20"/>
                <w:szCs w:val="20"/>
                <w:color w:val="auto"/>
              </w:rPr>
            </w:pPr>
            <w:r>
              <w:rPr>
                <w:rFonts w:ascii="Times New Roman" w:cs="Times New Roman" w:eastAsia="Times New Roman" w:hAnsi="Times New Roman"/>
                <w:sz w:val="18"/>
                <w:szCs w:val="18"/>
                <w:b w:val="1"/>
                <w:bCs w:val="1"/>
                <w:color w:val="auto"/>
                <w:w w:val="99"/>
              </w:rPr>
              <w:t>SECTION 8</w:t>
            </w:r>
          </w:p>
        </w:tc>
      </w:tr>
      <w:tr>
        <w:trPr>
          <w:trHeight w:val="238"/>
        </w:trPr>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560" w:type="dxa"/>
            <w:vAlign w:val="bottom"/>
            <w:gridSpan w:val="2"/>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BOOKS OF ACCOUNT, ACCOUNTING REPORTS, TAX RETURNS, FISCAL YEAR, BANKING</w:t>
            </w:r>
          </w:p>
        </w:tc>
      </w:tr>
      <w:tr>
        <w:trPr>
          <w:trHeight w:val="33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Books, Records and Reports; Information Rights.</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8.1.1</w:t>
            </w: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Maintenance of books and records </w:t>
            </w:r>
            <w:r>
              <w:rPr>
                <w:rFonts w:ascii="Times New Roman" w:cs="Times New Roman" w:eastAsia="Times New Roman" w:hAnsi="Times New Roman"/>
                <w:sz w:val="18"/>
                <w:szCs w:val="18"/>
                <w:color w:val="auto"/>
              </w:rPr>
              <w:t>At all times during the continuance of the Partnership, the Partnership shall prepare and maintain separate</w:t>
            </w:r>
          </w:p>
        </w:tc>
      </w:tr>
      <w:tr>
        <w:trPr>
          <w:trHeight w:val="216"/>
        </w:trPr>
        <w:tc>
          <w:tcPr>
            <w:tcW w:w="560" w:type="dxa"/>
            <w:vAlign w:val="bottom"/>
          </w:tcPr>
          <w:p>
            <w:pPr>
              <w:spacing w:after="0"/>
              <w:rPr>
                <w:sz w:val="18"/>
                <w:szCs w:val="18"/>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books of account for the Partnership in accordance with GAAP. The Partnership shall keep correct and complete books and records of its</w:t>
            </w:r>
          </w:p>
        </w:tc>
      </w:tr>
      <w:tr>
        <w:trPr>
          <w:trHeight w:val="234"/>
        </w:trPr>
        <w:tc>
          <w:tcPr>
            <w:tcW w:w="560" w:type="dxa"/>
            <w:vAlign w:val="bottom"/>
          </w:tcPr>
          <w:p>
            <w:pPr>
              <w:spacing w:after="0"/>
              <w:rPr>
                <w:sz w:val="20"/>
                <w:szCs w:val="20"/>
                <w:color w:val="auto"/>
              </w:rPr>
            </w:pPr>
          </w:p>
        </w:tc>
        <w:tc>
          <w:tcPr>
            <w:tcW w:w="10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and transactions and minutes of the proceedings of its Partners. The books and records of the Partnership may be in written form or</w:t>
            </w:r>
          </w:p>
        </w:tc>
      </w:tr>
    </w:tbl>
    <w:p>
      <w:pPr>
        <w:ind w:left="760"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form which can be converted within a reasonable time into written form for visual inspection. Minutes shall be recorded in written form, but may be maintained in the form of a reproduction. The books and records of the Partnership maintained by the General Partner and shall be available for examination by any Partner, or its duly-authorized representatives, during regular business hours, upon ten (10) Business Days’ written notice to the General Partner, for any purpose reasonably related to the Partner’s ownership interest in the Partnership.</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57" w:right="479" w:bottom="1440" w:gutter="0" w:footer="0" w:header="0"/>
        </w:sectPr>
      </w:pPr>
    </w:p>
    <w:bookmarkStart w:id="212" w:name="page213"/>
    <w:bookmarkEnd w:id="212"/>
    <w:p>
      <w:pPr>
        <w:ind w:left="740" w:right="240" w:hanging="768"/>
        <w:spacing w:after="0" w:line="261" w:lineRule="auto"/>
        <w:tabs>
          <w:tab w:leader="none" w:pos="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8.1.2</w:t>
      </w:r>
      <w:r>
        <w:rPr>
          <w:sz w:val="20"/>
          <w:szCs w:val="20"/>
          <w:color w:val="auto"/>
        </w:rPr>
        <w:tab/>
      </w:r>
      <w:r>
        <w:rPr>
          <w:rFonts w:ascii="Times New Roman" w:cs="Times New Roman" w:eastAsia="Times New Roman" w:hAnsi="Times New Roman"/>
          <w:sz w:val="18"/>
          <w:szCs w:val="18"/>
          <w:i w:val="1"/>
          <w:iCs w:val="1"/>
          <w:color w:val="auto"/>
        </w:rPr>
        <w:t xml:space="preserve">Limited Partner Right to Agreement </w:t>
      </w:r>
      <w:r>
        <w:rPr>
          <w:rFonts w:ascii="Times New Roman" w:cs="Times New Roman" w:eastAsia="Times New Roman" w:hAnsi="Times New Roman"/>
          <w:sz w:val="18"/>
          <w:szCs w:val="18"/>
          <w:color w:val="auto"/>
        </w:rPr>
        <w:t>Each Limited Partner shall have the right to receive, for a purpose reasonably related to such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interest as a Partner in the Partnership, upon reasonable written demand stating the purpose of such demand and at such Partner’s own expense, a copy of the Certificate and this Agreement and all amendments thereto, together with a copy of the executed copies of all powers of attorney pursuant to which the Certificate and this Agreement and all amendments thereto have been executed.</w:t>
      </w:r>
    </w:p>
    <w:p>
      <w:pPr>
        <w:spacing w:after="0" w:line="83" w:lineRule="exact"/>
        <w:rPr>
          <w:sz w:val="20"/>
          <w:szCs w:val="20"/>
          <w:color w:val="auto"/>
        </w:rPr>
      </w:pPr>
    </w:p>
    <w:p>
      <w:pPr>
        <w:ind w:left="740" w:right="60" w:hanging="768"/>
        <w:spacing w:after="0" w:line="253" w:lineRule="auto"/>
        <w:tabs>
          <w:tab w:leader="none" w:pos="7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Tax returns and tax information </w:t>
      </w:r>
      <w:r>
        <w:rPr>
          <w:rFonts w:ascii="Times New Roman" w:cs="Times New Roman" w:eastAsia="Times New Roman" w:hAnsi="Times New Roman"/>
          <w:sz w:val="18"/>
          <w:szCs w:val="18"/>
          <w:color w:val="auto"/>
        </w:rPr>
        <w:t>The General Partner shall cause to be prepared and filed all necessary U.S. federal, state, local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non-U.S. tax returns for the Partnership, including making any tax elections. At the Partnership’s expense, the General Partner, within 120 days of the close of the Fiscal Year, shall use commercially reasonable efforts to furnish to each Partner that was a Partner during such Fiscal Year a Schedule K-1 and such other tax information reasonably required for U.S. federal, state and local income tax reporting purposes. The Partnership shall use commercially reasonable efforts to provide to each Person that was a Partner during the Fiscal Year (a) by May 15th, August 15th and November 15th of such Fiscal Year, with an estimate of the taxable income, gains, deductions, losses and other items for, respectively, the first, second and third fiscal quarters that such Person will be required to include in its taxable income and (b) by March 1st of such Fiscal Year, with an estimate of the taxable income, gains, deductions, losses and other items of such Person to be reflected on the Schedule K-1 of such Person for the prior Fiscal Year (it being understood such estimated information is subject to change based on the final Schedule K-1 made available by the Partnership). The Partnership also shall provide the Partner with such other information as may be reasonably requested for purposes of allowing the Partners to prepare and file their own tax returns;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costs or expenses with respect to the foregoing shall be borne by the requesting Partner.</w:t>
      </w:r>
    </w:p>
    <w:p>
      <w:pPr>
        <w:spacing w:after="0" w:line="95" w:lineRule="exact"/>
        <w:rPr>
          <w:sz w:val="20"/>
          <w:szCs w:val="20"/>
          <w:color w:val="auto"/>
        </w:rPr>
      </w:pPr>
    </w:p>
    <w:p>
      <w:pPr>
        <w:ind w:left="740" w:right="180" w:hanging="768"/>
        <w:spacing w:after="0" w:line="268" w:lineRule="auto"/>
        <w:tabs>
          <w:tab w:leader="none" w:pos="7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Tax Elections</w:t>
      </w:r>
      <w:r>
        <w:rPr>
          <w:rFonts w:ascii="Times New Roman" w:cs="Times New Roman" w:eastAsia="Times New Roman" w:hAnsi="Times New Roman"/>
          <w:sz w:val="18"/>
          <w:szCs w:val="18"/>
          <w:color w:val="auto"/>
        </w:rPr>
        <w:t>. The General Partner shall make the following elections on the appropriate tax returns and shall not rescind them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the Requisite Continuing Partners (provided that, the election described in clause (ii) below cannot be rescinded without the prior written consent of all the Partners):</w:t>
      </w:r>
    </w:p>
    <w:p>
      <w:pPr>
        <w:spacing w:after="0" w:line="80" w:lineRule="exact"/>
        <w:rPr>
          <w:sz w:val="20"/>
          <w:szCs w:val="20"/>
          <w:color w:val="auto"/>
        </w:rPr>
      </w:pPr>
    </w:p>
    <w:p>
      <w:pPr>
        <w:ind w:left="1400" w:right="480" w:hanging="655"/>
        <w:spacing w:after="0" w:line="282" w:lineRule="auto"/>
        <w:tabs>
          <w:tab w:leader="none" w:pos="14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 appropriate U.S. federal income tax method of accounting and to keep the Partnership’s books and records on such income-tax method;</w:t>
      </w:r>
    </w:p>
    <w:p>
      <w:pPr>
        <w:spacing w:after="0" w:line="67" w:lineRule="exact"/>
        <w:rPr>
          <w:rFonts w:ascii="Times New Roman" w:cs="Times New Roman" w:eastAsia="Times New Roman" w:hAnsi="Times New Roman"/>
          <w:sz w:val="18"/>
          <w:szCs w:val="18"/>
          <w:color w:val="auto"/>
        </w:rPr>
      </w:pPr>
    </w:p>
    <w:p>
      <w:pPr>
        <w:ind w:left="1400" w:right="20" w:hanging="655"/>
        <w:spacing w:after="0" w:line="258" w:lineRule="auto"/>
        <w:tabs>
          <w:tab w:leader="none" w:pos="14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in effect (and to cause each direct or indirect Subsidiary that is treated as a partnership for U.S. federal income tax purposes and over 50% owned and controlled by the Partnership to have in effect, to the extent eligible to do so) an election, pursuant to Section 754 of the Code (and any similar election for state or local tax purposes), to adjust the tax basis of Partnership properties, for the taxable year of the Partnership that includes the Effective Date and each subsequent taxable year in which an Exchange Transaction occurs; and</w:t>
      </w:r>
    </w:p>
    <w:p>
      <w:pPr>
        <w:spacing w:after="0" w:line="88" w:lineRule="exact"/>
        <w:rPr>
          <w:rFonts w:ascii="Times New Roman" w:cs="Times New Roman" w:eastAsia="Times New Roman" w:hAnsi="Times New Roman"/>
          <w:sz w:val="18"/>
          <w:szCs w:val="18"/>
          <w:color w:val="auto"/>
        </w:rPr>
      </w:pPr>
    </w:p>
    <w:p>
      <w:pPr>
        <w:ind w:left="1400" w:hanging="655"/>
        <w:spacing w:after="0" w:line="277" w:lineRule="auto"/>
        <w:tabs>
          <w:tab w:leader="none" w:pos="14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available election that the General Partner deems appropriate; provided that, for so long as the Continuing Partners collectively own at least 10% of the Units, the General Partner shall consult in good faith with the Continuing Partner Representative with respect to any material tax election with respect to the Partnership that could reasonably be expected to have a disproportionate (as compared to PubCo) and material adverse effect on the Continuing Partners, and not make such election without the Requisite Continuing Partners’ prior written consent (which consent shall not be unreasonably withheld, delayed or conditioned).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60" w:top="268" w:right="459" w:bottom="1440" w:gutter="0" w:footer="0" w:header="0"/>
        </w:sectPr>
      </w:pPr>
    </w:p>
    <w:bookmarkStart w:id="213" w:name="page214"/>
    <w:bookmarkEnd w:id="213"/>
    <w:p>
      <w:pPr>
        <w:ind w:left="76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Partner may make an election for the Partnership to be excluded from the application of the provisions of subchapter K of chapter 1 of subtitle A of the Code or any similar provisions of applicable state Law, and no provision of this Agreement shall be construed to sanction or approve such an election.</w:t>
      </w:r>
    </w:p>
    <w:p>
      <w:pPr>
        <w:spacing w:after="0" w:line="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133" w:lineRule="exact"/>
        <w:rPr>
          <w:sz w:val="20"/>
          <w:szCs w:val="20"/>
          <w:color w:val="auto"/>
        </w:rPr>
      </w:pPr>
    </w:p>
    <w:p>
      <w:pPr>
        <w:ind w:left="760" w:right="80" w:hanging="76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8.4.1</w:t>
      </w:r>
      <w:r>
        <w:rPr>
          <w:sz w:val="20"/>
          <w:szCs w:val="20"/>
          <w:color w:val="auto"/>
        </w:rPr>
        <w:tab/>
      </w:r>
      <w:r>
        <w:rPr>
          <w:rFonts w:ascii="Times New Roman" w:cs="Times New Roman" w:eastAsia="Times New Roman" w:hAnsi="Times New Roman"/>
          <w:sz w:val="17"/>
          <w:szCs w:val="17"/>
          <w:i w:val="1"/>
          <w:iCs w:val="1"/>
          <w:color w:val="auto"/>
        </w:rPr>
        <w:t xml:space="preserve">Confidential Information </w:t>
      </w:r>
      <w:r>
        <w:rPr>
          <w:rFonts w:ascii="Times New Roman" w:cs="Times New Roman" w:eastAsia="Times New Roman" w:hAnsi="Times New Roman"/>
          <w:sz w:val="17"/>
          <w:szCs w:val="17"/>
          <w:color w:val="auto"/>
        </w:rPr>
        <w:t>Each of the Partners (other than PubCo) agrees to hold the Partner’s Confidential Information in confidence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not disclose or use such information except as otherwise authorized separately in writing by the General Partner. “</w:t>
      </w:r>
      <w:r>
        <w:rPr>
          <w:rFonts w:ascii="Times New Roman" w:cs="Times New Roman" w:eastAsia="Times New Roman" w:hAnsi="Times New Roman"/>
          <w:sz w:val="17"/>
          <w:szCs w:val="17"/>
          <w:b w:val="1"/>
          <w:bCs w:val="1"/>
          <w:color w:val="auto"/>
        </w:rPr>
        <w:t>Confidential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as used herein includes all non-public information concerning the Partnership or its Subsidiaries including, but not limited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ideas, financial product structuring, business strategies, innovations and materials, all aspects of the Partnership’s business plan, proposed operation and products, corporate structure, financial and organizational information, analyses, proposed partners, software code and system and product designs, employees and their identities, equity ownership, the methods and means by which the Partnership plans to conduct its business, all trade secrets, trademarks, tradenames and all intellectual property associated with the Partnership’s business. With respect to each Partner, Confidential Information does not include information or material that: (i) before or after it has been disclosed to such Partner by the Partnership, becomes part of public knowledge, not as a result of any action or inaction of such Partner in violation of this Agreement;</w:t>
      </w:r>
    </w:p>
    <w:p>
      <w:pPr>
        <w:spacing w:after="0" w:line="7" w:lineRule="exact"/>
        <w:rPr>
          <w:sz w:val="20"/>
          <w:szCs w:val="20"/>
          <w:color w:val="auto"/>
        </w:rPr>
      </w:pPr>
    </w:p>
    <w:p>
      <w:pPr>
        <w:ind w:left="760" w:firstLine="5"/>
        <w:spacing w:after="0" w:line="253" w:lineRule="auto"/>
        <w:tabs>
          <w:tab w:leader="none" w:pos="102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for release by written authorization of the Chief Executive Officer, Chief Financial Officer or General Counsel of the Partnership or of PubCo, or any other officer designated by the General Partner and PubCo; (iii) is disclosed to such Partner or their representatives by a third party not, to the knowledge of such Partner, in violation of any obligation of confidentiality owed to the Partnership, PubCo or any of their respective Subsidiaries with respect to such information; or (iv) is or becomes independently developed by such Partner or their respective representatives without use of or reference to the Confidential Information.</w:t>
      </w:r>
    </w:p>
    <w:p>
      <w:pPr>
        <w:spacing w:after="0" w:line="90" w:lineRule="exact"/>
        <w:rPr>
          <w:sz w:val="20"/>
          <w:szCs w:val="20"/>
          <w:color w:val="auto"/>
        </w:rPr>
      </w:pPr>
    </w:p>
    <w:p>
      <w:pPr>
        <w:ind w:left="760" w:hanging="76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8.4.2</w:t>
      </w:r>
      <w:r>
        <w:rPr>
          <w:sz w:val="20"/>
          <w:szCs w:val="20"/>
          <w:color w:val="auto"/>
        </w:rPr>
        <w:tab/>
      </w:r>
      <w:r>
        <w:rPr>
          <w:rFonts w:ascii="Times New Roman" w:cs="Times New Roman" w:eastAsia="Times New Roman" w:hAnsi="Times New Roman"/>
          <w:sz w:val="18"/>
          <w:szCs w:val="18"/>
          <w:i w:val="1"/>
          <w:iCs w:val="1"/>
          <w:color w:val="auto"/>
        </w:rPr>
        <w:t xml:space="preserve">Limited Right to Disclose Confidential Information </w:t>
      </w:r>
      <w:r>
        <w:rPr>
          <w:rFonts w:ascii="Times New Roman" w:cs="Times New Roman" w:eastAsia="Times New Roman" w:hAnsi="Times New Roman"/>
          <w:sz w:val="18"/>
          <w:szCs w:val="18"/>
          <w:color w:val="auto"/>
        </w:rPr>
        <w:t>Solely to the extent it is reasonably necessary or appropriate to fulfil its obligations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 its rights under this Agreement, each of the Partners may disclose Confidential Information to its Subsidiaries, Affiliates, partners, directors, officers, employees, counsel, advisers, consultants, outside contractors and other agents, on the condition that such Persons keep the Confidential Information confidential to the same extent as such Partner is required to keep the Confidential Information confidential;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Partner shall remain liable with respect to any breach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any such Subsidiaries, Affiliates,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officers, employees, counsel, advisers, consultants, outside contractors and other agents (as if such Persons were party to this Agreement for purposes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8.4.3</w:t>
      </w:r>
      <w:r>
        <w:rPr>
          <w:sz w:val="20"/>
          <w:szCs w:val="20"/>
          <w:color w:val="auto"/>
        </w:rPr>
        <w:tab/>
      </w:r>
      <w:r>
        <w:rPr>
          <w:rFonts w:ascii="Times New Roman" w:cs="Times New Roman" w:eastAsia="Times New Roman" w:hAnsi="Times New Roman"/>
          <w:sz w:val="17"/>
          <w:szCs w:val="17"/>
          <w:i w:val="1"/>
          <w:iCs w:val="1"/>
          <w:color w:val="auto"/>
        </w:rPr>
        <w:t xml:space="preserve">Further Right to Disclose Confidential Information </w:t>
      </w:r>
      <w:r>
        <w:rPr>
          <w:rFonts w:ascii="Times New Roman" w:cs="Times New Roman" w:eastAsia="Times New Roman" w:hAnsi="Times New Roman"/>
          <w:sz w:val="17"/>
          <w:szCs w:val="17"/>
          <w:color w:val="auto"/>
        </w:rPr>
        <w:t>Notwithstanding anything herein to the contrary, each of the Partners may disclose</w:t>
      </w:r>
    </w:p>
    <w:p>
      <w:pPr>
        <w:spacing w:after="0" w:line="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Confidential Information:</w:t>
      </w:r>
    </w:p>
    <w:p>
      <w:pPr>
        <w:spacing w:after="0" w:line="99" w:lineRule="exact"/>
        <w:rPr>
          <w:sz w:val="20"/>
          <w:szCs w:val="20"/>
          <w:color w:val="auto"/>
        </w:rPr>
      </w:pPr>
    </w:p>
    <w:p>
      <w:pPr>
        <w:ind w:left="760" w:right="740" w:firstLine="417"/>
        <w:spacing w:after="0" w:line="282" w:lineRule="auto"/>
        <w:tabs>
          <w:tab w:leader="none" w:pos="141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Partner is required by Law (by oral questions, interrogatories, request for information or documents, subpoena, civil investigative demand or similar process) to disclose any of the Confidential Information,</w:t>
      </w:r>
    </w:p>
    <w:p>
      <w:pPr>
        <w:spacing w:after="0" w:line="53" w:lineRule="exact"/>
        <w:rPr>
          <w:rFonts w:ascii="Times New Roman" w:cs="Times New Roman" w:eastAsia="Times New Roman" w:hAnsi="Times New Roman"/>
          <w:sz w:val="18"/>
          <w:szCs w:val="18"/>
          <w:color w:val="auto"/>
        </w:rPr>
      </w:pPr>
    </w:p>
    <w:p>
      <w:pPr>
        <w:ind w:left="760" w:right="40" w:firstLine="417"/>
        <w:spacing w:after="0" w:line="266" w:lineRule="auto"/>
        <w:tabs>
          <w:tab w:leader="none" w:pos="1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reporting to its stockholders and direct and indirect equity holders (each of whom are bound by customary confidentiality obligations) the performance of the Partnership and its Subsidiaries and for purposes of including applicable information in its financial statements to the extent required by applicable Law or applicable accounting standards;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214" w:name="page215"/>
    <w:bookmarkEnd w:id="214"/>
    <w:p>
      <w:pPr>
        <w:ind w:left="760" w:firstLine="417"/>
        <w:spacing w:after="0" w:line="257" w:lineRule="auto"/>
        <w:tabs>
          <w:tab w:leader="none" w:pos="141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prospective purchaser of the equity or assets of a Partner, or the Common Units held by such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such Partner determines in good faith that such prospective purchaser would be a Permitted Transferee), or a prospective merger partner of such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Persons will be informed by such Partner of the confidential nature of such information and shall agree in writing to keep such information confidential in accordance with the contents of this Agreement and (ii) each Partner will be liable for any breaches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by any such Persons (as if such Persons were party to this Agreement for purposes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jc w:val="both"/>
        <w:ind w:left="760" w:right="220" w:hanging="76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8.4.4</w:t>
      </w:r>
      <w:r>
        <w:rPr>
          <w:sz w:val="20"/>
          <w:szCs w:val="20"/>
          <w:color w:val="auto"/>
        </w:rPr>
        <w:tab/>
      </w:r>
      <w:r>
        <w:rPr>
          <w:rFonts w:ascii="Times New Roman" w:cs="Times New Roman" w:eastAsia="Times New Roman" w:hAnsi="Times New Roman"/>
          <w:sz w:val="18"/>
          <w:szCs w:val="18"/>
          <w:i w:val="1"/>
          <w:iCs w:val="1"/>
          <w:color w:val="auto"/>
        </w:rPr>
        <w:t xml:space="preserve">PubCo’s Use of Confidential Information </w:t>
      </w:r>
      <w:r>
        <w:rPr>
          <w:rFonts w:ascii="Times New Roman" w:cs="Times New Roman" w:eastAsia="Times New Roman" w:hAnsi="Times New Roman"/>
          <w:sz w:val="18"/>
          <w:szCs w:val="18"/>
          <w:color w:val="auto"/>
        </w:rPr>
        <w:t>Notwithstanding any of the foregoing, nothing in this Section 8.4 will restrict in any manner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of PubCo to comply with its disclosure obligations under Law, and the extent to which any Confidential Information is necessary or desirable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-313690</wp:posOffset>
            </wp:positionV>
            <wp:extent cx="1714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Units</w:t>
      </w:r>
    </w:p>
    <w:p>
      <w:pPr>
        <w:spacing w:after="0" w:line="133" w:lineRule="exact"/>
        <w:rPr>
          <w:sz w:val="20"/>
          <w:szCs w:val="20"/>
          <w:color w:val="auto"/>
        </w:rPr>
      </w:pPr>
    </w:p>
    <w:p>
      <w:pPr>
        <w:ind w:left="760" w:right="440" w:hanging="76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i w:val="1"/>
          <w:iCs w:val="1"/>
          <w:color w:val="auto"/>
        </w:rPr>
        <w:t xml:space="preserve">Units in the Partnership </w:t>
      </w:r>
      <w:r>
        <w:rPr>
          <w:rFonts w:ascii="Times New Roman" w:cs="Times New Roman" w:eastAsia="Times New Roman" w:hAnsi="Times New Roman"/>
          <w:sz w:val="18"/>
          <w:szCs w:val="18"/>
          <w:color w:val="auto"/>
        </w:rPr>
        <w:t>Interests in the Partnership shall be represented by Units. At the execution of this Agreement, the Units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only Common Units, which includes the Restricted Common Units, comprised of Series 1 RCUs, Series 2 RCUs, Series 3 RCUs, and PMEL RCUs.</w:t>
      </w:r>
    </w:p>
    <w:p>
      <w:pPr>
        <w:spacing w:after="0" w:line="67" w:lineRule="exact"/>
        <w:rPr>
          <w:sz w:val="20"/>
          <w:szCs w:val="20"/>
          <w:color w:val="auto"/>
        </w:rPr>
      </w:pPr>
    </w:p>
    <w:p>
      <w:pPr>
        <w:ind w:left="760" w:right="40" w:firstLine="417"/>
        <w:spacing w:after="0" w:line="254" w:lineRule="auto"/>
        <w:tabs>
          <w:tab w:leader="none" w:pos="141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Common Units</w:t>
      </w:r>
      <w:r>
        <w:rPr>
          <w:rFonts w:ascii="Times New Roman" w:cs="Times New Roman" w:eastAsia="Times New Roman" w:hAnsi="Times New Roman"/>
          <w:sz w:val="18"/>
          <w:szCs w:val="18"/>
          <w:color w:val="auto"/>
        </w:rPr>
        <w:t xml:space="preserve"> In connection with the transactions contemplated by the Business Combination Agreement, (a) each Partner that is an Earnout Participant (as defined in the Business Combination Agreement) shall be issued Series 1 RCUs, Series 2 RCUs and Series 3 RCUs, and (b) certain PMEL Post-Combination Unitholders shall be issued the PMEL RCUs. All such Restricted Common Units shall be outstanding as of the Effective Time. Immediately following the Effective Time, no fractional Restricted Common Unit will remain outstanding and any fractional Restricted Common Unit held by a Partner shall be rounded down to the nearest whole number. For the avoidance of doubt, the terms contained in a PMEL Award Agreement, including with respect to vesting and forfeiture, shall be read for all relevant purposes hereunder as if they were grants of the corresponding number of PMEL RCUs into which the PMEL Interests were substituted by virtue of the Business Combination Agreement and the General Partner shall have the authority to reasonably interpret the provisions of any PMEL Award Agreements in accordance with the foregoing principle for all purposes of this Agreement.</w:t>
      </w:r>
    </w:p>
    <w:p>
      <w:pPr>
        <w:spacing w:after="0" w:line="80" w:lineRule="exact"/>
        <w:rPr>
          <w:rFonts w:ascii="Times New Roman" w:cs="Times New Roman" w:eastAsia="Times New Roman" w:hAnsi="Times New Roman"/>
          <w:sz w:val="18"/>
          <w:szCs w:val="18"/>
          <w:color w:val="auto"/>
        </w:rPr>
      </w:pPr>
    </w:p>
    <w:p>
      <w:pPr>
        <w:ind w:left="760" w:firstLine="417"/>
        <w:spacing w:after="0" w:line="266" w:lineRule="auto"/>
        <w:tabs>
          <w:tab w:leader="none" w:pos="14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Restricted Common Units</w:t>
      </w:r>
      <w:r>
        <w:rPr>
          <w:rFonts w:ascii="Times New Roman" w:cs="Times New Roman" w:eastAsia="Times New Roman" w:hAnsi="Times New Roman"/>
          <w:sz w:val="18"/>
          <w:szCs w:val="18"/>
          <w:color w:val="auto"/>
        </w:rPr>
        <w:t xml:space="preserve"> Immediately after giving effect to the transactions contemplated by the Business Combination Agreement, each Partner holds the number of Common Units and the number of Series 1 RCUs, Series 2 RCUs, Series 3 RCUs, and PMEL RCUs set forth opposite such Partner’s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79" w:lineRule="exact"/>
        <w:rPr>
          <w:sz w:val="20"/>
          <w:szCs w:val="20"/>
          <w:color w:val="auto"/>
        </w:rPr>
      </w:pPr>
    </w:p>
    <w:p>
      <w:pPr>
        <w:jc w:val="both"/>
        <w:ind w:left="760" w:right="80" w:hanging="76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i w:val="1"/>
          <w:iCs w:val="1"/>
          <w:color w:val="auto"/>
        </w:rPr>
        <w:t xml:space="preserve">Further Issuances </w:t>
      </w:r>
      <w:r>
        <w:rPr>
          <w:rFonts w:ascii="Times New Roman" w:cs="Times New Roman" w:eastAsia="Times New Roman" w:hAnsi="Times New Roman"/>
          <w:sz w:val="18"/>
          <w:szCs w:val="18"/>
          <w:color w:val="auto"/>
        </w:rPr>
        <w:t>Subject to Section 9.5, the General Partner in its sole discretion may establish and issue, from time to time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procedures as the General Partner shall determine from time to time, additional Units, in one or more classes or series of Units, or other Partnership securities, at such price, and with such designations, preferences and relative, participating, optional or other special rights, powers and duties (which may be senior to existing Units, classes and series of Units or other Partnership securities), as shall be determined by the General Partner without the approval of any Partner, including: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8" w:right="479" w:bottom="1440" w:gutter="0" w:footer="0" w:header="0"/>
        </w:sectPr>
      </w:pPr>
    </w:p>
    <w:bookmarkStart w:id="215" w:name="page216"/>
    <w:bookmarkEnd w:id="215"/>
    <w:p>
      <w:pPr>
        <w:ind w:left="660" w:hanging="243"/>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 of such Units to share in Profits and Losses or items thereof;</w:t>
      </w:r>
    </w:p>
    <w:p>
      <w:pPr>
        <w:spacing w:after="0" w:line="117" w:lineRule="exact"/>
        <w:rPr>
          <w:rFonts w:ascii="Times New Roman" w:cs="Times New Roman" w:eastAsia="Times New Roman" w:hAnsi="Times New Roman"/>
          <w:sz w:val="18"/>
          <w:szCs w:val="18"/>
          <w:color w:val="auto"/>
        </w:rPr>
      </w:pPr>
    </w:p>
    <w:p>
      <w:pPr>
        <w:ind w:left="680" w:hanging="263"/>
        <w:spacing w:after="0"/>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such Units to share in Partnership Distributions;</w:t>
      </w:r>
    </w:p>
    <w:p>
      <w:pPr>
        <w:spacing w:after="0" w:line="117" w:lineRule="exact"/>
        <w:rPr>
          <w:rFonts w:ascii="Times New Roman" w:cs="Times New Roman" w:eastAsia="Times New Roman" w:hAnsi="Times New Roman"/>
          <w:sz w:val="18"/>
          <w:szCs w:val="18"/>
          <w:color w:val="auto"/>
        </w:rPr>
      </w:pPr>
    </w:p>
    <w:p>
      <w:pPr>
        <w:ind w:left="660" w:hanging="243"/>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Units upon dissolution and winding up of the Partnership;</w:t>
      </w:r>
    </w:p>
    <w:p>
      <w:pPr>
        <w:spacing w:after="0" w:line="117" w:lineRule="exact"/>
        <w:rPr>
          <w:rFonts w:ascii="Times New Roman" w:cs="Times New Roman" w:eastAsia="Times New Roman" w:hAnsi="Times New Roman"/>
          <w:sz w:val="18"/>
          <w:szCs w:val="18"/>
          <w:color w:val="auto"/>
        </w:rPr>
      </w:pPr>
    </w:p>
    <w:p>
      <w:pPr>
        <w:ind w:right="60" w:firstLine="417"/>
        <w:spacing w:after="0" w:line="282" w:lineRule="auto"/>
        <w:tabs>
          <w:tab w:leader="none" w:pos="66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terms and conditions upon which, the Partnership may or shall be required to redeem such Units (including sinking fund provisions);</w:t>
      </w:r>
    </w:p>
    <w:p>
      <w:pPr>
        <w:spacing w:after="0" w:line="53" w:lineRule="exact"/>
        <w:rPr>
          <w:rFonts w:ascii="Times New Roman" w:cs="Times New Roman" w:eastAsia="Times New Roman" w:hAnsi="Times New Roman"/>
          <w:sz w:val="18"/>
          <w:szCs w:val="18"/>
          <w:color w:val="auto"/>
        </w:rPr>
      </w:pPr>
    </w:p>
    <w:p>
      <w:pPr>
        <w:ind w:firstLine="417"/>
        <w:spacing w:after="0" w:line="282" w:lineRule="auto"/>
        <w:tabs>
          <w:tab w:leader="none" w:pos="65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Units are issued with the privilege of conversion or exchange and, if so, the terms and conditions of such conversion or exchange;</w:t>
      </w:r>
    </w:p>
    <w:p>
      <w:pPr>
        <w:spacing w:after="0" w:line="53" w:lineRule="exact"/>
        <w:rPr>
          <w:rFonts w:ascii="Times New Roman" w:cs="Times New Roman" w:eastAsia="Times New Roman" w:hAnsi="Times New Roman"/>
          <w:sz w:val="18"/>
          <w:szCs w:val="18"/>
          <w:color w:val="auto"/>
        </w:rPr>
      </w:pPr>
    </w:p>
    <w:p>
      <w:pPr>
        <w:ind w:left="640" w:hanging="223"/>
        <w:spacing w:after="0"/>
        <w:tabs>
          <w:tab w:leader="none" w:pos="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such Units will be issued, evidenced by certificates and assigned or transferred;</w:t>
      </w:r>
    </w:p>
    <w:p>
      <w:pPr>
        <w:spacing w:after="0" w:line="117" w:lineRule="exact"/>
        <w:rPr>
          <w:rFonts w:ascii="Times New Roman" w:cs="Times New Roman" w:eastAsia="Times New Roman" w:hAnsi="Times New Roman"/>
          <w:sz w:val="18"/>
          <w:szCs w:val="18"/>
          <w:color w:val="auto"/>
        </w:rPr>
      </w:pPr>
    </w:p>
    <w:p>
      <w:pPr>
        <w:ind w:left="680" w:hanging="263"/>
        <w:spacing w:after="0"/>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for determining the Common Percentage Interest as to such Units;</w:t>
      </w:r>
    </w:p>
    <w:p>
      <w:pPr>
        <w:spacing w:after="0" w:line="117" w:lineRule="exact"/>
        <w:rPr>
          <w:rFonts w:ascii="Times New Roman" w:cs="Times New Roman" w:eastAsia="Times New Roman" w:hAnsi="Times New Roman"/>
          <w:sz w:val="18"/>
          <w:szCs w:val="18"/>
          <w:color w:val="auto"/>
        </w:rPr>
      </w:pPr>
    </w:p>
    <w:p>
      <w:pPr>
        <w:ind w:right="60" w:firstLine="417"/>
        <w:spacing w:after="0" w:line="266" w:lineRule="auto"/>
        <w:tabs>
          <w:tab w:leader="none" w:pos="66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issuance of such Units (including the amount and form of consideration, if any, to be received by the Partnership in respect thereof, the General Partner being expressly authorized, in its sole discretion, to cause the Partnership to issue such Units for less than Fair Market Value); and</w:t>
      </w:r>
    </w:p>
    <w:p>
      <w:pPr>
        <w:spacing w:after="0" w:line="67" w:lineRule="exact"/>
        <w:rPr>
          <w:rFonts w:ascii="Times New Roman" w:cs="Times New Roman" w:eastAsia="Times New Roman" w:hAnsi="Times New Roman"/>
          <w:sz w:val="18"/>
          <w:szCs w:val="18"/>
          <w:color w:val="auto"/>
        </w:rPr>
      </w:pPr>
    </w:p>
    <w:p>
      <w:pPr>
        <w:ind w:right="340" w:firstLine="417"/>
        <w:spacing w:after="0" w:line="282" w:lineRule="auto"/>
        <w:tabs>
          <w:tab w:leader="none" w:pos="6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the holder of such Units to vote on Partnership matters, including matters relating to the relative designations, preferences, rights, powers and duties of such Units;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provided that notwithstanding anything to the contrary in this Agreement, no Partnership securities ranking senior to the Common Units held by PubCo (including with respect to voting, liquidation and distribution rights) shall be authorized or issued without PubCo’s prior written consent.</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Agreement (except as set forth in the immediately preceding proviso), the General Partner in its sole discretion, without the approval of any other Partner, is authorized to:</w:t>
      </w:r>
    </w:p>
    <w:p>
      <w:pPr>
        <w:spacing w:after="0" w:line="54" w:lineRule="exact"/>
        <w:rPr>
          <w:sz w:val="20"/>
          <w:szCs w:val="20"/>
          <w:color w:val="auto"/>
        </w:rPr>
      </w:pPr>
    </w:p>
    <w:p>
      <w:pPr>
        <w:ind w:firstLine="417"/>
        <w:spacing w:after="0" w:line="258" w:lineRule="auto"/>
        <w:tabs>
          <w:tab w:leader="none" w:pos="6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Units or other Partnership securities of any newly established class or any existing class to Partners or other Persons who may acquire an interest in the Partnership, including Equity Interests which constitute a “profits interest” to Persons within the meaning of IRS Revenue Procedures 93-27 and 2001-43 and IRS Notice 2005-43 and which will be issued with the intention that under current interpretations of the Code the recipient will not realize income upon the issuance of such Equity Interests, and that neither the Partnership nor any Partner is entitled to any deduction either immediately or through depreciation or amortization as a result of the issuance of such Equity Interest;</w:t>
      </w:r>
    </w:p>
    <w:p>
      <w:pPr>
        <w:spacing w:after="0" w:line="75" w:lineRule="exact"/>
        <w:rPr>
          <w:rFonts w:ascii="Times New Roman" w:cs="Times New Roman" w:eastAsia="Times New Roman" w:hAnsi="Times New Roman"/>
          <w:sz w:val="18"/>
          <w:szCs w:val="18"/>
          <w:color w:val="auto"/>
        </w:rPr>
      </w:pPr>
    </w:p>
    <w:p>
      <w:pPr>
        <w:ind w:right="380" w:firstLine="417"/>
        <w:spacing w:after="0" w:line="282" w:lineRule="auto"/>
        <w:tabs>
          <w:tab w:leader="none" w:pos="66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Agreement to reflect the creation of any such new class, the issuance of Units or other Partnership securities of such class, and the admission of any Person as a Partner which has received Units or other Partnership securities; and</w:t>
      </w:r>
    </w:p>
    <w:p>
      <w:pPr>
        <w:spacing w:after="0" w:line="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240"/>
          </w:cols>
          <w:pgMar w:left="1200" w:top="270" w:right="459" w:bottom="1440" w:gutter="0" w:footer="0" w:header="0"/>
        </w:sectPr>
      </w:pPr>
    </w:p>
    <w:bookmarkStart w:id="216" w:name="page217"/>
    <w:bookmarkEnd w:id="216"/>
    <w:p>
      <w:pPr>
        <w:ind w:left="740" w:right="20" w:firstLine="417"/>
        <w:spacing w:after="0" w:line="266" w:lineRule="auto"/>
        <w:tabs>
          <w:tab w:leader="none" w:pos="139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the combination, subdivision and/or reclassification of outstanding Units as may be necessary or appropriate to give economic effect to equity investments in the Partnership by PubCo that are not accompanied by the issuance by the Partnership to PubCo of additional Units and to update the books and records of the Partnership accordingly.</w:t>
      </w:r>
    </w:p>
    <w:p>
      <w:pPr>
        <w:spacing w:after="0" w:line="77" w:lineRule="exact"/>
        <w:rPr>
          <w:sz w:val="20"/>
          <w:szCs w:val="20"/>
          <w:color w:val="auto"/>
        </w:rPr>
      </w:pPr>
    </w:p>
    <w:p>
      <w:pPr>
        <w:ind w:left="740" w:hanging="768"/>
        <w:spacing w:after="0" w:line="268" w:lineRule="auto"/>
        <w:tabs>
          <w:tab w:leader="none" w:pos="7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i w:val="1"/>
          <w:iCs w:val="1"/>
          <w:color w:val="auto"/>
        </w:rPr>
        <w:t xml:space="preserve">References to Units </w:t>
      </w:r>
      <w:r>
        <w:rPr>
          <w:rFonts w:ascii="Times New Roman" w:cs="Times New Roman" w:eastAsia="Times New Roman" w:hAnsi="Times New Roman"/>
          <w:sz w:val="18"/>
          <w:szCs w:val="18"/>
          <w:color w:val="auto"/>
        </w:rPr>
        <w:t>Except as expressly provided in this Agreement to the contrary, any reference to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shall include the Common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spacing w:after="0" w:line="78" w:lineRule="exact"/>
        <w:rPr>
          <w:sz w:val="20"/>
          <w:szCs w:val="20"/>
          <w:color w:val="auto"/>
        </w:rPr>
      </w:pPr>
    </w:p>
    <w:p>
      <w:pPr>
        <w:ind w:left="740" w:right="320" w:hanging="768"/>
        <w:spacing w:after="0" w:line="261" w:lineRule="auto"/>
        <w:tabs>
          <w:tab w:leader="none" w:pos="7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i w:val="1"/>
          <w:iCs w:val="1"/>
          <w:color w:val="auto"/>
        </w:rPr>
        <w:t xml:space="preserve">Limitation on Issuances </w:t>
      </w:r>
      <w:r>
        <w:rPr>
          <w:rFonts w:ascii="Times New Roman" w:cs="Times New Roman" w:eastAsia="Times New Roman" w:hAnsi="Times New Roman"/>
          <w:sz w:val="18"/>
          <w:szCs w:val="18"/>
          <w:color w:val="auto"/>
        </w:rPr>
        <w:t>Notwithstanding anything to the contrary in this Agreement, the General Partner shall not cause or permit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to issue, or authorize the issuance of, any Units unless PubCo has a sufficient number of Class A Common Shares authorized, available and reserved for issuance upon an exchange of such newly issued Units for Class A Common Shares pursuant to an Exchange Transaction.</w:t>
      </w:r>
    </w:p>
    <w:p>
      <w:pPr>
        <w:spacing w:after="0" w:line="85" w:lineRule="exact"/>
        <w:rPr>
          <w:sz w:val="20"/>
          <w:szCs w:val="20"/>
          <w:color w:val="auto"/>
        </w:rPr>
      </w:pPr>
    </w:p>
    <w:p>
      <w:pPr>
        <w:ind w:left="740" w:right="20" w:hanging="768"/>
        <w:spacing w:after="0" w:line="254" w:lineRule="auto"/>
        <w:tabs>
          <w:tab w:leader="none" w:pos="7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i w:val="1"/>
          <w:iCs w:val="1"/>
          <w:color w:val="auto"/>
        </w:rPr>
        <w:t xml:space="preserve">Restriction on Number of “Partners” for Treasury Regulations Purposes </w:t>
      </w:r>
      <w:r>
        <w:rPr>
          <w:rFonts w:ascii="Times New Roman" w:cs="Times New Roman" w:eastAsia="Times New Roman" w:hAnsi="Times New Roman"/>
          <w:sz w:val="18"/>
          <w:szCs w:val="18"/>
          <w:color w:val="auto"/>
        </w:rPr>
        <w:t>In addition to the restriction set out in Section 2.12,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anything to the contrary in this Agreement, the Partnership shall not, and the General Partner shall not cause the Partnership to, issue any Units if such issuance would result in the Partnership having more than seventy-five (75) “partners”, within the meaning of Treasury Regulations Section 1.7704-1(h) (but looking through all entities treated as transparent or flow-throughs for U.S. federal income tax purposes) or if the Partnership already has more than seventy-five (75) “partners” but such issuance would further increase the number of “partners” in the Partnership;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purposes, the Partnership and the General Partner shall be entitled to assume that each person who is a Partner immediately before the Effective Time is treated as a single partner within the meaning of Treasury Regulations Section 1.7704-1(h) (but looking through all entities treated as transparent or flow-throughs for U.S. federal income tax purposes), unless otherwise required by applicable Law.</w:t>
      </w:r>
    </w:p>
    <w:p>
      <w:pPr>
        <w:spacing w:after="0" w:line="92" w:lineRule="exact"/>
        <w:rPr>
          <w:sz w:val="20"/>
          <w:szCs w:val="20"/>
          <w:color w:val="auto"/>
        </w:rPr>
      </w:pPr>
    </w:p>
    <w:p>
      <w:pPr>
        <w:jc w:val="both"/>
        <w:ind w:left="740" w:right="100" w:hanging="768"/>
        <w:spacing w:after="0" w:line="268" w:lineRule="auto"/>
        <w:tabs>
          <w:tab w:leader="none" w:pos="7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The books and records of the Partnership shall be the definitive record of ownership of each Unit and all relevant information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each Partner. Unless the General Partner in its sole discretion shall determine otherwise, Units shall be uncertificated and recorded in the books and records of the Partnership.</w:t>
      </w:r>
    </w:p>
    <w:p>
      <w:pPr>
        <w:spacing w:after="0" w:line="76" w:lineRule="exact"/>
        <w:rPr>
          <w:sz w:val="20"/>
          <w:szCs w:val="20"/>
          <w:color w:val="auto"/>
        </w:rPr>
      </w:pPr>
    </w:p>
    <w:p>
      <w:pPr>
        <w:ind w:left="740" w:right="120" w:hanging="768"/>
        <w:spacing w:after="0" w:line="268" w:lineRule="auto"/>
        <w:tabs>
          <w:tab w:leader="none" w:pos="7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 xml:space="preserve">Registered Partners </w:t>
      </w:r>
      <w:r>
        <w:rPr>
          <w:rFonts w:ascii="Times New Roman" w:cs="Times New Roman" w:eastAsia="Times New Roman" w:hAnsi="Times New Roman"/>
          <w:sz w:val="18"/>
          <w:szCs w:val="18"/>
          <w:color w:val="auto"/>
        </w:rPr>
        <w:t>The Partnership shall be entitled to recognize the exclusive right of a Person registered on its records as the owner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76" w:lineRule="exact"/>
        <w:rPr>
          <w:sz w:val="20"/>
          <w:szCs w:val="20"/>
          <w:color w:val="auto"/>
        </w:rPr>
      </w:pPr>
    </w:p>
    <w:p>
      <w:pPr>
        <w:ind w:left="740" w:hanging="768"/>
        <w:spacing w:after="0" w:line="257" w:lineRule="auto"/>
        <w:tabs>
          <w:tab w:leader="none" w:pos="7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 xml:space="preserve">Forfeiture of Common Units. </w:t>
      </w:r>
      <w:r>
        <w:rPr>
          <w:rFonts w:ascii="Times New Roman" w:cs="Times New Roman" w:eastAsia="Times New Roman" w:hAnsi="Times New Roman"/>
          <w:sz w:val="18"/>
          <w:szCs w:val="18"/>
          <w:color w:val="auto"/>
        </w:rPr>
        <w:t>Each PMEL Post-Combination Unitholder hereby agrees that any Common Units (for the avoidance of doubt,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Common Units which were formerly PMEL RCUs and were converted into Common Units pursuant to this Agreement) which, by virtue of the transactions contemplated by the Business Combination Agreement, were received in substitution for PMEL Interests held by a PMEL Award Recipient, shall be subject to the same forfeiture provisions as contained in any corresponding PMEL Award Agreement. The General Partner shall have the authority pursuant to Section 9.4 of this Agreement to cancel and extinguish for no consideration, automatically and without the consent of the applicable PMEL Post-Combination Unitholder (or PMEL Award Recipient), any Common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60" w:top="270" w:right="479" w:bottom="1440" w:gutter="0" w:footer="0" w:header="0"/>
        </w:sectPr>
      </w:pPr>
    </w:p>
    <w:bookmarkStart w:id="217" w:name="page218"/>
    <w:bookmarkEnd w:id="217"/>
    <w:p>
      <w:pPr>
        <w:ind w:left="7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Units (and PubCo shall cancel and extinguish for no consideration the Acquiror Class B PMEL RSRs or the Class B Common Shares, as the case may be, held by such PMEL Post-Combination Unitholder (or PMEL Award Recipient), on a one-for-one basis, without the consent of the applicable PMEL Post-Combination Unitholder (or PMEL Award Recipient)) to the same extent the corresponding PMEL Interests would have been subject to forfeiture under the corresponding PMEL Award Agreement.</w:t>
      </w:r>
    </w:p>
    <w:p>
      <w:pPr>
        <w:spacing w:after="0" w:line="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b w:val="1"/>
          <w:bCs w:val="1"/>
          <w:color w:val="auto"/>
        </w:rPr>
        <w:t>Issuances, Repurchases and Redemptions, Recapitalizations</w:t>
      </w:r>
    </w:p>
    <w:p>
      <w:pPr>
        <w:spacing w:after="0" w:line="1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9.5.1</w:t>
      </w:r>
      <w:r>
        <w:rPr>
          <w:sz w:val="20"/>
          <w:szCs w:val="20"/>
          <w:color w:val="auto"/>
        </w:rPr>
        <w:tab/>
      </w:r>
      <w:r>
        <w:rPr>
          <w:rFonts w:ascii="Times New Roman" w:cs="Times New Roman" w:eastAsia="Times New Roman" w:hAnsi="Times New Roman"/>
          <w:sz w:val="17"/>
          <w:szCs w:val="17"/>
          <w:i w:val="1"/>
          <w:iCs w:val="1"/>
          <w:color w:val="auto"/>
        </w:rPr>
        <w:t>Issuances by PubCo.</w:t>
      </w:r>
    </w:p>
    <w:p>
      <w:pPr>
        <w:spacing w:after="0" w:line="119" w:lineRule="exact"/>
        <w:rPr>
          <w:sz w:val="20"/>
          <w:szCs w:val="20"/>
          <w:color w:val="auto"/>
        </w:rPr>
      </w:pPr>
    </w:p>
    <w:p>
      <w:pPr>
        <w:ind w:left="760" w:right="540" w:firstLine="417"/>
        <w:spacing w:after="0" w:line="282" w:lineRule="auto"/>
        <w:tabs>
          <w:tab w:leader="none" w:pos="141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9.5.1(b)</w:t>
      </w:r>
      <w:r>
        <w:rPr>
          <w:rFonts w:ascii="Times New Roman" w:cs="Times New Roman" w:eastAsia="Times New Roman" w:hAnsi="Times New Roman"/>
          <w:sz w:val="18"/>
          <w:szCs w:val="18"/>
          <w:color w:val="auto"/>
        </w:rPr>
        <w:t xml:space="preserve"> and the Exchange Agreement, if, at any time after the Closing Date, PubCo sells or issues Class A Common Shares or any other Equity Interests of PubCo (other than Class B Common Shares):</w:t>
      </w:r>
    </w:p>
    <w:p>
      <w:pPr>
        <w:spacing w:after="0" w:line="67" w:lineRule="exact"/>
        <w:rPr>
          <w:rFonts w:ascii="Times New Roman" w:cs="Times New Roman" w:eastAsia="Times New Roman" w:hAnsi="Times New Roman"/>
          <w:sz w:val="18"/>
          <w:szCs w:val="18"/>
          <w:color w:val="auto"/>
        </w:rPr>
      </w:pPr>
    </w:p>
    <w:p>
      <w:pPr>
        <w:ind w:left="2420" w:right="300" w:hanging="777"/>
        <w:spacing w:after="0" w:line="258" w:lineRule="auto"/>
        <w:tabs>
          <w:tab w:leader="none" w:pos="2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concurrently issue to PubCo an equal number of Common Units (if PubCo issues Class A Common Shares), or an equal number of such other Equity Interests of the Partnership corresponding to the Equity Interests issued by PubCo (if PubCo issues Equity Interests other than Class A Common Shares), and with substantially the same rights to dividends and Distributions (including Distributions upon liquidation) and other economic rights as those of such Equity Interests of PubCo so issued; and</w:t>
      </w:r>
    </w:p>
    <w:p>
      <w:pPr>
        <w:spacing w:after="0" w:line="88" w:lineRule="exact"/>
        <w:rPr>
          <w:rFonts w:ascii="Times New Roman" w:cs="Times New Roman" w:eastAsia="Times New Roman" w:hAnsi="Times New Roman"/>
          <w:sz w:val="18"/>
          <w:szCs w:val="18"/>
          <w:color w:val="auto"/>
        </w:rPr>
      </w:pPr>
    </w:p>
    <w:p>
      <w:pPr>
        <w:ind w:left="2420" w:right="220" w:hanging="777"/>
        <w:spacing w:after="0" w:line="282" w:lineRule="auto"/>
        <w:tabs>
          <w:tab w:leader="none" w:pos="2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concurrently contribute to the Partnership the net proceeds or other property received by PubCo, if any, for such Class A Common Share or other Equity Interest.</w:t>
      </w:r>
    </w:p>
    <w:p>
      <w:pPr>
        <w:spacing w:after="0" w:line="53" w:lineRule="exact"/>
        <w:rPr>
          <w:rFonts w:ascii="Times New Roman" w:cs="Times New Roman" w:eastAsia="Times New Roman" w:hAnsi="Times New Roman"/>
          <w:sz w:val="18"/>
          <w:szCs w:val="18"/>
          <w:color w:val="auto"/>
        </w:rPr>
      </w:pPr>
    </w:p>
    <w:p>
      <w:pPr>
        <w:ind w:left="1440" w:hanging="263"/>
        <w:spacing w:after="0"/>
        <w:tabs>
          <w:tab w:leader="none" w:pos="14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9.5.1(a)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9.5.1(c),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9.5.1</w:t>
      </w:r>
      <w:r>
        <w:rPr>
          <w:rFonts w:ascii="Times New Roman" w:cs="Times New Roman" w:eastAsia="Times New Roman" w:hAnsi="Times New Roman"/>
          <w:sz w:val="18"/>
          <w:szCs w:val="18"/>
          <w:color w:val="auto"/>
        </w:rPr>
        <w:t xml:space="preserve"> shall not apply to:</w:t>
      </w:r>
    </w:p>
    <w:p>
      <w:pPr>
        <w:spacing w:after="0" w:line="130" w:lineRule="exact"/>
        <w:rPr>
          <w:rFonts w:ascii="Times New Roman" w:cs="Times New Roman" w:eastAsia="Times New Roman" w:hAnsi="Times New Roman"/>
          <w:sz w:val="18"/>
          <w:szCs w:val="18"/>
          <w:color w:val="auto"/>
        </w:rPr>
      </w:pPr>
    </w:p>
    <w:p>
      <w:pPr>
        <w:ind w:left="2420" w:right="80" w:hanging="777"/>
        <w:spacing w:after="0" w:line="261" w:lineRule="auto"/>
        <w:tabs>
          <w:tab w:leader="none" w:pos="2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distribution to holders of Class A Common Shares or other Equity Interests of PubCo of rights to purchase Equity Interests of PubCo under a “poison pill” or similar shareholder rights plan (and upon exchange of Common Units for Class A Common Shares pursuant to the Exchange Agreement, such Class A Common Shares will be issued together with a corresponding right under such plan); or</w:t>
      </w:r>
    </w:p>
    <w:p>
      <w:pPr>
        <w:spacing w:after="0" w:line="85" w:lineRule="exact"/>
        <w:rPr>
          <w:rFonts w:ascii="Times New Roman" w:cs="Times New Roman" w:eastAsia="Times New Roman" w:hAnsi="Times New Roman"/>
          <w:sz w:val="18"/>
          <w:szCs w:val="18"/>
          <w:color w:val="auto"/>
        </w:rPr>
      </w:pPr>
    </w:p>
    <w:p>
      <w:pPr>
        <w:ind w:left="2420" w:right="60" w:hanging="777"/>
        <w:spacing w:after="0" w:line="282" w:lineRule="auto"/>
        <w:tabs>
          <w:tab w:leader="none" w:pos="2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under PubCo’s employee benefit plans of any warrants, options, stock appreciation right, restricted stock, restricted stock units, performance based award or other rights to acquire Equity Interests of PubCo,</w:t>
      </w:r>
    </w:p>
    <w:p>
      <w:pPr>
        <w:spacing w:after="0" w:line="54" w:lineRule="exact"/>
        <w:rPr>
          <w:sz w:val="20"/>
          <w:szCs w:val="20"/>
          <w:color w:val="auto"/>
        </w:rPr>
      </w:pPr>
    </w:p>
    <w:p>
      <w:pPr>
        <w:ind w:left="760" w:right="200"/>
        <w:spacing w:after="0" w:line="266" w:lineRule="auto"/>
        <w:rPr>
          <w:sz w:val="20"/>
          <w:szCs w:val="20"/>
          <w:color w:val="auto"/>
        </w:rPr>
      </w:pPr>
      <w:r>
        <w:rPr>
          <w:rFonts w:ascii="Times New Roman" w:cs="Times New Roman" w:eastAsia="Times New Roman" w:hAnsi="Times New Roman"/>
          <w:sz w:val="18"/>
          <w:szCs w:val="18"/>
          <w:color w:val="auto"/>
        </w:rPr>
        <w:t xml:space="preserve">but </w:t>
      </w:r>
      <w:r>
        <w:rPr>
          <w:rFonts w:ascii="Times New Roman" w:cs="Times New Roman" w:eastAsia="Times New Roman" w:hAnsi="Times New Roman"/>
          <w:sz w:val="18"/>
          <w:szCs w:val="18"/>
          <w:u w:val="single" w:color="auto"/>
          <w:color w:val="auto"/>
        </w:rPr>
        <w:t>Section 9.5.1</w:t>
      </w:r>
      <w:r>
        <w:rPr>
          <w:rFonts w:ascii="Times New Roman" w:cs="Times New Roman" w:eastAsia="Times New Roman" w:hAnsi="Times New Roman"/>
          <w:sz w:val="18"/>
          <w:szCs w:val="18"/>
          <w:color w:val="auto"/>
        </w:rPr>
        <w:t xml:space="preserve"> shall, in each of the foregoing cases, apply to the issuance of Equity Interests of PubCo in connection with the exercise or settlement of such warrants, options, stock appreciation right, restricted stock units, performance based awards or other rights to acquire Equity Interests of PubCo.</w:t>
      </w:r>
    </w:p>
    <w:p>
      <w:pPr>
        <w:spacing w:after="0" w:line="68" w:lineRule="exact"/>
        <w:rPr>
          <w:sz w:val="20"/>
          <w:szCs w:val="20"/>
          <w:color w:val="auto"/>
        </w:rPr>
      </w:pPr>
    </w:p>
    <w:p>
      <w:pPr>
        <w:ind w:left="760" w:right="80" w:firstLine="417"/>
        <w:spacing w:after="0" w:line="266" w:lineRule="auto"/>
        <w:tabs>
          <w:tab w:leader="none" w:pos="141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Conversion of PubCo Equity Interests</w:t>
      </w:r>
      <w:r>
        <w:rPr>
          <w:rFonts w:ascii="Times New Roman" w:cs="Times New Roman" w:eastAsia="Times New Roman" w:hAnsi="Times New Roman"/>
          <w:sz w:val="18"/>
          <w:szCs w:val="18"/>
          <w:color w:val="auto"/>
        </w:rPr>
        <w:t xml:space="preserve"> In the event any outstanding Equity Interest of PubCo is exercised or otherwise converted and, as a result, any Class A Common Shares or other Equity Interests of PubCo are issued (including as a result of the exercise of warrants of PubCo):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218" w:name="page219"/>
    <w:bookmarkEnd w:id="218"/>
    <w:p>
      <w:pPr>
        <w:ind w:left="2420" w:right="780" w:hanging="777"/>
        <w:spacing w:after="0" w:line="282" w:lineRule="auto"/>
        <w:tabs>
          <w:tab w:leader="none" w:pos="24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corresponding Equity Interests issued by the Partnership, if any, shall be similarly exercised or otherwise converted, if applicable;</w:t>
      </w:r>
    </w:p>
    <w:p>
      <w:pPr>
        <w:spacing w:after="0" w:line="67" w:lineRule="exact"/>
        <w:rPr>
          <w:rFonts w:ascii="Times New Roman" w:cs="Times New Roman" w:eastAsia="Times New Roman" w:hAnsi="Times New Roman"/>
          <w:sz w:val="18"/>
          <w:szCs w:val="18"/>
          <w:color w:val="auto"/>
        </w:rPr>
      </w:pPr>
    </w:p>
    <w:p>
      <w:pPr>
        <w:ind w:left="2420" w:right="180" w:hanging="777"/>
        <w:spacing w:after="0" w:line="282" w:lineRule="auto"/>
        <w:tabs>
          <w:tab w:leader="none" w:pos="24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equivalent number of Common Units or equivalent Equity Interests of the Partnership shall be issued to PubCo as required by the first sentence of </w:t>
      </w:r>
      <w:r>
        <w:rPr>
          <w:rFonts w:ascii="Times New Roman" w:cs="Times New Roman" w:eastAsia="Times New Roman" w:hAnsi="Times New Roman"/>
          <w:sz w:val="18"/>
          <w:szCs w:val="18"/>
          <w:u w:val="single" w:color="auto"/>
          <w:color w:val="auto"/>
        </w:rPr>
        <w:t>Section 9.5.1</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2420" w:right="140" w:hanging="777"/>
        <w:spacing w:after="0" w:line="282" w:lineRule="auto"/>
        <w:tabs>
          <w:tab w:leader="none" w:pos="24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concurrently contribute to the Partnership the net proceeds received by PubCo from any such exercise or conversion.</w:t>
      </w:r>
    </w:p>
    <w:p>
      <w:pPr>
        <w:spacing w:after="0" w:line="53" w:lineRule="exact"/>
        <w:rPr>
          <w:rFonts w:ascii="Times New Roman" w:cs="Times New Roman" w:eastAsia="Times New Roman" w:hAnsi="Times New Roman"/>
          <w:sz w:val="18"/>
          <w:szCs w:val="18"/>
          <w:color w:val="auto"/>
        </w:rPr>
      </w:pPr>
    </w:p>
    <w:p>
      <w:pPr>
        <w:ind w:left="760" w:right="20" w:firstLine="417"/>
        <w:spacing w:after="0" w:line="281" w:lineRule="auto"/>
        <w:tabs>
          <w:tab w:leader="none" w:pos="1424"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Debt</w:t>
      </w:r>
      <w:r>
        <w:rPr>
          <w:rFonts w:ascii="Times New Roman" w:cs="Times New Roman" w:eastAsia="Times New Roman" w:hAnsi="Times New Roman"/>
          <w:sz w:val="17"/>
          <w:szCs w:val="17"/>
          <w:color w:val="auto"/>
        </w:rPr>
        <w:t xml:space="preserve"> If at any time PubCo or any of its Subsidiaries (other than the Partnership and its Subsidiaries) issues any securities in respect of or otherwise incurs indebtedness for borrowed money (“</w:t>
      </w:r>
      <w:r>
        <w:rPr>
          <w:rFonts w:ascii="Times New Roman" w:cs="Times New Roman" w:eastAsia="Times New Roman" w:hAnsi="Times New Roman"/>
          <w:sz w:val="17"/>
          <w:szCs w:val="17"/>
          <w:b w:val="1"/>
          <w:bCs w:val="1"/>
          <w:color w:val="auto"/>
        </w:rPr>
        <w:t>Debt</w:t>
      </w:r>
      <w:r>
        <w:rPr>
          <w:rFonts w:ascii="Times New Roman" w:cs="Times New Roman" w:eastAsia="Times New Roman" w:hAnsi="Times New Roman"/>
          <w:sz w:val="17"/>
          <w:szCs w:val="17"/>
          <w:color w:val="auto"/>
        </w:rPr>
        <w:t>”), PubCo or such Subsidiary shall Transfer to the Partnership the net proceeds received by PubCo or such Subsidiary, as applicable, in exchange for such Debt in a manner that burdens the Partnership with the repayment of such Debt (including for example through a “back-to-back” loan from the PubCo or such Subsidiary to the Partnership).</w:t>
      </w:r>
    </w:p>
    <w:p>
      <w:pPr>
        <w:spacing w:after="0" w:line="68" w:lineRule="exact"/>
        <w:rPr>
          <w:sz w:val="20"/>
          <w:szCs w:val="20"/>
          <w:color w:val="auto"/>
        </w:rPr>
      </w:pPr>
    </w:p>
    <w:p>
      <w:pPr>
        <w:ind w:left="760" w:right="4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9.5.2</w:t>
      </w:r>
      <w:r>
        <w:rPr>
          <w:sz w:val="20"/>
          <w:szCs w:val="20"/>
          <w:color w:val="auto"/>
        </w:rPr>
        <w:tab/>
      </w:r>
      <w:r>
        <w:rPr>
          <w:rFonts w:ascii="Times New Roman" w:cs="Times New Roman" w:eastAsia="Times New Roman" w:hAnsi="Times New Roman"/>
          <w:sz w:val="18"/>
          <w:szCs w:val="18"/>
          <w:i w:val="1"/>
          <w:iCs w:val="1"/>
          <w:color w:val="auto"/>
        </w:rPr>
        <w:t xml:space="preserve">Issuance of New Common Units to PubCo </w:t>
      </w:r>
      <w:r>
        <w:rPr>
          <w:rFonts w:ascii="Times New Roman" w:cs="Times New Roman" w:eastAsia="Times New Roman" w:hAnsi="Times New Roman"/>
          <w:sz w:val="18"/>
          <w:szCs w:val="18"/>
          <w:color w:val="auto"/>
        </w:rPr>
        <w:t>Except pursuant to the Exchange Agreement, (a) the Partnership may not issue any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to PubCo or any of its Subsidiaries (other than Subsidiaries of the Partnership) unless substantially simultaneously therewith PubCo or such Subsidiary issues or Transfers an equal number of newly-issued Class A Common Shares (or relevant Equity Interest of such Subsidiary) to another Person or Persons and contributes the net proceeds therefrom to the Partnership, and (b) the Partnership may not issue any other Equity Interests of the Partnership to PubCo or any of its Subsidiaries (other than Subsidiaries of the Partnership) unless substantially simultaneously therewith PubCo or such Subsidiary issues or Transfers, to another Person, an equal number of newly-issued shares of Equity Interests of PubCo or such Subsidiary with substantially the same rights to dividends and Distributions (including Distributions upon liquidation) and other economic rights as those of such Equity Interests of the Partnership and contributes the net proceeds therefrom to the Partnership.</w:t>
      </w:r>
    </w:p>
    <w:p>
      <w:pPr>
        <w:spacing w:after="0" w:line="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9.5.3</w:t>
      </w:r>
      <w:r>
        <w:rPr>
          <w:sz w:val="20"/>
          <w:szCs w:val="20"/>
          <w:color w:val="auto"/>
        </w:rPr>
        <w:tab/>
      </w:r>
      <w:r>
        <w:rPr>
          <w:rFonts w:ascii="Times New Roman" w:cs="Times New Roman" w:eastAsia="Times New Roman" w:hAnsi="Times New Roman"/>
          <w:sz w:val="17"/>
          <w:szCs w:val="17"/>
          <w:i w:val="1"/>
          <w:iCs w:val="1"/>
          <w:color w:val="auto"/>
        </w:rPr>
        <w:t>Repurchases and Redemptions</w:t>
      </w:r>
    </w:p>
    <w:p>
      <w:pPr>
        <w:spacing w:after="0" w:line="119" w:lineRule="exact"/>
        <w:rPr>
          <w:sz w:val="20"/>
          <w:szCs w:val="20"/>
          <w:color w:val="auto"/>
        </w:rPr>
      </w:pPr>
    </w:p>
    <w:p>
      <w:pPr>
        <w:ind w:left="760" w:right="100" w:firstLine="417"/>
        <w:spacing w:after="0" w:line="282" w:lineRule="auto"/>
        <w:tabs>
          <w:tab w:leader="none" w:pos="141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Repurchases and Redemptions by PubCo</w:t>
      </w:r>
      <w:r>
        <w:rPr>
          <w:rFonts w:ascii="Times New Roman" w:cs="Times New Roman" w:eastAsia="Times New Roman" w:hAnsi="Times New Roman"/>
          <w:sz w:val="18"/>
          <w:szCs w:val="18"/>
          <w:color w:val="auto"/>
        </w:rPr>
        <w:t xml:space="preserve"> Neither PubCo nor any of its Subsidiaries (other than the Partnership and its Subsidiaries) may redeem, repurchase or otherwise acquire:</w:t>
      </w:r>
    </w:p>
    <w:p>
      <w:pPr>
        <w:spacing w:after="0" w:line="67" w:lineRule="exact"/>
        <w:rPr>
          <w:sz w:val="20"/>
          <w:szCs w:val="20"/>
          <w:color w:val="auto"/>
        </w:rPr>
      </w:pPr>
    </w:p>
    <w:p>
      <w:pPr>
        <w:ind w:left="1960" w:hanging="763"/>
        <w:spacing w:after="0" w:line="261" w:lineRule="auto"/>
        <w:tabs>
          <w:tab w:leader="none" w:pos="1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Shares pursuant to a PubCo Board approved repurchase plan or program (or otherwise in connection with a transaction approved by the PubCo Board) unless substantially simultaneously therewith the Partnership redeems, repurchases or otherwise acquires from PubCo or such Subsidiary an equal number of Common Units for the same price per security, if any, or</w:t>
      </w:r>
    </w:p>
    <w:p>
      <w:pPr>
        <w:spacing w:after="0" w:line="85" w:lineRule="exact"/>
        <w:rPr>
          <w:rFonts w:ascii="Times New Roman" w:cs="Times New Roman" w:eastAsia="Times New Roman" w:hAnsi="Times New Roman"/>
          <w:sz w:val="18"/>
          <w:szCs w:val="18"/>
          <w:color w:val="auto"/>
        </w:rPr>
      </w:pPr>
    </w:p>
    <w:p>
      <w:pPr>
        <w:ind w:left="1960" w:hanging="763"/>
        <w:spacing w:after="0" w:line="256" w:lineRule="auto"/>
        <w:tabs>
          <w:tab w:leader="none" w:pos="1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Equity Interests of PubCo or any of its Subsidiaries (other than the Partnership and its Subsidiaries) pursuant to a PubCo Board approved repurchase plan or program (or otherwise in connection with a transaction approved by the PubCo Board) unless substantially simultaneously therewith the Partnership redeems, repurchases or otherwise acquires from PubCo or such Subsidiary an equal number of the corresponding class or series of Equity Interests of the Partnership with the same rights to dividends and Distributions (including Distributions upon liquidation) and other economic rights as those of such Equity Interests of PubCo or such Subsidiary for the same price per security, if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219" w:name="page220"/>
    <w:bookmarkEnd w:id="219"/>
    <w:p>
      <w:pPr>
        <w:ind w:left="1440" w:hanging="263"/>
        <w:spacing w:after="0"/>
        <w:tabs>
          <w:tab w:leader="none" w:pos="14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Repurchases and Redemptions by the Partnership</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the Partnership may not redeem, repurchase or otherwise</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w:t>
      </w:r>
    </w:p>
    <w:p>
      <w:pPr>
        <w:spacing w:after="0" w:line="112" w:lineRule="exact"/>
        <w:rPr>
          <w:sz w:val="20"/>
          <w:szCs w:val="20"/>
          <w:color w:val="auto"/>
        </w:rPr>
      </w:pPr>
    </w:p>
    <w:p>
      <w:pPr>
        <w:ind w:left="1960" w:hanging="763"/>
        <w:spacing w:after="0" w:line="261" w:lineRule="auto"/>
        <w:tabs>
          <w:tab w:leader="none" w:pos="19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Common Units from PubCo or any of its Subsidiaries (other than the Partnership and its Subsidiaries) unless substantially simultaneously PubCo or such Subsidiary redeems, repurchases or otherwise acquires pursuant to a PubCo Board approved repurchase plan or program (or otherwise in connection with a transaction approved by the PubCo Board) an equal number of Class A Common Shares for the same price per security from holders thereof; or</w:t>
      </w:r>
    </w:p>
    <w:p>
      <w:pPr>
        <w:spacing w:after="0" w:line="85" w:lineRule="exact"/>
        <w:rPr>
          <w:rFonts w:ascii="Times New Roman" w:cs="Times New Roman" w:eastAsia="Times New Roman" w:hAnsi="Times New Roman"/>
          <w:sz w:val="18"/>
          <w:szCs w:val="18"/>
          <w:color w:val="auto"/>
        </w:rPr>
      </w:pPr>
    </w:p>
    <w:p>
      <w:pPr>
        <w:ind w:left="1960" w:right="60" w:hanging="763"/>
        <w:spacing w:after="0" w:line="256" w:lineRule="auto"/>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Equity Interests of the Partnership from PubCo or any of its Subsidiaries (other than the Partnership and its Subsidiaries) unless substantially simultaneously PubCo or such Subsidiary redeems, repurchases or otherwise acquires pursuant to a PubCo Board approved repurchase plan or program (or otherwise in connection with a transaction approved by the PubCo Board) for the same price per security an equal number of Equity Interests of PubCo (or such Subsidiary) of a corresponding class or series with substantially the same rights to dividends and Distributions (including Distributions upon liquidation) and other economic rights as those of such Equity Interests of PubCo or such Subsidiary.</w:t>
      </w:r>
    </w:p>
    <w:p>
      <w:pPr>
        <w:spacing w:after="0" w:line="79" w:lineRule="exact"/>
        <w:rPr>
          <w:rFonts w:ascii="Times New Roman" w:cs="Times New Roman" w:eastAsia="Times New Roman" w:hAnsi="Times New Roman"/>
          <w:sz w:val="18"/>
          <w:szCs w:val="18"/>
          <w:color w:val="auto"/>
        </w:rPr>
      </w:pPr>
    </w:p>
    <w:p>
      <w:pPr>
        <w:ind w:left="760" w:right="20" w:firstLine="417"/>
        <w:spacing w:after="0" w:line="255" w:lineRule="auto"/>
        <w:tabs>
          <w:tab w:leader="none" w:pos="141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Redemptions</w:t>
      </w:r>
      <w:r>
        <w:rPr>
          <w:rFonts w:ascii="Times New Roman" w:cs="Times New Roman" w:eastAsia="Times New Roman" w:hAnsi="Times New Roman"/>
          <w:sz w:val="18"/>
          <w:szCs w:val="18"/>
          <w:color w:val="auto"/>
        </w:rPr>
        <w:t xml:space="preserve"> Notwithstanding the foregoing Section 9.5.1 and Section 9.5.2, to the extent that any consideration payable by PubCo in connection with the redemption, repurchase or acquisition of Class A Common Shares or other equity securities of PubCo or any of its Subsidiaries (other than the Partnership and its Subsidiaries) consists (in whole or in part) of Class A Common Shares or such other Equity Interests (including in connection with the cashless exercise of an option or warrant (or other convertible right or security)), other than under PubCo’s employee benefit plans for which there are no corresponding Common Units or other Equity Interests of the Partnership, the redemption, repurchase or acquisition of the corresponding Common Units or other Equity Interests of the Partnership shall be effectuated in a substantially similar manner.</w:t>
      </w:r>
    </w:p>
    <w:p>
      <w:pPr>
        <w:spacing w:after="0" w:line="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9.5.4</w:t>
      </w:r>
      <w:r>
        <w:rPr>
          <w:sz w:val="20"/>
          <w:szCs w:val="20"/>
          <w:color w:val="auto"/>
        </w:rPr>
        <w:tab/>
      </w:r>
      <w:r>
        <w:rPr>
          <w:rFonts w:ascii="Times New Roman" w:cs="Times New Roman" w:eastAsia="Times New Roman" w:hAnsi="Times New Roman"/>
          <w:sz w:val="18"/>
          <w:szCs w:val="18"/>
          <w:i w:val="1"/>
          <w:iCs w:val="1"/>
          <w:color w:val="auto"/>
        </w:rPr>
        <w:t>Equity Subdivisions and Combinations</w:t>
      </w:r>
    </w:p>
    <w:p>
      <w:pPr>
        <w:spacing w:after="0" w:line="119" w:lineRule="exact"/>
        <w:rPr>
          <w:sz w:val="20"/>
          <w:szCs w:val="20"/>
          <w:color w:val="auto"/>
        </w:rPr>
      </w:pPr>
    </w:p>
    <w:p>
      <w:pPr>
        <w:ind w:left="760" w:right="20" w:firstLine="417"/>
        <w:spacing w:after="0" w:line="258" w:lineRule="auto"/>
        <w:tabs>
          <w:tab w:leader="none" w:pos="141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the Partnership</w:t>
      </w:r>
      <w:r>
        <w:rPr>
          <w:rFonts w:ascii="Times New Roman" w:cs="Times New Roman" w:eastAsia="Times New Roman" w:hAnsi="Times New Roman"/>
          <w:sz w:val="18"/>
          <w:szCs w:val="18"/>
          <w:color w:val="auto"/>
        </w:rPr>
        <w:t xml:space="preserve"> The Partnership shall not in any manner effect any subdivision (by any equity split, equity distribution, reclassification, recapitalization or otherwise) or combination (by reverse equity split, reclassification, recapitalization or otherwise) of the outstanding Equity Interests of the Partnership unless accompanied by an identical subdivision or combination, as applicable, of the outstanding related class or series of Equity Interest of PubCo, with corresponding changes made with respect to any other exchangeable or convertible Equity Interests of the Partnership and PubCo.</w:t>
      </w:r>
    </w:p>
    <w:p>
      <w:pPr>
        <w:spacing w:after="0" w:line="75" w:lineRule="exact"/>
        <w:rPr>
          <w:rFonts w:ascii="Times New Roman" w:cs="Times New Roman" w:eastAsia="Times New Roman" w:hAnsi="Times New Roman"/>
          <w:sz w:val="18"/>
          <w:szCs w:val="18"/>
          <w:color w:val="auto"/>
        </w:rPr>
      </w:pPr>
    </w:p>
    <w:p>
      <w:pPr>
        <w:ind w:left="760" w:right="80" w:firstLine="417"/>
        <w:spacing w:after="0" w:line="258" w:lineRule="auto"/>
        <w:tabs>
          <w:tab w:leader="none" w:pos="1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PubCo</w:t>
      </w:r>
      <w:r>
        <w:rPr>
          <w:rFonts w:ascii="Times New Roman" w:cs="Times New Roman" w:eastAsia="Times New Roman" w:hAnsi="Times New Roman"/>
          <w:sz w:val="18"/>
          <w:szCs w:val="18"/>
          <w:color w:val="auto"/>
        </w:rPr>
        <w:t xml:space="preserve"> PubCo shall not in any manner effect any subdivision (by any equity split, equity distribution, reclassification, recapitalization or otherwise) or combination (by reverse equity split, reclassification, recapitalization or otherwise) of any class or series of Equity Interest of PubCo, unless accompanied by an identical subdivision or combination, as applicable, of the outstanding related class or series of Equity Interests of the Partnership, with corresponding changes made with respect to any applicable exchangeable or convertible Equity Interests of the Partnership and PubCo.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220" w:name="page221"/>
    <w:bookmarkEnd w:id="220"/>
    <w:p>
      <w:pPr>
        <w:ind w:left="760" w:right="40" w:firstLine="417"/>
        <w:spacing w:after="0" w:line="255" w:lineRule="auto"/>
        <w:tabs>
          <w:tab w:leader="none" w:pos="141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Maintenance of one-to-one ratio of Common Units to PubCo’s Class A Common Shares</w:t>
      </w:r>
      <w:r>
        <w:rPr>
          <w:rFonts w:ascii="Times New Roman" w:cs="Times New Roman" w:eastAsia="Times New Roman" w:hAnsi="Times New Roman"/>
          <w:sz w:val="18"/>
          <w:szCs w:val="18"/>
          <w:color w:val="auto"/>
        </w:rPr>
        <w:t xml:space="preserve"> For the avoidance of doubt, but subject to Section 9.1, Section 9.2, Section 9.5 and Section 9.6, the Partnership and the General Partner shall be permitted to undertake all actions, including an issuance, redemption, reclassification, distribution, division or recapitalization, with respect to the Common Units or the Restricted Common Units as the General Partner determines is necessary to maintain at all times a one-to-one ratio between (i) the number of Common Units owned by PubCo, directly or indirectly, and the number of outstanding Class A Common Shares; and (ii) the number of outstanding Class B Common Shares held, directly or indirectly, by any Partner and the number of Common Units (other than Restricted Common Units) held (directly or indirectly) by such Partner, disregarding for purposes of maintaining the one-to-one ratios in clause (i):</w:t>
      </w:r>
    </w:p>
    <w:p>
      <w:pPr>
        <w:spacing w:after="0" w:line="94" w:lineRule="exact"/>
        <w:rPr>
          <w:sz w:val="20"/>
          <w:szCs w:val="20"/>
          <w:color w:val="auto"/>
        </w:rPr>
      </w:pPr>
    </w:p>
    <w:p>
      <w:pPr>
        <w:ind w:left="1960" w:right="840" w:hanging="763"/>
        <w:spacing w:after="0" w:line="282" w:lineRule="auto"/>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rights or securities of PubCo issued under any plan involving the issuance of any Equity Interests that are convertible into or exercisable or exchangeable for Class A Common Shares,</w:t>
      </w:r>
    </w:p>
    <w:p>
      <w:pPr>
        <w:spacing w:after="0" w:line="67" w:lineRule="exact"/>
        <w:rPr>
          <w:rFonts w:ascii="Times New Roman" w:cs="Times New Roman" w:eastAsia="Times New Roman" w:hAnsi="Times New Roman"/>
          <w:sz w:val="18"/>
          <w:szCs w:val="18"/>
          <w:color w:val="auto"/>
        </w:rPr>
      </w:pPr>
    </w:p>
    <w:p>
      <w:pPr>
        <w:ind w:left="1960" w:hanging="763"/>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or</w:t>
      </w:r>
    </w:p>
    <w:p>
      <w:pPr>
        <w:spacing w:after="0" w:line="130" w:lineRule="exact"/>
        <w:rPr>
          <w:rFonts w:ascii="Times New Roman" w:cs="Times New Roman" w:eastAsia="Times New Roman" w:hAnsi="Times New Roman"/>
          <w:sz w:val="18"/>
          <w:szCs w:val="18"/>
          <w:color w:val="auto"/>
        </w:rPr>
      </w:pPr>
    </w:p>
    <w:p>
      <w:pPr>
        <w:ind w:left="1960" w:right="100" w:hanging="763"/>
        <w:spacing w:after="0" w:line="266" w:lineRule="auto"/>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or other debt or equity securities (including warrants, options or rights) issued by PubCo that are convertible into or exercisable or exchangeable for Class A Common Shares (but in each case prior to such conversion, exercise or exchange).</w:t>
      </w:r>
    </w:p>
    <w:p>
      <w:pPr>
        <w:spacing w:after="0" w:line="79" w:lineRule="exact"/>
        <w:rPr>
          <w:sz w:val="20"/>
          <w:szCs w:val="20"/>
          <w:color w:val="auto"/>
        </w:rPr>
      </w:pPr>
    </w:p>
    <w:p>
      <w:pPr>
        <w:ind w:left="76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9.5.5</w:t>
      </w:r>
      <w:r>
        <w:rPr>
          <w:sz w:val="20"/>
          <w:szCs w:val="20"/>
          <w:color w:val="auto"/>
        </w:rPr>
        <w:tab/>
      </w:r>
      <w:r>
        <w:rPr>
          <w:rFonts w:ascii="Times New Roman" w:cs="Times New Roman" w:eastAsia="Times New Roman" w:hAnsi="Times New Roman"/>
          <w:sz w:val="18"/>
          <w:szCs w:val="18"/>
          <w:i w:val="1"/>
          <w:iCs w:val="1"/>
          <w:color w:val="auto"/>
        </w:rPr>
        <w:t xml:space="preserve">Redemptions pursuant to the Exchange Agreement </w:t>
      </w:r>
      <w:r>
        <w:rPr>
          <w:rFonts w:ascii="Times New Roman" w:cs="Times New Roman" w:eastAsia="Times New Roman" w:hAnsi="Times New Roman"/>
          <w:sz w:val="18"/>
          <w:szCs w:val="18"/>
          <w:color w:val="auto"/>
        </w:rPr>
        <w:t>If the Partnership is obliged, pursuant to Section 2.2 of the Exchange Agreement, to cancel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number of Common Units surrendered to it by a Limited Partner (a “</w:t>
      </w:r>
      <w:r>
        <w:rPr>
          <w:rFonts w:ascii="Times New Roman" w:cs="Times New Roman" w:eastAsia="Times New Roman" w:hAnsi="Times New Roman"/>
          <w:sz w:val="18"/>
          <w:szCs w:val="18"/>
          <w:b w:val="1"/>
          <w:bCs w:val="1"/>
          <w:color w:val="auto"/>
        </w:rPr>
        <w:t>Surrendering Partner</w:t>
      </w:r>
      <w:r>
        <w:rPr>
          <w:rFonts w:ascii="Times New Roman" w:cs="Times New Roman" w:eastAsia="Times New Roman" w:hAnsi="Times New Roman"/>
          <w:sz w:val="18"/>
          <w:szCs w:val="18"/>
          <w:color w:val="auto"/>
        </w:rPr>
        <w:t>”), those surrendered Common Units shall be treated as redeemed by the Partnership and shall be cancelled immediately upon redemption. The recorded balance of the Equity Contribution and (if any) the Advance of such Limited Partner shall each be reduced, on that surrender and redemption, by a proportionate amount (equal to the proportion which the number of surrendered Common Units bears to the total number of Common Units held by that Limited Partner immediately prior to that surrender (such proportion the “</w:t>
      </w:r>
      <w:r>
        <w:rPr>
          <w:rFonts w:ascii="Times New Roman" w:cs="Times New Roman" w:eastAsia="Times New Roman" w:hAnsi="Times New Roman"/>
          <w:sz w:val="18"/>
          <w:szCs w:val="18"/>
          <w:b w:val="1"/>
          <w:bCs w:val="1"/>
          <w:color w:val="auto"/>
        </w:rPr>
        <w:t>Exchanged Proportion</w:t>
      </w:r>
      <w:r>
        <w:rPr>
          <w:rFonts w:ascii="Times New Roman" w:cs="Times New Roman" w:eastAsia="Times New Roman" w:hAnsi="Times New Roman"/>
          <w:sz w:val="18"/>
          <w:szCs w:val="18"/>
          <w:color w:val="auto"/>
        </w:rPr>
        <w:t>”)), and the recorded balance of the Equity Contribution and Advance of PubCo shall each be correspondingly and automatically increased by the same respective amounts. The Partnership shall issue a number of Common Units to PubCo, as required by Section 2.2 of the Exchange Agreement, equal to the number of Common Units surrendered by the Surrendering Partner and redeemed by the Partnership and on the issuance of such Common Units a proportion of the Surrendering Partner’s right to the repayment of its Advance equal to the Exchanged Proportion shall hereby be assigned to PubCo.</w:t>
      </w:r>
    </w:p>
    <w:p>
      <w:pPr>
        <w:spacing w:after="0" w:line="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b w:val="1"/>
          <w:bCs w:val="1"/>
          <w:color w:val="auto"/>
        </w:rPr>
        <w:t>Restricted Common Units.</w:t>
      </w:r>
    </w:p>
    <w:p>
      <w:pPr>
        <w:spacing w:after="0" w:line="133" w:lineRule="exact"/>
        <w:rPr>
          <w:sz w:val="20"/>
          <w:szCs w:val="20"/>
          <w:color w:val="auto"/>
        </w:rPr>
      </w:pPr>
    </w:p>
    <w:p>
      <w:pPr>
        <w:ind w:left="760" w:right="220" w:hanging="76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9.6.1</w:t>
      </w:r>
      <w:r>
        <w:rPr>
          <w:sz w:val="20"/>
          <w:szCs w:val="20"/>
          <w:color w:val="auto"/>
        </w:rPr>
        <w:tab/>
      </w:r>
      <w:r>
        <w:rPr>
          <w:rFonts w:ascii="Times New Roman" w:cs="Times New Roman" w:eastAsia="Times New Roman" w:hAnsi="Times New Roman"/>
          <w:sz w:val="18"/>
          <w:szCs w:val="18"/>
          <w:i w:val="1"/>
          <w:iCs w:val="1"/>
          <w:color w:val="auto"/>
        </w:rPr>
        <w:t xml:space="preserve">Restricted Common Units and Vesting </w:t>
      </w:r>
      <w:r>
        <w:rPr>
          <w:rFonts w:ascii="Times New Roman" w:cs="Times New Roman" w:eastAsia="Times New Roman" w:hAnsi="Times New Roman"/>
          <w:sz w:val="18"/>
          <w:szCs w:val="18"/>
          <w:color w:val="auto"/>
        </w:rPr>
        <w:t>Each Restricted Common Unit will be held in accordance with this Agreement unless and until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Event occurs with respect to such Restricted Common Unit. Upon the occurrence of a Vesting Event, on the Conversion Date, each applicable Restricted Common Unit with respect to which a Vesting Event has occurred shall be converted immediately and automatically, without any further action on the part of the holder thereof or any other person (including the Partnership, the General Partner and PubCo) into a Common Unit, with all rights and privileges of a Common Unit under this Agreement from and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221" w:name="page222"/>
    <w:bookmarkEnd w:id="221"/>
    <w:p>
      <w:pPr>
        <w:ind w:left="76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Conversion Date, subject in all respects to Section 9.4. Notwithstanding anything to the contrary contained in this Agreement or the Exchange Agreement, no Partner shall be permitted to effect an Exchange Transaction with respect to any Restricted Common Units, and in no event shall the Partnership or PubCo effect an Exchange Transaction with respect to any Restricted Common Unit unless and until a Vesting Event and Conversion Date has occurred with respect to such Restricted Common Unit and it has been converted to a Common Unit in accordance with the terms hereof. For the avoidance of doubt and without limiting the immediately foregoing sentence, in the event that a Vesting Event, Conversion Date and conversion into Common Unit has occurred in respect of a Restricted Common Unit, the Partnership and PubCo may effect an Exchange of such then converted Common Unit in accordance with this Agreement and the Exchange Agreement.</w:t>
      </w:r>
    </w:p>
    <w:p>
      <w:pPr>
        <w:spacing w:after="0" w:line="92" w:lineRule="exact"/>
        <w:rPr>
          <w:sz w:val="20"/>
          <w:szCs w:val="20"/>
          <w:color w:val="auto"/>
        </w:rPr>
      </w:pPr>
    </w:p>
    <w:p>
      <w:pPr>
        <w:ind w:left="760" w:hanging="768"/>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9.6.2</w:t>
      </w:r>
      <w:r>
        <w:rPr>
          <w:sz w:val="20"/>
          <w:szCs w:val="20"/>
          <w:color w:val="auto"/>
        </w:rPr>
        <w:tab/>
      </w:r>
      <w:r>
        <w:rPr>
          <w:rFonts w:ascii="Times New Roman" w:cs="Times New Roman" w:eastAsia="Times New Roman" w:hAnsi="Times New Roman"/>
          <w:sz w:val="18"/>
          <w:szCs w:val="18"/>
          <w:i w:val="1"/>
          <w:iCs w:val="1"/>
          <w:color w:val="auto"/>
        </w:rPr>
        <w:t xml:space="preserve">HSR Act &amp; Conversion </w:t>
      </w:r>
      <w:r>
        <w:rPr>
          <w:rFonts w:ascii="Times New Roman" w:cs="Times New Roman" w:eastAsia="Times New Roman" w:hAnsi="Times New Roman"/>
          <w:sz w:val="18"/>
          <w:szCs w:val="18"/>
          <w:color w:val="auto"/>
        </w:rPr>
        <w:t>Notwithstanding anything to the contrary contained in this Agreement, if, upon the occurrence of a Vesting 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is required under the Hart-Scott-Rodino Antitrust Improvements Act of 1976 of the United States of America, and the rules and regulations promulgated thereunder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for the immediate conversion of any Restricted Common Unit into a Common Unit, then the Conversion Date with respect to each such Restricted Common Unit shall be delayed until the earlier of (i) such time as the required filing under the HSR Act has been made and the waiting period applicable to such conversion under the HSR Act shall have expired or been terminated or (ii) such filing is no longer required, at which time such conversion shall automatically occur without any further action by the holder of any such Restricted Common Unit. Each of the Partners and PubCo agree to promptly take all actions required to make such filing under the HSR Act and the filing fee for such filing shall be paid by the Partnership.</w:t>
      </w:r>
    </w:p>
    <w:p>
      <w:pPr>
        <w:spacing w:after="0" w:line="90" w:lineRule="exact"/>
        <w:rPr>
          <w:sz w:val="20"/>
          <w:szCs w:val="20"/>
          <w:color w:val="auto"/>
        </w:rPr>
      </w:pPr>
    </w:p>
    <w:p>
      <w:pPr>
        <w:ind w:left="760" w:right="60" w:hanging="768"/>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9.6.3</w:t>
      </w:r>
      <w:r>
        <w:rPr>
          <w:sz w:val="20"/>
          <w:szCs w:val="20"/>
          <w:color w:val="auto"/>
        </w:rPr>
        <w:tab/>
      </w:r>
      <w:r>
        <w:rPr>
          <w:rFonts w:ascii="Times New Roman" w:cs="Times New Roman" w:eastAsia="Times New Roman" w:hAnsi="Times New Roman"/>
          <w:sz w:val="18"/>
          <w:szCs w:val="18"/>
          <w:i w:val="1"/>
          <w:iCs w:val="1"/>
          <w:color w:val="auto"/>
        </w:rPr>
        <w:t xml:space="preserve">Issuance on Conversion </w:t>
      </w:r>
      <w:r>
        <w:rPr>
          <w:rFonts w:ascii="Times New Roman" w:cs="Times New Roman" w:eastAsia="Times New Roman" w:hAnsi="Times New Roman"/>
          <w:sz w:val="18"/>
          <w:szCs w:val="18"/>
          <w:color w:val="auto"/>
        </w:rPr>
        <w:t>On the applicable Conversion Date for each Restricted Common Unit that is not a PMEL RCU, PubCo shall issue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Continuing Partner that holds a Acquiror Class B Earnout RSR (as defined in the Business Combination Agreement) that vests on such Conversion Date, one Class B Common Share. On the applicable Conversion Date for each Restricted Common Unit that is a PMEL RCU, PubCo shall issue to each PMEL Post-Combination Unitholder that holds an Acquiror Class B PMEL RSR that vests on such Conversion Date, one Class B Common Share. PubCo hereby agrees to reserve for issuance at all times an adequate number of Class B Common Shares to permit the issuance of all Class B Common Shares assuming (x) all of the Acquiror Class B Earnout RSRs were to vest under the terms of the Business Combination Agreement and (y) all of the PMEL Post-Combination Unitholders’ Acquiror Class B PMEL RSRs were to vest under their applicable terms.</w:t>
      </w:r>
    </w:p>
    <w:p>
      <w:pPr>
        <w:spacing w:after="0" w:line="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9.6.4</w:t>
      </w:r>
      <w:r>
        <w:rPr>
          <w:sz w:val="20"/>
          <w:szCs w:val="20"/>
          <w:color w:val="auto"/>
        </w:rPr>
        <w:tab/>
      </w:r>
      <w:r>
        <w:rPr>
          <w:rFonts w:ascii="Times New Roman" w:cs="Times New Roman" w:eastAsia="Times New Roman" w:hAnsi="Times New Roman"/>
          <w:sz w:val="17"/>
          <w:szCs w:val="17"/>
          <w:i w:val="1"/>
          <w:iCs w:val="1"/>
          <w:color w:val="auto"/>
        </w:rPr>
        <w:t>Cancellation of Restricted Common Units</w:t>
      </w:r>
    </w:p>
    <w:p>
      <w:pPr>
        <w:spacing w:after="0" w:line="133" w:lineRule="exact"/>
        <w:rPr>
          <w:sz w:val="20"/>
          <w:szCs w:val="20"/>
          <w:color w:val="auto"/>
        </w:rPr>
      </w:pPr>
    </w:p>
    <w:p>
      <w:pPr>
        <w:ind w:left="760" w:right="80" w:hanging="76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9.6.5</w:t>
      </w:r>
      <w:r>
        <w:rPr>
          <w:sz w:val="20"/>
          <w:szCs w:val="20"/>
          <w:color w:val="auto"/>
        </w:rPr>
        <w:tab/>
      </w:r>
      <w:r>
        <w:rPr>
          <w:rFonts w:ascii="Times New Roman" w:cs="Times New Roman" w:eastAsia="Times New Roman" w:hAnsi="Times New Roman"/>
          <w:sz w:val="18"/>
          <w:szCs w:val="18"/>
          <w:color w:val="auto"/>
        </w:rPr>
        <w:t>To the extent that, in the case of the Restricted Common Units that are not PMEL RCUs, by the Earnout Expiration Date (as defined in the Business Combination Agreement), a Vesting Event has not occurred with respect to a Restricted Common Unit, and such Restricted Common Unit has not vested and converted into a Common Unit, then as of the Earnout Expiration Date, immediately and without any further action under this Agreement, on such date, any such Restricted Common Units outstanding under this Agreement shall be cancelled and extinguished for no consideration. To the extent that a PMEL RCU is forfeited pursuant to the terms of the applicable PMEL Agreement (with the terms of such agreement as applied to the PMEL RCUs in accordance with the final sentence of Section 9.4), immediately and without any further action under this Agreement, on the date of forfeiture, such PMEL RCU shall be cancelled and extinguished for no consideration. Upon the cancellation and extinguishment of any Restricted Common Unit pursuant to this Section 9.6.5, PubCo shall cancel and extinguish for no consideration the corresponding Acquiror Class B Earnout RSR or Acquiror Class B PMEL RSR on a one-for-one basis, without the consent of the applicable holder thereof.</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222" w:name="page223"/>
    <w:bookmarkEnd w:id="222"/>
    <w:p>
      <w:pPr>
        <w:ind w:left="760" w:right="260" w:hanging="768"/>
        <w:spacing w:after="0" w:line="257"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9.6.6</w:t>
      </w:r>
      <w:r>
        <w:rPr>
          <w:sz w:val="20"/>
          <w:szCs w:val="20"/>
          <w:color w:val="auto"/>
        </w:rPr>
        <w:tab/>
      </w:r>
      <w:r>
        <w:rPr>
          <w:rFonts w:ascii="Times New Roman" w:cs="Times New Roman" w:eastAsia="Times New Roman" w:hAnsi="Times New Roman"/>
          <w:sz w:val="18"/>
          <w:szCs w:val="18"/>
          <w:i w:val="1"/>
          <w:iCs w:val="1"/>
          <w:color w:val="auto"/>
        </w:rPr>
        <w:t xml:space="preserve">U.S. Tax Treatment </w:t>
      </w:r>
      <w:r>
        <w:rPr>
          <w:rFonts w:ascii="Times New Roman" w:cs="Times New Roman" w:eastAsia="Times New Roman" w:hAnsi="Times New Roman"/>
          <w:sz w:val="18"/>
          <w:szCs w:val="18"/>
          <w:color w:val="auto"/>
        </w:rPr>
        <w:t>The parties hereto intend that, for U.S. federal income tax purposes, (i) the Restricted Common Units 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Continuing Partners in connection with the Business Combination Agreement not be treated as being received in connection with the performance of services and (ii) no such Partner be treated as having taxable income or gain as a result of such receipt of such Restricted Common Units or as a result of holding any such Restricted Common Units at the time of any Vesting Event (other than as a result of corrective allocations made pursuant to </w:t>
      </w:r>
      <w:r>
        <w:rPr>
          <w:rFonts w:ascii="Times New Roman" w:cs="Times New Roman" w:eastAsia="Times New Roman" w:hAnsi="Times New Roman"/>
          <w:sz w:val="18"/>
          <w:szCs w:val="18"/>
          <w:u w:val="single" w:color="auto"/>
          <w:color w:val="auto"/>
        </w:rPr>
        <w:t>Section 7.4.10</w:t>
      </w:r>
      <w:r>
        <w:rPr>
          <w:rFonts w:ascii="Times New Roman" w:cs="Times New Roman" w:eastAsia="Times New Roman" w:hAnsi="Times New Roman"/>
          <w:sz w:val="18"/>
          <w:szCs w:val="18"/>
          <w:color w:val="auto"/>
        </w:rPr>
        <w:t>) and the Partnership shall prepare and file all tax returns consistent therewith unless otherwise required by a “determination” within the meaning of Section 1313(a) of the Code.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Transfers of Units</w:t>
      </w:r>
    </w:p>
    <w:p>
      <w:pPr>
        <w:spacing w:after="0" w:line="133" w:lineRule="exact"/>
        <w:rPr>
          <w:sz w:val="20"/>
          <w:szCs w:val="20"/>
          <w:color w:val="auto"/>
        </w:rPr>
      </w:pPr>
    </w:p>
    <w:p>
      <w:pPr>
        <w:ind w:left="760" w:hanging="76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i w:val="1"/>
          <w:iCs w:val="1"/>
          <w:color w:val="auto"/>
        </w:rPr>
        <w:t xml:space="preserve">Restriction on Transfers </w:t>
      </w:r>
      <w:r>
        <w:rPr>
          <w:rFonts w:ascii="Times New Roman" w:cs="Times New Roman" w:eastAsia="Times New Roman" w:hAnsi="Times New Roman"/>
          <w:sz w:val="18"/>
          <w:szCs w:val="18"/>
          <w:color w:val="auto"/>
        </w:rPr>
        <w:t>Except as otherwise agreed to in writing between the General Partner and the applicable Partner and reflected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books and records of the Partnership or as otherwise provided in this Section 10, but without limiting the Lock-Up Agreement, no Partner may Transfer all or any portion of its Units or other interest in the Partnership (or beneficial interest therein) without the prior consent of the General Partner, which consent may be given or withheld, or made subject to such conditions (including the receipt of such legal opinions and other documents that the General Partner may require) as are determined by the General Partner, in each case in the General Partner’s sole discretion, and which consent may be in the form of a plan or program entered into or approved by the General Partner, in its sole discretion. Any such determination in the General Partner’s sole discretion in respect of Units shall be final and binding. Such determinations need not be uniform and may be made selectively among Partners, whether or not such Partners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 If a Partner Transfers all or a portion of its Common Units to a Transferee in compliance with this Agreement, the Partner shall transfer to such Transferee an equal number of Class B Common Shares.</w:t>
      </w:r>
    </w:p>
    <w:p>
      <w:pPr>
        <w:spacing w:after="0" w:line="95" w:lineRule="exact"/>
        <w:rPr>
          <w:sz w:val="20"/>
          <w:szCs w:val="20"/>
          <w:color w:val="auto"/>
        </w:rPr>
      </w:pPr>
    </w:p>
    <w:p>
      <w:pPr>
        <w:ind w:left="760" w:right="2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i w:val="1"/>
          <w:iCs w:val="1"/>
          <w:color w:val="auto"/>
        </w:rPr>
        <w:t xml:space="preserve">Lock-Up Period </w:t>
      </w:r>
      <w:r>
        <w:rPr>
          <w:rFonts w:ascii="Times New Roman" w:cs="Times New Roman" w:eastAsia="Times New Roman" w:hAnsi="Times New Roman"/>
          <w:sz w:val="18"/>
          <w:szCs w:val="18"/>
          <w:color w:val="auto"/>
        </w:rPr>
        <w:t>Each Partner hereby agrees and covenants that such Partner will not, during the Lock-Up Period, Transfer any Units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or any equity interests of PubCo (including any Class A Common Shares or Class B Common Shares) received or retained as consideration under the Business Combination Agreement, including any securities held in escrow or otherwise issued or delivered after the Closing pursuant to the Business Combination Agreement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Prohibited Transfer</w:t>
      </w:r>
      <w:r>
        <w:rPr>
          <w:rFonts w:ascii="Times New Roman" w:cs="Times New Roman" w:eastAsia="Times New Roman" w:hAnsi="Times New Roman"/>
          <w:sz w:val="18"/>
          <w:szCs w:val="18"/>
          <w:color w:val="auto"/>
        </w:rPr>
        <w:t xml:space="preserve">”) except to the extent provided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or any applicable restrictions on Transfer are waived in accordance with the Lock-Up Agreement. If any Prohibited Transfer is made or attempted contrary to the provisions of this Agreement, such purported Prohibited Transfer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the Partnership and PubCo shall refuse to recognize any such purported transferee of the Restricted Securities as one of its equity holders for any purpose. In order to enforce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the Partnership and PubCo may impose stop-transfer instructions with respect to the Restricted Securities of each Partner until the end of the Lock-Up Period, as well as include customary legends on any certificates for any of the Restricted Securities reflecting the restrictions under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8" w:right="459" w:bottom="1440" w:gutter="0" w:footer="0" w:header="0"/>
        </w:sectPr>
      </w:pPr>
    </w:p>
    <w:bookmarkStart w:id="223" w:name="page224"/>
    <w:bookmarkEnd w:id="223"/>
    <w:p>
      <w:pPr>
        <w:ind w:left="76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10.1.3</w:t>
      </w:r>
      <w:r>
        <w:rPr>
          <w:sz w:val="20"/>
          <w:szCs w:val="20"/>
          <w:color w:val="auto"/>
        </w:rPr>
        <w:tab/>
      </w:r>
      <w:r>
        <w:rPr>
          <w:rFonts w:ascii="Times New Roman" w:cs="Times New Roman" w:eastAsia="Times New Roman" w:hAnsi="Times New Roman"/>
          <w:sz w:val="18"/>
          <w:szCs w:val="18"/>
          <w:i w:val="1"/>
          <w:iCs w:val="1"/>
          <w:color w:val="auto"/>
        </w:rPr>
        <w:t xml:space="preserve">End of Lock-Up Period </w:t>
      </w:r>
      <w:r>
        <w:rPr>
          <w:rFonts w:ascii="Times New Roman" w:cs="Times New Roman" w:eastAsia="Times New Roman" w:hAnsi="Times New Roman"/>
          <w:sz w:val="18"/>
          <w:szCs w:val="18"/>
          <w:color w:val="auto"/>
        </w:rPr>
        <w:t>Notwithstanding anything otherwise to the contrary in this Agreement, following the expiration of the Lock-Up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each Partner that is a Partner holding at least 3% of the Common Percentage Interest (excluding, for purposes of this calculation, Common Units then owned by PubCo or any Subsidiary of PubCo (if any)) may Transfer all or any portion of its Common Units in a Transfer that complies with Section 10.5, without the consent of the General Partner or any other Person.</w:t>
      </w:r>
    </w:p>
    <w:p>
      <w:pPr>
        <w:spacing w:after="0" w:line="85" w:lineRule="exact"/>
        <w:rPr>
          <w:sz w:val="20"/>
          <w:szCs w:val="20"/>
          <w:color w:val="auto"/>
        </w:rPr>
      </w:pPr>
    </w:p>
    <w:p>
      <w:pPr>
        <w:ind w:left="760" w:right="80" w:hanging="768"/>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i w:val="1"/>
          <w:iCs w:val="1"/>
          <w:color w:val="auto"/>
        </w:rPr>
        <w:t xml:space="preserve">Exchange Transactions </w:t>
      </w:r>
      <w:r>
        <w:rPr>
          <w:rFonts w:ascii="Times New Roman" w:cs="Times New Roman" w:eastAsia="Times New Roman" w:hAnsi="Times New Roman"/>
          <w:sz w:val="18"/>
          <w:szCs w:val="18"/>
          <w:color w:val="auto"/>
        </w:rPr>
        <w:t>Notwithstanding anything otherwise to the contrary in this Agreement, following the expiration of the Lock-Up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each Partner may Transfer Units in Exchange Transactions pursuant to, and in accordance with,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Partner other than a Partner holding at least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of the Common Percentage Interest (excluding, for purposes of this calculation, Common Units then owned by the PubCo (if any) or any Subsidiary of the PubCo (if any)), such Exchange Transactions shall be effected in compliance with reasonable policies that the General Partner may adopt or promulgate from time to time and advise the Partners of in writing (including policies requiring the use of designated administrators or brokers) in its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policies conflict with the terms of the Exchange Agreement, the provisions of the Exchange Agreement shall apply in lieu thereof to any Exchange Transaction to the extent of such conflict.</w:t>
      </w:r>
    </w:p>
    <w:p>
      <w:pPr>
        <w:spacing w:after="0" w:line="90" w:lineRule="exact"/>
        <w:rPr>
          <w:sz w:val="20"/>
          <w:szCs w:val="20"/>
          <w:color w:val="auto"/>
        </w:rPr>
      </w:pPr>
    </w:p>
    <w:p>
      <w:pPr>
        <w:ind w:left="760" w:hanging="768"/>
        <w:spacing w:after="0" w:line="252" w:lineRule="auto"/>
        <w:tabs>
          <w:tab w:leader="none" w:pos="7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i w:val="1"/>
          <w:iCs w:val="1"/>
          <w:color w:val="auto"/>
        </w:rPr>
        <w:t xml:space="preserve">Family Group and Affiliate Transfers </w:t>
      </w:r>
      <w:r>
        <w:rPr>
          <w:rFonts w:ascii="Times New Roman" w:cs="Times New Roman" w:eastAsia="Times New Roman" w:hAnsi="Times New Roman"/>
          <w:sz w:val="18"/>
          <w:szCs w:val="18"/>
          <w:color w:val="auto"/>
        </w:rPr>
        <w:t>Notwithstanding anything otherwise to the contrary in this Section 10.1, but subject to the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herein and compliance with, and to the extent otherwise permitted by, the Lock-Up Agreement, an individual Partner may Transfer all or any portion of his, her or its Restricted Securities without consideration to (i) any member of his or her Family Group or (ii) any Affiliate of such Partner (including any direct or indirect partner, shareholder, equityholder of such Partner or any Affiliated investment fund or vehicle of such Partner or such Partner’s direct or indirect partners, shareholders or equityholders), but excluding any Affiliate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who operates or engages in a business which competes with the business of PubCo or the Partnership and (iii) to a trust solely for the benefit of such Partner and such Partner’s Family Group (or a re-Transfer of such Restricted Securities by such trust back to such Partner upon the revocation of any such trust) or pursuant to the applicable Laws of descent or distribution among such Partner’s Family Group, in each case, in a Transfer that complies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(each of clauses (i)-(iii), an “</w:t>
      </w:r>
      <w:r>
        <w:rPr>
          <w:rFonts w:ascii="Times New Roman" w:cs="Times New Roman" w:eastAsia="Times New Roman" w:hAnsi="Times New Roman"/>
          <w:sz w:val="18"/>
          <w:szCs w:val="18"/>
          <w:b w:val="1"/>
          <w:bCs w:val="1"/>
          <w:color w:val="auto"/>
        </w:rPr>
        <w:t>Exempt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restrictions contained in this Section 10 shall apply to an Exempt Transfer and (y) the restrictions contained in this Agreement will continue to apply to the Restricted Securities after any Exempt Transfer and each Transferee of Restricted Securities shall agree in writing, by entering into an appropriate supplemental agreement in such form and terms as the General Partner may reasonably specify, prior to and as a condition precedent to the effectiveness of such Exempt Transfer, to be bound by the provisions of this Agreement, without modification or condition, subject only to the consummation of such Exempt Transfer. Upon the Exempt Transfer of Restricted Securities, the transferor will deliver written notice to the Partnership, which notice will disclose in reasonable detail the identity of such Transferee(s) and shall include an executed original counterpart of this Agreement in a form acceptable to the General Partner. Notwithstanding the foregoing and any other term in this Agreement, (a) notice of such an Exempt Transfer shall be forthwith advertised in </w:t>
      </w:r>
      <w:r>
        <w:rPr>
          <w:rFonts w:ascii="Times New Roman" w:cs="Times New Roman" w:eastAsia="Times New Roman" w:hAnsi="Times New Roman"/>
          <w:sz w:val="18"/>
          <w:szCs w:val="18"/>
          <w:i w:val="1"/>
          <w:iCs w:val="1"/>
          <w:color w:val="auto"/>
        </w:rPr>
        <w:t>Iris Oifigiúil</w:t>
      </w:r>
      <w:r>
        <w:rPr>
          <w:rFonts w:ascii="Times New Roman" w:cs="Times New Roman" w:eastAsia="Times New Roman" w:hAnsi="Times New Roman"/>
          <w:sz w:val="18"/>
          <w:szCs w:val="18"/>
          <w:color w:val="auto"/>
        </w:rPr>
        <w:t xml:space="preserve"> as so required by the Act, and until notice of such transfer is so advertised, the arrangement or transaction shall, for the purposes of the Act, be deemed to be of no effect, and (b) no party hereto shall avoid the provisions of this Agreement by making one or more Exempt Transfers to one or more Transferees and then disposing of all or any portion of such party’s interest in such Transferee if such disposition would result in such Transferee ceasing to be a Permitted Transferee. Without limiting the Lock-Up Agreement, the General Partner may implement other policies and procedures to permit the Transfer of Restricted Securities by the Partners for personal planning purposes and any such Transfer effected in compliance with such policies and procedures shall not require the prior consent of the General Partner.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8" w:right="459" w:bottom="1440" w:gutter="0" w:footer="0" w:header="0"/>
        </w:sectPr>
      </w:pPr>
    </w:p>
    <w:bookmarkStart w:id="224" w:name="page225"/>
    <w:bookmarkEnd w:id="224"/>
    <w:p>
      <w:pPr>
        <w:ind w:left="760" w:right="60" w:hanging="76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10.1.6</w:t>
      </w:r>
      <w:r>
        <w:rPr>
          <w:sz w:val="20"/>
          <w:szCs w:val="20"/>
          <w:color w:val="auto"/>
        </w:rPr>
        <w:tab/>
      </w:r>
      <w:r>
        <w:rPr>
          <w:rFonts w:ascii="Times New Roman" w:cs="Times New Roman" w:eastAsia="Times New Roman" w:hAnsi="Times New Roman"/>
          <w:sz w:val="18"/>
          <w:szCs w:val="18"/>
          <w:i w:val="1"/>
          <w:iCs w:val="1"/>
          <w:color w:val="auto"/>
        </w:rPr>
        <w:t xml:space="preserve">Purported Transfers Void </w:t>
      </w:r>
      <w:r>
        <w:rPr>
          <w:rFonts w:ascii="Times New Roman" w:cs="Times New Roman" w:eastAsia="Times New Roman" w:hAnsi="Times New Roman"/>
          <w:sz w:val="18"/>
          <w:szCs w:val="18"/>
          <w:color w:val="auto"/>
        </w:rPr>
        <w:t>Any Transfer or attempted Transfer of any Units in violation of any provision of this Agreement shall,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the Partnership will not record such Transfer on its books or treat any purported Transferee of such Units as the owner of such securities for any purpose.</w:t>
      </w:r>
    </w:p>
    <w:p>
      <w:pPr>
        <w:spacing w:after="0" w:line="77" w:lineRule="exact"/>
        <w:rPr>
          <w:sz w:val="20"/>
          <w:szCs w:val="20"/>
          <w:color w:val="auto"/>
        </w:rPr>
      </w:pPr>
    </w:p>
    <w:p>
      <w:pPr>
        <w:ind w:left="76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 xml:space="preserve">Mandatory Exchanges </w:t>
      </w:r>
      <w:r>
        <w:rPr>
          <w:rFonts w:ascii="Times New Roman" w:cs="Times New Roman" w:eastAsia="Times New Roman" w:hAnsi="Times New Roman"/>
          <w:sz w:val="18"/>
          <w:szCs w:val="18"/>
          <w:color w:val="auto"/>
        </w:rPr>
        <w:t>The Partnership may, with the approval of the board of the General Partner, at any time and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of any Partner or other Person, cause to be Transferred to PubCo in an Exchange Transaction any and all Units, except for Units held by any Partner holding at least 3% of the Common Percentage Interest (excluding, for purposes of this calculation, Common Units then owned by PubCo or any Subsidiary of PubCo) (a “</w:t>
      </w:r>
      <w:r>
        <w:rPr>
          <w:rFonts w:ascii="Times New Roman" w:cs="Times New Roman" w:eastAsia="Times New Roman" w:hAnsi="Times New Roman"/>
          <w:sz w:val="18"/>
          <w:szCs w:val="18"/>
          <w:b w:val="1"/>
          <w:bCs w:val="1"/>
          <w:color w:val="auto"/>
        </w:rPr>
        <w:t>Mandatory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after the expiration of the Lock-Up Period:</w:t>
      </w:r>
    </w:p>
    <w:p>
      <w:pPr>
        <w:spacing w:after="0" w:line="75" w:lineRule="exact"/>
        <w:rPr>
          <w:sz w:val="20"/>
          <w:szCs w:val="20"/>
          <w:color w:val="auto"/>
        </w:rPr>
      </w:pPr>
    </w:p>
    <w:p>
      <w:pPr>
        <w:jc w:val="both"/>
        <w:ind w:left="1420" w:right="120" w:firstLine="391"/>
        <w:spacing w:after="0" w:line="257" w:lineRule="auto"/>
        <w:tabs>
          <w:tab w:leader="none" w:pos="20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General Partner is not a wholly-owned Subsidiary of PubCo or (y) for any other reason the Partnership’s nationally recognized tax advisors are unable to render an opinion to the Partnership at least at a “more likely than not” level of comfort that a wholly-owned Subsidiary of PubCo constitutes a “general partner” within the meaning of Treasury Regulations</w:t>
      </w:r>
    </w:p>
    <w:p>
      <w:pPr>
        <w:spacing w:after="0" w:line="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1.7704-1(k)(1),</w:t>
      </w:r>
    </w:p>
    <w:p>
      <w:pPr>
        <w:spacing w:after="0" w:line="98" w:lineRule="exact"/>
        <w:rPr>
          <w:rFonts w:ascii="Times New Roman" w:cs="Times New Roman" w:eastAsia="Times New Roman" w:hAnsi="Times New Roman"/>
          <w:sz w:val="18"/>
          <w:szCs w:val="18"/>
          <w:color w:val="auto"/>
        </w:rPr>
      </w:pPr>
    </w:p>
    <w:p>
      <w:pPr>
        <w:ind w:left="1420" w:firstLine="391"/>
        <w:spacing w:after="0" w:line="282" w:lineRule="auto"/>
        <w:tabs>
          <w:tab w:leader="none" w:pos="205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more than seventy-five (75) “partners”, within the meaning of Treasury Regulations Section 1.7704-1(h) (but looking through all entities treated as transparent or flow-throughs for U.S. federal income tax purposes), and</w:t>
      </w:r>
    </w:p>
    <w:p>
      <w:pPr>
        <w:spacing w:after="0" w:line="53" w:lineRule="exact"/>
        <w:rPr>
          <w:rFonts w:ascii="Times New Roman" w:cs="Times New Roman" w:eastAsia="Times New Roman" w:hAnsi="Times New Roman"/>
          <w:sz w:val="18"/>
          <w:szCs w:val="18"/>
          <w:color w:val="auto"/>
        </w:rPr>
      </w:pPr>
    </w:p>
    <w:p>
      <w:pPr>
        <w:ind w:left="1420" w:right="40" w:firstLine="391"/>
        <w:spacing w:after="0" w:line="255" w:lineRule="auto"/>
        <w:tabs>
          <w:tab w:leader="none" w:pos="20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not binding agreements by and among Partners and the Partnership and/or its assignees to sell Units in a manner that will not cause the Partnership to be classified as a “publicly traded partnership” within the meaning of Section 7704 of the Code pursuant to one or more closings that will occur no later than seventy-five (75) days of expiration of the Lock-Up Period and that would cause the Partnership to have seventy-five (75) or fewer “partners”, within the meaning of Treasury Regulations</w:t>
      </w:r>
    </w:p>
    <w:p>
      <w:pPr>
        <w:spacing w:after="0" w:line="2" w:lineRule="exact"/>
        <w:rPr>
          <w:rFonts w:ascii="Times New Roman" w:cs="Times New Roman" w:eastAsia="Times New Roman" w:hAnsi="Times New Roman"/>
          <w:sz w:val="18"/>
          <w:szCs w:val="18"/>
          <w:color w:val="auto"/>
        </w:rPr>
      </w:pPr>
    </w:p>
    <w:p>
      <w:pPr>
        <w:ind w:left="142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1.7704-1(h) (but looking through all entities treated as transparent or flow-throughs for U.S. federal income tax purposes), upon the consummation of the transactions contemplated by such agreements (including, agreements to tender Units to the Partnership or one or more purchasers approved by the Partnership),</w:t>
      </w:r>
    </w:p>
    <w:p>
      <w:pPr>
        <w:spacing w:after="0" w:line="78"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8"/>
          <w:szCs w:val="18"/>
          <w:color w:val="auto"/>
        </w:rPr>
        <w:t>then the Partnership shall promptly, and in any event within seventy-five (75) days of the expiration of the Lock-Up Period, cause a Mandatory Exchange to be effected with respect to a number of Partners holding less than 3% of the Common Percentage Interest (excluding, for purposes of this calculation, Common Units then owned by PubCo or any Subsidiary of PubCo) sufficient to cause the Partnership to have no more than seventy-five (75) “partners”, within the meaning of Treasury Regulations Section 1.7704-1(h) (but looking through all entities treated as transparent or flow-throughs for U.S. federal income tax purposes), upon the consummation of such Mandatory Exchange. Any Mandatory Exchange need not be uniform and may be made by the Partnership and PubCo selectively among Partners, whether or not such Partners are similarly situated; provided that, in the event that a tender offer, share exchange offer, take-over bid, recapitalization or similar transaction with respect to any Class A Common Shares (a “</w:t>
      </w:r>
      <w:r>
        <w:rPr>
          <w:rFonts w:ascii="Times New Roman" w:cs="Times New Roman" w:eastAsia="Times New Roman" w:hAnsi="Times New Roman"/>
          <w:sz w:val="18"/>
          <w:szCs w:val="18"/>
          <w:b w:val="1"/>
          <w:bCs w:val="1"/>
          <w:color w:val="auto"/>
        </w:rPr>
        <w:t>PubCo Offer</w:t>
      </w:r>
      <w:r>
        <w:rPr>
          <w:rFonts w:ascii="Times New Roman" w:cs="Times New Roman" w:eastAsia="Times New Roman" w:hAnsi="Times New Roman"/>
          <w:sz w:val="18"/>
          <w:szCs w:val="18"/>
          <w:color w:val="auto"/>
        </w:rPr>
        <w:t>”) is proposed by PubCo or is proposed to PubCo or its stockholders and approved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8" w:right="459" w:bottom="1440" w:gutter="0" w:footer="0" w:header="0"/>
        </w:sectPr>
      </w:pPr>
    </w:p>
    <w:bookmarkStart w:id="225" w:name="page226"/>
    <w:bookmarkEnd w:id="225"/>
    <w:p>
      <w:pPr>
        <w:ind w:left="76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PubCo Board or is otherwise effected or to be effected with the consent or approval of the PubCo Board that would result in PubCo undergoing a Change of Control, then the General Partner shall require, and each Partner shall be deemed to effect, an Exchange Transaction with respect to any and all Units held by all Partners conditioned upon, and subject to, the consummation of such PubCo Offer or Change of Control, in each case, to the extent that such Partner has not effected an Exchange Transaction with respect to all of its Units prior to the consummation of such transaction.</w:t>
      </w:r>
    </w:p>
    <w:p>
      <w:pPr>
        <w:spacing w:after="0" w:line="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Approved Qualified Transaction</w:t>
      </w:r>
    </w:p>
    <w:p>
      <w:pPr>
        <w:spacing w:after="0" w:line="1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7"/>
          <w:szCs w:val="17"/>
          <w:i w:val="1"/>
          <w:iCs w:val="1"/>
          <w:color w:val="auto"/>
        </w:rPr>
        <w:t xml:space="preserve">Drag-Along Right </w:t>
      </w:r>
      <w:r>
        <w:rPr>
          <w:rFonts w:ascii="Times New Roman" w:cs="Times New Roman" w:eastAsia="Times New Roman" w:hAnsi="Times New Roman"/>
          <w:sz w:val="17"/>
          <w:szCs w:val="17"/>
          <w:color w:val="auto"/>
        </w:rPr>
        <w:t>In the event that the General Partner and the holders of a majority of the voting power of all outstanding capital stock of</w:t>
      </w:r>
    </w:p>
    <w:p>
      <w:pPr>
        <w:spacing w:after="0" w:line="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PubCo entitled to vote thereon approve a Qualified Transaction (the “</w:t>
      </w:r>
      <w:r>
        <w:rPr>
          <w:rFonts w:ascii="Times New Roman" w:cs="Times New Roman" w:eastAsia="Times New Roman" w:hAnsi="Times New Roman"/>
          <w:sz w:val="18"/>
          <w:szCs w:val="18"/>
          <w:b w:val="1"/>
          <w:bCs w:val="1"/>
          <w:color w:val="auto"/>
        </w:rPr>
        <w:t>Approved Qualified Transaction</w:t>
      </w:r>
      <w:r>
        <w:rPr>
          <w:rFonts w:ascii="Times New Roman" w:cs="Times New Roman" w:eastAsia="Times New Roman" w:hAnsi="Times New Roman"/>
          <w:sz w:val="18"/>
          <w:szCs w:val="18"/>
          <w:color w:val="auto"/>
        </w:rPr>
        <w:t>”), each other Partner (each, a</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Partner</w:t>
      </w:r>
      <w:r>
        <w:rPr>
          <w:rFonts w:ascii="Times New Roman" w:cs="Times New Roman" w:eastAsia="Times New Roman" w:hAnsi="Times New Roman"/>
          <w:sz w:val="18"/>
          <w:szCs w:val="18"/>
          <w:color w:val="auto"/>
        </w:rPr>
        <w:t>”) agrees to Transfer all of such Required Partner’s Units in connection with such Approved Qualified Transaction (the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Drag-Along Right</w:t>
      </w:r>
      <w:r>
        <w:rPr>
          <w:rFonts w:ascii="Times New Roman" w:cs="Times New Roman" w:eastAsia="Times New Roman" w:hAnsi="Times New Roman"/>
          <w:sz w:val="18"/>
          <w:szCs w:val="18"/>
          <w:color w:val="auto"/>
        </w:rPr>
        <w:t>”) for an amount of consideration per Unit and corresponding Class B Common Share equal (before taking into account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rights such Required Partner may have under the Tax Receivable Agreement) to the amount of consideration to be received per Class A</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Common Share by the holders thereof (the “</w:t>
      </w:r>
      <w:r>
        <w:rPr>
          <w:rFonts w:ascii="Times New Roman" w:cs="Times New Roman" w:eastAsia="Times New Roman" w:hAnsi="Times New Roman"/>
          <w:sz w:val="18"/>
          <w:szCs w:val="18"/>
          <w:b w:val="1"/>
          <w:bCs w:val="1"/>
          <w:color w:val="auto"/>
        </w:rPr>
        <w:t>Drag Price</w:t>
      </w:r>
      <w:r>
        <w:rPr>
          <w:rFonts w:ascii="Times New Roman" w:cs="Times New Roman" w:eastAsia="Times New Roman" w:hAnsi="Times New Roman"/>
          <w:sz w:val="18"/>
          <w:szCs w:val="18"/>
          <w:color w:val="auto"/>
        </w:rPr>
        <w:t>”), and otherwise with respect to such Units on the same terms and conditions as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apply to the Class A Common Shares in such Approved Qualified Transaction, with such modifications as are appropriate, as determined in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good faith by the General Partner, solely to reflect the fact that Units and corresponding Class B Common Shares rather than Class A</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Common Shares will be Transferred in the first instance by such Partner. Any Transfer effected in connection with the Drag-Along Right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shall be structured in the sole discretion of the General Partner and, without limitation to any other structure, the General Partner will use its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reasonable best efforts expeditiously and in good faith to take all such actions and do all such things as are necessary or desirable to enable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 permit the Partners to participate in such Approved Qualified Transaction to the same extent or on an economically equivalent basis as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the holders of Class A Common Shares without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sentence, the General</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Partner will use its reasonable best efforts expeditiously and in good faith to ensure that such Partners may participate in each such Approved</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Qualified Transaction without being required to have their Common Units and Class B Common Shares redeemed (or, if so required, to</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ensure that any such redemption shall be effective only upon, and shall be conditional upon, the closing of such Approved Qualified</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Transaction, or, as applicable, to the extent necessary to exchange the number of Common Units being repurchased).</w:t>
      </w:r>
    </w:p>
    <w:p>
      <w:pPr>
        <w:spacing w:after="0" w:line="1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7"/>
          <w:szCs w:val="17"/>
          <w:i w:val="1"/>
          <w:iCs w:val="1"/>
          <w:color w:val="auto"/>
        </w:rPr>
        <w:t xml:space="preserve">Drag-Along Notice </w:t>
      </w:r>
      <w:r>
        <w:rPr>
          <w:rFonts w:ascii="Times New Roman" w:cs="Times New Roman" w:eastAsia="Times New Roman" w:hAnsi="Times New Roman"/>
          <w:sz w:val="17"/>
          <w:szCs w:val="17"/>
          <w:color w:val="auto"/>
        </w:rPr>
        <w:t>PubCo shall send written notice (the “</w:t>
      </w:r>
      <w:r>
        <w:rPr>
          <w:rFonts w:ascii="Times New Roman" w:cs="Times New Roman" w:eastAsia="Times New Roman" w:hAnsi="Times New Roman"/>
          <w:sz w:val="17"/>
          <w:szCs w:val="17"/>
          <w:b w:val="1"/>
          <w:bCs w:val="1"/>
          <w:color w:val="auto"/>
        </w:rPr>
        <w:t>Drag-Along Notice</w:t>
      </w:r>
      <w:r>
        <w:rPr>
          <w:rFonts w:ascii="Times New Roman" w:cs="Times New Roman" w:eastAsia="Times New Roman" w:hAnsi="Times New Roman"/>
          <w:sz w:val="17"/>
          <w:szCs w:val="17"/>
          <w:color w:val="auto"/>
        </w:rPr>
        <w:t>”) to the Partnership and the Required Partners at least thirty</w:t>
      </w:r>
    </w:p>
    <w:p>
      <w:pPr>
        <w:spacing w:after="0" w:line="31" w:lineRule="exact"/>
        <w:rPr>
          <w:sz w:val="20"/>
          <w:szCs w:val="20"/>
          <w:color w:val="auto"/>
        </w:rPr>
      </w:pPr>
    </w:p>
    <w:p>
      <w:pPr>
        <w:ind w:left="760" w:firstLine="5"/>
        <w:spacing w:after="0" w:line="251" w:lineRule="auto"/>
        <w:tabs>
          <w:tab w:leader="none" w:pos="110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closing of the Approved Qualified Transaction notifying them that such Required Partners will be required to sell all (but not less than all) of their Units in such sale, and setting forth (i) a copy of the written proposal or agreement pursuant to which the Approved Qualified Transaction will be effected, (ii) the Drag Price, (iii) the terms and conditions of Transfer and payment and (iv) the date and location of and procedures for selling the Units. In the event that the information set forth in the Drag-Along Notice changes from that set forth in the initial Drag-Along Notice, a subsequent Drag-Along Notice shall be delivered by PubCo no less than seven (7) days prior to the closing of the Approved Qualified Transaction. Notwithstanding the foregoing, to the extent that any of the foregoing information to be included in the Drag-Along Notice is publicly available, PubCo shall not be required to include such information in the Drag-Along Notice or deliver a subsequent Drag-Along Notice. Each Required Partner shall thereafter be obligated to sell their Units and corresponding Class B Common Shares on the terms set forth in the Drag-Along Notice.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226" w:name="page227"/>
    <w:bookmarkEnd w:id="226"/>
    <w:p>
      <w:pPr>
        <w:ind w:left="760" w:right="2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10.3.3</w:t>
      </w:r>
      <w:r>
        <w:rPr>
          <w:sz w:val="20"/>
          <w:szCs w:val="20"/>
          <w:color w:val="auto"/>
        </w:rPr>
        <w:tab/>
      </w:r>
      <w:r>
        <w:rPr>
          <w:rFonts w:ascii="Times New Roman" w:cs="Times New Roman" w:eastAsia="Times New Roman" w:hAnsi="Times New Roman"/>
          <w:sz w:val="18"/>
          <w:szCs w:val="18"/>
          <w:i w:val="1"/>
          <w:iCs w:val="1"/>
          <w:color w:val="auto"/>
        </w:rPr>
        <w:t xml:space="preserve">Obligation of Required Partners to Sell </w:t>
      </w:r>
      <w:r>
        <w:rPr>
          <w:rFonts w:ascii="Times New Roman" w:cs="Times New Roman" w:eastAsia="Times New Roman" w:hAnsi="Times New Roman"/>
          <w:sz w:val="18"/>
          <w:szCs w:val="18"/>
          <w:color w:val="auto"/>
        </w:rPr>
        <w:t>Upon receipt of a Drag-Along Notice, each Required Partner receiving such notice shall be obligated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sell all of its Units and corresponding Class B Common Shares in the Approved Qualified Transaction as contemplated by the Drag-Along Notice for the Drag Price, on the terms and conditions described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including by executing any document containing customary representations, warranties and agreements with respect to itself and its ownership of the Units or Class B Common Shares, as applicable, as requested by the General Partner in connection with the Approved Qualified Transaction, which representations, warranties, indemnities and agreements shall be substantially the same as those contained in any letter of transmittal to be executed by the holders of Class A Common Shares with such modifications as are appropriate, as determined in good faith by the General Partner, solely to reflect the fact that Units or Class B Common Shares, as applicable, rather than Class A Common Shares will be transferred by such Required Partner. The General Partner and each Required Partner shall cooperate in good faith in connection with the consummation of the Approved Qualified Transaction.</w:t>
      </w:r>
    </w:p>
    <w:p>
      <w:pPr>
        <w:spacing w:after="0" w:line="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b w:val="1"/>
          <w:bCs w:val="1"/>
          <w:color w:val="auto"/>
        </w:rPr>
        <w:t>Encumbrances</w:t>
      </w:r>
    </w:p>
    <w:p>
      <w:pPr>
        <w:spacing w:after="0" w:line="121" w:lineRule="exact"/>
        <w:rPr>
          <w:sz w:val="20"/>
          <w:szCs w:val="20"/>
          <w:color w:val="auto"/>
        </w:rPr>
      </w:pPr>
    </w:p>
    <w:p>
      <w:pPr>
        <w:ind w:left="760" w:right="200"/>
        <w:spacing w:after="0" w:line="256" w:lineRule="auto"/>
        <w:rPr>
          <w:sz w:val="20"/>
          <w:szCs w:val="20"/>
          <w:color w:val="auto"/>
        </w:rPr>
      </w:pPr>
      <w:r>
        <w:rPr>
          <w:rFonts w:ascii="Times New Roman" w:cs="Times New Roman" w:eastAsia="Times New Roman" w:hAnsi="Times New Roman"/>
          <w:sz w:val="18"/>
          <w:szCs w:val="18"/>
          <w:color w:val="auto"/>
        </w:rPr>
        <w:t>No Partner or Assignee may create an Encumbrance with respect to all or any portion of its Units (or any beneficial interest therein) other than Encumbrances that run in favor of the Partner unless the General Partner consents in writing thereto, which consent may be given or withheld, or made subject to such conditions as are determined by the General Partner, in the General Partner’s sole discretion (but without limiting the Lock-Up Agreement). Consent of the General Partner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b w:val="1"/>
          <w:bCs w:val="1"/>
          <w:color w:val="auto"/>
        </w:rPr>
        <w:t>Further Restrictions</w:t>
      </w:r>
      <w:r>
        <w:rPr>
          <w:rFonts w:ascii="Times New Roman" w:cs="Times New Roman" w:eastAsia="Times New Roman" w:hAnsi="Times New Roman"/>
          <w:sz w:val="17"/>
          <w:szCs w:val="17"/>
          <w:i w:val="1"/>
          <w:iCs w:val="1"/>
          <w:color w:val="auto"/>
        </w:rPr>
        <w:t>.</w:t>
      </w:r>
    </w:p>
    <w:p>
      <w:pPr>
        <w:spacing w:after="0" w:line="133" w:lineRule="exact"/>
        <w:rPr>
          <w:sz w:val="20"/>
          <w:szCs w:val="20"/>
          <w:color w:val="auto"/>
        </w:rPr>
      </w:pPr>
    </w:p>
    <w:p>
      <w:pPr>
        <w:ind w:left="760" w:right="80" w:hanging="76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10.5.1</w:t>
      </w:r>
      <w:r>
        <w:rPr>
          <w:sz w:val="20"/>
          <w:szCs w:val="20"/>
          <w:color w:val="auto"/>
        </w:rPr>
        <w:tab/>
      </w:r>
      <w:r>
        <w:rPr>
          <w:rFonts w:ascii="Times New Roman" w:cs="Times New Roman" w:eastAsia="Times New Roman" w:hAnsi="Times New Roman"/>
          <w:sz w:val="18"/>
          <w:szCs w:val="18"/>
          <w:i w:val="1"/>
          <w:iCs w:val="1"/>
          <w:color w:val="auto"/>
        </w:rPr>
        <w:t xml:space="preserve">Terms for New Issuances </w:t>
      </w:r>
      <w:r>
        <w:rPr>
          <w:rFonts w:ascii="Times New Roman" w:cs="Times New Roman" w:eastAsia="Times New Roman" w:hAnsi="Times New Roman"/>
          <w:sz w:val="18"/>
          <w:szCs w:val="18"/>
          <w:color w:val="auto"/>
        </w:rPr>
        <w:t>Units issued from time to time after the date of this Agreement, including Units issued under equity incentive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Partnership or PubCo (or upon settlement of awards granted under such plans), may be subject to such additional or other terms and conditions, including with regard to vesting, forfeiture, minimum retained ownership and Transfer, as may be agreed between the General Partner and the applicable Partner and reflected in the books and records of the Partnership. Such requirements, provisions and restrictions need not be uniform and may be waived or released by the General Partner in its sole discretion with respect to all or a portion of the Units owned by any one or more Partners at any time and from time to time, and shall not constitute the breach of any duty hereunder or otherwise existing at law, in equity or otherwise.</w:t>
      </w:r>
    </w:p>
    <w:p>
      <w:pPr>
        <w:spacing w:after="0" w:line="88" w:lineRule="exact"/>
        <w:rPr>
          <w:sz w:val="20"/>
          <w:szCs w:val="20"/>
          <w:color w:val="auto"/>
        </w:rPr>
      </w:pPr>
    </w:p>
    <w:p>
      <w:pPr>
        <w:ind w:left="760" w:right="260" w:hanging="768"/>
        <w:spacing w:after="0" w:line="284" w:lineRule="auto"/>
        <w:tabs>
          <w:tab w:leader="none" w:pos="74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8"/>
          <w:szCs w:val="18"/>
          <w:i w:val="1"/>
          <w:iCs w:val="1"/>
          <w:color w:val="auto"/>
        </w:rPr>
        <w:t xml:space="preserve">Prohibitions on Transfer </w:t>
      </w:r>
      <w:r>
        <w:rPr>
          <w:rFonts w:ascii="Times New Roman" w:cs="Times New Roman" w:eastAsia="Times New Roman" w:hAnsi="Times New Roman"/>
          <w:sz w:val="18"/>
          <w:szCs w:val="18"/>
          <w:color w:val="auto"/>
        </w:rPr>
        <w:t>Notwithstanding any contrary provision in this Agreement, in no event may any Transfer of a Unit (other than,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case, in accordance with the Exchange Agreement) be made by any Partner or Assignee if the General Partner determines that:</w:t>
      </w:r>
    </w:p>
    <w:p>
      <w:pPr>
        <w:spacing w:after="0" w:line="52" w:lineRule="exact"/>
        <w:rPr>
          <w:sz w:val="20"/>
          <w:szCs w:val="20"/>
          <w:color w:val="auto"/>
        </w:rPr>
      </w:pPr>
    </w:p>
    <w:p>
      <w:pPr>
        <w:ind w:left="1420" w:hanging="243"/>
        <w:spacing w:after="0"/>
        <w:tabs>
          <w:tab w:leader="none" w:pos="14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made to any Person who lacks the legal right, power or capacity to own such Unit;</w:t>
      </w:r>
    </w:p>
    <w:p>
      <w:pPr>
        <w:spacing w:after="0" w:line="117" w:lineRule="exact"/>
        <w:rPr>
          <w:rFonts w:ascii="Times New Roman" w:cs="Times New Roman" w:eastAsia="Times New Roman" w:hAnsi="Times New Roman"/>
          <w:sz w:val="18"/>
          <w:szCs w:val="18"/>
          <w:color w:val="auto"/>
        </w:rPr>
      </w:pPr>
    </w:p>
    <w:p>
      <w:pPr>
        <w:jc w:val="both"/>
        <w:ind w:left="760" w:firstLine="417"/>
        <w:spacing w:after="0" w:line="266" w:lineRule="auto"/>
        <w:tabs>
          <w:tab w:leader="none" w:pos="14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an Exchange Transaction, such Transfer would require the registration of such transferred Unit or of any Class of Unit pursuant to any applicable U.S. federal or state securities Laws (including, without limitation, the Securities Act or the Exchange Act) or other non-U.S. securities Laws or would constitute a non-exempt distribution pursuant to applicable provincial or state securities Laws;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68" w:right="479" w:bottom="1440" w:gutter="0" w:footer="0" w:header="0"/>
        </w:sectPr>
      </w:pPr>
    </w:p>
    <w:bookmarkStart w:id="227" w:name="page228"/>
    <w:bookmarkEnd w:id="227"/>
    <w:p>
      <w:pPr>
        <w:ind w:left="760" w:right="140" w:firstLine="417"/>
        <w:spacing w:after="0" w:line="261" w:lineRule="auto"/>
        <w:tabs>
          <w:tab w:leader="none" w:pos="141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Transfer would cause (i) all or any portion of the assets of the Partnership to (A) constitute “plan assets” (under ERISA, the Code or any applicable Similar Law) of any existing or contemplated Partner, or (B) be subject to the provisions of ERISA, Section 4975 of the Code or any applicable Similar Law, or (ii) the General Partner or PubCo to become a fiduciary with respect to any existing or contemplated Partner, pursuant to ERISA, any applicable Similar Law, or otherwise;</w:t>
      </w:r>
    </w:p>
    <w:p>
      <w:pPr>
        <w:spacing w:after="0" w:line="71" w:lineRule="exact"/>
        <w:rPr>
          <w:rFonts w:ascii="Times New Roman" w:cs="Times New Roman" w:eastAsia="Times New Roman" w:hAnsi="Times New Roman"/>
          <w:sz w:val="18"/>
          <w:szCs w:val="18"/>
          <w:color w:val="auto"/>
        </w:rPr>
      </w:pPr>
    </w:p>
    <w:p>
      <w:pPr>
        <w:ind w:left="1440" w:hanging="263"/>
        <w:spacing w:after="0"/>
        <w:tabs>
          <w:tab w:leader="none" w:pos="14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result in a breach of Section 2.12;</w:t>
      </w:r>
    </w:p>
    <w:p>
      <w:pPr>
        <w:spacing w:after="0" w:line="117" w:lineRule="exact"/>
        <w:rPr>
          <w:rFonts w:ascii="Times New Roman" w:cs="Times New Roman" w:eastAsia="Times New Roman" w:hAnsi="Times New Roman"/>
          <w:sz w:val="18"/>
          <w:szCs w:val="18"/>
          <w:color w:val="auto"/>
        </w:rPr>
      </w:pPr>
    </w:p>
    <w:p>
      <w:pPr>
        <w:ind w:left="760" w:firstLine="417"/>
        <w:spacing w:after="0" w:line="258" w:lineRule="auto"/>
        <w:tabs>
          <w:tab w:leader="none" w:pos="141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requested by the General Partner, the Partnership does not receive such legal and/or tax opinions and written instruments (including copies of any instruments of Transfer and such Assignee’s consent to be bound by this Agreement as an Assignee) that are in a form satisfactory to the General Partner, as determined in the General Partner’s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legal and/or tax opinions shall be required for a Transfer by a Partner holding at least 3% of the Common Percentage Interest (excluding, for purposes of this calculation, Common Units then owned by PubCo (if any) or any Subsidiary of PubCo (if any));</w:t>
      </w:r>
    </w:p>
    <w:p>
      <w:pPr>
        <w:spacing w:after="0" w:line="75" w:lineRule="exact"/>
        <w:rPr>
          <w:rFonts w:ascii="Times New Roman" w:cs="Times New Roman" w:eastAsia="Times New Roman" w:hAnsi="Times New Roman"/>
          <w:sz w:val="18"/>
          <w:szCs w:val="18"/>
          <w:color w:val="auto"/>
        </w:rPr>
      </w:pPr>
    </w:p>
    <w:p>
      <w:pPr>
        <w:ind w:left="760" w:right="160" w:firstLine="417"/>
        <w:spacing w:after="0" w:line="261" w:lineRule="auto"/>
        <w:tabs>
          <w:tab w:leader="none" w:pos="139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cause the Partnership to be treated as having more than seventy-five (75) “partners” within the meaning of Treasury Regulations Section 1.7704-1(h) but looking through all entities treated as transparent or flow-through for U.S. federal income tax purposes or if the Partnership already has more than seventy-five (75) “partners” but such issuance would further increase the number of “partners” in the Partnership;</w:t>
      </w:r>
    </w:p>
    <w:p>
      <w:pPr>
        <w:spacing w:after="0" w:line="71" w:lineRule="exact"/>
        <w:rPr>
          <w:rFonts w:ascii="Times New Roman" w:cs="Times New Roman" w:eastAsia="Times New Roman" w:hAnsi="Times New Roman"/>
          <w:sz w:val="18"/>
          <w:szCs w:val="18"/>
          <w:color w:val="auto"/>
        </w:rPr>
      </w:pPr>
    </w:p>
    <w:p>
      <w:pPr>
        <w:ind w:left="760" w:right="20" w:firstLine="417"/>
        <w:spacing w:after="0" w:line="282" w:lineRule="auto"/>
        <w:tabs>
          <w:tab w:leader="none" w:pos="14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reasonably determine that such Transfer would pose a material risk that the Partnership would be treated as a “</w:t>
      </w:r>
      <w:r>
        <w:rPr>
          <w:rFonts w:ascii="Times New Roman" w:cs="Times New Roman" w:eastAsia="Times New Roman" w:hAnsi="Times New Roman"/>
          <w:sz w:val="18"/>
          <w:szCs w:val="18"/>
          <w:b w:val="1"/>
          <w:bCs w:val="1"/>
          <w:color w:val="auto"/>
        </w:rPr>
        <w:t>publicly traded partnership</w:t>
      </w:r>
      <w:r>
        <w:rPr>
          <w:rFonts w:ascii="Times New Roman" w:cs="Times New Roman" w:eastAsia="Times New Roman" w:hAnsi="Times New Roman"/>
          <w:sz w:val="18"/>
          <w:szCs w:val="18"/>
          <w:color w:val="auto"/>
        </w:rPr>
        <w:t>” within the meaning of Section 7704 of the Code and the Treasury Regulations promulgated thereunder.</w:t>
      </w:r>
    </w:p>
    <w:p>
      <w:pPr>
        <w:spacing w:after="0" w:line="52" w:lineRule="exact"/>
        <w:rPr>
          <w:sz w:val="20"/>
          <w:szCs w:val="20"/>
          <w:color w:val="auto"/>
        </w:rPr>
      </w:pPr>
    </w:p>
    <w:p>
      <w:pPr>
        <w:ind w:left="760" w:right="320"/>
        <w:spacing w:after="0" w:line="261" w:lineRule="auto"/>
        <w:rPr>
          <w:sz w:val="20"/>
          <w:szCs w:val="20"/>
          <w:color w:val="auto"/>
        </w:rPr>
      </w:pPr>
      <w:r>
        <w:rPr>
          <w:rFonts w:ascii="Times New Roman" w:cs="Times New Roman" w:eastAsia="Times New Roman" w:hAnsi="Times New Roman"/>
          <w:sz w:val="18"/>
          <w:szCs w:val="18"/>
          <w:color w:val="auto"/>
        </w:rPr>
        <w:t xml:space="preserve">All determinations with respect to this Section 10.5 shall be made by the General Partner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such determinations with respect to a Partner holding at least 3% of the Common Percentage Interest (excluding, for purposes of this calculation, Common Units then owned by PubCo (if any) or any Subsidiary of PubCo (if any)) shall be made by the General Partner exercising its reasonable discretion.</w:t>
      </w:r>
    </w:p>
    <w:p>
      <w:pPr>
        <w:spacing w:after="0" w:line="85" w:lineRule="exact"/>
        <w:rPr>
          <w:sz w:val="20"/>
          <w:szCs w:val="20"/>
          <w:color w:val="auto"/>
        </w:rPr>
      </w:pPr>
    </w:p>
    <w:p>
      <w:pPr>
        <w:jc w:val="cente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10.5.3    </w:t>
      </w:r>
      <w:r>
        <w:rPr>
          <w:rFonts w:ascii="Times New Roman" w:cs="Times New Roman" w:eastAsia="Times New Roman" w:hAnsi="Times New Roman"/>
          <w:sz w:val="18"/>
          <w:szCs w:val="18"/>
          <w:i w:val="1"/>
          <w:iCs w:val="1"/>
          <w:color w:val="auto"/>
        </w:rPr>
        <w:t>Treasury Regulation, Code and Partner Restrictions</w:t>
      </w:r>
      <w:r>
        <w:rPr>
          <w:rFonts w:ascii="Times New Roman" w:cs="Times New Roman" w:eastAsia="Times New Roman" w:hAnsi="Times New Roman"/>
          <w:sz w:val="18"/>
          <w:szCs w:val="18"/>
          <w:color w:val="auto"/>
        </w:rPr>
        <w:t xml:space="preserve"> In addition, notwithstanding any contrary provision in this Agreement, to the extent the General Partner shall reasonably determine that interests in the Partnership do not meet the requirements of Treasury Regulations</w:t>
      </w: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 xml:space="preserve">Section 1.7704-1(h) (determined taking into account the rules of Treasury Regulations Section 1.7704-1(h)(3) in a taxable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the Partnership and the General Partner shall assume that each Continuing Partner is treated as a single “partner” within the meaning of Treasury Regulations Section 1.7704-1(h) (determined taking into account the rules of Treasury Regulations</w:t>
      </w:r>
    </w:p>
    <w:p>
      <w:pPr>
        <w:spacing w:after="0" w:line="1"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8"/>
          <w:szCs w:val="18"/>
          <w:color w:val="auto"/>
        </w:rPr>
        <w:t>Section 1.7704-1(h)(3)) unless otherwise required by applicable Law), in no event may any Transfer or assignment of Units by any Partner be made if such Transfer would (i) be considered to be effected on or through an “established securities market” or a “secondary market or the substantial equivalent thereof” as such terms are used in Treasury Regulations Section 1.7704-1, (ii) materially increase the possibility of the Partnership becoming a “publicly traded partnership” within the meaning of Section 7704 of the Code, or (iii) cause the Partnership to be treated as a “publicly traded partnership” within the meaning of Section 7704 of the Code or successor provision of the Code or to be treated as an association taxable as a corporation pursuant to the Code. For the avoidance of doubt, any Transfer that constitutes a</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228" w:name="page229"/>
    <w:bookmarkEnd w:id="228"/>
    <w:p>
      <w:pPr>
        <w:ind w:left="7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“block transfer” within the meaning of Treasury Regulation Section 1.7704-1(e)(2) shall not be considered to be (i) effected on or through an “established securities market” or a “secondary market or the substantial equivalent thereof” as such terms are used in Treasury Regulations Section 1.7704-1, (ii) materially increase the possibility of the Partnership becoming a “publicly traded partnership” within the meaning of Section 7704 of the Code, or (iii) cause the Partnership to be treated as a “publicly traded partnership.” Notwithstanding anything contrary in this Agreement, in no event may any Transfer, assignment of Units, or other transfer of beneficial entitlement to Units by any Partner be made if such Transfer would cause the Partnership to be treated as having more than seventy-five (75) “partners” within the meaning of Treasury Regulations Section 1.7704-1(h) but looking through all entities treated as transparent or flow-through for U.S. federal income tax purposes or if the Partnership already has more than seventy-five (75) “partners” but such issuance would further increase the number of “partners” in the Partnership.</w:t>
      </w:r>
    </w:p>
    <w:p>
      <w:pPr>
        <w:spacing w:after="0" w:line="92" w:lineRule="exact"/>
        <w:rPr>
          <w:sz w:val="20"/>
          <w:szCs w:val="20"/>
          <w:color w:val="auto"/>
        </w:rPr>
      </w:pPr>
    </w:p>
    <w:p>
      <w:pPr>
        <w:ind w:left="760" w:right="220" w:hanging="768"/>
        <w:spacing w:after="0" w:line="284" w:lineRule="auto"/>
        <w:tabs>
          <w:tab w:leader="none" w:pos="740" w:val="left"/>
        </w:tabs>
        <w:rPr>
          <w:sz w:val="20"/>
          <w:szCs w:val="20"/>
          <w:color w:val="auto"/>
        </w:rPr>
      </w:pPr>
      <w:r>
        <w:rPr>
          <w:rFonts w:ascii="Times New Roman" w:cs="Times New Roman" w:eastAsia="Times New Roman" w:hAnsi="Times New Roman"/>
          <w:sz w:val="18"/>
          <w:szCs w:val="18"/>
          <w:color w:val="auto"/>
        </w:rPr>
        <w:t>10.5.4</w:t>
      </w:r>
      <w:r>
        <w:rPr>
          <w:sz w:val="20"/>
          <w:szCs w:val="20"/>
          <w:color w:val="auto"/>
        </w:rPr>
        <w:tab/>
      </w:r>
      <w:r>
        <w:rPr>
          <w:rFonts w:ascii="Times New Roman" w:cs="Times New Roman" w:eastAsia="Times New Roman" w:hAnsi="Times New Roman"/>
          <w:sz w:val="18"/>
          <w:szCs w:val="18"/>
          <w:i w:val="1"/>
          <w:iCs w:val="1"/>
          <w:color w:val="auto"/>
        </w:rPr>
        <w:t xml:space="preserve">Timing of Permitted Transfers </w:t>
      </w:r>
      <w:r>
        <w:rPr>
          <w:rFonts w:ascii="Times New Roman" w:cs="Times New Roman" w:eastAsia="Times New Roman" w:hAnsi="Times New Roman"/>
          <w:sz w:val="18"/>
          <w:szCs w:val="18"/>
          <w:color w:val="auto"/>
        </w:rPr>
        <w:t>Transfers of Units (other than pursuant to an Exchange Transaction) that are otherwise permitted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 may only be made effective as of the first day of a fiscal quarter of the Partnership, unless the General Partner otherwise agrees.</w:t>
      </w:r>
    </w:p>
    <w:p>
      <w:pPr>
        <w:spacing w:after="0" w:line="64" w:lineRule="exact"/>
        <w:rPr>
          <w:sz w:val="20"/>
          <w:szCs w:val="20"/>
          <w:color w:val="auto"/>
        </w:rPr>
      </w:pPr>
    </w:p>
    <w:p>
      <w:pPr>
        <w:ind w:left="760" w:right="1000" w:hanging="768"/>
        <w:spacing w:after="0" w:line="284" w:lineRule="auto"/>
        <w:tabs>
          <w:tab w:leader="none" w:pos="740" w:val="left"/>
        </w:tabs>
        <w:rPr>
          <w:sz w:val="20"/>
          <w:szCs w:val="20"/>
          <w:color w:val="auto"/>
        </w:rPr>
      </w:pPr>
      <w:r>
        <w:rPr>
          <w:rFonts w:ascii="Times New Roman" w:cs="Times New Roman" w:eastAsia="Times New Roman" w:hAnsi="Times New Roman"/>
          <w:sz w:val="18"/>
          <w:szCs w:val="18"/>
          <w:color w:val="auto"/>
        </w:rPr>
        <w:t>10.5.5</w:t>
      </w:r>
      <w:r>
        <w:rPr>
          <w:sz w:val="20"/>
          <w:szCs w:val="20"/>
          <w:color w:val="auto"/>
        </w:rPr>
        <w:tab/>
      </w:r>
      <w:r>
        <w:rPr>
          <w:rFonts w:ascii="Times New Roman" w:cs="Times New Roman" w:eastAsia="Times New Roman" w:hAnsi="Times New Roman"/>
          <w:sz w:val="18"/>
          <w:szCs w:val="18"/>
          <w:i w:val="1"/>
          <w:iCs w:val="1"/>
          <w:color w:val="auto"/>
        </w:rPr>
        <w:t xml:space="preserve">Void Transfers </w:t>
      </w:r>
      <w:r>
        <w:rPr>
          <w:rFonts w:ascii="Times New Roman" w:cs="Times New Roman" w:eastAsia="Times New Roman" w:hAnsi="Times New Roman"/>
          <w:sz w:val="18"/>
          <w:szCs w:val="18"/>
          <w:color w:val="auto"/>
        </w:rPr>
        <w:t>To the fullest extent permitted by law, any Transfer in violation of this Section 10 (including the final sentence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10.5.3)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64" w:lineRule="exact"/>
        <w:rPr>
          <w:sz w:val="20"/>
          <w:szCs w:val="20"/>
          <w:color w:val="auto"/>
        </w:rPr>
      </w:pPr>
    </w:p>
    <w:p>
      <w:pPr>
        <w:ind w:left="760" w:right="140" w:hanging="76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10.5.6</w:t>
      </w:r>
      <w:r>
        <w:rPr>
          <w:sz w:val="20"/>
          <w:szCs w:val="20"/>
          <w:color w:val="auto"/>
        </w:rPr>
        <w:tab/>
      </w:r>
      <w:r>
        <w:rPr>
          <w:rFonts w:ascii="Times New Roman" w:cs="Times New Roman" w:eastAsia="Times New Roman" w:hAnsi="Times New Roman"/>
          <w:sz w:val="18"/>
          <w:szCs w:val="18"/>
          <w:i w:val="1"/>
          <w:iCs w:val="1"/>
          <w:color w:val="auto"/>
        </w:rPr>
        <w:t xml:space="preserve">Notice of the Transfer </w:t>
      </w:r>
      <w:r>
        <w:rPr>
          <w:rFonts w:ascii="Times New Roman" w:cs="Times New Roman" w:eastAsia="Times New Roman" w:hAnsi="Times New Roman"/>
          <w:sz w:val="18"/>
          <w:szCs w:val="18"/>
          <w:color w:val="auto"/>
        </w:rPr>
        <w:t>Notwithstanding any other term in this Agreement, notice of any Transfer shall be forthwith set out in</w:t>
      </w:r>
      <w:r>
        <w:rPr>
          <w:rFonts w:ascii="Times New Roman" w:cs="Times New Roman" w:eastAsia="Times New Roman" w:hAnsi="Times New Roman"/>
          <w:sz w:val="18"/>
          <w:szCs w:val="18"/>
          <w:i w:val="1"/>
          <w:iCs w:val="1"/>
          <w:color w:val="auto"/>
        </w:rPr>
        <w:t xml:space="preserve"> Iris Oifigiúil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required by the Act, and until notice of such Transfer is so made, the arrangement or transaction shall, for the purposes of the Act, be deemed to be of no effect.</w:t>
      </w:r>
    </w:p>
    <w:p>
      <w:pPr>
        <w:spacing w:after="0" w:line="79" w:lineRule="exact"/>
        <w:rPr>
          <w:sz w:val="20"/>
          <w:szCs w:val="20"/>
          <w:color w:val="auto"/>
        </w:rPr>
      </w:pPr>
    </w:p>
    <w:p>
      <w:pPr>
        <w:ind w:left="760" w:right="60" w:hanging="768"/>
        <w:spacing w:after="0" w:line="284" w:lineRule="auto"/>
        <w:tabs>
          <w:tab w:leader="none" w:pos="740" w:val="left"/>
        </w:tabs>
        <w:rPr>
          <w:sz w:val="20"/>
          <w:szCs w:val="20"/>
          <w:color w:val="auto"/>
        </w:rPr>
      </w:pPr>
      <w:r>
        <w:rPr>
          <w:rFonts w:ascii="Times New Roman" w:cs="Times New Roman" w:eastAsia="Times New Roman" w:hAnsi="Times New Roman"/>
          <w:sz w:val="18"/>
          <w:szCs w:val="18"/>
          <w:color w:val="auto"/>
        </w:rPr>
        <w:t>10.5.7</w:t>
      </w:r>
      <w:r>
        <w:rPr>
          <w:sz w:val="20"/>
          <w:szCs w:val="20"/>
          <w:color w:val="auto"/>
        </w:rPr>
        <w:tab/>
      </w:r>
      <w:r>
        <w:rPr>
          <w:rFonts w:ascii="Times New Roman" w:cs="Times New Roman" w:eastAsia="Times New Roman" w:hAnsi="Times New Roman"/>
          <w:sz w:val="18"/>
          <w:szCs w:val="18"/>
          <w:i w:val="1"/>
          <w:iCs w:val="1"/>
          <w:color w:val="auto"/>
        </w:rPr>
        <w:t xml:space="preserve">Lock-Up Agreement </w:t>
      </w:r>
      <w:r>
        <w:rPr>
          <w:rFonts w:ascii="Times New Roman" w:cs="Times New Roman" w:eastAsia="Times New Roman" w:hAnsi="Times New Roman"/>
          <w:sz w:val="18"/>
          <w:szCs w:val="18"/>
          <w:color w:val="auto"/>
        </w:rPr>
        <w:t>Notwithstanding any other term in this Agreement, nothing in this Agreement shall limit a Partner’s obligations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Lock-Up Agreement.</w:t>
      </w:r>
    </w:p>
    <w:p>
      <w:pPr>
        <w:spacing w:after="0" w:line="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b w:val="1"/>
          <w:bCs w:val="1"/>
          <w:color w:val="auto"/>
        </w:rPr>
        <w:t>Admissions, Resignations and Removals</w:t>
      </w:r>
    </w:p>
    <w:p>
      <w:pPr>
        <w:spacing w:after="0" w:line="135" w:lineRule="exact"/>
        <w:rPr>
          <w:sz w:val="20"/>
          <w:szCs w:val="20"/>
          <w:color w:val="auto"/>
        </w:rPr>
      </w:pPr>
    </w:p>
    <w:p>
      <w:pPr>
        <w:ind w:left="760" w:hanging="76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10.6.1</w:t>
      </w:r>
      <w:r>
        <w:rPr>
          <w:sz w:val="20"/>
          <w:szCs w:val="20"/>
          <w:color w:val="auto"/>
        </w:rPr>
        <w:tab/>
      </w:r>
      <w:r>
        <w:rPr>
          <w:rFonts w:ascii="Times New Roman" w:cs="Times New Roman" w:eastAsia="Times New Roman" w:hAnsi="Times New Roman"/>
          <w:sz w:val="18"/>
          <w:szCs w:val="18"/>
          <w:color w:val="auto"/>
        </w:rPr>
        <w:t>No Partner will be removed or entitled to resign from being a Partner of the Partnership except in accordance with this Section 10.6 and Section 10.7 hereof. No Person may be admitted to the Partnership as an additional general partner or substitute general partner without the prior written consent of each incumbent General Partner, which consent may be given or withheld, or made subject to such conditions as are determined by each incumbent general partner, in each case in the sole discretion of each incumbent general partner. Any additional General Partner or substitute partners of the General Partner shall be admitted as a general partner of the Partnership by executing and delivering to the existing General Partner an appropriate supplement to this Agreement pursuant to which the Person agrees to be bound by the terms and conditions of this Agreement, as it may be amended from time to time, and thereafter shall be authorized to, and shall, continue the Partnership without dissolution. Except as otherwise provided in Section 10 or the Act, no admission, substitution, resignation or removal of a Partner will cause the dissolution of the Partnership. To the fullest extent permitted by law, any purported admission, resignation or removal that is not in accordance with this Agreement shall be null and void.</w:t>
      </w:r>
    </w:p>
    <w:p>
      <w:pPr>
        <w:spacing w:after="0" w:line="100" w:lineRule="exact"/>
        <w:rPr>
          <w:sz w:val="20"/>
          <w:szCs w:val="20"/>
          <w:color w:val="auto"/>
        </w:rPr>
      </w:pPr>
    </w:p>
    <w:p>
      <w:pPr>
        <w:ind w:left="760" w:right="6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10.6.2</w:t>
      </w:r>
      <w:r>
        <w:rPr>
          <w:sz w:val="20"/>
          <w:szCs w:val="20"/>
          <w:color w:val="auto"/>
        </w:rPr>
        <w:tab/>
      </w:r>
      <w:r>
        <w:rPr>
          <w:rFonts w:ascii="Times New Roman" w:cs="Times New Roman" w:eastAsia="Times New Roman" w:hAnsi="Times New Roman"/>
          <w:sz w:val="18"/>
          <w:szCs w:val="18"/>
          <w:color w:val="auto"/>
        </w:rPr>
        <w:t>It is agreed that ProKidney GP Ireland Limited shall resign as general partner of the Partnership as and from the admission of ProKidney Corp. GP Limited to the Partnership, which admission shall take effect upon the Closing on the Effective Date. ProKidney GP Ireland Limited, as its final act as general partner of the Partnership immediately prior to the Closing, hereby approves the Post-Recapitalization Unit Issuance, if any such Post-Recapitalization Unit Issuance occurs pursuant to the Business Combination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229" w:name="page230"/>
    <w:bookmarkEnd w:id="229"/>
    <w:p>
      <w:pPr>
        <w:spacing w:after="0"/>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10.7</w:t>
      </w:r>
      <w:r>
        <w:rPr>
          <w:sz w:val="20"/>
          <w:szCs w:val="20"/>
          <w:color w:val="auto"/>
        </w:rPr>
        <w:tab/>
      </w:r>
      <w:r>
        <w:rPr>
          <w:rFonts w:ascii="Times New Roman" w:cs="Times New Roman" w:eastAsia="Times New Roman" w:hAnsi="Times New Roman"/>
          <w:sz w:val="18"/>
          <w:szCs w:val="18"/>
          <w:b w:val="1"/>
          <w:bCs w:val="1"/>
          <w:color w:val="auto"/>
        </w:rPr>
        <w:t>Admission of Assignees as Substitute Limited Partners</w:t>
      </w:r>
    </w:p>
    <w:p>
      <w:pPr>
        <w:spacing w:after="0" w:line="133" w:lineRule="exact"/>
        <w:rPr>
          <w:sz w:val="20"/>
          <w:szCs w:val="20"/>
          <w:color w:val="auto"/>
        </w:rPr>
      </w:pPr>
    </w:p>
    <w:p>
      <w:pPr>
        <w:ind w:left="760" w:right="380" w:hanging="768"/>
        <w:spacing w:after="0" w:line="284" w:lineRule="auto"/>
        <w:tabs>
          <w:tab w:leader="none" w:pos="74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8"/>
          <w:szCs w:val="18"/>
          <w:i w:val="1"/>
          <w:iCs w:val="1"/>
          <w:color w:val="auto"/>
        </w:rPr>
        <w:t xml:space="preserve">Conditions for Admission as Limited Partner </w:t>
      </w:r>
      <w:r>
        <w:rPr>
          <w:rFonts w:ascii="Times New Roman" w:cs="Times New Roman" w:eastAsia="Times New Roman" w:hAnsi="Times New Roman"/>
          <w:sz w:val="18"/>
          <w:szCs w:val="18"/>
          <w:color w:val="auto"/>
        </w:rPr>
        <w:t>A proposed assignee will become a substitute Limited Partner only if and when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conditions is satisfied:</w:t>
      </w:r>
    </w:p>
    <w:p>
      <w:pPr>
        <w:spacing w:after="0" w:line="52" w:lineRule="exact"/>
        <w:rPr>
          <w:sz w:val="20"/>
          <w:szCs w:val="20"/>
          <w:color w:val="auto"/>
        </w:rPr>
      </w:pPr>
    </w:p>
    <w:p>
      <w:pPr>
        <w:ind w:left="760" w:right="620" w:firstLine="417"/>
        <w:spacing w:after="0" w:line="282" w:lineRule="auto"/>
        <w:tabs>
          <w:tab w:leader="none" w:pos="141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consents in writing to such admission, which consent may be given or withheld, or made subject to such conditions as are determined by the General Partner, in each case in the General Partner’s sole discretion;</w:t>
      </w:r>
    </w:p>
    <w:p>
      <w:pPr>
        <w:spacing w:after="0" w:line="53" w:lineRule="exact"/>
        <w:rPr>
          <w:rFonts w:ascii="Times New Roman" w:cs="Times New Roman" w:eastAsia="Times New Roman" w:hAnsi="Times New Roman"/>
          <w:sz w:val="18"/>
          <w:szCs w:val="18"/>
          <w:color w:val="auto"/>
        </w:rPr>
      </w:pPr>
    </w:p>
    <w:p>
      <w:pPr>
        <w:ind w:left="760" w:firstLine="417"/>
        <w:spacing w:after="0" w:line="261" w:lineRule="auto"/>
        <w:tabs>
          <w:tab w:leader="none" w:pos="1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General Partner, the General Partner receives written instruments (including copies of any instruments of Transfer, a notarised and apostilled copy (in English) of such assignee’s governing documents (if the Assignee is not a natural person) and such Assignee’s consent to be bound by this Agreement as a substitute Partner) that are in a form satisfactory to the General Partner (as determined in its sole discretion);</w:t>
      </w:r>
    </w:p>
    <w:p>
      <w:pPr>
        <w:spacing w:after="0" w:line="71" w:lineRule="exact"/>
        <w:rPr>
          <w:rFonts w:ascii="Times New Roman" w:cs="Times New Roman" w:eastAsia="Times New Roman" w:hAnsi="Times New Roman"/>
          <w:sz w:val="18"/>
          <w:szCs w:val="18"/>
          <w:color w:val="auto"/>
        </w:rPr>
      </w:pPr>
    </w:p>
    <w:p>
      <w:pPr>
        <w:ind w:left="760" w:right="20" w:firstLine="417"/>
        <w:spacing w:after="0" w:line="282" w:lineRule="auto"/>
        <w:tabs>
          <w:tab w:leader="none" w:pos="141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General Partner, the General Partner receives an opinion of counsel satisfactory to the General Partner to the effect that such Transfer is in compliance with this Agreement and all applicable Law;</w:t>
      </w:r>
    </w:p>
    <w:p>
      <w:pPr>
        <w:spacing w:after="0" w:line="53" w:lineRule="exact"/>
        <w:rPr>
          <w:rFonts w:ascii="Times New Roman" w:cs="Times New Roman" w:eastAsia="Times New Roman" w:hAnsi="Times New Roman"/>
          <w:sz w:val="18"/>
          <w:szCs w:val="18"/>
          <w:color w:val="auto"/>
        </w:rPr>
      </w:pPr>
    </w:p>
    <w:p>
      <w:pPr>
        <w:ind w:left="760" w:right="160" w:firstLine="417"/>
        <w:spacing w:after="0" w:line="282" w:lineRule="auto"/>
        <w:tabs>
          <w:tab w:leader="none" w:pos="1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General Partner, the parties to the Transfer, or any one of them, pays all of the Partnership’s reasonable expenses connected with such Transfer (including the reasonable legal and accounting fees of the Partnership);</w:t>
      </w:r>
    </w:p>
    <w:p>
      <w:pPr>
        <w:spacing w:after="0" w:line="51" w:lineRule="exact"/>
        <w:rPr>
          <w:rFonts w:ascii="Times New Roman" w:cs="Times New Roman" w:eastAsia="Times New Roman" w:hAnsi="Times New Roman"/>
          <w:sz w:val="18"/>
          <w:szCs w:val="18"/>
          <w:color w:val="auto"/>
        </w:rPr>
      </w:pPr>
    </w:p>
    <w:p>
      <w:pPr>
        <w:ind w:left="1420" w:hanging="243"/>
        <w:spacing w:after="0"/>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the Transfer is set out in </w:t>
      </w:r>
      <w:r>
        <w:rPr>
          <w:rFonts w:ascii="Times New Roman" w:cs="Times New Roman" w:eastAsia="Times New Roman" w:hAnsi="Times New Roman"/>
          <w:sz w:val="18"/>
          <w:szCs w:val="18"/>
          <w:i w:val="1"/>
          <w:iCs w:val="1"/>
          <w:color w:val="auto"/>
        </w:rPr>
        <w:t>Iris Oifigiúil</w:t>
      </w:r>
      <w:r>
        <w:rPr>
          <w:rFonts w:ascii="Times New Roman" w:cs="Times New Roman" w:eastAsia="Times New Roman" w:hAnsi="Times New Roman"/>
          <w:sz w:val="18"/>
          <w:szCs w:val="18"/>
          <w:color w:val="auto"/>
        </w:rPr>
        <w:t xml:space="preserve"> as so required by the Act; and</w:t>
      </w:r>
    </w:p>
    <w:p>
      <w:pPr>
        <w:spacing w:after="0" w:line="119" w:lineRule="exact"/>
        <w:rPr>
          <w:rFonts w:ascii="Times New Roman" w:cs="Times New Roman" w:eastAsia="Times New Roman" w:hAnsi="Times New Roman"/>
          <w:sz w:val="18"/>
          <w:szCs w:val="18"/>
          <w:color w:val="auto"/>
        </w:rPr>
      </w:pPr>
    </w:p>
    <w:p>
      <w:pPr>
        <w:jc w:val="both"/>
        <w:ind w:left="760" w:right="460" w:firstLine="417"/>
        <w:spacing w:after="0" w:line="266" w:lineRule="auto"/>
        <w:tabs>
          <w:tab w:leader="none" w:pos="139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where the assignee is a Permitted Transferee of PubCo and such Transfer occurs after the expiration of the Lock-Up Period, the assignee enters into a written agreement with the Partnership and PubCo agreeing to be bound by the transfer restrictions in section 2 of the Lock-Up Agreement.</w:t>
      </w:r>
    </w:p>
    <w:p>
      <w:pPr>
        <w:spacing w:after="0" w:line="77" w:lineRule="exact"/>
        <w:rPr>
          <w:sz w:val="20"/>
          <w:szCs w:val="20"/>
          <w:color w:val="auto"/>
        </w:rPr>
      </w:pPr>
    </w:p>
    <w:p>
      <w:pPr>
        <w:ind w:left="760" w:right="80" w:hanging="768"/>
        <w:spacing w:after="0" w:line="268" w:lineRule="auto"/>
        <w:tabs>
          <w:tab w:leader="none" w:pos="7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b w:val="1"/>
          <w:bCs w:val="1"/>
          <w:color w:val="auto"/>
        </w:rPr>
        <w:t xml:space="preserve">Resignation and Removal of Partners </w:t>
      </w:r>
      <w:r>
        <w:rPr>
          <w:rFonts w:ascii="Times New Roman" w:cs="Times New Roman" w:eastAsia="Times New Roman" w:hAnsi="Times New Roman"/>
          <w:sz w:val="18"/>
          <w:szCs w:val="18"/>
          <w:color w:val="auto"/>
        </w:rPr>
        <w:t>Subject to Section 10.6, if a Partner ceases to hold any Units, then such Partner shall cease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and to have the power to exercise any rights or powers of a Partner of the Partnership, and shall be deemed to have resigned from the Partnership.</w:t>
      </w:r>
    </w:p>
    <w:p>
      <w:pPr>
        <w:spacing w:after="0" w:line="76" w:lineRule="exact"/>
        <w:rPr>
          <w:sz w:val="20"/>
          <w:szCs w:val="20"/>
          <w:color w:val="auto"/>
        </w:rPr>
      </w:pPr>
    </w:p>
    <w:p>
      <w:pPr>
        <w:ind w:left="76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In the event any Transfer is permitted pursuant to this Section 10, the transferring parties shall demonstrate to the satisfaction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 Partner either that no withholding is required in connection with such transfer under applicable U.S. federal, state or local or non-U.S. law (including under Sections 1445 or 1446 of the Code) or that any amounts required to be withheld in connection with such transfer under applicable U.S. federal, state or local or non-U.S. law (including under Section 1446 of the Code, other than by reason of Section 1446(f)(4)) have been so withheld.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6" w:right="479" w:bottom="1440" w:gutter="0" w:footer="0" w:header="0"/>
        </w:sectPr>
      </w:pPr>
    </w:p>
    <w:bookmarkStart w:id="230" w:name="page231"/>
    <w:bookmarkEnd w:id="230"/>
    <w:p>
      <w:pPr>
        <w:ind w:left="760" w:hanging="76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10.10</w:t>
      </w:r>
      <w:r>
        <w:rPr>
          <w:sz w:val="20"/>
          <w:szCs w:val="20"/>
          <w:color w:val="auto"/>
        </w:rPr>
        <w:tab/>
      </w:r>
      <w:r>
        <w:rPr>
          <w:rFonts w:ascii="Times New Roman" w:cs="Times New Roman" w:eastAsia="Times New Roman" w:hAnsi="Times New Roman"/>
          <w:sz w:val="18"/>
          <w:szCs w:val="18"/>
          <w:b w:val="1"/>
          <w:bCs w:val="1"/>
          <w:color w:val="auto"/>
        </w:rPr>
        <w:t>Allocations in Respect of Transferred Units</w:t>
      </w:r>
      <w:r>
        <w:rPr>
          <w:rFonts w:ascii="Times New Roman" w:cs="Times New Roman" w:eastAsia="Times New Roman" w:hAnsi="Times New Roman"/>
          <w:sz w:val="18"/>
          <w:szCs w:val="18"/>
          <w:color w:val="auto"/>
        </w:rPr>
        <w:t>. With regard to PubCo’s acquisition of the New Company Common Units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Agreement), Profits or Losses shall be allocated to the Partners of the Partnership so as to take into account the varying interests of the Partners in the Partnership using an “interim closing of the books” method in a manner that complies with the provisions of Section 706 of the Code and the Treasury Regulations promulgated thereunder. If during any taxable year there is any other change in any Partner’s Units in the Partnership, the General Partner shall consult in good faith with the Continuing Partner Representative and the tax advisors to the Partnership and allocate the Profits or Losses to the Partners of the Partnership so as to take into account the varying interests of the Partners in the Partnership using an “interim closing of the books” method in a manner that complies with the provisions of Section 706 of the Code and the Treasury Regulations promulgated thereunder; provided, however, that such allocations may instead be made in another manner that complies with the provisions of Section 706 of the Code and the Treasury Regulations promulgated thereunder and that is selected by the General Partner (with the prior written consent of the Requisite Continuing Partners, not to be unreasonably withheld, conditioned or delayed); provided that, the Requisite Continuing Partners shall not have the consent right described in this Section 10.10 in the event that the Continuing Partners collectively own less than 10% of the Units.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 AND WINDING UP OF THE PARTNERSHIP</w:t>
      </w:r>
    </w:p>
    <w:p>
      <w:pPr>
        <w:spacing w:after="0" w:line="108" w:lineRule="exact"/>
        <w:rPr>
          <w:sz w:val="20"/>
          <w:szCs w:val="20"/>
          <w:color w:val="auto"/>
        </w:rPr>
      </w:pPr>
    </w:p>
    <w:p>
      <w:pPr>
        <w:jc w:val="both"/>
        <w:ind w:left="760" w:right="180" w:hanging="768"/>
        <w:spacing w:after="0" w:line="268" w:lineRule="auto"/>
        <w:tabs>
          <w:tab w:leader="none" w:pos="7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 xml:space="preserve">No dissolution </w:t>
      </w:r>
      <w:r>
        <w:rPr>
          <w:rFonts w:ascii="Times New Roman" w:cs="Times New Roman" w:eastAsia="Times New Roman" w:hAnsi="Times New Roman"/>
          <w:sz w:val="18"/>
          <w:szCs w:val="18"/>
          <w:color w:val="auto"/>
        </w:rPr>
        <w:t>The Partnership shall not be dissolved by the admission of additional Partners or resignation of Partners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this Agreement. The Partnership may be dissolved, liquidated, wound up and terminated only pursuant to the provisions of this Section 11.</w:t>
      </w:r>
    </w:p>
    <w:p>
      <w:pPr>
        <w:spacing w:after="0" w:line="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 xml:space="preserve">Dissolution </w:t>
      </w:r>
      <w:r>
        <w:rPr>
          <w:rFonts w:ascii="Times New Roman" w:cs="Times New Roman" w:eastAsia="Times New Roman" w:hAnsi="Times New Roman"/>
          <w:sz w:val="17"/>
          <w:szCs w:val="17"/>
          <w:color w:val="auto"/>
        </w:rPr>
        <w:t>The Partnership will be dissolved and its affairs wound up on the happening of any of the following events:</w:t>
      </w:r>
    </w:p>
    <w:p>
      <w:pPr>
        <w:spacing w:after="0" w:line="121" w:lineRule="exact"/>
        <w:rPr>
          <w:sz w:val="20"/>
          <w:szCs w:val="20"/>
          <w:color w:val="auto"/>
        </w:rPr>
      </w:pPr>
    </w:p>
    <w:p>
      <w:pPr>
        <w:ind w:left="1420" w:hanging="243"/>
        <w:spacing w:after="0"/>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which makes it unlawful for the business of the Partnership to be carried on by the Partners;</w:t>
      </w:r>
    </w:p>
    <w:p>
      <w:pPr>
        <w:spacing w:after="0" w:line="117" w:lineRule="exact"/>
        <w:rPr>
          <w:rFonts w:ascii="Times New Roman" w:cs="Times New Roman" w:eastAsia="Times New Roman" w:hAnsi="Times New Roman"/>
          <w:sz w:val="18"/>
          <w:szCs w:val="18"/>
          <w:color w:val="auto"/>
        </w:rPr>
      </w:pPr>
    </w:p>
    <w:p>
      <w:pPr>
        <w:ind w:left="1440" w:hanging="263"/>
        <w:spacing w:after="0"/>
        <w:tabs>
          <w:tab w:leader="none" w:pos="14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all Partners; or</w:t>
      </w:r>
    </w:p>
    <w:p>
      <w:pPr>
        <w:spacing w:after="0" w:line="117" w:lineRule="exact"/>
        <w:rPr>
          <w:rFonts w:ascii="Times New Roman" w:cs="Times New Roman" w:eastAsia="Times New Roman" w:hAnsi="Times New Roman"/>
          <w:sz w:val="18"/>
          <w:szCs w:val="18"/>
          <w:color w:val="auto"/>
        </w:rPr>
      </w:pPr>
    </w:p>
    <w:p>
      <w:pPr>
        <w:ind w:left="760" w:right="40" w:firstLine="417"/>
        <w:spacing w:after="0" w:line="256" w:lineRule="auto"/>
        <w:tabs>
          <w:tab w:leader="none" w:pos="14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resolves to dissolve the Partnership in its reasonable discretion and with the consent of PubCo; provided that, in the event of a dissolution pursuant to this clause (c), the relative economic rights of each Class of Units immediately prior to such dissolution shall be preserved to the greatest extent practicable with respect to Distributions made to Partners pursuant to Section 11.4 below in connection with the winding up of the Partnership,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89" w:lineRule="exact"/>
        <w:rPr>
          <w:sz w:val="20"/>
          <w:szCs w:val="20"/>
          <w:color w:val="auto"/>
        </w:rPr>
      </w:pPr>
    </w:p>
    <w:p>
      <w:pPr>
        <w:jc w:val="both"/>
        <w:ind w:left="760" w:right="20" w:hanging="768"/>
        <w:spacing w:after="0" w:line="268" w:lineRule="auto"/>
        <w:tabs>
          <w:tab w:leader="none" w:pos="7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 xml:space="preserve">Effectiveness of Dissolution </w:t>
      </w:r>
      <w:r>
        <w:rPr>
          <w:rFonts w:ascii="Times New Roman" w:cs="Times New Roman" w:eastAsia="Times New Roman" w:hAnsi="Times New Roman"/>
          <w:sz w:val="18"/>
          <w:szCs w:val="18"/>
          <w:color w:val="auto"/>
        </w:rPr>
        <w:t>Dissolution of the Partnership shall be effective on the day on which the event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but the Partnership shall not terminate until the winding up of the Partnership has been completed, and the assets of the Partnership have been distributed as provided in </w:t>
      </w:r>
      <w:r>
        <w:rPr>
          <w:rFonts w:ascii="Times New Roman" w:cs="Times New Roman" w:eastAsia="Times New Roman" w:hAnsi="Times New Roman"/>
          <w:sz w:val="18"/>
          <w:szCs w:val="18"/>
          <w:u w:val="single" w:color="auto"/>
          <w:color w:val="auto"/>
        </w:rPr>
        <w:t>Sections 11.4.3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760" w:right="60" w:hanging="76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b w:val="1"/>
          <w:bCs w:val="1"/>
          <w:color w:val="auto"/>
        </w:rPr>
        <w:t xml:space="preserve">Liquidation </w:t>
      </w:r>
      <w:r>
        <w:rPr>
          <w:rFonts w:ascii="Times New Roman" w:cs="Times New Roman" w:eastAsia="Times New Roman" w:hAnsi="Times New Roman"/>
          <w:sz w:val="18"/>
          <w:szCs w:val="18"/>
          <w:color w:val="auto"/>
        </w:rPr>
        <w:t>If the Partnership is dissolved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the Partnership shall be liquidated and its business and affairs wound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Act and the following provisions:</w:t>
      </w:r>
    </w:p>
    <w:p>
      <w:pPr>
        <w:spacing w:after="0" w:line="62" w:lineRule="exact"/>
        <w:rPr>
          <w:sz w:val="20"/>
          <w:szCs w:val="20"/>
          <w:color w:val="auto"/>
        </w:rPr>
      </w:pPr>
    </w:p>
    <w:p>
      <w:pPr>
        <w:ind w:left="1420" w:right="60" w:hanging="647"/>
        <w:spacing w:after="0" w:line="261" w:lineRule="auto"/>
        <w:tabs>
          <w:tab w:leader="none" w:pos="1400" w:val="left"/>
        </w:tabs>
        <w:rPr>
          <w:sz w:val="20"/>
          <w:szCs w:val="20"/>
          <w:color w:val="auto"/>
        </w:rPr>
      </w:pPr>
      <w:r>
        <w:rPr>
          <w:rFonts w:ascii="Times New Roman" w:cs="Times New Roman" w:eastAsia="Times New Roman" w:hAnsi="Times New Roman"/>
          <w:sz w:val="18"/>
          <w:szCs w:val="18"/>
          <w:color w:val="auto"/>
        </w:rPr>
        <w:t>11.4.1</w:t>
      </w:r>
      <w:r>
        <w:rPr>
          <w:sz w:val="20"/>
          <w:szCs w:val="20"/>
          <w:color w:val="auto"/>
        </w:rPr>
        <w:tab/>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 The General Partner, or, if the General Partner is unable to do so, a Person selected by the General Partner, shall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liquidator to wind up the Partnership (the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The Liquidator shall have full power and authority to sell, assign, and encumber any or all of the Partnership’s assets and to wind up and liquidate the affairs of the Partnership in an orderly and business-like manner.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66" w:right="479" w:bottom="1440" w:gutter="0" w:footer="0" w:header="0"/>
        </w:sectPr>
      </w:pPr>
    </w:p>
    <w:bookmarkStart w:id="231" w:name="page232"/>
    <w:bookmarkEnd w:id="231"/>
    <w:p>
      <w:pPr>
        <w:ind w:left="1400" w:hanging="647"/>
        <w:spacing w:after="0" w:line="267" w:lineRule="auto"/>
        <w:tabs>
          <w:tab w:leader="none" w:pos="1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11.4.2</w:t>
      </w:r>
      <w:r>
        <w:rPr>
          <w:sz w:val="20"/>
          <w:szCs w:val="20"/>
          <w:color w:val="auto"/>
        </w:rPr>
        <w:tab/>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As promptly as possible after dissolution and again after final liquidation, the Liquidator shall cause a proper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made by a recognized firm of certified public accountants of the Partnership’s assets, liabilities and operations through the last day of the calendar month in which the dissolution occurs or the final liquidation is completed, as applicable.</w:t>
      </w:r>
    </w:p>
    <w:p>
      <w:pPr>
        <w:spacing w:after="0" w:line="79" w:lineRule="exact"/>
        <w:rPr>
          <w:sz w:val="20"/>
          <w:szCs w:val="20"/>
          <w:color w:val="auto"/>
        </w:rPr>
      </w:pPr>
    </w:p>
    <w:p>
      <w:pPr>
        <w:ind w:left="1400" w:right="120" w:hanging="647"/>
        <w:spacing w:after="0" w:line="284" w:lineRule="auto"/>
        <w:tabs>
          <w:tab w:leader="none" w:pos="1380" w:val="left"/>
        </w:tabs>
        <w:rPr>
          <w:sz w:val="20"/>
          <w:szCs w:val="20"/>
          <w:color w:val="auto"/>
        </w:rPr>
      </w:pPr>
      <w:r>
        <w:rPr>
          <w:rFonts w:ascii="Times New Roman" w:cs="Times New Roman" w:eastAsia="Times New Roman" w:hAnsi="Times New Roman"/>
          <w:sz w:val="18"/>
          <w:szCs w:val="18"/>
          <w:color w:val="auto"/>
        </w:rPr>
        <w:t>11.4.3</w:t>
      </w:r>
      <w:r>
        <w:rPr>
          <w:sz w:val="20"/>
          <w:szCs w:val="20"/>
          <w:color w:val="auto"/>
        </w:rPr>
        <w:tab/>
      </w:r>
      <w:r>
        <w:rPr>
          <w:rFonts w:ascii="Times New Roman" w:cs="Times New Roman" w:eastAsia="Times New Roman" w:hAnsi="Times New Roman"/>
          <w:sz w:val="18"/>
          <w:szCs w:val="18"/>
          <w:i w:val="1"/>
          <w:iCs w:val="1"/>
          <w:color w:val="auto"/>
        </w:rPr>
        <w:t>Distribution of Proceeds</w:t>
      </w:r>
      <w:r>
        <w:rPr>
          <w:rFonts w:ascii="Times New Roman" w:cs="Times New Roman" w:eastAsia="Times New Roman" w:hAnsi="Times New Roman"/>
          <w:sz w:val="18"/>
          <w:szCs w:val="18"/>
          <w:color w:val="auto"/>
        </w:rPr>
        <w:t>. The Liquidator shall liquidate the assets of the Partnership and Distribute the proceeds of such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following order of priority:</w:t>
      </w:r>
    </w:p>
    <w:p>
      <w:pPr>
        <w:spacing w:after="0" w:line="52" w:lineRule="exact"/>
        <w:rPr>
          <w:sz w:val="20"/>
          <w:szCs w:val="20"/>
          <w:color w:val="auto"/>
        </w:rPr>
      </w:pPr>
    </w:p>
    <w:p>
      <w:pPr>
        <w:ind w:left="1400" w:right="480" w:firstLine="391"/>
        <w:spacing w:after="0" w:line="282" w:lineRule="auto"/>
        <w:tabs>
          <w:tab w:leader="none" w:pos="202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all of the Partnership’s debts and liabilities to its creditors (save for amounts owed to Partners, including Advances) and the expenses of liquidation;</w:t>
      </w:r>
    </w:p>
    <w:p>
      <w:pPr>
        <w:spacing w:after="0" w:line="53" w:lineRule="exact"/>
        <w:rPr>
          <w:rFonts w:ascii="Times New Roman" w:cs="Times New Roman" w:eastAsia="Times New Roman" w:hAnsi="Times New Roman"/>
          <w:sz w:val="18"/>
          <w:szCs w:val="18"/>
          <w:color w:val="auto"/>
        </w:rPr>
      </w:pPr>
    </w:p>
    <w:p>
      <w:pPr>
        <w:ind w:left="1400" w:right="240" w:firstLine="391"/>
        <w:spacing w:after="0" w:line="282" w:lineRule="auto"/>
        <w:tabs>
          <w:tab w:leader="none" w:pos="20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payment to the Partners of any debts (and any accrued interest thereon), other than Advances, owed by the Partnership to such Partners; and</w:t>
      </w:r>
    </w:p>
    <w:p>
      <w:pPr>
        <w:spacing w:after="0" w:line="51" w:lineRule="exact"/>
        <w:rPr>
          <w:rFonts w:ascii="Times New Roman" w:cs="Times New Roman" w:eastAsia="Times New Roman" w:hAnsi="Times New Roman"/>
          <w:sz w:val="18"/>
          <w:szCs w:val="18"/>
          <w:color w:val="auto"/>
        </w:rPr>
      </w:pPr>
    </w:p>
    <w:p>
      <w:pPr>
        <w:ind w:left="1400" w:firstLine="391"/>
        <w:spacing w:after="0" w:line="290" w:lineRule="auto"/>
        <w:tabs>
          <w:tab w:leader="none" w:pos="2028"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third, to the payment to the Partners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based on the number of Participating Units then held by each Partner, and such payments to each Partner shall be applied with respect to such Partner first in reducing the balance of any Advances (if any) owing to that Partner, next in repaying the capital contributed by that Partner, and thereafter as a distribution of surplus to that Partner.</w:t>
      </w:r>
    </w:p>
    <w:p>
      <w:pPr>
        <w:spacing w:after="0" w:line="59" w:lineRule="exact"/>
        <w:rPr>
          <w:sz w:val="20"/>
          <w:szCs w:val="20"/>
          <w:color w:val="auto"/>
        </w:rPr>
      </w:pPr>
    </w:p>
    <w:p>
      <w:pPr>
        <w:ind w:left="740" w:right="20" w:hanging="768"/>
        <w:spacing w:after="0" w:line="253" w:lineRule="auto"/>
        <w:tabs>
          <w:tab w:leader="none" w:pos="7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b w:val="1"/>
          <w:bCs w:val="1"/>
          <w:color w:val="auto"/>
        </w:rPr>
        <w:t xml:space="preserve">Time for Liquidation </w:t>
      </w:r>
      <w:r>
        <w:rPr>
          <w:rFonts w:ascii="Times New Roman" w:cs="Times New Roman" w:eastAsia="Times New Roman" w:hAnsi="Times New Roman"/>
          <w:sz w:val="18"/>
          <w:szCs w:val="18"/>
          <w:color w:val="auto"/>
        </w:rPr>
        <w:t>A reasonable amount of time shall be allowed for the orderly liquidation of the assets of the Partnership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 of liabilities to creditors so as to enable the Liquidator to minimize the losses attendant upon such liquidation. Notwithstanding the provisions of Section 11.4, but subject to the order of priorities set forth therein, if upon dissolution of the Partnership the Liquidator determines that an immediate sale of part or all of the Partnership’s assets would be impractical or would cause undue loss (or would otherwise not be beneficial) to the Partners, the Liquidator may, in its sole discretion, defer for a reasonable time the winding up of any assets except those necessary to satisfy Partnership liabilities (other than loans to the Partnership by Partners) and reserves. Subject to the order of priorities set forth in Section 11.4.3, the Liquidation Agent may, in its sole discretion, distribute to the Partners, in lieu of cash, either (i) all or any portion of such remaining Partnership assets in-kind in accordance with the provisions of Section 11.4.3, (ii) as tenants in common and in accordance with the provisions of Section 11.4.3, undivided interests in all or any portion of such Partnership assets or (iii) a combination of the foregoing. Any such Distributions in kind shall be subject to (x) such conditions relating to the disposition and management of such assets as the Liquidator deems reasonable and equitable and (y) the terms and conditions of any agreements governing such assets (or the operation thereof or the holders thereof) at such time. Any Partnership assets distributed in kind will first be written up or down to their Fair Market Value, thus creating Profit or Loss (if any), which shall be allocated in accordance with Section 7. The Liquidator shall determine the Fair Market Value of any property distributed in accordance with the valuation procedures set forth in Section 13.</w:t>
      </w:r>
    </w:p>
    <w:p>
      <w:pPr>
        <w:spacing w:after="0" w:line="91" w:lineRule="exact"/>
        <w:rPr>
          <w:sz w:val="20"/>
          <w:szCs w:val="20"/>
          <w:color w:val="auto"/>
        </w:rPr>
      </w:pPr>
    </w:p>
    <w:p>
      <w:pPr>
        <w:ind w:left="740" w:right="340" w:hanging="768"/>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Upon completion of the Distribution of the assets of the Partnership as provided in Section 11.4.3(c) hereof, the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terminated and the Liquidator shall take such other actions as may be necessary to terminate the Partnership.</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60" w:top="268" w:right="459" w:bottom="1440" w:gutter="0" w:footer="0" w:header="0"/>
        </w:sectPr>
      </w:pPr>
    </w:p>
    <w:bookmarkStart w:id="232" w:name="page233"/>
    <w:bookmarkEnd w:id="232"/>
    <w:p>
      <w:pPr>
        <w:ind w:left="760" w:right="8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11.7</w:t>
      </w:r>
      <w:r>
        <w:rPr>
          <w:sz w:val="20"/>
          <w:szCs w:val="20"/>
          <w:color w:val="auto"/>
        </w:rPr>
        <w:tab/>
      </w:r>
      <w:r>
        <w:rPr>
          <w:rFonts w:ascii="Times New Roman" w:cs="Times New Roman" w:eastAsia="Times New Roman" w:hAnsi="Times New Roman"/>
          <w:sz w:val="18"/>
          <w:szCs w:val="18"/>
          <w:b w:val="1"/>
          <w:bCs w:val="1"/>
          <w:color w:val="auto"/>
        </w:rPr>
        <w:t xml:space="preserve">Survival of Rights, Duties and Obligations </w:t>
      </w:r>
      <w:r>
        <w:rPr>
          <w:rFonts w:ascii="Times New Roman" w:cs="Times New Roman" w:eastAsia="Times New Roman" w:hAnsi="Times New Roman"/>
          <w:sz w:val="18"/>
          <w:szCs w:val="18"/>
          <w:color w:val="auto"/>
        </w:rPr>
        <w:t>Dissolution, liquidation, winding up or termination of the Partnership for any reason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any party from any Losses which at the time of such dissolution, liquidation, winding up or termination already had accrued to any other party or which thereafter may accrue in respect of any act or omission prior to such dissolution, liquidation, winding up or termination. For the avoidance of doubt, none of the foregoing shall replace, diminish or otherwise adversely affect any Partner’s right to indemnification pursuant to Section 12.</w:t>
      </w:r>
    </w:p>
    <w:p>
      <w:pPr>
        <w:spacing w:after="0" w:line="85" w:lineRule="exact"/>
        <w:rPr>
          <w:sz w:val="20"/>
          <w:szCs w:val="20"/>
          <w:color w:val="auto"/>
        </w:rPr>
      </w:pPr>
    </w:p>
    <w:p>
      <w:pPr>
        <w:jc w:val="both"/>
        <w:ind w:left="760" w:right="100" w:hanging="768"/>
        <w:spacing w:after="0" w:line="262" w:lineRule="auto"/>
        <w:tabs>
          <w:tab w:leader="none" w:pos="7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b w:val="1"/>
          <w:bCs w:val="1"/>
          <w:color w:val="auto"/>
        </w:rPr>
        <w:t xml:space="preserve">Recourse for Claims </w:t>
      </w:r>
      <w:r>
        <w:rPr>
          <w:rFonts w:ascii="Times New Roman" w:cs="Times New Roman" w:eastAsia="Times New Roman" w:hAnsi="Times New Roman"/>
          <w:sz w:val="18"/>
          <w:szCs w:val="18"/>
          <w:color w:val="auto"/>
        </w:rPr>
        <w:t>Each Partner shall look solely to the assets of the Partnership for all Distributions with respect to the Partnership,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Capital Account, and such Partner’s share of Profit or Loss and other items of income, gain, loss and deduction, and shall have no recourse therefor (upon dissolution or otherwise) against the General Partner, the Liquidator or any other Partner. No Partner shall have any right to demand or receive property other than cash upon dissolution and liquidation of the Partnership.</w:t>
      </w:r>
    </w:p>
    <w:p>
      <w:pPr>
        <w:spacing w:after="0" w:line="8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b w:val="1"/>
          <w:bCs w:val="1"/>
          <w:color w:val="auto"/>
        </w:rPr>
        <w:t xml:space="preserve">Survival of Certain Provisions. </w:t>
      </w:r>
      <w:r>
        <w:rPr>
          <w:rFonts w:ascii="Times New Roman" w:cs="Times New Roman" w:eastAsia="Times New Roman" w:hAnsi="Times New Roman"/>
          <w:sz w:val="17"/>
          <w:szCs w:val="17"/>
          <w:color w:val="auto"/>
        </w:rPr>
        <w:t>Notwithstanding anything to the contrary in this Agreement, the provisions of Sections 7.6, 12.1, 12.2, and</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14.10 shall survive the termination of the Partnership.</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LIABILITY AND INDEMNIFICATION</w:t>
      </w:r>
    </w:p>
    <w:p>
      <w:pPr>
        <w:spacing w:after="0" w:line="1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135" w:lineRule="exact"/>
        <w:rPr>
          <w:sz w:val="20"/>
          <w:szCs w:val="20"/>
          <w:color w:val="auto"/>
        </w:rPr>
      </w:pPr>
    </w:p>
    <w:p>
      <w:pPr>
        <w:ind w:left="760" w:right="20" w:hanging="76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color w:val="auto"/>
        </w:rPr>
        <w:t>To the extent permissible by law, each of the Partners and the Partnership hereby waives any and all fiduciary duties that, absent such waiver, may be implied by Applicable Law, and in doing so, acknowledges and agrees that the duties and obligation of each Covered Person to each other and to the Partnership are, to the extent permissible by law, only as expressly set forth in this Agreement. To the extent permissible by law, the provisions of this Agreement, to the extent that they restrict the duties and liabilities of a Covered Person otherwise existing at law or in equity, are agreed by the Partners to replace such other duties and liabilities of such Covered Person.</w:t>
      </w:r>
    </w:p>
    <w:p>
      <w:pPr>
        <w:spacing w:after="0" w:line="89" w:lineRule="exact"/>
        <w:rPr>
          <w:sz w:val="20"/>
          <w:szCs w:val="20"/>
          <w:color w:val="auto"/>
        </w:rPr>
      </w:pPr>
    </w:p>
    <w:p>
      <w:pPr>
        <w:ind w:left="76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color w:val="auto"/>
        </w:rPr>
        <w:t xml:space="preserve">To the fullest extent permitted by law, no Partner or Continuing Partner Representative shall have duties (including fiduciary duties) to any of the Partners or to the Partnership, and in doing so, recognize, acknowledge and agree that their duties and obligations to one another and to the Partnership are only as expressly set forth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Partner shall have the duty to act in accordance with the implied contractual covenant of good faith and fair dealing.</w:t>
      </w:r>
    </w:p>
    <w:p>
      <w:pPr>
        <w:spacing w:after="0" w:line="85" w:lineRule="exact"/>
        <w:rPr>
          <w:sz w:val="20"/>
          <w:szCs w:val="20"/>
          <w:color w:val="auto"/>
        </w:rPr>
      </w:pPr>
    </w:p>
    <w:p>
      <w:pPr>
        <w:ind w:left="76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8"/>
          <w:szCs w:val="18"/>
          <w:color w:val="auto"/>
        </w:rPr>
        <w:t>To the extent that, at law or in equity, any Partner (including PubCo) or the Continuing Partner Representative has any duties (including fiduciary duties) and liabilities relating thereto to the Partnership, to another Partner or to another Person who is a party to or is otherwise bound by this Agreement, none of the Partners (including PubCo) or the Continuing Partner Representative acting under this Agreement will, to the extent permitted by law, be liable to the Partnership, to any such other Partner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Partner (including PubCo) or Continuing Partner Representative otherwise existing at law or in equity, are agreed by the Partners to replace to that extent such other duties and liabilities of the Partners or Continuing Partner Representative relating thereto (including PubCo).</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66" w:right="479" w:bottom="1440" w:gutter="0" w:footer="0" w:header="0"/>
        </w:sectPr>
      </w:pPr>
    </w:p>
    <w:bookmarkStart w:id="233" w:name="page234"/>
    <w:bookmarkEnd w:id="233"/>
    <w:p>
      <w:pPr>
        <w:ind w:left="760" w:right="40" w:hanging="76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12.1.4</w:t>
      </w:r>
      <w:r>
        <w:rPr>
          <w:sz w:val="20"/>
          <w:szCs w:val="20"/>
          <w:color w:val="auto"/>
        </w:rPr>
        <w:tab/>
      </w:r>
      <w:r>
        <w:rPr>
          <w:rFonts w:ascii="Times New Roman" w:cs="Times New Roman" w:eastAsia="Times New Roman" w:hAnsi="Times New Roman"/>
          <w:sz w:val="18"/>
          <w:szCs w:val="18"/>
          <w:color w:val="auto"/>
        </w:rPr>
        <w:t>The General Partner may consult with legal counsel, accountants and financial or other advisors selected by it, and any act or omission taken by the General Partner on behalf of the Partnership or in furtherance of the interests of the Partnership in good faith in reliance upon and in accordance with the advice of such Person as to matters the General Partner reasonably believes to be within such Person’s professional or expert competence shall be conclusively presumed to have been done or omitted in good faith and in accordance with such opinion or advice, and the General Partner will be fully protected in so acting or omitting to act so long as such counsel or accountants or financial or other advisors were selected with reasonable care.</w:t>
      </w:r>
    </w:p>
    <w:p>
      <w:pPr>
        <w:spacing w:after="0" w:line="89" w:lineRule="exact"/>
        <w:rPr>
          <w:sz w:val="20"/>
          <w:szCs w:val="20"/>
          <w:color w:val="auto"/>
        </w:rPr>
      </w:pPr>
    </w:p>
    <w:p>
      <w:pPr>
        <w:ind w:left="760" w:hanging="768"/>
        <w:spacing w:after="0" w:line="278" w:lineRule="auto"/>
        <w:tabs>
          <w:tab w:leader="none" w:pos="740" w:val="left"/>
        </w:tabs>
        <w:rPr>
          <w:sz w:val="20"/>
          <w:szCs w:val="20"/>
          <w:color w:val="auto"/>
        </w:rPr>
      </w:pPr>
      <w:r>
        <w:rPr>
          <w:rFonts w:ascii="Times New Roman" w:cs="Times New Roman" w:eastAsia="Times New Roman" w:hAnsi="Times New Roman"/>
          <w:sz w:val="18"/>
          <w:szCs w:val="18"/>
          <w:color w:val="auto"/>
        </w:rPr>
        <w:t>12.1.5</w:t>
      </w:r>
      <w:r>
        <w:rPr>
          <w:sz w:val="20"/>
          <w:szCs w:val="20"/>
          <w:color w:val="auto"/>
        </w:rPr>
        <w:tab/>
      </w:r>
      <w:r>
        <w:rPr>
          <w:rFonts w:ascii="Times New Roman" w:cs="Times New Roman" w:eastAsia="Times New Roman" w:hAnsi="Times New Roman"/>
          <w:sz w:val="17"/>
          <w:szCs w:val="17"/>
          <w:color w:val="auto"/>
        </w:rPr>
        <w:t>For the purposes of this Section 12.1.5, a “</w:t>
      </w:r>
      <w:r>
        <w:rPr>
          <w:rFonts w:ascii="Times New Roman" w:cs="Times New Roman" w:eastAsia="Times New Roman" w:hAnsi="Times New Roman"/>
          <w:sz w:val="17"/>
          <w:szCs w:val="17"/>
          <w:b w:val="1"/>
          <w:bCs w:val="1"/>
          <w:color w:val="auto"/>
        </w:rPr>
        <w:t>Business Opportunities Exempt Party</w:t>
      </w:r>
      <w:r>
        <w:rPr>
          <w:rFonts w:ascii="Times New Roman" w:cs="Times New Roman" w:eastAsia="Times New Roman" w:hAnsi="Times New Roman"/>
          <w:sz w:val="17"/>
          <w:szCs w:val="17"/>
          <w:color w:val="auto"/>
        </w:rPr>
        <w:t>” shall be (a) any Partner that is not a director, manager, officer or employee of the General Partner, PubCo or any of their respective Subsidiaries, in which case solely acting in their capacity as such,</w:t>
      </w:r>
    </w:p>
    <w:p>
      <w:pPr>
        <w:spacing w:after="0" w:line="1" w:lineRule="exact"/>
        <w:rPr>
          <w:sz w:val="20"/>
          <w:szCs w:val="20"/>
          <w:color w:val="auto"/>
        </w:rPr>
      </w:pPr>
    </w:p>
    <w:p>
      <w:pPr>
        <w:ind w:left="760" w:right="40" w:firstLine="5"/>
        <w:spacing w:after="0" w:line="250" w:lineRule="auto"/>
        <w:tabs>
          <w:tab w:leader="none" w:pos="10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their respective Affiliates (other than the Partnership, PubCo or any of their respective Subsidiaries), (c) any Person that was a Partner immediately before the Effective Time or any of its respective Affiliates (including its respective investors and equityholders and any associated Persons or investment funds or any of their respective portfolio companies or investments) or (d) any of the respective officers, managers, directors, agents, shareholders, Partners, and partners of any of the foregoing (but in each case excluding any director, manager, officer or employee of the General Partner, PubCo or any of their respective Subsidiaries solely acting in their capacity as such). The Partnership and each of the Partners, on its own behalf and on behalf of their respective Affiliates and equityholders, hereby renounces any interest or expectancy of the Partnership in, or in being offered an opportunity to participate in, business opportunities that are from time to time presented to any Business Opportunities Exempt Party and irrevocably waives any right to require any Business Opportunity Exempt Party to act in a manner inconsistent with the provisions of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No Business Opportunities Exempt Party who acquires knowledge of a potential transaction, agreement, arrangement or other matter that may be an opportunity for PubCo, the Partnership or any of their respective Subsidiaries, Affiliates or equityholders shall have any duty to communicate or offer such opportunity to the Partnership and none of PubCo, the Partnership or any of their respective Subsidiaries, Affiliates or equityholders will acquire or be entitled to any interest or participation in any such transaction, agreement, arrangement or other matter or opportunity as a result of participation therein by a Business Opportunity Exempt Party.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shall not apply to, and no interest or expectancy of the Partnership is renounced with respect to, any opportunity offered to any director or officer of PubCo or its Subsidiaries if such opportunity is expressly offered or presented to, or acquired or developed by, such Person solely in his or her capacity as a director or officer of PubCo or its Subsidiaries. No amendment or repeal of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shall apply to or have any effect on the liability or alleged liability of any Business Opportunities Exempt Party for or with respect to any opportunities of which any such Business Opportunities Exempt Party becomes aware prior to such amendment or repeal. Any Person purchasing or otherwise acquiring any interest in any Units shall be deemed to have notice of and consented to the provisions of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Neither the amendment or repeal of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nor the adoption of any provision of this Agreement inconsistent with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shall eliminate or reduce the effect of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in respect of any business opportunity first identified or any other matter occurring, or any cause of action that, but for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would accrue or arise, prior to such amendment, repeal or adoption. No action or inaction taken by any Business Opportunities Exempt Party in a manner consistent with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shall be deemed to be a violation of any fiduciary or other duty owed to any Person.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234" w:name="page235"/>
    <w:bookmarkEnd w:id="234"/>
    <w:p>
      <w:pPr>
        <w:spacing w:after="0"/>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w:t>
      </w:r>
      <w:r>
        <w:rPr>
          <w:sz w:val="20"/>
          <w:szCs w:val="20"/>
          <w:color w:val="auto"/>
        </w:rPr>
        <w:tab/>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760" w:right="40" w:hanging="768"/>
        <w:spacing w:after="0" w:line="251" w:lineRule="auto"/>
        <w:tabs>
          <w:tab w:leader="none" w:pos="740" w:val="left"/>
        </w:tabs>
        <w:rPr>
          <w:sz w:val="20"/>
          <w:szCs w:val="20"/>
          <w:color w:val="auto"/>
        </w:rPr>
      </w:pPr>
      <w:r>
        <w:rPr>
          <w:rFonts w:ascii="Times New Roman" w:cs="Times New Roman" w:eastAsia="Times New Roman" w:hAnsi="Times New Roman"/>
          <w:sz w:val="18"/>
          <w:szCs w:val="18"/>
          <w:color w:val="auto"/>
        </w:rPr>
        <w:t>12.2.1</w:t>
      </w:r>
      <w:r>
        <w:rPr>
          <w:sz w:val="20"/>
          <w:szCs w:val="20"/>
          <w:color w:val="auto"/>
        </w:rPr>
        <w:tab/>
      </w:r>
      <w:r>
        <w:rPr>
          <w:rFonts w:ascii="Times New Roman" w:cs="Times New Roman" w:eastAsia="Times New Roman" w:hAnsi="Times New Roman"/>
          <w:sz w:val="18"/>
          <w:szCs w:val="18"/>
          <w:i w:val="1"/>
          <w:iCs w:val="1"/>
          <w:color w:val="auto"/>
        </w:rPr>
        <w:t>Exculpation and Indemnification</w:t>
      </w:r>
      <w:r>
        <w:rPr>
          <w:rFonts w:ascii="Times New Roman" w:cs="Times New Roman" w:eastAsia="Times New Roman" w:hAnsi="Times New Roman"/>
          <w:sz w:val="18"/>
          <w:szCs w:val="18"/>
          <w:color w:val="auto"/>
        </w:rPr>
        <w:t>. Notwithstanding any other provision of this Agreement, whether express or implied, to the fullest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law, no Indemnitee shall be liable to the Partnership or any Partner for any act or omission in relation to the Partnership or this Agreement or any transaction contemplated hereby taken or omitted by an Indemnitee unless such Indemnitee’s conduct constituted fraud, bad faith or willful misconduct. To the fullest extent permitted by law, as the same exists or hereafter be amended (but in the case of any such amendment, only to the extent that such amendment permits the Partnership to provide broader indemnification rights than such law permitted the Partnership to provide prior to such amendment), the Partnership shall indemnify any Indemnitee who was or is made or is threatened to be made a party to or is otherwise involved in any threatened, pending or completed action, suit or proceeding (brought in the right of the Partnership or otherwise), whether civil, criminal, administrative, arbitrative or investigative, and whether formal or informal (hereinafter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including appeals, by reason of his or her or its status as an Indemnitee or by reason of any action alleged to have been taken or omitted to be taken by Indemnitee in such capacity, for and against all loss and liability suffered and expenses (including attorneys’ fees), judgments, fines and amounts paid in settlement reasonably incurred by such Indemnitee in connection with such action, suit or proceeding, including appeals; provided that such Indemnitee shall not be entitled to indemnification hereunder if, but only to the extent that, such Indemnitee’s conduct constituted fraud, bad faith or willful misconduct. Notwithstanding the preceding sentence, except as otherwise provided in Section 12.2.3, the Partnership shall be required to indemnify an Indemnitee in connection with any action, suit or proceeding (or part thereof) (i) commenced by such Indemnitee only if the commencement of such action, suit or proceeding (or part thereof) by such Indemnitee was authorized by the General Partner, and (ii) by or in the right of the Partnership only if the General Partner has provided its prior written consent. The indemnification of an Indemnitee of the type identified in clause (d) of the definition of Indemnitee shall be secondary to any and all indemnification to which such Indemnitee is entitled from the relevant other Person (including any payment made to such Indemnitee under any insurance policy issued to or for the benefit of such Person or Indemnitee)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and will only be paid to the extent the Primary Indemnification is not paid and/or does not provide coverage (e.g., a self-insured retention amount under an insurance policy). No such Person shall be entitled to contribution or indemnification from or subrogation against the Partnership. The indemnification of any other Indemnitee shall, to the extent not in conflict with such policy, be secondary to any and all payment to which such Indemnitee is entitled from any relevant insurance policy issued to or for the benefit of the Partnership or any Indemnitee.</w:t>
      </w:r>
    </w:p>
    <w:p>
      <w:pPr>
        <w:spacing w:after="0" w:line="110" w:lineRule="exact"/>
        <w:rPr>
          <w:sz w:val="20"/>
          <w:szCs w:val="20"/>
          <w:color w:val="auto"/>
        </w:rPr>
      </w:pPr>
    </w:p>
    <w:p>
      <w:pPr>
        <w:ind w:left="760" w:hanging="768"/>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8"/>
          <w:szCs w:val="18"/>
          <w:i w:val="1"/>
          <w:iCs w:val="1"/>
          <w:color w:val="auto"/>
        </w:rPr>
        <w:t>Advancement of Expenses</w:t>
      </w:r>
      <w:r>
        <w:rPr>
          <w:rFonts w:ascii="Times New Roman" w:cs="Times New Roman" w:eastAsia="Times New Roman" w:hAnsi="Times New Roman"/>
          <w:sz w:val="18"/>
          <w:szCs w:val="18"/>
          <w:color w:val="auto"/>
        </w:rPr>
        <w:t>. To the fullest extent permitted by law, the Partnership shall promptly pay reasonable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attorneys’ fees) incurred by any Indemnitee in appearing at, participating in or defending any Proceeding in advance of the final disposition of such Proceeding, including appeals, upon presentation of an undertaking on behalf of such Indemnitee to repay such amount if it shall ultimately be determined that such Indemnitee is not entitled to be indemnified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otherwise. Notwithstanding the preceding sentence, except as otherwise provided in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the Partnership shall be required to pay expenses of an Indemnitee in connection with any Proceeding (or part thereof) (i) commenced by such Indemnitee only if the commencement of such action, suit or proceeding (or part thereof) by such Indemnitee was authorized by the General Partner and (ii) by or in the right of the Partnership only if the General Partner has provided its prior written consent.</w:t>
      </w:r>
    </w:p>
    <w:p>
      <w:pPr>
        <w:spacing w:after="0" w:line="90" w:lineRule="exact"/>
        <w:rPr>
          <w:sz w:val="20"/>
          <w:szCs w:val="20"/>
          <w:color w:val="auto"/>
        </w:rPr>
      </w:pPr>
    </w:p>
    <w:p>
      <w:pPr>
        <w:ind w:left="760" w:right="20" w:hanging="76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8"/>
          <w:szCs w:val="18"/>
          <w:i w:val="1"/>
          <w:iCs w:val="1"/>
          <w:color w:val="auto"/>
        </w:rPr>
        <w:t>Unpaid Claims</w:t>
      </w:r>
      <w:r>
        <w:rPr>
          <w:rFonts w:ascii="Times New Roman" w:cs="Times New Roman" w:eastAsia="Times New Roman" w:hAnsi="Times New Roman"/>
          <w:sz w:val="18"/>
          <w:szCs w:val="18"/>
          <w:color w:val="auto"/>
        </w:rPr>
        <w:t>. If a claim for indemnification (following the final disposition of such Proceeding) or advancement of expenses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is not paid in full within 30 days after a written claim therefor by any Indemnitee has been received by the Partnership, such Indemnitee may file proceedings to recover the unpaid amount of such claim and, if successful in whole or in part, shall be entitled to be paid the expense of prosecuting such claim. In any such action the Partnership shall have the burden of proving that such Indemnitee is not entitled to the requested indemnification or advancement of expenses under applicable Law.</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6" w:right="459" w:bottom="1440" w:gutter="0" w:footer="0" w:header="0"/>
        </w:sectPr>
      </w:pPr>
    </w:p>
    <w:bookmarkStart w:id="235" w:name="page236"/>
    <w:bookmarkEnd w:id="235"/>
    <w:p>
      <w:pPr>
        <w:spacing w:after="0"/>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12.2.4</w:t>
      </w:r>
      <w:r>
        <w:rPr>
          <w:sz w:val="20"/>
          <w:szCs w:val="20"/>
          <w:color w:val="auto"/>
        </w:rPr>
        <w:tab/>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420" w:right="140" w:hanging="655"/>
        <w:spacing w:after="0" w:line="266" w:lineRule="auto"/>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the Partnership may purchase and maintain insurance on behalf of any Person described in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xml:space="preserve"> against any liability asserted against such person, whether or not the Partnership would have the power to indemnify such person against such liability under the provisions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otherwise.</w:t>
      </w:r>
    </w:p>
    <w:p>
      <w:pPr>
        <w:spacing w:after="0" w:line="81" w:lineRule="exact"/>
        <w:rPr>
          <w:rFonts w:ascii="Times New Roman" w:cs="Times New Roman" w:eastAsia="Times New Roman" w:hAnsi="Times New Roman"/>
          <w:sz w:val="18"/>
          <w:szCs w:val="18"/>
          <w:color w:val="auto"/>
        </w:rPr>
      </w:pPr>
    </w:p>
    <w:p>
      <w:pPr>
        <w:ind w:left="1420" w:hanging="655"/>
        <w:spacing w:after="0" w:line="255" w:lineRule="auto"/>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payment by the Partnership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the Partnership shall be subrogated to the extent of such payment to all of the rights of recovery of the Indemnitee from any relevant other Person or under any insurance policy issued to or for the benefit of the Partnership, such relevant other Person, or any Indemnitee. Each Indemnitee agrees to execute all papers required and take all action necessary to secure such rights, including the execution of such documents as are necessary to enable the Partnership to bring suit to enforce any such rights in accordance with the terms of such insurance policy or other relevant document. The Partnership shall pay or reimburse all expenses actually and reasonably incurred by the Indemnitee in connection with such subrogation.</w:t>
      </w:r>
    </w:p>
    <w:p>
      <w:pPr>
        <w:spacing w:after="0" w:line="94" w:lineRule="exact"/>
        <w:rPr>
          <w:rFonts w:ascii="Times New Roman" w:cs="Times New Roman" w:eastAsia="Times New Roman" w:hAnsi="Times New Roman"/>
          <w:sz w:val="18"/>
          <w:szCs w:val="18"/>
          <w:color w:val="auto"/>
        </w:rPr>
      </w:pPr>
    </w:p>
    <w:p>
      <w:pPr>
        <w:ind w:left="1420" w:right="20" w:hanging="655"/>
        <w:spacing w:after="0" w:line="261" w:lineRule="auto"/>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not be liable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to make any payment of amounts otherwise indemnifiable hereunder (including judgments, fines and amounts paid in settlement, and excise taxes with respect to an employee benefit plan or penalties) if and to the extent that the applicable Indemnitee has otherwise actually received such payment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any insurance policy, contract, agreement or otherwise.</w:t>
      </w:r>
    </w:p>
    <w:p>
      <w:pPr>
        <w:spacing w:after="0" w:line="83" w:lineRule="exact"/>
        <w:rPr>
          <w:sz w:val="20"/>
          <w:szCs w:val="20"/>
          <w:color w:val="auto"/>
        </w:rPr>
      </w:pPr>
    </w:p>
    <w:p>
      <w:pPr>
        <w:ind w:left="760" w:hanging="768"/>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12.2.5</w:t>
      </w:r>
      <w:r>
        <w:rPr>
          <w:sz w:val="20"/>
          <w:szCs w:val="20"/>
          <w:color w:val="auto"/>
        </w:rPr>
        <w:tab/>
      </w:r>
      <w:r>
        <w:rPr>
          <w:rFonts w:ascii="Times New Roman" w:cs="Times New Roman" w:eastAsia="Times New Roman" w:hAnsi="Times New Roman"/>
          <w:sz w:val="18"/>
          <w:szCs w:val="18"/>
          <w:i w:val="1"/>
          <w:iCs w:val="1"/>
          <w:color w:val="auto"/>
        </w:rPr>
        <w:t xml:space="preserve">Non-Exclusivity of Rights. </w:t>
      </w:r>
      <w:r>
        <w:rPr>
          <w:rFonts w:ascii="Times New Roman" w:cs="Times New Roman" w:eastAsia="Times New Roman" w:hAnsi="Times New Roman"/>
          <w:sz w:val="18"/>
          <w:szCs w:val="18"/>
          <w:color w:val="auto"/>
        </w:rPr>
        <w:t>The provisions of this Section 12.2 shall be applicable to all actions, claims, suits or proceedings made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commenced after the date of this Agreement, whether arising from acts or omissions to act occurring before or after its adoption. The provisions of this Section 12.2 shall be deemed to be a contract between the Partnership and each person entitled to indemnification under this Section 12.2 (or legal representative thereof) who serves in such capacity at any time while this Section 12.2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Section 12.2 shall be found to be invalid or limited in application by reason of any Law or regulation, it shall not affect the validity of the remaining provisions hereof. The rights of indemnification provided in this Section 12.2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Partnership that indemnification of any person whom the Partnership is obligated to indemnify pursuant to Section 12.2.1 shall be made to the fullest extent permitted by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8" w:right="459" w:bottom="1440" w:gutter="0" w:footer="0" w:header="0"/>
        </w:sectPr>
      </w:pPr>
    </w:p>
    <w:bookmarkStart w:id="236" w:name="page237"/>
    <w:bookmarkEnd w:id="236"/>
    <w:p>
      <w:pPr>
        <w:ind w:left="760" w:right="4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12.2.6</w:t>
      </w:r>
      <w:r>
        <w:rPr>
          <w:sz w:val="20"/>
          <w:szCs w:val="20"/>
          <w:color w:val="auto"/>
        </w:rPr>
        <w:tab/>
      </w: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shall include any service as a director, officer, employee or agent of the General Partner (if engaged by the General Partner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capacity as general partner of the Partnership) or as an employee or agent of the Partnership which imposes duties on, or involves services by, such director, officer, employee, or agent with respect to an employee benefit plan, its participants, or beneficiaries.</w:t>
      </w:r>
    </w:p>
    <w:p>
      <w:pPr>
        <w:spacing w:after="0" w:line="89" w:lineRule="exact"/>
        <w:rPr>
          <w:sz w:val="20"/>
          <w:szCs w:val="20"/>
          <w:color w:val="auto"/>
        </w:rPr>
      </w:pPr>
    </w:p>
    <w:p>
      <w:pPr>
        <w:ind w:left="760" w:right="20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12.2.7</w:t>
      </w:r>
      <w:r>
        <w:rPr>
          <w:sz w:val="20"/>
          <w:szCs w:val="20"/>
          <w:color w:val="auto"/>
        </w:rPr>
        <w:tab/>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not limit the right of the Partnership, to the extent and in the manner permitted by law, to indemnify and to advance expenses to, and purchase and maintain insurance on behalf of, persons other than persons described in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i w:val="1"/>
          <w:iCs w:val="1"/>
          <w:color w:val="auto"/>
        </w:rPr>
        <w:t>Survival</w:t>
      </w:r>
      <w:r>
        <w:rPr>
          <w:rFonts w:ascii="Times New Roman" w:cs="Times New Roman" w:eastAsia="Times New Roman" w:hAnsi="Times New Roman"/>
          <w:sz w:val="17"/>
          <w:szCs w:val="17"/>
          <w:color w:val="auto"/>
        </w:rPr>
        <w:t>. The provisions of this Section 12 shall survive the dissolution, liquidation, winding up and termination of the Partnership.</w:t>
      </w:r>
    </w:p>
    <w:p>
      <w:pPr>
        <w:spacing w:after="0" w:line="200" w:lineRule="exact"/>
        <w:rPr>
          <w:sz w:val="20"/>
          <w:szCs w:val="20"/>
          <w:color w:val="auto"/>
        </w:rPr>
      </w:pP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108" w:lineRule="exact"/>
        <w:rPr>
          <w:sz w:val="20"/>
          <w:szCs w:val="20"/>
          <w:color w:val="auto"/>
        </w:rPr>
      </w:pPr>
    </w:p>
    <w:p>
      <w:pPr>
        <w:ind w:left="760" w:right="200" w:hanging="768"/>
        <w:spacing w:after="0" w:line="259" w:lineRule="auto"/>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 xml:space="preserve">Fair Market Value </w:t>
      </w:r>
      <w:r>
        <w:rPr>
          <w:rFonts w:ascii="Times New Roman" w:cs="Times New Roman" w:eastAsia="Times New Roman" w:hAnsi="Times New Roman"/>
          <w:sz w:val="18"/>
          <w:szCs w:val="18"/>
          <w:color w:val="auto"/>
        </w:rPr>
        <w:t>For all purposes of this Agreement,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of any asset, property or equity interest means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seller of such asset, property or equity interest would receive in a sale of such asset, property or equity interest in an arms-length transaction with an unaffiliated third party consummated on a date determined by the General Partner (which may be the date on which the event occurred which necessitated the determination of the Fair Market Value) (and after giving effect to any transfer taxes payable in connection with such sale).</w:t>
      </w:r>
    </w:p>
    <w:p>
      <w:pPr>
        <w:spacing w:after="0" w:line="85" w:lineRule="exact"/>
        <w:rPr>
          <w:sz w:val="20"/>
          <w:szCs w:val="20"/>
          <w:color w:val="auto"/>
        </w:rPr>
      </w:pPr>
    </w:p>
    <w:p>
      <w:pPr>
        <w:ind w:left="760" w:hanging="768"/>
        <w:spacing w:after="0" w:line="257" w:lineRule="auto"/>
        <w:tabs>
          <w:tab w:leader="none" w:pos="7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b w:val="1"/>
          <w:bCs w:val="1"/>
          <w:color w:val="auto"/>
        </w:rPr>
        <w:t xml:space="preserve">Determination </w:t>
      </w:r>
      <w:r>
        <w:rPr>
          <w:rFonts w:ascii="Times New Roman" w:cs="Times New Roman" w:eastAsia="Times New Roman" w:hAnsi="Times New Roman"/>
          <w:sz w:val="18"/>
          <w:szCs w:val="18"/>
          <w:color w:val="auto"/>
        </w:rPr>
        <w:t>Fair Market Value shall be determined by the General Partner (or, if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the Liquidator) in its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judgment in such manner as it deems reasonable and using all factors, information and data deemed to be pertinent;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determination of Fair Market Value shall give effect or take into account any “minority discount” or “liquidity discount” (or any similar discount arising out of the fact that the Units are restricted or is not registered with the Commission, publicly traded or listed on a securities exchange), but shall value the Partnership and its Subsidiaries and their respective businesses in their entirety on an enterprise basis using any variety of industry recognized valuation techniques commonly used to value businesses.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08" w:lineRule="exact"/>
        <w:rPr>
          <w:sz w:val="20"/>
          <w:szCs w:val="20"/>
          <w:color w:val="auto"/>
        </w:rPr>
      </w:pPr>
    </w:p>
    <w:p>
      <w:pPr>
        <w:ind w:left="760" w:right="180" w:hanging="768"/>
        <w:spacing w:after="0" w:line="262" w:lineRule="auto"/>
        <w:tabs>
          <w:tab w:leader="none" w:pos="7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requests, claims, demands and other communications hereunder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shall be in writing and shall be given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duly given upon receipt) by delivery in person, by courier service (delivery receipt requested), by electronic mail or by registered or certified mail (postage prepaid, return receipt requested) to the respective parties at the following addresses (or at such other address for a party as shall be specified in a notice given in accordance with this Section 14.1):</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If to the General Partner:</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70 Sir John Rogerson’s Quay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Dublin 2, Ireland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Tim Bertram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Tim.Bertram@prokidney.com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66"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 (which shall not constitute notice):</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Attention: Lee Hochbaum, Richard Truesdell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Email: lee.hochbaum@davispolk.com, richard.truesdell@davispolk.com</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555 12th Street NW</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Suite 1100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Attention: Matthew Simpson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Email: MTSimpson@mintz.com</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Attention: Stuart Leblang</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Jonathan Pavlich</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Email: sleblang@akingump.com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jpavlich@akingump.com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PubCo:</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2000 Frontis Plaza Blvd., Suite 250</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Winston-Salem, NC 27103</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Attention: Tim Bertram</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Email: Tim.Bertram@prokidney.com</w:t>
      </w:r>
    </w:p>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259"/>
          </w:cols>
          <w:pgMar w:left="1200" w:top="268" w:right="1440" w:bottom="1440" w:gutter="0" w:footer="0" w:header="0"/>
        </w:sectPr>
      </w:pPr>
    </w:p>
    <w:bookmarkStart w:id="238" w:name="page239"/>
    <w:bookmarkEnd w:id="238"/>
    <w:p>
      <w:pPr>
        <w:ind w:left="6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 (which shall not constitute notice):</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Lee Hochbaum, Richard Truesdell</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lee.hochbaum@davispolk.com, richard.truesdell@davispolk.com</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555 12th Street NW</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Suite 1100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Matthew Simpson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MTSimpson@mintz.com</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If to any Limited Partner (other than PubCo):</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 such Partner at the address of such Partner as set forth in Schedule 1 hereto;</w:t>
      </w:r>
    </w:p>
    <w:p>
      <w:pPr>
        <w:spacing w:after="0" w:line="117" w:lineRule="exact"/>
        <w:rPr>
          <w:sz w:val="20"/>
          <w:szCs w:val="20"/>
          <w:color w:val="auto"/>
        </w:rPr>
      </w:pPr>
    </w:p>
    <w:p>
      <w:pPr>
        <w:ind w:left="640" w:right="40"/>
        <w:spacing w:after="0" w:line="261" w:lineRule="auto"/>
        <w:rPr>
          <w:sz w:val="20"/>
          <w:szCs w:val="20"/>
          <w:color w:val="auto"/>
        </w:rPr>
      </w:pPr>
      <w:r>
        <w:rPr>
          <w:rFonts w:ascii="Times New Roman" w:cs="Times New Roman" w:eastAsia="Times New Roman" w:hAnsi="Times New Roman"/>
          <w:sz w:val="18"/>
          <w:szCs w:val="18"/>
          <w:color w:val="auto"/>
        </w:rPr>
        <w:t>or to such other address or addresses as the applicable Partner may designate to the other Partners by like notice as hereinabove set forth. Email addresses are listed for the convenience, but shall not be sufficient to constitute notice under this Agreement unless a confirmation copy of such notice is delivered (a) personally (with signed confirmation of receipt), or (b) by Federal Express or other overnight mail (with signed confirmation of receipt).</w:t>
      </w:r>
    </w:p>
    <w:p>
      <w:pPr>
        <w:spacing w:after="0" w:line="72" w:lineRule="exact"/>
        <w:rPr>
          <w:sz w:val="20"/>
          <w:szCs w:val="20"/>
          <w:color w:val="auto"/>
        </w:rPr>
      </w:pPr>
    </w:p>
    <w:p>
      <w:pPr>
        <w:ind w:left="640" w:right="80"/>
        <w:spacing w:after="0" w:line="282" w:lineRule="auto"/>
        <w:rPr>
          <w:sz w:val="20"/>
          <w:szCs w:val="20"/>
          <w:color w:val="auto"/>
        </w:rPr>
      </w:pPr>
      <w:r>
        <w:rPr>
          <w:rFonts w:ascii="Times New Roman" w:cs="Times New Roman" w:eastAsia="Times New Roman" w:hAnsi="Times New Roman"/>
          <w:sz w:val="18"/>
          <w:szCs w:val="18"/>
          <w:color w:val="auto"/>
        </w:rPr>
        <w:t>All Notices shall be in writing and shall be deemed to have been given: (i) upon delivery, if by hand; or (ii) on the delivery date as recorded by the delivery service, if sent by Federal Express or other overnight mail.</w:t>
      </w:r>
    </w:p>
    <w:p>
      <w:pPr>
        <w:spacing w:after="0" w:line="63" w:lineRule="exact"/>
        <w:rPr>
          <w:sz w:val="20"/>
          <w:szCs w:val="20"/>
          <w:color w:val="auto"/>
        </w:rPr>
      </w:pPr>
    </w:p>
    <w:p>
      <w:pPr>
        <w:jc w:val="both"/>
        <w:ind w:left="640" w:right="100" w:hanging="768"/>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 xml:space="preserve">Cumulative Remedies </w:t>
      </w:r>
      <w:r>
        <w:rPr>
          <w:rFonts w:ascii="Times New Roman" w:cs="Times New Roman" w:eastAsia="Times New Roman" w:hAnsi="Times New Roman"/>
          <w:sz w:val="18"/>
          <w:szCs w:val="18"/>
          <w:color w:val="auto"/>
        </w:rPr>
        <w:t>The rights and remedies provided by this Agreement are cumulative and the use of any one right or remedy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shall not preclude or waive its right to use any or all other remedies. Said rights and remedies are given in addition to any other rights the parties may have by Law.</w:t>
      </w:r>
    </w:p>
    <w:p>
      <w:pPr>
        <w:spacing w:after="0" w:line="76" w:lineRule="exact"/>
        <w:rPr>
          <w:sz w:val="20"/>
          <w:szCs w:val="20"/>
          <w:color w:val="auto"/>
        </w:rPr>
      </w:pPr>
    </w:p>
    <w:p>
      <w:pPr>
        <w:ind w:left="640" w:right="520" w:hanging="768"/>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This Agreement shall be binding upon and inure to the benefit of all of the parties and, to the extent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their successors, executors, administrators, heirs, legal representatives and assigns.</w:t>
      </w:r>
    </w:p>
    <w:p>
      <w:pPr>
        <w:spacing w:after="0" w:line="60" w:lineRule="exact"/>
        <w:rPr>
          <w:sz w:val="20"/>
          <w:szCs w:val="20"/>
          <w:color w:val="auto"/>
        </w:rPr>
      </w:pPr>
    </w:p>
    <w:p>
      <w:pPr>
        <w:ind w:left="640" w:hanging="768"/>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b w:val="1"/>
          <w:bCs w:val="1"/>
          <w:color w:val="auto"/>
        </w:rPr>
        <w:t xml:space="preserve">Interpretation </w:t>
      </w:r>
      <w:r>
        <w:rPr>
          <w:rFonts w:ascii="Times New Roman" w:cs="Times New Roman" w:eastAsia="Times New Roman" w:hAnsi="Times New Roman"/>
          <w:sz w:val="18"/>
          <w:szCs w:val="18"/>
          <w:color w:val="auto"/>
        </w:rPr>
        <w:t>Throughout this Agreement, nouns, pronouns and verbs shall be construed as masculine, feminine, neuter, singular or plural,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whichever shall be applicable. Unless otherwise specified, all references herein to “Articles,” “Sections” and paragraphs shall refer to corresponding provisions of this Agreement. The word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any variation thereof means “</w:t>
      </w:r>
      <w:r>
        <w:rPr>
          <w:rFonts w:ascii="Times New Roman" w:cs="Times New Roman" w:eastAsia="Times New Roman" w:hAnsi="Times New Roman"/>
          <w:sz w:val="18"/>
          <w:szCs w:val="18"/>
          <w:u w:val="single" w:color="auto"/>
          <w:color w:val="auto"/>
        </w:rPr>
        <w:t>including, without limitation</w:t>
      </w:r>
      <w:r>
        <w:rPr>
          <w:rFonts w:ascii="Times New Roman" w:cs="Times New Roman" w:eastAsia="Times New Roman" w:hAnsi="Times New Roman"/>
          <w:sz w:val="18"/>
          <w:szCs w:val="18"/>
          <w:color w:val="auto"/>
        </w:rPr>
        <w:t>” and shall not be construed to limit any general statement that it follows to the specific or similar items or matters immediately following it. Each party hereto acknowledges and agrees that the parties hereto have participated collectively in the negotiation and drafting of this Agreement and that he or she or it has had the opportunity to draft, review and edit the language of this Agreement; accordingly, it is the intention of the parties that no presumption for or against any party arising out of drafting all or any part of this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60"/>
          </w:cols>
          <w:pgMar w:left="560" w:top="268" w:right="579" w:bottom="1440" w:gutter="0" w:footer="0" w:header="0"/>
        </w:sectPr>
      </w:pPr>
    </w:p>
    <w:bookmarkStart w:id="239" w:name="page240"/>
    <w:bookmarkEnd w:id="239"/>
    <w:p>
      <w:pPr>
        <w:ind w:left="74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77" w:lineRule="exact"/>
        <w:rPr>
          <w:sz w:val="20"/>
          <w:szCs w:val="20"/>
          <w:color w:val="auto"/>
        </w:rPr>
      </w:pPr>
    </w:p>
    <w:p>
      <w:pPr>
        <w:ind w:left="740" w:right="20" w:hanging="768"/>
        <w:spacing w:after="0" w:line="257" w:lineRule="auto"/>
        <w:tabs>
          <w:tab w:leader="none" w:pos="7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term or other provision of this Agreement is held to be invalid, illegal or incapable of being enforced by any rule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88" w:lineRule="exact"/>
        <w:rPr>
          <w:sz w:val="20"/>
          <w:szCs w:val="20"/>
          <w:color w:val="auto"/>
        </w:rPr>
      </w:pPr>
    </w:p>
    <w:p>
      <w:pPr>
        <w:ind w:left="740" w:right="120" w:hanging="768"/>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and subheadings in this Agreement are included for convenience and identification only and are in no way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describe, interpret, define or limit the scope, extent or intent of this Agreement or any provision hereof.</w:t>
      </w:r>
    </w:p>
    <w:p>
      <w:pPr>
        <w:spacing w:after="0" w:line="60" w:lineRule="exact"/>
        <w:rPr>
          <w:sz w:val="20"/>
          <w:szCs w:val="20"/>
          <w:color w:val="auto"/>
        </w:rPr>
      </w:pPr>
    </w:p>
    <w:p>
      <w:pPr>
        <w:ind w:left="740" w:right="100" w:hanging="768"/>
        <w:spacing w:after="0" w:line="262" w:lineRule="auto"/>
        <w:tabs>
          <w:tab w:leader="none" w:pos="7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and delivered (including by email or facsimile transmission) in one or more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Section 14.7.</w:t>
      </w:r>
    </w:p>
    <w:p>
      <w:pPr>
        <w:spacing w:after="0" w:line="82" w:lineRule="exact"/>
        <w:rPr>
          <w:sz w:val="20"/>
          <w:szCs w:val="20"/>
          <w:color w:val="auto"/>
        </w:rPr>
      </w:pPr>
    </w:p>
    <w:p>
      <w:pPr>
        <w:ind w:left="740" w:right="840" w:hanging="768"/>
        <w:spacing w:after="0" w:line="286" w:lineRule="auto"/>
        <w:tabs>
          <w:tab w:leader="none" w:pos="72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Each Partner shall perform all other acts and execute and deliver all other documents as may be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 carry out the purposes and intent of this Agreement.</w:t>
      </w:r>
    </w:p>
    <w:p>
      <w:pPr>
        <w:spacing w:after="0" w:line="60" w:lineRule="exact"/>
        <w:rPr>
          <w:sz w:val="20"/>
          <w:szCs w:val="20"/>
          <w:color w:val="auto"/>
        </w:rPr>
      </w:pPr>
    </w:p>
    <w:p>
      <w:pPr>
        <w:ind w:left="740" w:right="140" w:hanging="768"/>
        <w:spacing w:after="0" w:line="268" w:lineRule="auto"/>
        <w:tabs>
          <w:tab w:leader="none" w:pos="72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agreements referred to herein (including the Lock-Up Agreement) constitutes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among the parties hereto pertaining to the subject matter hereof and supersedes all prior agreements and understandings, whether oral or written, pertaining thereto (including the Existing Partnership Agreement).</w:t>
      </w:r>
    </w:p>
    <w:p>
      <w:pPr>
        <w:spacing w:after="0" w:line="76" w:lineRule="exact"/>
        <w:rPr>
          <w:sz w:val="20"/>
          <w:szCs w:val="20"/>
          <w:color w:val="auto"/>
        </w:rPr>
      </w:pPr>
    </w:p>
    <w:p>
      <w:pPr>
        <w:ind w:left="740" w:hanging="768"/>
        <w:spacing w:after="0" w:line="259" w:lineRule="auto"/>
        <w:tabs>
          <w:tab w:leader="none" w:pos="720" w:val="left"/>
        </w:tabs>
        <w:rPr>
          <w:sz w:val="20"/>
          <w:szCs w:val="20"/>
          <w:color w:val="auto"/>
        </w:rPr>
      </w:pPr>
      <w:r>
        <w:rPr>
          <w:rFonts w:ascii="Times New Roman" w:cs="Times New Roman" w:eastAsia="Times New Roman" w:hAnsi="Times New Roman"/>
          <w:sz w:val="18"/>
          <w:szCs w:val="18"/>
          <w:color w:val="auto"/>
        </w:rPr>
        <w:t>14.10</w:t>
      </w:r>
      <w:r>
        <w:rPr>
          <w:sz w:val="20"/>
          <w:szCs w:val="20"/>
          <w:color w:val="auto"/>
        </w:rPr>
        <w:tab/>
      </w:r>
      <w:r>
        <w:rPr>
          <w:rFonts w:ascii="Times New Roman" w:cs="Times New Roman" w:eastAsia="Times New Roman" w:hAnsi="Times New Roman"/>
          <w:sz w:val="18"/>
          <w:szCs w:val="18"/>
          <w:b w:val="1"/>
          <w:bCs w:val="1"/>
          <w:color w:val="auto"/>
        </w:rPr>
        <w:t xml:space="preserve">Governing Law and Jurisdiction </w:t>
      </w:r>
      <w:r>
        <w:rPr>
          <w:rFonts w:ascii="Times New Roman" w:cs="Times New Roman" w:eastAsia="Times New Roman" w:hAnsi="Times New Roman"/>
          <w:sz w:val="18"/>
          <w:szCs w:val="18"/>
          <w:color w:val="auto"/>
        </w:rPr>
        <w:t>Notwithstanding the place where this Agreement may be executed by any of the parties thereto,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agree that all the terms and provisions hereof shall be governed by and construed in accordance with the laws of the Ireland. The courts of Ireland shall have non-exclusive jurisdiction to hear and determine any claim, suit, action or proceeding, and to settle any disputes, which may arise out of or are in any way related to or in connection with this Agreement, and, for such purposes, each party submits to the non-exclusive jurisdiction of such courts.</w:t>
      </w:r>
    </w:p>
    <w:p>
      <w:pPr>
        <w:spacing w:after="0" w:line="85" w:lineRule="exact"/>
        <w:rPr>
          <w:sz w:val="20"/>
          <w:szCs w:val="20"/>
          <w:color w:val="auto"/>
        </w:rPr>
      </w:pPr>
    </w:p>
    <w:p>
      <w:pPr>
        <w:jc w:val="both"/>
        <w:ind w:left="740" w:right="60" w:hanging="768"/>
        <w:spacing w:after="0" w:line="268" w:lineRule="auto"/>
        <w:tabs>
          <w:tab w:leader="none" w:pos="72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Except as otherwise specified in this Agreement, the Partnership shall be responsible for all costs and expenses, including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disbursements of counsel, financial advisors and accountants, incurred by the Partners and the Partnership in connection with the preparation and negotiation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60" w:top="270" w:right="479" w:bottom="1440" w:gutter="0" w:footer="0" w:header="0"/>
        </w:sectPr>
      </w:pPr>
    </w:p>
    <w:bookmarkStart w:id="240" w:name="page241"/>
    <w:bookmarkEnd w:id="240"/>
    <w:p>
      <w:pPr>
        <w:spacing w:after="0"/>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14.12</w:t>
      </w:r>
      <w:r>
        <w:rPr>
          <w:sz w:val="20"/>
          <w:szCs w:val="20"/>
          <w:color w:val="auto"/>
        </w:rPr>
        <w:tab/>
      </w:r>
      <w:r>
        <w:rPr>
          <w:rFonts w:ascii="Times New Roman" w:cs="Times New Roman" w:eastAsia="Times New Roman" w:hAnsi="Times New Roman"/>
          <w:sz w:val="17"/>
          <w:szCs w:val="17"/>
          <w:b w:val="1"/>
          <w:bCs w:val="1"/>
          <w:color w:val="auto"/>
        </w:rPr>
        <w:t>Amendments and Waivers</w:t>
      </w:r>
    </w:p>
    <w:p>
      <w:pPr>
        <w:spacing w:after="0" w:line="133" w:lineRule="exact"/>
        <w:rPr>
          <w:sz w:val="20"/>
          <w:szCs w:val="20"/>
          <w:color w:val="auto"/>
        </w:rPr>
      </w:pPr>
    </w:p>
    <w:p>
      <w:pPr>
        <w:ind w:left="760" w:hanging="768"/>
        <w:spacing w:after="0" w:line="252" w:lineRule="auto"/>
        <w:tabs>
          <w:tab w:leader="none" w:pos="740" w:val="left"/>
        </w:tabs>
        <w:rPr>
          <w:sz w:val="20"/>
          <w:szCs w:val="20"/>
          <w:color w:val="auto"/>
        </w:rPr>
      </w:pPr>
      <w:r>
        <w:rPr>
          <w:rFonts w:ascii="Times New Roman" w:cs="Times New Roman" w:eastAsia="Times New Roman" w:hAnsi="Times New Roman"/>
          <w:sz w:val="18"/>
          <w:szCs w:val="18"/>
          <w:color w:val="auto"/>
        </w:rPr>
        <w:t>14.12.1</w:t>
      </w:r>
      <w:r>
        <w:rPr>
          <w:sz w:val="20"/>
          <w:szCs w:val="20"/>
          <w:color w:val="auto"/>
        </w:rPr>
        <w:tab/>
      </w:r>
      <w:r>
        <w:rPr>
          <w:rFonts w:ascii="Times New Roman" w:cs="Times New Roman" w:eastAsia="Times New Roman" w:hAnsi="Times New Roman"/>
          <w:sz w:val="18"/>
          <w:szCs w:val="18"/>
          <w:i w:val="1"/>
          <w:iCs w:val="1"/>
          <w:color w:val="auto"/>
        </w:rPr>
        <w:t xml:space="preserve">Amendments by General Partner with Approval of PubCo </w:t>
      </w:r>
      <w:r>
        <w:rPr>
          <w:rFonts w:ascii="Times New Roman" w:cs="Times New Roman" w:eastAsia="Times New Roman" w:hAnsi="Times New Roman"/>
          <w:sz w:val="18"/>
          <w:szCs w:val="18"/>
          <w:color w:val="auto"/>
        </w:rPr>
        <w:t>This Agreement (including the Annexes hereto) may be amended, supplemented,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waived or modified by the General Partner with the approval of PubCo (with the approval of a majority of the disinterested members of the PubCo Board) and without the approval of any other Partner or other Person so long as such amendment is executed and delivered to the Partnership by PubCo and has been approved by the General Partner and each of the Limited Partners (other than PubCo) hereby appoints the General Partner as its lawful attorney for the purposes of executing and delivering such amendment on its behalf; provided that, no amendment, including any amendment effected by way of merger, consolidation or Transfer of all or substantially all the assets of the Partnership, may (i) materially and adversely affect the rights of a holder of Units, as such, other than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other holders of Units of the same Class without the consent of such holder (or, if there is more than one such holder that is so affected, without the consent of a majority in interest of such affected holders in accordance with their holdings of such Class of Units); provided that, the creation or issuance of any new Unit or Equity Interest of the Partnership permitted pursuant to Section 9.5 and any amendments or modifications to Agreement to the extent necessary to reflect such creation or issuance shall not be deemed to disproportionately and adversely affect a Partner or remove a right or privilege specifically granted to a Partner in any event; (ii) modify the limited liability of any Partner, or increase the Liabilities of any Partner, in each case, without the prior written consent of each such affected Partner; or (iii) alter or change any rights, preferences or privileges of any Units in a manner that is different or prejudicial relative to any other Units in the same class of Units, without the prior written consent of the holders of a majority of such Units.</w:t>
      </w:r>
    </w:p>
    <w:p>
      <w:pPr>
        <w:spacing w:after="0" w:line="102" w:lineRule="exact"/>
        <w:rPr>
          <w:sz w:val="20"/>
          <w:szCs w:val="20"/>
          <w:color w:val="auto"/>
        </w:rPr>
      </w:pPr>
    </w:p>
    <w:p>
      <w:pPr>
        <w:ind w:left="760" w:right="60" w:hanging="76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14.12.2</w:t>
      </w:r>
      <w:r>
        <w:rPr>
          <w:sz w:val="20"/>
          <w:szCs w:val="20"/>
          <w:color w:val="auto"/>
        </w:rPr>
        <w:tab/>
      </w:r>
      <w:r>
        <w:rPr>
          <w:rFonts w:ascii="Times New Roman" w:cs="Times New Roman" w:eastAsia="Times New Roman" w:hAnsi="Times New Roman"/>
          <w:sz w:val="18"/>
          <w:szCs w:val="18"/>
          <w:i w:val="1"/>
          <w:iCs w:val="1"/>
          <w:color w:val="auto"/>
        </w:rPr>
        <w:t xml:space="preserve">Amendments by General Partner Without Approval of Other Persons </w:t>
      </w:r>
      <w:r>
        <w:rPr>
          <w:rFonts w:ascii="Times New Roman" w:cs="Times New Roman" w:eastAsia="Times New Roman" w:hAnsi="Times New Roman"/>
          <w:sz w:val="18"/>
          <w:szCs w:val="18"/>
          <w:color w:val="auto"/>
        </w:rPr>
        <w:t>Notwithstanding anything to the contrary herein, the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without the written consent of any Partner, amend, supplement, waive or modify any provision of this Agreement, including Schedule I, and execute, swear to, acknowledge, deliver, file and record whatever documents may be required in connection therewith, to reflect:</w:t>
      </w:r>
    </w:p>
    <w:p>
      <w:pPr>
        <w:spacing w:after="0" w:line="67" w:lineRule="exact"/>
        <w:rPr>
          <w:sz w:val="20"/>
          <w:szCs w:val="20"/>
          <w:color w:val="auto"/>
        </w:rPr>
      </w:pPr>
    </w:p>
    <w:p>
      <w:pPr>
        <w:ind w:left="760" w:right="80" w:firstLine="417"/>
        <w:spacing w:after="0" w:line="266" w:lineRule="auto"/>
        <w:tabs>
          <w:tab w:leader="none" w:pos="141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supplement, waiver or modification that the General Partner determines in its reasonable discretion to be necessary or appropriate in connection with the creation, authorization or issuance of Units or any Class or series of equity interest in the Partnership pursuant to Section 9.1 hereof;</w:t>
      </w:r>
    </w:p>
    <w:p>
      <w:pPr>
        <w:spacing w:after="0" w:line="67" w:lineRule="exact"/>
        <w:rPr>
          <w:rFonts w:ascii="Times New Roman" w:cs="Times New Roman" w:eastAsia="Times New Roman" w:hAnsi="Times New Roman"/>
          <w:sz w:val="18"/>
          <w:szCs w:val="18"/>
          <w:color w:val="auto"/>
        </w:rPr>
      </w:pPr>
    </w:p>
    <w:p>
      <w:pPr>
        <w:ind w:left="1440" w:hanging="263"/>
        <w:spacing w:after="0"/>
        <w:tabs>
          <w:tab w:leader="none" w:pos="14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or withdrawal of Partners in accordance with this Agreement, pursuant to Sections 10.6 and 10.7 hereof;</w:t>
      </w:r>
    </w:p>
    <w:p>
      <w:pPr>
        <w:spacing w:after="0" w:line="117" w:lineRule="exact"/>
        <w:rPr>
          <w:rFonts w:ascii="Times New Roman" w:cs="Times New Roman" w:eastAsia="Times New Roman" w:hAnsi="Times New Roman"/>
          <w:sz w:val="18"/>
          <w:szCs w:val="18"/>
          <w:color w:val="auto"/>
        </w:rPr>
      </w:pPr>
    </w:p>
    <w:p>
      <w:pPr>
        <w:ind w:left="760" w:right="100" w:firstLine="417"/>
        <w:spacing w:after="0" w:line="282" w:lineRule="auto"/>
        <w:tabs>
          <w:tab w:leader="none" w:pos="141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 (whether to a location in Ireland or outside Ireland);</w:t>
      </w:r>
    </w:p>
    <w:p>
      <w:pPr>
        <w:spacing w:after="0" w:line="53" w:lineRule="exact"/>
        <w:rPr>
          <w:rFonts w:ascii="Times New Roman" w:cs="Times New Roman" w:eastAsia="Times New Roman" w:hAnsi="Times New Roman"/>
          <w:sz w:val="18"/>
          <w:szCs w:val="18"/>
          <w:color w:val="auto"/>
        </w:rPr>
      </w:pPr>
    </w:p>
    <w:p>
      <w:pPr>
        <w:ind w:left="760" w:right="60" w:firstLine="417"/>
        <w:spacing w:after="0" w:line="266" w:lineRule="auto"/>
        <w:tabs>
          <w:tab w:leader="none" w:pos="1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supplement, waiver or modification that the General Partner determines in its reasonable discretion to be necessary or appropriate to address changes in U.S. federal income tax regulations, legislation or interpretation or Irish tax regulations, legislation or interpretation; and/or</w:t>
      </w:r>
    </w:p>
    <w:p>
      <w:pPr>
        <w:spacing w:after="0" w:line="67" w:lineRule="exact"/>
        <w:rPr>
          <w:rFonts w:ascii="Times New Roman" w:cs="Times New Roman" w:eastAsia="Times New Roman" w:hAnsi="Times New Roman"/>
          <w:sz w:val="18"/>
          <w:szCs w:val="18"/>
          <w:color w:val="auto"/>
        </w:rPr>
      </w:pPr>
    </w:p>
    <w:p>
      <w:pPr>
        <w:ind w:left="760" w:right="120" w:firstLine="417"/>
        <w:spacing w:after="0" w:line="266" w:lineRule="auto"/>
        <w:tabs>
          <w:tab w:leader="none" w:pos="141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other changes that the General Partner determines to be necessary or appropriate as a result of a change in the Fiscal Year or taxable year of the Partnership including a change in the dates on which Distributions are to be made by the Partnership.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6" w:right="459" w:bottom="1440" w:gutter="0" w:footer="0" w:header="0"/>
        </w:sectPr>
      </w:pPr>
    </w:p>
    <w:bookmarkStart w:id="241" w:name="page242"/>
    <w:bookmarkEnd w:id="241"/>
    <w:p>
      <w:pPr>
        <w:jc w:val="both"/>
        <w:ind w:left="76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amendment has been approved in accordance with this Agreement, such amendment shall be adopted and effective with respect to all Partners. Upon obtaining such approvals as may be required by this Agreement, and without further action or execution on the part of any Partner or other Person, any amendment to this Agreement may be implemented and reflected in a writing executed solely by the General Partner and the Partners shall be deemed a party to and bound by such amendment.</w:t>
      </w:r>
    </w:p>
    <w:p>
      <w:pPr>
        <w:spacing w:after="0" w:line="83" w:lineRule="exact"/>
        <w:rPr>
          <w:sz w:val="20"/>
          <w:szCs w:val="20"/>
          <w:color w:val="auto"/>
        </w:rPr>
      </w:pPr>
    </w:p>
    <w:p>
      <w:pPr>
        <w:ind w:left="760" w:right="16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14.12.3</w:t>
      </w:r>
      <w:r>
        <w:rPr>
          <w:sz w:val="20"/>
          <w:szCs w:val="20"/>
          <w:color w:val="auto"/>
        </w:rPr>
        <w:tab/>
      </w:r>
      <w:r>
        <w:rPr>
          <w:rFonts w:ascii="Times New Roman" w:cs="Times New Roman" w:eastAsia="Times New Roman" w:hAnsi="Times New Roman"/>
          <w:sz w:val="18"/>
          <w:szCs w:val="18"/>
          <w:i w:val="1"/>
          <w:iCs w:val="1"/>
          <w:color w:val="auto"/>
        </w:rPr>
        <w:t xml:space="preserve">Failure to Act not a Waiving of Rights </w:t>
      </w:r>
      <w:r>
        <w:rPr>
          <w:rFonts w:ascii="Times New Roman" w:cs="Times New Roman" w:eastAsia="Times New Roman" w:hAnsi="Times New Roman"/>
          <w:sz w:val="18"/>
          <w:szCs w:val="18"/>
          <w:color w:val="auto"/>
        </w:rPr>
        <w:t>No failure or delay by any party in exercising any right, power or privilege hereunder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85" w:lineRule="exact"/>
        <w:rPr>
          <w:sz w:val="20"/>
          <w:szCs w:val="20"/>
          <w:color w:val="auto"/>
        </w:rPr>
      </w:pPr>
    </w:p>
    <w:p>
      <w:pPr>
        <w:ind w:left="760" w:right="220" w:hanging="76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14.12.4</w:t>
      </w:r>
      <w:r>
        <w:rPr>
          <w:sz w:val="20"/>
          <w:szCs w:val="20"/>
          <w:color w:val="auto"/>
        </w:rPr>
        <w:tab/>
      </w:r>
      <w:r>
        <w:rPr>
          <w:rFonts w:ascii="Times New Roman" w:cs="Times New Roman" w:eastAsia="Times New Roman" w:hAnsi="Times New Roman"/>
          <w:sz w:val="18"/>
          <w:szCs w:val="18"/>
          <w:i w:val="1"/>
          <w:iCs w:val="1"/>
          <w:color w:val="auto"/>
        </w:rPr>
        <w:t xml:space="preserve">Waiving of Certain Rights </w:t>
      </w:r>
      <w:r>
        <w:rPr>
          <w:rFonts w:ascii="Times New Roman" w:cs="Times New Roman" w:eastAsia="Times New Roman" w:hAnsi="Times New Roman"/>
          <w:sz w:val="18"/>
          <w:szCs w:val="18"/>
          <w:color w:val="auto"/>
        </w:rPr>
        <w:t>Except as may be otherwise required by law in connection with the winding-up, liquidation, or dissolution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each Partner hereby irrevocably waives any and all rights that it may have to maintain an action for judicial accounting or for partition of any of the Partnership’s property.</w:t>
      </w:r>
    </w:p>
    <w:p>
      <w:pPr>
        <w:spacing w:after="0" w:line="77" w:lineRule="exact"/>
        <w:rPr>
          <w:sz w:val="20"/>
          <w:szCs w:val="20"/>
          <w:color w:val="auto"/>
        </w:rPr>
      </w:pPr>
    </w:p>
    <w:p>
      <w:pPr>
        <w:ind w:left="760" w:hanging="768"/>
        <w:spacing w:after="0" w:line="291" w:lineRule="auto"/>
        <w:tabs>
          <w:tab w:leader="none" w:pos="7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b w:val="1"/>
          <w:bCs w:val="1"/>
          <w:color w:val="auto"/>
        </w:rPr>
        <w:t xml:space="preserve">No Third Party Beneficiaries </w:t>
      </w:r>
      <w:r>
        <w:rPr>
          <w:rFonts w:ascii="Times New Roman" w:cs="Times New Roman" w:eastAsia="Times New Roman" w:hAnsi="Times New Roman"/>
          <w:sz w:val="17"/>
          <w:szCs w:val="17"/>
          <w:color w:val="auto"/>
        </w:rPr>
        <w:t>This Agreement shall be binding upon and inure solely to the benefit of the parties hereto and their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assigns and successors and nothing herein, express or implied, is intended to or shall confer upon any other Person or entity, any legal or equitable right, benefit or remedy of any nature whatsoever under or by reason of this Agreement (other than pursuant to Section 12.2 hereof).</w:t>
      </w:r>
    </w:p>
    <w:p>
      <w:pPr>
        <w:spacing w:after="0" w:line="58" w:lineRule="exact"/>
        <w:rPr>
          <w:sz w:val="20"/>
          <w:szCs w:val="20"/>
          <w:color w:val="auto"/>
        </w:rPr>
      </w:pPr>
    </w:p>
    <w:p>
      <w:pPr>
        <w:ind w:left="76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8"/>
          <w:szCs w:val="18"/>
          <w:b w:val="1"/>
          <w:bCs w:val="1"/>
          <w:color w:val="auto"/>
        </w:rPr>
        <w:t xml:space="preserve">Power of Attorney </w:t>
      </w:r>
      <w:r>
        <w:rPr>
          <w:rFonts w:ascii="Times New Roman" w:cs="Times New Roman" w:eastAsia="Times New Roman" w:hAnsi="Times New Roman"/>
          <w:sz w:val="18"/>
          <w:szCs w:val="18"/>
          <w:color w:val="auto"/>
        </w:rPr>
        <w:t>Each Partner, by its execution hereof, hereby makes, constitutes and appoints the General Partner as its true and lawful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attorney in fact, with full power of substitution and full power and authority in its name, place and stead, to make, execute, sign, acknowledge, swear to, record and file (a) this Agreement and any amendment to this Agreement that has been consented to and adopted as herein provided; (b) all certificates and other instruments (including consents and ratifications which the Partners have agreed to provide upon a matter receiving the agreed support of Partners) deemed advisable by the General Partner to carry out the provisions of this Agreement and Law or to permit the Partnership to continue as a limited partnership wherein the Partners have limited liability in each jurisdiction where the Partnership may be doing business; (c) all instruments that the General Partner deems appropriate to reflect a change or modification of this Agreement or the Partnership in accordance with this Agreement, including the admission of additional Partners or substituted Partners pursuant to the provisions of this Agreement; (d) all conveyances and other instruments or papers deemed advisable by the General Partner to effect the liquidation and termination of the Partnership in accordance with this Agreement; and (e) all assumed name certificates required or permitted (in light of the Partnership’s activities) to be filed on behalf of the Partnership.</w:t>
      </w:r>
    </w:p>
    <w:p>
      <w:pPr>
        <w:spacing w:after="0" w:line="88" w:lineRule="exact"/>
        <w:rPr>
          <w:sz w:val="20"/>
          <w:szCs w:val="20"/>
          <w:color w:val="auto"/>
        </w:rPr>
      </w:pPr>
    </w:p>
    <w:p>
      <w:pPr>
        <w:ind w:left="760" w:hanging="768"/>
        <w:spacing w:after="0" w:line="257" w:lineRule="auto"/>
        <w:tabs>
          <w:tab w:leader="none" w:pos="7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8"/>
          <w:szCs w:val="18"/>
          <w:b w:val="1"/>
          <w:bCs w:val="1"/>
          <w:color w:val="auto"/>
        </w:rPr>
        <w:t xml:space="preserve">Separate Agreements; Schedules </w:t>
      </w:r>
      <w:r>
        <w:rPr>
          <w:rFonts w:ascii="Times New Roman" w:cs="Times New Roman" w:eastAsia="Times New Roman" w:hAnsi="Times New Roman"/>
          <w:sz w:val="18"/>
          <w:szCs w:val="18"/>
          <w:color w:val="auto"/>
        </w:rPr>
        <w:t>Notwithstanding any other provision of this Agreement, including Section 14.12, the General Partner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may, or may cause the Partnership to, without the approval of any Partner or other Person, enter into separate subscription, letter or other agreements with individual Partners that have become or will become Partners after the date hereof with respect to any matter, which have the effect of establishing rights under, or altering, supplementing or amending the terms of, this Agreement. The parties hereto agree that any terms contained in any such separate agreement shall govern with respect to such future Partner(s) party thereto notwithstanding the provisions of this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242" w:name="page243"/>
    <w:bookmarkEnd w:id="242"/>
    <w:p>
      <w:pPr>
        <w:jc w:val="both"/>
        <w:ind w:left="760" w:right="3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The General Partner in its sole discretion may from time to time execute and deliver to the Partners schedules which set forth information contained in the books and records of the Partnership and any other matters deemed appropriate by the General Partner. Such schedules shall be for information purposes only and shall not be deemed to be part of this Agreement for any purpose whatsoever.</w:t>
      </w:r>
    </w:p>
    <w:p>
      <w:pPr>
        <w:spacing w:after="0" w:line="2" w:lineRule="exact"/>
        <w:rPr>
          <w:sz w:val="20"/>
          <w:szCs w:val="20"/>
          <w:color w:val="auto"/>
        </w:rPr>
      </w:pPr>
    </w:p>
    <w:p>
      <w:pPr>
        <w:ind w:left="760" w:right="12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solely for U.S. federal income tax purposes, this Agreement, the Tax Receivable Agreement, the Exchange Agreement and any other separate agreement described in this Section 14.15 shall constitute a “partnership agreement” within the meaning of Section 761 of the Code.</w:t>
      </w:r>
    </w:p>
    <w:p>
      <w:pPr>
        <w:spacing w:after="0" w:line="87" w:lineRule="exact"/>
        <w:rPr>
          <w:sz w:val="20"/>
          <w:szCs w:val="20"/>
          <w:color w:val="auto"/>
        </w:rPr>
      </w:pPr>
    </w:p>
    <w:p>
      <w:pPr>
        <w:ind w:left="760" w:right="40" w:hanging="76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14.16</w:t>
      </w:r>
      <w:r>
        <w:rPr>
          <w:sz w:val="20"/>
          <w:szCs w:val="20"/>
          <w:color w:val="auto"/>
        </w:rPr>
        <w:tab/>
      </w:r>
      <w:r>
        <w:rPr>
          <w:rFonts w:ascii="Times New Roman" w:cs="Times New Roman" w:eastAsia="Times New Roman" w:hAnsi="Times New Roman"/>
          <w:sz w:val="18"/>
          <w:szCs w:val="18"/>
          <w:b w:val="1"/>
          <w:bCs w:val="1"/>
          <w:color w:val="auto"/>
        </w:rPr>
        <w:t xml:space="preserve">Delivery by Facsimile or Email </w:t>
      </w:r>
      <w:r>
        <w:rPr>
          <w:rFonts w:ascii="Times New Roman" w:cs="Times New Roman" w:eastAsia="Times New Roman" w:hAnsi="Times New Roman"/>
          <w:sz w:val="18"/>
          <w:szCs w:val="18"/>
          <w:color w:val="auto"/>
        </w:rPr>
        <w:t>This Agreement, the agreements referred to herein, and each other agreement or instrument entered into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to deliver a signature or the fact that any signature or agreement or instrument was transmitted or communicated through the use of a facsimile machine or email as a defence to the formation or enforceability of a contract, and each such party forever waives any such defence.</w:t>
      </w:r>
    </w:p>
    <w:p>
      <w:pPr>
        <w:spacing w:after="0" w:line="88" w:lineRule="exact"/>
        <w:rPr>
          <w:sz w:val="20"/>
          <w:szCs w:val="20"/>
          <w:color w:val="auto"/>
        </w:rPr>
      </w:pPr>
    </w:p>
    <w:p>
      <w:pPr>
        <w:ind w:left="760" w:hanging="76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14.17</w:t>
      </w:r>
      <w:r>
        <w:rPr>
          <w:sz w:val="20"/>
          <w:szCs w:val="20"/>
          <w:color w:val="auto"/>
        </w:rPr>
        <w:tab/>
      </w:r>
      <w:r>
        <w:rPr>
          <w:rFonts w:ascii="Times New Roman" w:cs="Times New Roman" w:eastAsia="Times New Roman" w:hAnsi="Times New Roman"/>
          <w:sz w:val="18"/>
          <w:szCs w:val="18"/>
          <w:b w:val="1"/>
          <w:bCs w:val="1"/>
          <w:color w:val="auto"/>
        </w:rPr>
        <w:t xml:space="preserve">Registration of changes in the Partnership </w:t>
      </w:r>
      <w:r>
        <w:rPr>
          <w:rFonts w:ascii="Times New Roman" w:cs="Times New Roman" w:eastAsia="Times New Roman" w:hAnsi="Times New Roman"/>
          <w:sz w:val="18"/>
          <w:szCs w:val="18"/>
          <w:color w:val="auto"/>
        </w:rPr>
        <w:t>The General Partner shall ensure that all necessary returns (other than tax returns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8.2), filings and registrations required to be made by or on behalf of the Partnership are made in the manner and time required by the Act and the other Partners agree to complete or provide the necessary information to the General Partner required to complete such returns, filings and registrations in the manner and time required by the Act and, otherwise, to provide such assistance as may reasonably be required by the General Partner in that regard. Notwithstanding any other provision of this Agreement, to the extent required by the Act, if any change is made or occurs in (a) the name of the Partnership, (b) the general nature of the business of the Partnership, (c) the principal place of business of the Partnership, (d) the Partners or the name of any Partner, (e) the term or character of the Partnership, (f) the sum contributed by any Limited Partner or (g) the liability of any Partner by reason of its becoming a limited instead of a general partner under the Act or a general instead of a limited partner under the Act, such change shall only take effect from the date a statement of the change, signed by, or on behalf of, the General Partner, is sent to the Irish Companies Registration Office as required by the Act.</w:t>
      </w:r>
    </w:p>
    <w:p>
      <w:pPr>
        <w:spacing w:after="0" w:line="189"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color w:val="auto"/>
        </w:rPr>
        <w:t>IN WITNESS WHEREOF, the parties to this Agreement have executed and delivered this Agreement as a deed on the date and year first above written. 62</w:t>
      </w:r>
    </w:p>
    <w:p>
      <w:pPr>
        <w:sectPr>
          <w:pgSz w:w="11900" w:h="16838" w:orient="portrait"/>
          <w:cols w:equalWidth="0" w:num="1">
            <w:col w:w="10980"/>
          </w:cols>
          <w:pgMar w:left="440" w:top="270" w:right="47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NAMES AND DATE OF ADMISSION OF LIMITED PARTNERS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900" w:type="dxa"/>
            <w:vAlign w:val="bottom"/>
          </w:tcPr>
          <w:p>
            <w:pPr>
              <w:spacing w:after="0"/>
              <w:rPr>
                <w:sz w:val="16"/>
                <w:szCs w:val="16"/>
                <w:color w:val="auto"/>
              </w:rPr>
            </w:pPr>
          </w:p>
        </w:tc>
        <w:tc>
          <w:tcPr>
            <w:tcW w:w="376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Date of Admission</w:t>
            </w:r>
          </w:p>
        </w:tc>
      </w:tr>
      <w:tr>
        <w:trPr>
          <w:trHeight w:val="185"/>
        </w:trPr>
        <w:tc>
          <w:tcPr>
            <w:tcW w:w="72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Tolerantia, LLC</w:t>
            </w:r>
          </w:p>
        </w:tc>
        <w:tc>
          <w:tcPr>
            <w:tcW w:w="1440" w:type="dxa"/>
            <w:vAlign w:val="bottom"/>
          </w:tcPr>
          <w:p>
            <w:pPr>
              <w:spacing w:after="0"/>
              <w:rPr>
                <w:sz w:val="16"/>
                <w:szCs w:val="16"/>
                <w:color w:val="auto"/>
              </w:rPr>
            </w:pPr>
          </w:p>
        </w:tc>
        <w:tc>
          <w:tcPr>
            <w:tcW w:w="23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5 August 2021</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 Empresarial de Capitales, S.A de C.V</w:t>
            </w:r>
          </w:p>
        </w:tc>
        <w:tc>
          <w:tcPr>
            <w:tcW w:w="3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5 August 2021</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Management Equity LLC</w:t>
            </w:r>
          </w:p>
        </w:tc>
        <w:tc>
          <w:tcPr>
            <w:tcW w:w="3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5 August 2021</w:t>
            </w:r>
          </w:p>
        </w:tc>
      </w:t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Corp. (formerly known as Social Capital Suvretta Holdings Corp. III)</w:t>
            </w:r>
          </w:p>
        </w:tc>
        <w:tc>
          <w:tcPr>
            <w:tcW w:w="37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11 July 2022</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PARTNER ADDRESSES, UNITS AND CAPITAL CONTRIBUTIONS OF PROKIDNEY LP</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Partner</w:t>
            </w:r>
          </w:p>
        </w:tc>
        <w:tc>
          <w:tcPr>
            <w:tcW w:w="220" w:type="dxa"/>
            <w:vAlign w:val="bottom"/>
            <w:vMerge w:val="restart"/>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486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Capital Contribution</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5"/>
                <w:szCs w:val="15"/>
                <w:color w:val="auto"/>
              </w:rPr>
            </w:pP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5"/>
                <w:szCs w:val="15"/>
                <w:color w:val="auto"/>
              </w:rPr>
            </w:pPr>
          </w:p>
        </w:tc>
        <w:tc>
          <w:tcPr>
            <w:tcW w:w="4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Partners</w:t>
      </w:r>
    </w:p>
    <w:p>
      <w:pPr>
        <w:sectPr>
          <w:pgSz w:w="11900" w:h="16838" w:orient="portrait"/>
          <w:cols w:equalWidth="0" w:num="1">
            <w:col w:w="11020"/>
          </w:cols>
          <w:pgMar w:left="440" w:top="266" w:right="439" w:bottom="144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Tolerantia, LLC</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94,677,968</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3,500,000 Series</w:t>
            </w:r>
          </w:p>
        </w:tc>
        <w:tc>
          <w:tcPr>
            <w:tcW w:w="0" w:type="dxa"/>
            <w:vAlign w:val="bottom"/>
          </w:tcPr>
          <w:p>
            <w:pPr>
              <w:spacing w:after="0"/>
              <w:rPr>
                <w:sz w:val="1"/>
                <w:szCs w:val="1"/>
                <w:color w:val="auto"/>
              </w:rPr>
            </w:pPr>
          </w:p>
        </w:tc>
      </w:tr>
      <w:tr>
        <w:trPr>
          <w:trHeight w:val="234"/>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2220" w:type="dxa"/>
            <w:vAlign w:val="bottom"/>
          </w:tcPr>
          <w:p>
            <w:pPr>
              <w:spacing w:after="0"/>
              <w:rPr>
                <w:sz w:val="20"/>
                <w:szCs w:val="20"/>
                <w:color w:val="auto"/>
              </w:rPr>
            </w:pP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RCUs</w:t>
            </w: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110 East 59th Street, Suite 3300 New York,</w:t>
            </w:r>
          </w:p>
        </w:tc>
        <w:tc>
          <w:tcPr>
            <w:tcW w:w="2020" w:type="dxa"/>
            <w:vAlign w:val="bottom"/>
          </w:tcPr>
          <w:p>
            <w:pPr>
              <w:ind w:left="800"/>
              <w:spacing w:after="0" w:line="198" w:lineRule="exact"/>
              <w:rPr>
                <w:sz w:val="20"/>
                <w:szCs w:val="20"/>
                <w:color w:val="auto"/>
              </w:rPr>
            </w:pPr>
            <w:r>
              <w:rPr>
                <w:rFonts w:ascii="Times New Roman" w:cs="Times New Roman" w:eastAsia="Times New Roman" w:hAnsi="Times New Roman"/>
                <w:sz w:val="18"/>
                <w:szCs w:val="18"/>
                <w:color w:val="auto"/>
                <w:w w:val="99"/>
              </w:rPr>
              <w:t>3,500,000 Series</w:t>
            </w:r>
          </w:p>
        </w:tc>
        <w:tc>
          <w:tcPr>
            <w:tcW w:w="0" w:type="dxa"/>
            <w:vAlign w:val="bottom"/>
          </w:tcPr>
          <w:p>
            <w:pPr>
              <w:spacing w:after="0"/>
              <w:rPr>
                <w:sz w:val="1"/>
                <w:szCs w:val="1"/>
                <w:color w:val="auto"/>
              </w:rPr>
            </w:pPr>
          </w:p>
        </w:tc>
      </w:tr>
      <w:tr>
        <w:trPr>
          <w:trHeight w:val="122"/>
        </w:trPr>
        <w:tc>
          <w:tcPr>
            <w:tcW w:w="3940" w:type="dxa"/>
            <w:vAlign w:val="bottom"/>
            <w:vMerge w:val="continue"/>
          </w:tcPr>
          <w:p>
            <w:pPr>
              <w:spacing w:after="0"/>
              <w:rPr>
                <w:sz w:val="10"/>
                <w:szCs w:val="10"/>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2 RCUs</w:t>
            </w:r>
          </w:p>
        </w:tc>
        <w:tc>
          <w:tcPr>
            <w:tcW w:w="0" w:type="dxa"/>
            <w:vAlign w:val="bottom"/>
          </w:tcPr>
          <w:p>
            <w:pPr>
              <w:spacing w:after="0"/>
              <w:rPr>
                <w:sz w:val="1"/>
                <w:szCs w:val="1"/>
                <w:color w:val="auto"/>
              </w:rPr>
            </w:pPr>
          </w:p>
        </w:tc>
      </w:tr>
      <w:tr>
        <w:trPr>
          <w:trHeight w:val="113"/>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NY 10022, United States</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40" w:type="dxa"/>
            <w:vAlign w:val="bottom"/>
            <w:vMerge w:val="continue"/>
          </w:tcPr>
          <w:p>
            <w:pPr>
              <w:spacing w:after="0"/>
              <w:rPr>
                <w:sz w:val="10"/>
                <w:szCs w:val="10"/>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3,500,000 Series</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 RCUs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40" w:firstLine="5"/>
        <w:spacing w:after="0" w:line="261" w:lineRule="auto"/>
        <w:tabs>
          <w:tab w:leader="none" w:pos="1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141,900,000 (representing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 of 93,900,000 Class A Units in ProKidney LLC, a subsequent cash contribution of $18 million and on 11 July 2022, a further cash contribution of $30,000,000)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$14,190 is an Equity Contribution</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and $141,885,810 is an Advance</w:t>
      </w:r>
    </w:p>
    <w:p>
      <w:pPr>
        <w:spacing w:after="0" w:line="129" w:lineRule="exact"/>
        <w:rPr>
          <w:sz w:val="20"/>
          <w:szCs w:val="20"/>
          <w:color w:val="auto"/>
        </w:rPr>
      </w:pPr>
    </w:p>
    <w:p>
      <w:pPr>
        <w:sectPr>
          <w:pgSz w:w="11900" w:h="16838" w:orient="portrait"/>
          <w:cols w:equalWidth="0" w:num="2">
            <w:col w:w="5960" w:space="200"/>
            <w:col w:w="4860"/>
          </w:cols>
          <w:pgMar w:left="440" w:top="266" w:right="4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Control Empresarial de Capitales, S.A. de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63,118,645</w:t>
            </w: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2,333,333 Series</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C.V.</w:t>
            </w:r>
          </w:p>
        </w:tc>
        <w:tc>
          <w:tcPr>
            <w:tcW w:w="116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 RCUs</w:t>
            </w:r>
          </w:p>
        </w:tc>
        <w:tc>
          <w:tcPr>
            <w:tcW w:w="0" w:type="dxa"/>
            <w:vAlign w:val="bottom"/>
          </w:tcPr>
          <w:p>
            <w:pPr>
              <w:spacing w:after="0"/>
              <w:rPr>
                <w:sz w:val="1"/>
                <w:szCs w:val="1"/>
                <w:color w:val="auto"/>
              </w:rPr>
            </w:pPr>
          </w:p>
        </w:tc>
      </w:tr>
      <w:tr>
        <w:trPr>
          <w:trHeight w:val="31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160" w:type="dxa"/>
            <w:vAlign w:val="bottom"/>
          </w:tcPr>
          <w:p>
            <w:pPr>
              <w:spacing w:after="0"/>
              <w:rPr>
                <w:sz w:val="24"/>
                <w:szCs w:val="24"/>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2,333,333 Series</w:t>
            </w:r>
          </w:p>
        </w:tc>
        <w:tc>
          <w:tcPr>
            <w:tcW w:w="0" w:type="dxa"/>
            <w:vAlign w:val="bottom"/>
          </w:tcPr>
          <w:p>
            <w:pPr>
              <w:spacing w:after="0"/>
              <w:rPr>
                <w:sz w:val="1"/>
                <w:szCs w:val="1"/>
                <w:color w:val="auto"/>
              </w:rPr>
            </w:pPr>
          </w:p>
        </w:tc>
      </w:tr>
      <w:tr>
        <w:trPr>
          <w:trHeight w:val="234"/>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Paseo de las Palmas 781, 3rd floor Lomas de</w:t>
            </w:r>
          </w:p>
        </w:tc>
        <w:tc>
          <w:tcPr>
            <w:tcW w:w="116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 RCUs</w:t>
            </w:r>
          </w:p>
        </w:tc>
        <w:tc>
          <w:tcPr>
            <w:tcW w:w="0" w:type="dxa"/>
            <w:vAlign w:val="bottom"/>
          </w:tcPr>
          <w:p>
            <w:pPr>
              <w:spacing w:after="0"/>
              <w:rPr>
                <w:sz w:val="1"/>
                <w:szCs w:val="1"/>
                <w:color w:val="auto"/>
              </w:rPr>
            </w:pPr>
          </w:p>
        </w:tc>
      </w:tr>
      <w:tr>
        <w:trPr>
          <w:trHeight w:val="103"/>
        </w:trPr>
        <w:tc>
          <w:tcPr>
            <w:tcW w:w="33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Chapultepec III Sección Alcaldía Miguel</w:t>
            </w:r>
          </w:p>
        </w:tc>
        <w:tc>
          <w:tcPr>
            <w:tcW w:w="1160" w:type="dxa"/>
            <w:vAlign w:val="bottom"/>
          </w:tcPr>
          <w:p>
            <w:pPr>
              <w:spacing w:after="0"/>
              <w:rPr>
                <w:sz w:val="18"/>
                <w:szCs w:val="18"/>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2,333,333 Series</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Hidalgo,</w:t>
            </w:r>
          </w:p>
        </w:tc>
        <w:tc>
          <w:tcPr>
            <w:tcW w:w="116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 RCUs</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C.P.11000, Mexico City, Mexico</w:t>
      </w:r>
    </w:p>
    <w:p>
      <w:pPr>
        <w:spacing w:after="0" w:line="17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br w:type="column"/>
      </w: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$94,600,000 (representing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 of 62,600,000 Class A Units in ProKidney LLC, a subsequent cash contribution of $12 million and on 11 July 2022, a further cash contribution of $20,000,000)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80" w:right="1900"/>
        <w:spacing w:after="0" w:line="423" w:lineRule="auto"/>
        <w:rPr>
          <w:sz w:val="20"/>
          <w:szCs w:val="20"/>
          <w:color w:val="auto"/>
        </w:rPr>
      </w:pPr>
      <w:r>
        <w:rPr>
          <w:rFonts w:ascii="Times New Roman" w:cs="Times New Roman" w:eastAsia="Times New Roman" w:hAnsi="Times New Roman"/>
          <w:sz w:val="18"/>
          <w:szCs w:val="18"/>
          <w:color w:val="auto"/>
        </w:rPr>
        <w:t>$94,600,000 is an Equity Contribution and nil Advances</w:t>
      </w:r>
    </w:p>
    <w:p>
      <w:pPr>
        <w:sectPr>
          <w:pgSz w:w="11900" w:h="16838" w:orient="portrait"/>
          <w:cols w:equalWidth="0" w:num="2">
            <w:col w:w="5960" w:space="200"/>
            <w:col w:w="4860"/>
          </w:cols>
          <w:pgMar w:left="440" w:top="266" w:right="439" w:bottom="1440" w:gutter="0" w:footer="0" w:header="0"/>
          <w:type w:val="continuous"/>
        </w:sectPr>
      </w:pPr>
    </w:p>
    <w:bookmarkStart w:id="244" w:name="page245"/>
    <w:bookmarkEnd w:id="24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Partner</w:t>
            </w:r>
          </w:p>
        </w:tc>
        <w:tc>
          <w:tcPr>
            <w:tcW w:w="12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73"/>
        </w:trPr>
        <w:tc>
          <w:tcPr>
            <w:tcW w:w="3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30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Management Equity LLC</w:t>
            </w:r>
          </w:p>
        </w:tc>
        <w:tc>
          <w:tcPr>
            <w:tcW w:w="102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w w:val="96"/>
              </w:rPr>
              <w:t>12,927,348</w:t>
            </w:r>
          </w:p>
        </w:tc>
        <w:tc>
          <w:tcPr>
            <w:tcW w:w="0" w:type="dxa"/>
            <w:vAlign w:val="bottom"/>
          </w:tcPr>
          <w:p>
            <w:pPr>
              <w:spacing w:after="0"/>
              <w:rPr>
                <w:sz w:val="1"/>
                <w:szCs w:val="1"/>
                <w:color w:val="auto"/>
              </w:rPr>
            </w:pPr>
          </w:p>
        </w:tc>
      </w:tr>
      <w:tr>
        <w:trPr>
          <w:trHeight w:val="3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 Par La Ville Road, Third Floor, Hamilton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HM11, Bermuda</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ProKidney Corp. (formerly known as Social 61,540,231 Capital Suvretta Holdings Corp. III)</w:t>
      </w:r>
    </w:p>
    <w:p>
      <w:pPr>
        <w:spacing w:after="0" w:line="67" w:lineRule="exact"/>
        <w:rPr>
          <w:sz w:val="20"/>
          <w:szCs w:val="20"/>
          <w:color w:val="auto"/>
        </w:rPr>
      </w:pPr>
    </w:p>
    <w:p>
      <w:pPr>
        <w:ind w:right="1580"/>
        <w:spacing w:after="0" w:line="282" w:lineRule="auto"/>
        <w:rPr>
          <w:sz w:val="20"/>
          <w:szCs w:val="20"/>
          <w:color w:val="auto"/>
        </w:rPr>
      </w:pPr>
      <w:r>
        <w:rPr>
          <w:rFonts w:ascii="Times New Roman" w:cs="Times New Roman" w:eastAsia="Times New Roman" w:hAnsi="Times New Roman"/>
          <w:sz w:val="18"/>
          <w:szCs w:val="18"/>
          <w:color w:val="auto"/>
        </w:rPr>
        <w:t>Admitted as a Limited Partner upon the Closing.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131" w:lineRule="exact"/>
        <w:rPr>
          <w:sz w:val="20"/>
          <w:szCs w:val="20"/>
          <w:color w:val="auto"/>
        </w:rPr>
      </w:pPr>
    </w:p>
    <w:p>
      <w:pPr>
        <w:ind w:right="1160"/>
        <w:spacing w:after="0" w:line="282" w:lineRule="auto"/>
        <w:rPr>
          <w:sz w:val="20"/>
          <w:szCs w:val="20"/>
          <w:color w:val="auto"/>
        </w:rPr>
      </w:pPr>
      <w:r>
        <w:rPr>
          <w:rFonts w:ascii="Times New Roman" w:cs="Times New Roman" w:eastAsia="Times New Roman" w:hAnsi="Times New Roman"/>
          <w:sz w:val="18"/>
          <w:szCs w:val="18"/>
          <w:color w:val="auto"/>
        </w:rPr>
        <w:t>317 University Avenue, Suite 200, Palo Alto, California 94301, United States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518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Capital Contribution</w:t>
            </w:r>
          </w:p>
        </w:tc>
        <w:tc>
          <w:tcPr>
            <w:tcW w:w="0" w:type="dxa"/>
            <w:vAlign w:val="bottom"/>
          </w:tcPr>
          <w:p>
            <w:pPr>
              <w:spacing w:after="0"/>
              <w:rPr>
                <w:sz w:val="1"/>
                <w:szCs w:val="1"/>
                <w:color w:val="auto"/>
              </w:rPr>
            </w:pPr>
          </w:p>
        </w:tc>
      </w:tr>
      <w:tr>
        <w:trPr>
          <w:trHeight w:val="187"/>
        </w:trPr>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5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9,276,039</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$6,050,001.41 ($1 of which represents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PMEL RCUs</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7,767,122 Class B Units in ProKidney LLC, $5,550,000 of which</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represents a cash contribution made on or about 17 January 2022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allocable to the issuance of the Class B-1 Units as of the Effective Date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$500,000.41 of which represents a cash contribution made on or</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about 1 June 2022 allocable to the issuance of the Class B-1 Units as of</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 June 2022)</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$606 is an Equity Contribution</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$6,049,395.41 is an Advance</w:t>
            </w:r>
          </w:p>
        </w:tc>
        <w:tc>
          <w:tcPr>
            <w:tcW w:w="0" w:type="dxa"/>
            <w:vAlign w:val="bottom"/>
          </w:tcPr>
          <w:p>
            <w:pPr>
              <w:spacing w:after="0"/>
              <w:rPr>
                <w:sz w:val="1"/>
                <w:szCs w:val="1"/>
                <w:color w:val="auto"/>
              </w:rPr>
            </w:pPr>
          </w:p>
        </w:tc>
      </w:tr>
      <w:tr>
        <w:trPr>
          <w:trHeight w:val="31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Nil</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$497,119,342.58 (representing an </w:t>
            </w:r>
            <w:r>
              <w:rPr>
                <w:rFonts w:ascii="Times New Roman" w:cs="Times New Roman" w:eastAsia="Times New Roman" w:hAnsi="Times New Roman"/>
                <w:sz w:val="18"/>
                <w:szCs w:val="18"/>
                <w:i w:val="1"/>
                <w:iCs w:val="1"/>
                <w:color w:val="auto"/>
              </w:rPr>
              <w:t>in-kind</w:t>
            </w:r>
            <w:r>
              <w:rPr>
                <w:rFonts w:ascii="Times New Roman" w:cs="Times New Roman" w:eastAsia="Times New Roman" w:hAnsi="Times New Roman"/>
                <w:sz w:val="18"/>
                <w:szCs w:val="18"/>
                <w:color w:val="auto"/>
              </w:rPr>
              <w:t xml:space="preserve"> Capital Contribution of</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170,723,961 Class B Common Shares, 9,276,039 Acquiror Class B</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PMEL RSRs in ProKidney Corp. and a cash contribution of</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$497,119,342.58)</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$49,711.93 is an Equity Contribution</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$497,069,630.65 is an Advance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-3325495</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4420" w:space="120"/>
            <w:col w:w="6480"/>
          </w:cols>
          <w:pgMar w:left="440" w:top="251" w:right="439" w:bottom="1440" w:gutter="0" w:footer="0" w:header="0"/>
        </w:sect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ProKidney Corp. GP Limited</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Nil</w:t>
            </w:r>
          </w:p>
        </w:tc>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w:t>
            </w:r>
          </w:p>
        </w:tc>
      </w:tr>
      <w:tr>
        <w:trPr>
          <w:trHeight w:val="33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 which</w:t>
            </w:r>
            <w:r>
              <w:rPr>
                <w:rFonts w:ascii="Times New Roman" w:cs="Times New Roman" w:eastAsia="Times New Roman" w:hAnsi="Times New Roman"/>
                <w:sz w:val="18"/>
                <w:szCs w:val="18"/>
                <w:color w:val="auto"/>
              </w:rPr>
              <w:t>:</w:t>
            </w: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70 Sir John Rogerson’s Quay, Dublin 2,</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 is an Equity Contribution</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15"/>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232,264,193</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17,500,000</w:t>
            </w:r>
          </w:p>
        </w:tc>
        <w:tc>
          <w:tcPr>
            <w:tcW w:w="23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RCUs and</w:t>
            </w:r>
          </w:p>
        </w:tc>
        <w:tc>
          <w:tcPr>
            <w:tcW w:w="23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9,276,039</w:t>
            </w:r>
          </w:p>
        </w:tc>
        <w:tc>
          <w:tcPr>
            <w:tcW w:w="238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PMEL RCUs</w:t>
            </w:r>
          </w:p>
        </w:tc>
        <w:tc>
          <w:tcPr>
            <w:tcW w:w="2380" w:type="dxa"/>
            <w:vAlign w:val="bottom"/>
          </w:tcPr>
          <w:p>
            <w:pPr>
              <w:spacing w:after="0"/>
              <w:rPr>
                <w:sz w:val="20"/>
                <w:szCs w:val="20"/>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51" w:right="439" w:bottom="1440" w:gutter="0" w:footer="0" w:header="0"/>
          <w:type w:val="continuous"/>
        </w:sectPr>
      </w:pPr>
    </w:p>
    <w:bookmarkStart w:id="245" w:name="page246"/>
    <w:bookmarkEnd w:id="245"/>
    <w:tbl>
      <w:tblPr>
        <w:tblLayout w:type="fixed"/>
        <w:tblInd w:w="0" w:type="dxa"/>
        <w:tblCellMar>
          <w:top w:w="0" w:type="dxa"/>
          <w:left w:w="0" w:type="dxa"/>
          <w:bottom w:w="0" w:type="dxa"/>
          <w:right w:w="0" w:type="dxa"/>
        </w:tblCellMar>
      </w:tblP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and Delivered as a Deed</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and as the deed, of</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PROKIDNEY GP LIMITED</w:t>
            </w:r>
          </w:p>
        </w:tc>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Jaime Gomez Sotomayor</w:t>
            </w:r>
          </w:p>
        </w:tc>
        <w:tc>
          <w:tcPr>
            <w:tcW w:w="0" w:type="dxa"/>
            <w:vAlign w:val="bottom"/>
          </w:tcPr>
          <w:p>
            <w:pPr>
              <w:spacing w:after="0"/>
              <w:rPr>
                <w:sz w:val="1"/>
                <w:szCs w:val="1"/>
                <w:color w:val="auto"/>
              </w:rPr>
            </w:pPr>
          </w:p>
        </w:tc>
      </w:tr>
      <w:tr>
        <w:trPr>
          <w:trHeight w:val="22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its lawfully appointed attorney</w:t>
            </w:r>
          </w:p>
        </w:tc>
        <w:tc>
          <w:tcPr>
            <w:tcW w:w="3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Jaime Gomez Sotomayor</w:t>
            </w:r>
          </w:p>
        </w:tc>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Jaime Gomez Sotomayor</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Lawfully Appointed Attorney</w:t>
            </w:r>
          </w:p>
        </w:tc>
        <w:tc>
          <w:tcPr>
            <w:tcW w:w="0" w:type="dxa"/>
            <w:vAlign w:val="bottom"/>
          </w:tcPr>
          <w:p>
            <w:pPr>
              <w:spacing w:after="0"/>
              <w:rPr>
                <w:sz w:val="1"/>
                <w:szCs w:val="1"/>
                <w:color w:val="auto"/>
              </w:rPr>
            </w:pPr>
          </w:p>
        </w:tc>
      </w:tr>
      <w:tr>
        <w:trPr>
          <w:trHeight w:val="33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Erika Santiago Hernandez</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Erika Santiago Hernandez</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and Delivered as a Deed</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and as the deed, of</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PROKIDNEY CORP. GP LIMITED</w:t>
            </w:r>
          </w:p>
        </w:tc>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Jaime Gomez Sotomayor</w:t>
            </w:r>
          </w:p>
        </w:tc>
        <w:tc>
          <w:tcPr>
            <w:tcW w:w="0" w:type="dxa"/>
            <w:vAlign w:val="bottom"/>
          </w:tcPr>
          <w:p>
            <w:pPr>
              <w:spacing w:after="0"/>
              <w:rPr>
                <w:sz w:val="1"/>
                <w:szCs w:val="1"/>
                <w:color w:val="auto"/>
              </w:rPr>
            </w:pPr>
          </w:p>
        </w:tc>
      </w:tr>
      <w:tr>
        <w:trPr>
          <w:trHeight w:val="22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its lawfully appointed attorney</w:t>
            </w:r>
          </w:p>
        </w:tc>
        <w:tc>
          <w:tcPr>
            <w:tcW w:w="3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Jaime Gomez Sotomayor</w:t>
            </w:r>
          </w:p>
        </w:tc>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Jaime Gomez Sotomayor</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Lawfully Appointed Attorney</w:t>
            </w:r>
          </w:p>
        </w:tc>
        <w:tc>
          <w:tcPr>
            <w:tcW w:w="0" w:type="dxa"/>
            <w:vAlign w:val="bottom"/>
          </w:tcPr>
          <w:p>
            <w:pPr>
              <w:spacing w:after="0"/>
              <w:rPr>
                <w:sz w:val="1"/>
                <w:szCs w:val="1"/>
                <w:color w:val="auto"/>
              </w:rPr>
            </w:pPr>
          </w:p>
        </w:tc>
      </w:tr>
      <w:tr>
        <w:trPr>
          <w:trHeight w:val="3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Erika Santiago Hernandez</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Erika Santiago Hernandez</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2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2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Second Amended and Restated Limited Partnership Agreement for a Limited</w:t>
      </w:r>
    </w:p>
    <w:p>
      <w:pPr>
        <w:spacing w:after="0" w:line="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Partnership called ProKidney LP</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1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Executed and Delivered as a Deed by</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TOLERANTIA, LLC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 Jaime Gomez Sotomayor</w:t>
            </w:r>
          </w:p>
        </w:tc>
        <w:tc>
          <w:tcPr>
            <w:tcW w:w="0" w:type="dxa"/>
            <w:vAlign w:val="bottom"/>
          </w:tcPr>
          <w:p>
            <w:pPr>
              <w:spacing w:after="0"/>
              <w:rPr>
                <w:sz w:val="1"/>
                <w:szCs w:val="1"/>
                <w:color w:val="auto"/>
              </w:rPr>
            </w:pPr>
          </w:p>
        </w:tc>
      </w:tr>
      <w:tr>
        <w:trPr>
          <w:trHeight w:val="45"/>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60" w:type="dxa"/>
            <w:vAlign w:val="bottom"/>
            <w:gridSpan w:val="2"/>
            <w:vMerge w:val="continue"/>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Jaime Gomez Sotomayor</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3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Erika Santiago Hernandez</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Erika Santiago Hernandez</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Executed and Delivered as a Deed by</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 EMPRESARIAL DE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 Armando Ibañez Vázquez</w:t>
            </w:r>
          </w:p>
        </w:tc>
        <w:tc>
          <w:tcPr>
            <w:tcW w:w="0" w:type="dxa"/>
            <w:vAlign w:val="bottom"/>
          </w:tcPr>
          <w:p>
            <w:pPr>
              <w:spacing w:after="0"/>
              <w:rPr>
                <w:sz w:val="1"/>
                <w:szCs w:val="1"/>
                <w:color w:val="auto"/>
              </w:rPr>
            </w:pPr>
          </w:p>
        </w:tc>
      </w:tr>
      <w:tr>
        <w:trPr>
          <w:trHeight w:val="49"/>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CAPITALES, S.A. DE C.V.</w:t>
            </w:r>
          </w:p>
        </w:tc>
        <w:tc>
          <w:tcPr>
            <w:tcW w:w="3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35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Armando Ibañez Vázquez</w:t>
            </w:r>
          </w:p>
        </w:tc>
        <w:tc>
          <w:tcPr>
            <w:tcW w:w="0" w:type="dxa"/>
            <w:vAlign w:val="bottom"/>
          </w:tcPr>
          <w:p>
            <w:pPr>
              <w:spacing w:after="0"/>
              <w:rPr>
                <w:sz w:val="1"/>
                <w:szCs w:val="1"/>
                <w:color w:val="auto"/>
              </w:rPr>
            </w:pPr>
          </w:p>
        </w:tc>
      </w:tr>
      <w:tr>
        <w:trPr>
          <w:trHeight w:val="270"/>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0" w:type="dxa"/>
            <w:vAlign w:val="bottom"/>
          </w:tcPr>
          <w:p>
            <w:pPr>
              <w:spacing w:after="0"/>
              <w:rPr>
                <w:sz w:val="1"/>
                <w:szCs w:val="1"/>
                <w:color w:val="auto"/>
              </w:rPr>
            </w:pPr>
          </w:p>
        </w:tc>
      </w:tr>
      <w:tr>
        <w:trPr>
          <w:trHeight w:val="33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 Ignacio Jimenez Santos</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 Ignacio Jimenez Santos</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 Address:</w:t>
            </w:r>
          </w:p>
        </w:tc>
        <w:tc>
          <w:tcPr>
            <w:tcW w:w="3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Second Amended and Restated Limited Partnership Agreement for a Limited</w:t>
      </w:r>
    </w:p>
    <w:p>
      <w:pPr>
        <w:spacing w:after="0" w:line="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Partnership called ProKidney LP</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Signed and Delivered as a Deed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PROKIDNEY MANAGEMENT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LLC</w:t>
      </w: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in the presence of:</w:t>
      </w:r>
      <w:r>
        <w:rPr>
          <w:sz w:val="20"/>
          <w:szCs w:val="20"/>
          <w:color w:val="auto"/>
        </w:rPr>
        <w:tab/>
      </w:r>
      <w:r>
        <w:rPr>
          <w:rFonts w:ascii="Times New Roman" w:cs="Times New Roman" w:eastAsia="Times New Roman" w:hAnsi="Times New Roman"/>
          <w:sz w:val="18"/>
          <w:szCs w:val="18"/>
          <w:color w:val="auto"/>
        </w:rPr>
        <w:t>/s/ Jaime Gomez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4445</wp:posOffset>
            </wp:positionV>
            <wp:extent cx="22199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Jaime Gomez Sotomayor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For and on behalf of Tolerantia, LLC, in its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capacity as manager of ProKidney Management</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Equity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Erika Santiago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21170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Erika Santiago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117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117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117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a Deed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CAPITAL SUVRETTA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HOLDINGS CORP. III</w:t>
      </w: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in the presence of:</w:t>
      </w:r>
      <w:r>
        <w:rPr>
          <w:sz w:val="20"/>
          <w:szCs w:val="20"/>
          <w:color w:val="auto"/>
        </w:rPr>
        <w:tab/>
      </w:r>
      <w:r>
        <w:rPr>
          <w:rFonts w:ascii="Times New Roman" w:cs="Times New Roman" w:eastAsia="Times New Roman" w:hAnsi="Times New Roman"/>
          <w:sz w:val="18"/>
          <w:szCs w:val="18"/>
          <w:color w:val="auto"/>
        </w:rPr>
        <w:t>/s/ Kishan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4445</wp:posOffset>
            </wp:positionV>
            <wp:extent cx="22199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Kishan Mehta</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21170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117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1170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117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Second Amended and Restated Limited Partnership Agreement for a Limited</w:t>
      </w:r>
    </w:p>
    <w:p>
      <w:pPr>
        <w:spacing w:after="0" w:line="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Partnership called ProKidney LP</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INCENTIVE EQUITY PLAN</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ProKidney Corp. Incentive Equity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promote the long-term success of ProKidney Corp., a Cayman Island exempted company limited by shares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motivating employees and other individuals to perform at the highest level and contributing significantly to the success of the Company, thereby furthering the best interests of the Company and its shareholders. The Plan shall serve as the primary plan under which equity-based incentives are awarded on a worldwide basis to Participants.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the Plan, the following terms shall have the meanings set forth below:</w:t>
      </w:r>
    </w:p>
    <w:p>
      <w:pPr>
        <w:spacing w:after="0" w:line="223" w:lineRule="exact"/>
        <w:rPr>
          <w:sz w:val="20"/>
          <w:szCs w:val="20"/>
          <w:color w:val="auto"/>
        </w:rPr>
      </w:pPr>
    </w:p>
    <w:p>
      <w:pPr>
        <w:ind w:left="320" w:right="520" w:firstLine="754"/>
        <w:spacing w:after="0" w:line="286" w:lineRule="auto"/>
        <w:tabs>
          <w:tab w:leader="none" w:pos="131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entity that, directly or indirectly through one or more intermediaries controls, is controlled by or is under common control with, the Company.</w:t>
      </w:r>
    </w:p>
    <w:p>
      <w:pPr>
        <w:spacing w:after="0" w:line="154" w:lineRule="exact"/>
        <w:rPr>
          <w:rFonts w:ascii="Times New Roman" w:cs="Times New Roman" w:eastAsia="Times New Roman" w:hAnsi="Times New Roman"/>
          <w:sz w:val="18"/>
          <w:szCs w:val="18"/>
          <w:color w:val="auto"/>
        </w:rPr>
      </w:pPr>
    </w:p>
    <w:p>
      <w:pPr>
        <w:ind w:left="320" w:right="520" w:firstLine="754"/>
        <w:spacing w:after="0" w:line="286" w:lineRule="auto"/>
        <w:tabs>
          <w:tab w:leader="none" w:pos="132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amended and restated articles of memorandum of association of the Company, as may be amended and/or restated from time to time.</w:t>
      </w:r>
    </w:p>
    <w:p>
      <w:pPr>
        <w:spacing w:after="0" w:line="154" w:lineRule="exact"/>
        <w:rPr>
          <w:rFonts w:ascii="Times New Roman" w:cs="Times New Roman" w:eastAsia="Times New Roman" w:hAnsi="Times New Roman"/>
          <w:sz w:val="18"/>
          <w:szCs w:val="18"/>
          <w:color w:val="auto"/>
        </w:rPr>
      </w:pPr>
    </w:p>
    <w:p>
      <w:pPr>
        <w:ind w:left="320" w:right="460" w:firstLine="754"/>
        <w:spacing w:after="0" w:line="286" w:lineRule="auto"/>
        <w:tabs>
          <w:tab w:leader="none" w:pos="131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SAR, Restricted Stock, RSU, Performance Award, Other Cash-Based Award or Other Stock-Based Award granted under the Plan.</w:t>
      </w:r>
    </w:p>
    <w:p>
      <w:pPr>
        <w:spacing w:after="0" w:line="154" w:lineRule="exact"/>
        <w:rPr>
          <w:rFonts w:ascii="Times New Roman" w:cs="Times New Roman" w:eastAsia="Times New Roman" w:hAnsi="Times New Roman"/>
          <w:sz w:val="18"/>
          <w:szCs w:val="18"/>
          <w:color w:val="auto"/>
        </w:rPr>
      </w:pPr>
    </w:p>
    <w:p>
      <w:pPr>
        <w:ind w:left="320" w:right="160" w:firstLine="754"/>
        <w:spacing w:after="0" w:line="286" w:lineRule="auto"/>
        <w:tabs>
          <w:tab w:leader="none" w:pos="132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any agreement, contract or other instrument or document (including in electronic form) evidencing any Award granted under the Plan, which may, but need not, be executed or acknowledged by a Participant.</w:t>
      </w:r>
    </w:p>
    <w:p>
      <w:pPr>
        <w:spacing w:after="0" w:line="154" w:lineRule="exact"/>
        <w:rPr>
          <w:rFonts w:ascii="Times New Roman" w:cs="Times New Roman" w:eastAsia="Times New Roman" w:hAnsi="Times New Roman"/>
          <w:sz w:val="18"/>
          <w:szCs w:val="18"/>
          <w:color w:val="auto"/>
        </w:rPr>
      </w:pPr>
    </w:p>
    <w:p>
      <w:pPr>
        <w:ind w:left="1320" w:hanging="246"/>
        <w:spacing w:after="0"/>
        <w:tabs>
          <w:tab w:leader="none" w:pos="1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ascribed to such term in Rule 13d-3 under the Exchange Act.</w:t>
      </w:r>
    </w:p>
    <w:p>
      <w:pPr>
        <w:spacing w:after="0" w:line="225" w:lineRule="exact"/>
        <w:rPr>
          <w:rFonts w:ascii="Times New Roman" w:cs="Times New Roman" w:eastAsia="Times New Roman" w:hAnsi="Times New Roman"/>
          <w:sz w:val="18"/>
          <w:szCs w:val="18"/>
          <w:color w:val="auto"/>
        </w:rPr>
      </w:pPr>
    </w:p>
    <w:p>
      <w:pPr>
        <w:ind w:left="320" w:right="140" w:firstLine="754"/>
        <w:spacing w:after="0" w:line="262" w:lineRule="auto"/>
        <w:tabs>
          <w:tab w:leader="none" w:pos="129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means a Person entitled to receive payments or other benefits or exercise rights that are available under the Plan in the event of a Participant’s death. If no such Person can be named or is named by a Participant, or if no Beneficiary designated by a Participant is eligible to receive payments or other benefits or exercise rights that are available under the Plan at a Participant’s death, such Participant’s Beneficiary shall be such Participant’s estate.</w:t>
      </w:r>
    </w:p>
    <w:p>
      <w:pPr>
        <w:spacing w:after="0" w:line="176" w:lineRule="exact"/>
        <w:rPr>
          <w:rFonts w:ascii="Times New Roman" w:cs="Times New Roman" w:eastAsia="Times New Roman" w:hAnsi="Times New Roman"/>
          <w:sz w:val="18"/>
          <w:szCs w:val="18"/>
          <w:color w:val="auto"/>
        </w:rPr>
      </w:pPr>
    </w:p>
    <w:p>
      <w:pPr>
        <w:ind w:left="1320" w:hanging="246"/>
        <w:spacing w:after="0"/>
        <w:tabs>
          <w:tab w:leader="none" w:pos="1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320" w:right="40" w:firstLine="754"/>
        <w:spacing w:after="0" w:line="262" w:lineRule="auto"/>
        <w:tabs>
          <w:tab w:leader="none" w:pos="132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January 18, 2022, made and entered into by and between Social Capital Suvretta Holdings Corp. III, a Cayman Islands exempted company limited by shares, and ProKidney LP, a limited partnership organized under the laws of Ireland, acting through its general partner ProKidney GP Limited, a private limited company incorporated under the laws of Ireland.</w:t>
      </w:r>
    </w:p>
    <w:p>
      <w:pPr>
        <w:sectPr>
          <w:pgSz w:w="11900" w:h="16838" w:orient="portrait"/>
          <w:cols w:equalWidth="0" w:num="1">
            <w:col w:w="11020"/>
          </w:cols>
          <w:pgMar w:left="440" w:top="117" w:right="439" w:bottom="1440" w:gutter="0" w:footer="0" w:header="0"/>
        </w:sectPr>
      </w:pPr>
    </w:p>
    <w:bookmarkStart w:id="249" w:name="page250"/>
    <w:bookmarkEnd w:id="249"/>
    <w:p>
      <w:pPr>
        <w:ind w:left="-680" w:firstLine="754"/>
        <w:spacing w:after="0" w:line="252" w:lineRule="auto"/>
        <w:tabs>
          <w:tab w:leader="none" w:pos="28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is as defined in Participant’s Service Agreement, if any, or Award Agreement or, if not so defined, means: (i) any theft, fraud, embezzlement, dishonesty, willful misconduct, breach of fiduciary duty for personal profit, falsification of any documents or records of the Company or any of its Affiliates, felony or similar act by Participant (whether or not related to Participant’s relationship with the Company); (ii) an act of moral turpitude by Participant, or any act that causes significant injury to, or is otherwise adversely affecting, the reputation, business, assets, operations or business relationship of the Company (or a Subsidiary or Affiliate, when applicable); (iii) any breach by Participant of any material agreement with or of any material duty of Participant to the Company or any Subsidiary or Affiliate thereof (including breach of confidentiality, non-disclosure, non-use non-competition or non-solicitation covenants towards the Company or any of its Affiliates) or failure to abide by code of conduct or other policies (including, without limitation, policies relating to confidentiality and reasonable workplace conduct); or (iv) any act which constitutes a breach of a Participant’s fiduciary duty towards the Company or an Affiliate or Subsidiary,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Participant’s unauthorized use, misappropriation, destruction, or diversion of any tangible or intangible asset or corporate opportunity of the Company or any of its Affiliates (including, without limitation, the improper use or disclosure of confidential or proprietary information); or (vi) any circumstances that constitute grounds for termination for cause under Participant’s Service Agreement with the Company or Affiliate, to the extent applicable. For the avoidance of doubt, the determination as to whether a termination is for Cause for purposes of this Plan, shall be made in good faith by the Committee and shall be final and binding on Participant.</w:t>
      </w:r>
    </w:p>
    <w:p>
      <w:pPr>
        <w:spacing w:after="0" w:line="194" w:lineRule="exact"/>
        <w:rPr>
          <w:rFonts w:ascii="Times New Roman" w:cs="Times New Roman" w:eastAsia="Times New Roman" w:hAnsi="Times New Roman"/>
          <w:sz w:val="18"/>
          <w:szCs w:val="18"/>
          <w:color w:val="auto"/>
        </w:rPr>
      </w:pPr>
    </w:p>
    <w:p>
      <w:pPr>
        <w:ind w:left="280" w:hanging="206"/>
        <w:spacing w:after="0"/>
        <w:tabs>
          <w:tab w:leader="none" w:pos="2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one or more of the following events:</w:t>
      </w:r>
    </w:p>
    <w:p>
      <w:pPr>
        <w:spacing w:after="0" w:line="121" w:lineRule="exact"/>
        <w:rPr>
          <w:rFonts w:ascii="Times New Roman" w:cs="Times New Roman" w:eastAsia="Times New Roman" w:hAnsi="Times New Roman"/>
          <w:sz w:val="18"/>
          <w:szCs w:val="18"/>
          <w:color w:val="auto"/>
        </w:rPr>
      </w:pPr>
    </w:p>
    <w:p>
      <w:pPr>
        <w:ind w:left="100" w:right="60" w:firstLine="394"/>
        <w:spacing w:after="0" w:line="254" w:lineRule="auto"/>
        <w:tabs>
          <w:tab w:leader="none" w:pos="71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other than (A) any employee plan established by the Company or any Subsidiary, (B) the Company or any of its Affiliates, (C) an underwriter temporarily holding securities pursuant to an offering of such securities, or (D) an entity owned, directly or indirectly, by shareholders of the Company in substantially the same proportions as their ownership of the Company, is (or becomes, during any 12-month period)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total voting power of the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subsection (i) are not intended to apply to or include as a Change in Control any transaction that is specifically excepted from the definition of Change in Control under subsection (iii) below;</w:t>
      </w:r>
    </w:p>
    <w:p>
      <w:pPr>
        <w:sectPr>
          <w:pgSz w:w="11900" w:h="16838" w:orient="portrait"/>
          <w:cols w:equalWidth="0" w:num="1">
            <w:col w:w="10000"/>
          </w:cols>
          <w:pgMar w:left="1440" w:top="266" w:right="459" w:bottom="1440" w:gutter="0" w:footer="0" w:header="0"/>
        </w:sectPr>
      </w:pPr>
    </w:p>
    <w:bookmarkStart w:id="250" w:name="page251"/>
    <w:bookmarkEnd w:id="250"/>
    <w:p>
      <w:pPr>
        <w:ind w:left="100" w:firstLine="394"/>
        <w:spacing w:after="0" w:line="253" w:lineRule="auto"/>
        <w:tabs>
          <w:tab w:leader="none" w:pos="7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the composition of the Board such that, during any 12-month period, the individuals who, as of the beginning of such period, constitute the Board (the “</w:t>
      </w:r>
      <w:r>
        <w:rPr>
          <w:rFonts w:ascii="Times New Roman" w:cs="Times New Roman" w:eastAsia="Times New Roman" w:hAnsi="Times New Roman"/>
          <w:sz w:val="18"/>
          <w:szCs w:val="18"/>
          <w:b w:val="1"/>
          <w:bCs w:val="1"/>
          <w:color w:val="auto"/>
        </w:rPr>
        <w:t>Existing Board</w:t>
      </w:r>
      <w:r>
        <w:rPr>
          <w:rFonts w:ascii="Times New Roman" w:cs="Times New Roman" w:eastAsia="Times New Roman" w:hAnsi="Times New Roman"/>
          <w:sz w:val="18"/>
          <w:szCs w:val="18"/>
          <w:color w:val="auto"/>
        </w:rPr>
        <w:t xml:space="preserve">”) cease for any reason to constitute at least 50%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individual becoming a member of the Board subsequent to the beginning of such period whose election, or nomination for election by the Company’s shareholders, was approved by a vote of at least a majority of the Directors immediately prior to the date of such appointment or election shall be considered as though such individual were a member of the Existing Board;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86" w:lineRule="exact"/>
        <w:rPr>
          <w:rFonts w:ascii="Times New Roman" w:cs="Times New Roman" w:eastAsia="Times New Roman" w:hAnsi="Times New Roman"/>
          <w:sz w:val="18"/>
          <w:szCs w:val="18"/>
          <w:color w:val="auto"/>
        </w:rPr>
      </w:pPr>
    </w:p>
    <w:p>
      <w:pPr>
        <w:ind w:left="100" w:right="40" w:firstLine="394"/>
        <w:spacing w:after="0" w:line="253" w:lineRule="auto"/>
        <w:tabs>
          <w:tab w:leader="none" w:pos="8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merger, amalgamation or consolidation of the Company with any other corporation or other entity, or the issuance of voting securities in connection with such a transaction pursuant to applicable stock exchange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following such transaction the voting securities of the Company outstanding immediately prior thereto do not continue to represent (either by remaining outstanding or by being converted into voting securities of the surviving entity of such transaction or parent entity thereof) 50% or more of the total voting power of the Company’s stock (or, if the Company is not the surviving entity of such merger or consolidation, 50% or more of the total voting power and total fair market value of the stock of such surviving entity or parent entity thereof);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Shares or the combined voting power and total fair market value of the Company’s then-outstanding voting securities shall not be considered a Change in Control; or</w:t>
      </w:r>
    </w:p>
    <w:p>
      <w:pPr>
        <w:spacing w:after="0" w:line="81" w:lineRule="exact"/>
        <w:rPr>
          <w:rFonts w:ascii="Times New Roman" w:cs="Times New Roman" w:eastAsia="Times New Roman" w:hAnsi="Times New Roman"/>
          <w:sz w:val="18"/>
          <w:szCs w:val="18"/>
          <w:color w:val="auto"/>
        </w:rPr>
      </w:pPr>
    </w:p>
    <w:p>
      <w:pPr>
        <w:ind w:left="100" w:right="120" w:firstLine="394"/>
        <w:spacing w:after="0" w:line="261" w:lineRule="auto"/>
        <w:tabs>
          <w:tab w:leader="none" w:pos="80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by the Company of all or substantially all of the Company’s assets in which any Person acquires (or has acquired during the 12-month period ending on the date of the most recent acquisition by such Person) assets from the Company that have a total gross fair market value equal to more than 50% of the total gross fair market value of all of the assets of the Company immediately prior to such acquisition or acquisitions.</w:t>
      </w:r>
    </w:p>
    <w:p>
      <w:pPr>
        <w:sectPr>
          <w:pgSz w:w="11900" w:h="16838" w:orient="portrait"/>
          <w:cols w:equalWidth="0" w:num="1">
            <w:col w:w="10000"/>
          </w:cols>
          <w:pgMar w:left="1440" w:top="270" w:right="459" w:bottom="1440" w:gutter="0" w:footer="0" w:header="0"/>
        </w:sectPr>
      </w:pPr>
    </w:p>
    <w:bookmarkStart w:id="251" w:name="page252"/>
    <w:bookmarkEnd w:id="2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 no Change in Control shall be deemed to have occurred if there is consummated any transaction or series of integrated transactions immediately following which the record holders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 and (B) no Change in Control shall be deemed to have occurred upon the acquisition of additional control of the Company by any Person that is considered to effectively control the Company. In no event will a Change in Control be deemed to have occurred if any Participant is part of a “group” within the meaning of Section 13(d)(3) of the Exchange Act that effects a Change in Control. Notwithstanding the foregoing or any provision of any Award Agreement to the contrary, for any Award that provides for accelerated distribution on a Change in Control of amounts that constitute “deferred compensation” (as defined in Section 409A of the Code), if the event that constitutes such Change in Control does not also constitute a change in the ownership or effective control of the Company, or in the ownership of a substantial portion of the Company’s assets (in either case, as defined in Section 409A of the Code), such amount shall not be distributed on such Change in Control but instead shall vest as of such Change in Control and shall be distributed on the scheduled payment date specified in the applicable Award Agreement, except to the extent that earlier distribution would not result in the Participant who holds such Award incurring interest or additional tax under Section 409A of the Code.</w:t>
      </w:r>
    </w:p>
    <w:p>
      <w:pPr>
        <w:spacing w:after="0" w:line="183" w:lineRule="exact"/>
        <w:rPr>
          <w:sz w:val="20"/>
          <w:szCs w:val="20"/>
          <w:color w:val="auto"/>
        </w:rPr>
      </w:pPr>
    </w:p>
    <w:p>
      <w:pPr>
        <w:ind w:right="40" w:firstLine="754"/>
        <w:spacing w:after="0" w:line="286" w:lineRule="auto"/>
        <w:tabs>
          <w:tab w:leader="none" w:pos="100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and the rules, regulations and guidance thereunder. Any reference to a provision in the Code shall include any successor provision thereto.</w:t>
      </w:r>
    </w:p>
    <w:p>
      <w:pPr>
        <w:spacing w:after="0" w:line="154" w:lineRule="exact"/>
        <w:rPr>
          <w:rFonts w:ascii="Times New Roman" w:cs="Times New Roman" w:eastAsia="Times New Roman" w:hAnsi="Times New Roman"/>
          <w:sz w:val="18"/>
          <w:szCs w:val="18"/>
          <w:color w:val="auto"/>
        </w:rPr>
      </w:pPr>
    </w:p>
    <w:p>
      <w:pPr>
        <w:ind w:right="120" w:firstLine="754"/>
        <w:spacing w:after="0" w:line="268" w:lineRule="auto"/>
        <w:tabs>
          <w:tab w:leader="none" w:pos="96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unless another committee is designated by the Board. If there is no compensation committee of the Board and the Board does not designate another committee, references herein to the “Committee” shall refer to the Board.</w:t>
      </w:r>
    </w:p>
    <w:p>
      <w:pPr>
        <w:spacing w:after="0" w:line="170" w:lineRule="exact"/>
        <w:rPr>
          <w:rFonts w:ascii="Times New Roman" w:cs="Times New Roman" w:eastAsia="Times New Roman" w:hAnsi="Times New Roman"/>
          <w:sz w:val="18"/>
          <w:szCs w:val="18"/>
          <w:color w:val="auto"/>
        </w:rPr>
      </w:pPr>
    </w:p>
    <w:p>
      <w:pPr>
        <w:ind w:right="120" w:firstLine="754"/>
        <w:spacing w:after="0" w:line="262" w:lineRule="auto"/>
        <w:tabs>
          <w:tab w:leader="none" w:pos="105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means any individual, including an advisor, who is providing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to the Company or any Subsidiary or who has accepted an offer of service or consultancy from the Company or any Subsidiary. For purposes of the Plan, in the case of a Consultant, references to employment shall be deemed to refer to such Consultant’s service in such capacity, but in no event shall the Plan or any action taken hereunder be construed to create an employer-employee relationship between any such Consultant and the Company or of any of its Affiliates.</w:t>
      </w:r>
    </w:p>
    <w:p>
      <w:pPr>
        <w:spacing w:after="0" w:line="176" w:lineRule="exact"/>
        <w:rPr>
          <w:rFonts w:ascii="Times New Roman" w:cs="Times New Roman" w:eastAsia="Times New Roman" w:hAnsi="Times New Roman"/>
          <w:sz w:val="18"/>
          <w:szCs w:val="18"/>
          <w:color w:val="auto"/>
        </w:rPr>
      </w:pPr>
    </w:p>
    <w:p>
      <w:pPr>
        <w:ind w:left="1000" w:hanging="246"/>
        <w:spacing w:after="0"/>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any member of the Board.</w:t>
      </w:r>
    </w:p>
    <w:p>
      <w:pPr>
        <w:spacing w:after="0" w:line="225" w:lineRule="exact"/>
        <w:rPr>
          <w:rFonts w:ascii="Times New Roman" w:cs="Times New Roman" w:eastAsia="Times New Roman" w:hAnsi="Times New Roman"/>
          <w:sz w:val="18"/>
          <w:szCs w:val="18"/>
          <w:color w:val="auto"/>
        </w:rPr>
      </w:pPr>
    </w:p>
    <w:p>
      <w:pPr>
        <w:ind w:firstLine="754"/>
        <w:spacing w:after="0" w:line="259" w:lineRule="auto"/>
        <w:tabs>
          <w:tab w:leader="none" w:pos="100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in accordance with the definition of total and permanent disability as defined in Code Section 22(e)(3), provided that in the case of Awards other than Incentive Stock Options, the Committee in its discretion may determine whether a permanent and total disability exists in accordance with uniform and non-discriminatory standards adopted by the Committee from time to time.</w:t>
      </w:r>
    </w:p>
    <w:p>
      <w:pPr>
        <w:sectPr>
          <w:pgSz w:w="11900" w:h="16838" w:orient="portrait"/>
          <w:cols w:equalWidth="0" w:num="1">
            <w:col w:w="10680"/>
          </w:cols>
          <w:pgMar w:left="760" w:top="270" w:right="459" w:bottom="1440" w:gutter="0" w:footer="0" w:header="0"/>
        </w:sectPr>
      </w:pPr>
    </w:p>
    <w:bookmarkStart w:id="252" w:name="page253"/>
    <w:bookmarkEnd w:id="252"/>
    <w:p>
      <w:pPr>
        <w:ind w:right="220" w:firstLine="754"/>
        <w:spacing w:after="0" w:line="286" w:lineRule="auto"/>
        <w:tabs>
          <w:tab w:leader="none" w:pos="10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later of (i) the date on which the Plan is adopted by the Board and approved by the shareholders of the Company, and (ii) July 11, 2022.</w:t>
      </w:r>
    </w:p>
    <w:p>
      <w:pPr>
        <w:spacing w:after="0" w:line="154" w:lineRule="exact"/>
        <w:rPr>
          <w:rFonts w:ascii="Times New Roman" w:cs="Times New Roman" w:eastAsia="Times New Roman" w:hAnsi="Times New Roman"/>
          <w:sz w:val="18"/>
          <w:szCs w:val="18"/>
          <w:color w:val="auto"/>
        </w:rPr>
      </w:pPr>
    </w:p>
    <w:p>
      <w:pPr>
        <w:ind w:firstLine="754"/>
        <w:spacing w:after="0" w:line="257" w:lineRule="auto"/>
        <w:tabs>
          <w:tab w:leader="none" w:pos="10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means any individual, including any officer, employed by the Company or any Subsidiary or any prospective employee or officer who has accepted an offer of employment from the Company or any Subsidiary, with the status of employment determined based upon such factors as are deemed appropriate by the Committee in its discretion, subject to any requirements of the Code or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person may not receive any payment or exercise any right relating to an Award until such person has commenced employment or service with the Company or its Subsidiaries. An employee on an approved leave of absence (including parental leave) shall be considered as still in the employment of the Company or its Subsidiaries for purposes of eligibility for participation in the Plan.</w:t>
      </w:r>
    </w:p>
    <w:p>
      <w:pPr>
        <w:spacing w:after="0" w:line="182" w:lineRule="exact"/>
        <w:rPr>
          <w:rFonts w:ascii="Times New Roman" w:cs="Times New Roman" w:eastAsia="Times New Roman" w:hAnsi="Times New Roman"/>
          <w:sz w:val="18"/>
          <w:szCs w:val="18"/>
          <w:color w:val="auto"/>
        </w:rPr>
      </w:pPr>
    </w:p>
    <w:p>
      <w:pPr>
        <w:ind w:right="120" w:firstLine="754"/>
        <w:spacing w:after="0" w:line="286" w:lineRule="auto"/>
        <w:tabs>
          <w:tab w:leader="none" w:pos="97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54" w:lineRule="exact"/>
        <w:rPr>
          <w:rFonts w:ascii="Times New Roman" w:cs="Times New Roman" w:eastAsia="Times New Roman" w:hAnsi="Times New Roman"/>
          <w:sz w:val="18"/>
          <w:szCs w:val="18"/>
          <w:color w:val="auto"/>
        </w:rPr>
      </w:pPr>
    </w:p>
    <w:p>
      <w:pPr>
        <w:ind w:firstLine="754"/>
        <w:spacing w:after="0" w:line="257" w:lineRule="auto"/>
        <w:tabs>
          <w:tab w:leader="none" w:pos="98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(i) with respect to Shares, the closing price of a Share on the applicable date of determination (or, if there is no reported sale on such date, on the last preceding date on which any reported sale occurred), on the principal stock market or exchange on which the Shares are quoted or traded, or if Shares are not so quoted or traded, the fair market value of a Share as determined by the Committee (and, to the extent applicable, such determination shall be made in a manner that satisfies Sections 409A and 422(c)(1) of the Code), and (ii) with respect to any property other than Shares, the fair market value of such property determined by such methods or procedures as shall be established from time to time by the Committee.</w:t>
      </w:r>
    </w:p>
    <w:p>
      <w:pPr>
        <w:spacing w:after="0" w:line="182" w:lineRule="exact"/>
        <w:rPr>
          <w:rFonts w:ascii="Times New Roman" w:cs="Times New Roman" w:eastAsia="Times New Roman" w:hAnsi="Times New Roman"/>
          <w:sz w:val="18"/>
          <w:szCs w:val="18"/>
          <w:color w:val="auto"/>
        </w:rPr>
      </w:pPr>
    </w:p>
    <w:p>
      <w:pPr>
        <w:ind w:right="180" w:firstLine="754"/>
        <w:spacing w:after="0" w:line="259" w:lineRule="auto"/>
        <w:tabs>
          <w:tab w:leader="none" w:pos="96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Fully-Diluted Basis</w:t>
      </w:r>
      <w:r>
        <w:rPr>
          <w:rFonts w:ascii="Times New Roman" w:cs="Times New Roman" w:eastAsia="Times New Roman" w:hAnsi="Times New Roman"/>
          <w:sz w:val="18"/>
          <w:szCs w:val="18"/>
          <w:color w:val="auto"/>
        </w:rPr>
        <w:t>” means all Shares outstanding on the applicable date of determination, which shall include Shares into which New Company Common Units may be exchanged pursuant to the Exchange Agreement (as such terms are defined in the Business Combination Agreement), but before giving effect to the number of Shares reserved for issuance or issued under this Plan and the Company’s Employee Stock Purchase Plan and excluding all Earnout Shares and all Earnout Company Units (as such terms are defined in the Business Combination Agreement) on the applicable date of determination.</w:t>
      </w:r>
    </w:p>
    <w:p>
      <w:pPr>
        <w:spacing w:after="0" w:line="179" w:lineRule="exact"/>
        <w:rPr>
          <w:rFonts w:ascii="Times New Roman" w:cs="Times New Roman" w:eastAsia="Times New Roman" w:hAnsi="Times New Roman"/>
          <w:sz w:val="18"/>
          <w:szCs w:val="18"/>
          <w:color w:val="auto"/>
        </w:rPr>
      </w:pPr>
    </w:p>
    <w:p>
      <w:pPr>
        <w:ind w:left="1000" w:hanging="246"/>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representing the right to purchase Shares from the Company, granted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that meets the requirements of Section 422 of the Code.</w:t>
      </w:r>
    </w:p>
    <w:p>
      <w:pPr>
        <w:spacing w:after="0" w:line="203" w:lineRule="exact"/>
        <w:rPr>
          <w:sz w:val="20"/>
          <w:szCs w:val="20"/>
          <w:color w:val="auto"/>
        </w:rPr>
      </w:pPr>
    </w:p>
    <w:p>
      <w:pPr>
        <w:ind w:right="240" w:firstLine="754"/>
        <w:spacing w:after="0" w:line="268" w:lineRule="auto"/>
        <w:tabs>
          <w:tab w:leader="none" w:pos="100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Intrinsic Value</w:t>
      </w:r>
      <w:r>
        <w:rPr>
          <w:rFonts w:ascii="Times New Roman" w:cs="Times New Roman" w:eastAsia="Times New Roman" w:hAnsi="Times New Roman"/>
          <w:sz w:val="18"/>
          <w:szCs w:val="18"/>
          <w:color w:val="auto"/>
        </w:rPr>
        <w:t xml:space="preserve">” with respect to an Option or SAR Award means (i) the excess, if any, of the price or implied price per Share in a Change in Control or other event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exercise or hurdle price of such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(iii) the number of Shares covered by such Award.</w:t>
      </w:r>
    </w:p>
    <w:p>
      <w:pPr>
        <w:sectPr>
          <w:pgSz w:w="11900" w:h="16838" w:orient="portrait"/>
          <w:cols w:equalWidth="0" w:num="1">
            <w:col w:w="10640"/>
          </w:cols>
          <w:pgMar w:left="760" w:top="266" w:right="499" w:bottom="1440" w:gutter="0" w:footer="0" w:header="0"/>
        </w:sectPr>
      </w:pPr>
    </w:p>
    <w:bookmarkStart w:id="253" w:name="page254"/>
    <w:bookmarkEnd w:id="253"/>
    <w:p>
      <w:pPr>
        <w:ind w:left="360" w:hanging="286"/>
        <w:spacing w:after="0"/>
        <w:tabs>
          <w:tab w:leader="none" w:pos="3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left="-680" w:right="280" w:firstLine="754"/>
        <w:spacing w:after="0" w:line="286" w:lineRule="auto"/>
        <w:tabs>
          <w:tab w:leader="none" w:pos="32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representing the right to purchase Shares from the Company, granted pursuant to Section 6, that is not an Incentive Stock Option.</w:t>
      </w:r>
    </w:p>
    <w:p>
      <w:pPr>
        <w:spacing w:after="0" w:line="154" w:lineRule="exact"/>
        <w:rPr>
          <w:rFonts w:ascii="Times New Roman" w:cs="Times New Roman" w:eastAsia="Times New Roman" w:hAnsi="Times New Roman"/>
          <w:sz w:val="18"/>
          <w:szCs w:val="18"/>
          <w:color w:val="auto"/>
        </w:rPr>
      </w:pPr>
    </w:p>
    <w:p>
      <w:pPr>
        <w:ind w:left="320" w:hanging="246"/>
        <w:spacing w:after="0"/>
        <w:tabs>
          <w:tab w:leader="none" w:pos="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w:t>
      </w:r>
    </w:p>
    <w:p>
      <w:pPr>
        <w:spacing w:after="0" w:line="225" w:lineRule="exact"/>
        <w:rPr>
          <w:rFonts w:ascii="Times New Roman" w:cs="Times New Roman" w:eastAsia="Times New Roman" w:hAnsi="Times New Roman"/>
          <w:sz w:val="18"/>
          <w:szCs w:val="18"/>
          <w:color w:val="auto"/>
        </w:rPr>
      </w:pPr>
    </w:p>
    <w:p>
      <w:pPr>
        <w:ind w:left="-680" w:right="620" w:firstLine="754"/>
        <w:spacing w:after="0" w:line="286" w:lineRule="auto"/>
        <w:tabs>
          <w:tab w:leader="none" w:pos="31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Cash-Based Award</w:t>
      </w:r>
      <w:r>
        <w:rPr>
          <w:rFonts w:ascii="Times New Roman" w:cs="Times New Roman" w:eastAsia="Times New Roman" w:hAnsi="Times New Roman"/>
          <w:sz w:val="18"/>
          <w:szCs w:val="18"/>
          <w:color w:val="auto"/>
        </w:rPr>
        <w:t>” means an Award granted pursuant to Section 11, including cash awarded as a bonus or upon the attainment of specified performance criteria or otherwise as permitted under the Plan.</w:t>
      </w:r>
    </w:p>
    <w:p>
      <w:pPr>
        <w:spacing w:after="0" w:line="155" w:lineRule="exact"/>
        <w:rPr>
          <w:sz w:val="20"/>
          <w:szCs w:val="20"/>
          <w:color w:val="auto"/>
        </w:rPr>
      </w:pPr>
    </w:p>
    <w:p>
      <w:pPr>
        <w:ind w:left="-680" w:right="60" w:firstLine="754"/>
        <w:spacing w:after="0" w:line="259" w:lineRule="auto"/>
        <w:tabs>
          <w:tab w:leader="none" w:pos="39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 Award granted pursuant to Section 11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spacing w:after="0" w:line="179" w:lineRule="exact"/>
        <w:rPr>
          <w:rFonts w:ascii="Times New Roman" w:cs="Times New Roman" w:eastAsia="Times New Roman" w:hAnsi="Times New Roman"/>
          <w:sz w:val="18"/>
          <w:szCs w:val="18"/>
          <w:color w:val="auto"/>
        </w:rPr>
      </w:pPr>
    </w:p>
    <w:p>
      <w:pPr>
        <w:ind w:left="420" w:hanging="346"/>
        <w:spacing w:after="0"/>
        <w:tabs>
          <w:tab w:leader="none" w:pos="4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recipient of an Award granted under the Plan.</w:t>
      </w:r>
    </w:p>
    <w:p>
      <w:pPr>
        <w:spacing w:after="0" w:line="225" w:lineRule="exact"/>
        <w:rPr>
          <w:rFonts w:ascii="Times New Roman" w:cs="Times New Roman" w:eastAsia="Times New Roman" w:hAnsi="Times New Roman"/>
          <w:sz w:val="18"/>
          <w:szCs w:val="18"/>
          <w:color w:val="auto"/>
        </w:rPr>
      </w:pPr>
    </w:p>
    <w:p>
      <w:pPr>
        <w:ind w:left="400" w:hanging="326"/>
        <w:spacing w:after="0"/>
        <w:tabs>
          <w:tab w:leader="none" w:pos="4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 Award granted pursuant to Section 10.</w:t>
      </w:r>
    </w:p>
    <w:p>
      <w:pPr>
        <w:spacing w:after="0" w:line="225" w:lineRule="exact"/>
        <w:rPr>
          <w:rFonts w:ascii="Times New Roman" w:cs="Times New Roman" w:eastAsia="Times New Roman" w:hAnsi="Times New Roman"/>
          <w:sz w:val="18"/>
          <w:szCs w:val="18"/>
          <w:color w:val="auto"/>
        </w:rPr>
      </w:pPr>
    </w:p>
    <w:p>
      <w:pPr>
        <w:ind w:left="-680" w:right="260" w:firstLine="754"/>
        <w:spacing w:after="0" w:line="286" w:lineRule="auto"/>
        <w:tabs>
          <w:tab w:leader="none" w:pos="4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established by the Committee with respect to any Performance Award during which the performance goals specified by the Committee with respect to such Award are to be measured.</w:t>
      </w:r>
    </w:p>
    <w:p>
      <w:pPr>
        <w:spacing w:after="0" w:line="154" w:lineRule="exact"/>
        <w:rPr>
          <w:rFonts w:ascii="Times New Roman" w:cs="Times New Roman" w:eastAsia="Times New Roman" w:hAnsi="Times New Roman"/>
          <w:sz w:val="18"/>
          <w:szCs w:val="18"/>
          <w:color w:val="auto"/>
        </w:rPr>
      </w:pPr>
    </w:p>
    <w:p>
      <w:pPr>
        <w:ind w:left="-680" w:firstLine="754"/>
        <w:spacing w:after="0" w:line="286" w:lineRule="auto"/>
        <w:tabs>
          <w:tab w:leader="none" w:pos="39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54" w:lineRule="exact"/>
        <w:rPr>
          <w:rFonts w:ascii="Times New Roman" w:cs="Times New Roman" w:eastAsia="Times New Roman" w:hAnsi="Times New Roman"/>
          <w:sz w:val="18"/>
          <w:szCs w:val="18"/>
          <w:color w:val="auto"/>
        </w:rPr>
      </w:pPr>
    </w:p>
    <w:p>
      <w:pPr>
        <w:ind w:left="360" w:hanging="286"/>
        <w:spacing w:after="0"/>
        <w:tabs>
          <w:tab w:leader="none" w:pos="3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any Share subject to certain restrictions and forfeiture conditions, granted pursuant to Section 8.</w:t>
      </w:r>
    </w:p>
    <w:p>
      <w:pPr>
        <w:spacing w:after="0" w:line="225" w:lineRule="exact"/>
        <w:rPr>
          <w:rFonts w:ascii="Times New Roman" w:cs="Times New Roman" w:eastAsia="Times New Roman" w:hAnsi="Times New Roman"/>
          <w:sz w:val="18"/>
          <w:szCs w:val="18"/>
          <w:color w:val="auto"/>
        </w:rPr>
      </w:pPr>
    </w:p>
    <w:p>
      <w:pPr>
        <w:ind w:left="420" w:hanging="346"/>
        <w:spacing w:after="0"/>
        <w:tabs>
          <w:tab w:leader="none" w:pos="4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236" w:lineRule="exact"/>
        <w:rPr>
          <w:rFonts w:ascii="Times New Roman" w:cs="Times New Roman" w:eastAsia="Times New Roman" w:hAnsi="Times New Roman"/>
          <w:sz w:val="17"/>
          <w:szCs w:val="17"/>
          <w:color w:val="auto"/>
        </w:rPr>
      </w:pPr>
    </w:p>
    <w:p>
      <w:pPr>
        <w:ind w:left="-680" w:firstLine="754"/>
        <w:spacing w:after="0" w:line="268" w:lineRule="auto"/>
        <w:tabs>
          <w:tab w:leader="none" w:pos="4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contractual right granted pursuant to Section 9 that is denominated in Shares. Each RSU represents a right to receive the value of one Share (or a percentage of such value) in cash, Shares or a combination thereof. Awards of RSUs may include the right to receive dividend equivalents.</w:t>
      </w:r>
    </w:p>
    <w:p>
      <w:pPr>
        <w:spacing w:after="0" w:line="170" w:lineRule="exact"/>
        <w:rPr>
          <w:rFonts w:ascii="Times New Roman" w:cs="Times New Roman" w:eastAsia="Times New Roman" w:hAnsi="Times New Roman"/>
          <w:sz w:val="18"/>
          <w:szCs w:val="18"/>
          <w:color w:val="auto"/>
        </w:rPr>
      </w:pPr>
    </w:p>
    <w:p>
      <w:pPr>
        <w:ind w:left="-680" w:right="140" w:firstLine="754"/>
        <w:spacing w:after="0" w:line="268" w:lineRule="auto"/>
        <w:tabs>
          <w:tab w:leader="none" w:pos="33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right granted pursuant to Section 7 to receive upon exercise by the Participant or settlement, in cash, Shares or a combination thereof, the excess of (i) the Fair Market Value of one Share on the date of exercise or settlement over (ii) the exercise or hurdle price of the right on the date of grant.</w:t>
      </w:r>
    </w:p>
    <w:p>
      <w:pPr>
        <w:sectPr>
          <w:pgSz w:w="11900" w:h="16838" w:orient="portrait"/>
          <w:cols w:equalWidth="0" w:num="1">
            <w:col w:w="10000"/>
          </w:cols>
          <w:pgMar w:left="1440" w:top="266" w:right="459" w:bottom="1440" w:gutter="0" w:footer="0" w:header="0"/>
        </w:sectPr>
      </w:pPr>
    </w:p>
    <w:bookmarkStart w:id="254" w:name="page255"/>
    <w:bookmarkEnd w:id="254"/>
    <w:p>
      <w:pPr>
        <w:ind w:left="-120" w:right="580" w:firstLine="754"/>
        <w:spacing w:after="0" w:line="286" w:lineRule="auto"/>
        <w:tabs>
          <w:tab w:leader="none" w:pos="89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 means any employment, severance, consulting or similar agreement between the Company or any of its Affiliates and a Participant.</w:t>
      </w:r>
    </w:p>
    <w:p>
      <w:pPr>
        <w:spacing w:after="0" w:line="154" w:lineRule="exact"/>
        <w:rPr>
          <w:rFonts w:ascii="Times New Roman" w:cs="Times New Roman" w:eastAsia="Times New Roman" w:hAnsi="Times New Roman"/>
          <w:sz w:val="18"/>
          <w:szCs w:val="18"/>
          <w:color w:val="auto"/>
        </w:rPr>
      </w:pPr>
    </w:p>
    <w:p>
      <w:pPr>
        <w:ind w:left="980" w:hanging="346"/>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Class A ordinary share, $0.0001 par value, in the capital of the Company.</w:t>
      </w:r>
    </w:p>
    <w:p>
      <w:pPr>
        <w:spacing w:after="0" w:line="225" w:lineRule="exact"/>
        <w:rPr>
          <w:rFonts w:ascii="Times New Roman" w:cs="Times New Roman" w:eastAsia="Times New Roman" w:hAnsi="Times New Roman"/>
          <w:sz w:val="18"/>
          <w:szCs w:val="18"/>
          <w:color w:val="auto"/>
        </w:rPr>
      </w:pPr>
    </w:p>
    <w:p>
      <w:pPr>
        <w:jc w:val="both"/>
        <w:ind w:left="-120" w:right="440" w:firstLine="754"/>
        <w:spacing w:after="0" w:line="268" w:lineRule="auto"/>
        <w:tabs>
          <w:tab w:leader="none" w:pos="89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the Plan shall be determined by the Committee.</w:t>
      </w:r>
    </w:p>
    <w:p>
      <w:pPr>
        <w:spacing w:after="0" w:line="170" w:lineRule="exact"/>
        <w:rPr>
          <w:rFonts w:ascii="Times New Roman" w:cs="Times New Roman" w:eastAsia="Times New Roman" w:hAnsi="Times New Roman"/>
          <w:sz w:val="18"/>
          <w:szCs w:val="18"/>
          <w:color w:val="auto"/>
        </w:rPr>
      </w:pPr>
    </w:p>
    <w:p>
      <w:pPr>
        <w:ind w:left="-120" w:firstLine="754"/>
        <w:spacing w:after="0" w:line="286" w:lineRule="auto"/>
        <w:tabs>
          <w:tab w:leader="none" w:pos="10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Award</w:t>
      </w:r>
      <w:r>
        <w:rPr>
          <w:rFonts w:ascii="Times New Roman" w:cs="Times New Roman" w:eastAsia="Times New Roman" w:hAnsi="Times New Roman"/>
          <w:sz w:val="18"/>
          <w:szCs w:val="18"/>
          <w:color w:val="auto"/>
        </w:rPr>
        <w:t>” means an Award granted in assumption of, or in substitution for, an outstanding award previously granted by a company or other business acquired by the Company or with which the Company combines.</w:t>
      </w:r>
    </w:p>
    <w:p>
      <w:pPr>
        <w:spacing w:after="0" w:line="154" w:lineRule="exact"/>
        <w:rPr>
          <w:rFonts w:ascii="Times New Roman" w:cs="Times New Roman" w:eastAsia="Times New Roman" w:hAnsi="Times New Roman"/>
          <w:sz w:val="18"/>
          <w:szCs w:val="18"/>
          <w:color w:val="auto"/>
        </w:rPr>
      </w:pPr>
    </w:p>
    <w:p>
      <w:pPr>
        <w:ind w:left="-120" w:right="20" w:firstLine="754"/>
        <w:spacing w:after="0" w:line="254" w:lineRule="auto"/>
        <w:tabs>
          <w:tab w:leader="none" w:pos="9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xml:space="preserve">” means, in the case of a Participant who is an Employee, cessation of the employment relationship such that the Participant is no longer an employee of the Company or any Subsidiary, or, in the case of a Participant who is a Consultant or Non-Employee Director, the date the performance of services for the Company or any Subsidiary has 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a Participant who is an Employee, the transfer of employment from the Company to a Subsidiary, from a Subsidiary to the Company, from one Subsidiary to another Subsidiary or, unless the Committee determines otherwise, the cessation of employee status but the continuation of the performance of services for the Company or a Subsidiary as a Director or Consultant shall not be deemed a cessation of service that would constitute a Termination of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 Termination of Service shall be deemed to occur for a Participant employed by, or performing services for, a Subsidiary when such Subsidiary ceases to be a Subsidiary unless such Participant’s employment or service continues with the Company or another Subsidiary. Notwithstanding the foregoing, with respect to any Award subject to Section 409A of the Code (and not exempt therefrom), a Termination of Service occurs when a Participant experiences a “separation of service” (as such term is defined under Section 409A of the Code).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754"/>
        <w:spacing w:after="0" w:line="266" w:lineRule="auto"/>
        <w:tabs>
          <w:tab w:leader="none" w:pos="8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Non-Employee Director or Consultant shall be eligible to be selected to receive an Award under the Plan, to the extent that an offer or receipt of an Award is permitted by applicable law, stock market or exchange rules and regulations or accounting or tax rules and regulations.</w:t>
      </w:r>
    </w:p>
    <w:p>
      <w:pPr>
        <w:spacing w:after="0" w:line="175" w:lineRule="exact"/>
        <w:rPr>
          <w:rFonts w:ascii="Times New Roman" w:cs="Times New Roman" w:eastAsia="Times New Roman" w:hAnsi="Times New Roman"/>
          <w:sz w:val="18"/>
          <w:szCs w:val="18"/>
          <w:color w:val="auto"/>
        </w:rPr>
      </w:pPr>
    </w:p>
    <w:p>
      <w:pPr>
        <w:ind w:left="-120" w:right="20" w:firstLine="754"/>
        <w:spacing w:after="0" w:line="266" w:lineRule="auto"/>
        <w:tabs>
          <w:tab w:leader="none" w:pos="88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equity compensation awards granted by a company that is acquired by the Company (or whose business is acquired by the Company) or with which the Company combines are eligible for grants of Substitute Awards under the Plan to the extent permitted under applicable regulations of any stock exchange on which the Company is listed.</w:t>
      </w:r>
    </w:p>
    <w:p>
      <w:pPr>
        <w:sectPr>
          <w:pgSz w:w="11900" w:h="16838" w:orient="portrait"/>
          <w:cols w:equalWidth="0" w:num="1">
            <w:col w:w="10580"/>
          </w:cols>
          <w:pgMar w:left="880" w:top="266" w:right="439" w:bottom="1440" w:gutter="0" w:footer="0" w:header="0"/>
        </w:sectPr>
      </w:pPr>
    </w:p>
    <w:bookmarkStart w:id="255" w:name="page256"/>
    <w:bookmarkEnd w:id="255"/>
    <w:p>
      <w:pPr>
        <w:ind w:left="11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 w:right="200" w:firstLine="754"/>
        <w:spacing w:after="0" w:line="267" w:lineRule="auto"/>
        <w:tabs>
          <w:tab w:leader="none" w:pos="98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the Plan</w:t>
      </w:r>
      <w:r>
        <w:rPr>
          <w:rFonts w:ascii="Times New Roman" w:cs="Times New Roman" w:eastAsia="Times New Roman" w:hAnsi="Times New Roman"/>
          <w:sz w:val="18"/>
          <w:szCs w:val="18"/>
          <w:color w:val="auto"/>
        </w:rPr>
        <w:t>. The Plan shall be administered by the Committee. All decisions of the Committee shall be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conclusive and binding upon all parties, including the Company, its shareholders, Participants and any Beneficiaries thereof. The Committee may issue rules and regulations for administration of the Plan.</w:t>
      </w:r>
    </w:p>
    <w:p>
      <w:pPr>
        <w:spacing w:after="0" w:line="173" w:lineRule="exact"/>
        <w:rPr>
          <w:rFonts w:ascii="Times New Roman" w:cs="Times New Roman" w:eastAsia="Times New Roman" w:hAnsi="Times New Roman"/>
          <w:sz w:val="18"/>
          <w:szCs w:val="18"/>
          <w:color w:val="auto"/>
        </w:rPr>
      </w:pPr>
    </w:p>
    <w:p>
      <w:pPr>
        <w:ind w:left="-6" w:right="80" w:firstLine="754"/>
        <w:spacing w:after="0" w:line="257" w:lineRule="auto"/>
        <w:tabs>
          <w:tab w:leader="none" w:pos="99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Delegation of Authority</w:t>
      </w:r>
      <w:r>
        <w:rPr>
          <w:rFonts w:ascii="Times New Roman" w:cs="Times New Roman" w:eastAsia="Times New Roman" w:hAnsi="Times New Roman"/>
          <w:sz w:val="18"/>
          <w:szCs w:val="18"/>
          <w:color w:val="auto"/>
        </w:rPr>
        <w:t>. To the extent permitted by applicable law, including under the Companies Act (as amended) of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and the Articles, the Committee may delegate to one or more officers of the Company some or all of its authority under the Plan, including the authority to grant Options and SARs or other Awards in the form of Share rights (except that such delegation shall not apply to any Award for a Person then covered by Section 16 of the Exchange Act), and the Committee may delegate to one or more committees of the Board (which may consist of solely one Director) some or all of its authority under the Plan, including the authority to grant all types of Awards, in accordance with applicable law.</w:t>
      </w:r>
    </w:p>
    <w:p>
      <w:pPr>
        <w:spacing w:after="0" w:line="182" w:lineRule="exact"/>
        <w:rPr>
          <w:rFonts w:ascii="Times New Roman" w:cs="Times New Roman" w:eastAsia="Times New Roman" w:hAnsi="Times New Roman"/>
          <w:sz w:val="18"/>
          <w:szCs w:val="18"/>
          <w:color w:val="auto"/>
        </w:rPr>
      </w:pPr>
    </w:p>
    <w:p>
      <w:pPr>
        <w:ind w:left="-6" w:firstLine="754"/>
        <w:spacing w:after="0" w:line="267" w:lineRule="auto"/>
        <w:tabs>
          <w:tab w:leader="none" w:pos="986"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Authority of Committee</w:t>
      </w:r>
      <w:r>
        <w:rPr>
          <w:rFonts w:ascii="Times New Roman" w:cs="Times New Roman" w:eastAsia="Times New Roman" w:hAnsi="Times New Roman"/>
          <w:sz w:val="17"/>
          <w:szCs w:val="17"/>
          <w:color w:val="auto"/>
        </w:rPr>
        <w:t>. Subject to the terms of the Plan and applicable law, the Committee (or its delegate) shall have full discretion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and prescribe the form of each Award Agreement, which need not be identical for each Participant; (v) determine whether, to what extent, under what circumstances and by which methods Awards may be settled or exercised in cash, Shares, other Awards, other property, net settlement (including broker-assisted cashless exercise), or any combination thereof, or canceled,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amend terms or conditions of any outstanding Awards; (viii) correct any defect, supply any omission and reconcile any inconsistency in the Plan or any Award, in the manner and to the extent it shall deem desirable to carry the Plan into effect;</w:t>
      </w:r>
    </w:p>
    <w:p>
      <w:pPr>
        <w:spacing w:after="0" w:line="5" w:lineRule="exact"/>
        <w:rPr>
          <w:rFonts w:ascii="Times New Roman" w:cs="Times New Roman" w:eastAsia="Times New Roman" w:hAnsi="Times New Roman"/>
          <w:sz w:val="17"/>
          <w:szCs w:val="17"/>
          <w:color w:val="auto"/>
        </w:rPr>
      </w:pPr>
    </w:p>
    <w:p>
      <w:pPr>
        <w:ind w:left="-6" w:firstLine="6"/>
        <w:spacing w:after="0" w:line="251" w:lineRule="auto"/>
        <w:tabs>
          <w:tab w:leader="none" w:pos="29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and any instrument or agreement relating to, or Award made under, the Plan; (x)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 (xi) make any other determination and take any other action that the Committee deems necessary or desirable for the administration of the Plan and due compliance with applicable law, stock market or exchange rules and regulations or accounting or tax rules and regulations.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sectPr>
          <w:pgSz w:w="11900" w:h="16838" w:orient="portrait"/>
          <w:cols w:equalWidth="0" w:num="1">
            <w:col w:w="10674"/>
          </w:cols>
          <w:pgMar w:left="766" w:top="268" w:right="459" w:bottom="1440" w:gutter="0" w:footer="0" w:header="0"/>
        </w:sectPr>
      </w:pPr>
    </w:p>
    <w:bookmarkStart w:id="256" w:name="page257"/>
    <w:bookmarkEnd w:id="256"/>
    <w:p>
      <w:pPr>
        <w:ind w:left="-120" w:right="60" w:firstLine="754"/>
        <w:spacing w:after="0" w:line="259" w:lineRule="auto"/>
        <w:tabs>
          <w:tab w:leader="none" w:pos="88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 16b-3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(or a subcommittee thereof) that consists solely of two or more Non-Employee Directors, as determined under Rule 16b-3(b)(3) of the Exchange Act and thereafter any action establishing or modifying the terms of the Award will be approved by the Board or a Committee (or a subcommittee) meeting such requirements to the extent necessary for such exemption to remain available.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Shares Available for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754"/>
        <w:spacing w:after="0" w:line="253" w:lineRule="auto"/>
        <w:tabs>
          <w:tab w:leader="none" w:pos="87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any adjustment as provided in Section 5(c) and except for Substitute Awards, the maximum number of Shares available for issuance under the Plan (the “</w:t>
      </w:r>
      <w:r>
        <w:rPr>
          <w:rFonts w:ascii="Times New Roman" w:cs="Times New Roman" w:eastAsia="Times New Roman" w:hAnsi="Times New Roman"/>
          <w:sz w:val="18"/>
          <w:szCs w:val="18"/>
          <w:b w:val="1"/>
          <w:bCs w:val="1"/>
          <w:color w:val="auto"/>
        </w:rPr>
        <w:t>Plan Share Limit</w:t>
      </w:r>
      <w:r>
        <w:rPr>
          <w:rFonts w:ascii="Times New Roman" w:cs="Times New Roman" w:eastAsia="Times New Roman" w:hAnsi="Times New Roman"/>
          <w:sz w:val="18"/>
          <w:szCs w:val="18"/>
          <w:color w:val="auto"/>
        </w:rPr>
        <w:t xml:space="preserve">”) shall not exceed in the aggregate 26,439,000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upon the “Closing” (as defined in the Business Combination Agreement) the Plan Share Limit shall be reduced automatically to equal 10% of outstanding Shares on a Fully-Diluted Basis immediately following the Closing (for the avoidance of doubt, after giving effect to any Share redemptions in connection with the Closing). The Plan Share Limit shall be increased on the first day of each Company fiscal year beginning on January 1, 2023 and ending on and including January 1, 2032 in an amount equal to the lesser of (i) 5% of outstanding Shares on a Fully-Diluted Basis on the last day of the immediately preceding fiscal year and (ii) such number of Shares as determined by the Committee in its discretion. Shares underlying Substitute Awards and Shares remaining available for grant under a plan 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spacing w:after="0" w:line="194" w:lineRule="exact"/>
        <w:rPr>
          <w:rFonts w:ascii="Times New Roman" w:cs="Times New Roman" w:eastAsia="Times New Roman" w:hAnsi="Times New Roman"/>
          <w:sz w:val="18"/>
          <w:szCs w:val="18"/>
          <w:color w:val="auto"/>
        </w:rPr>
      </w:pPr>
    </w:p>
    <w:p>
      <w:pPr>
        <w:ind w:left="-120" w:right="60" w:firstLine="754"/>
        <w:spacing w:after="0" w:line="261" w:lineRule="auto"/>
        <w:tabs>
          <w:tab w:leader="none" w:pos="88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is forfeited, cancelled, expires, terminates or otherwise lapses or is settled in cash, in whole or in part, without the delivery of Shares, then the Shares covered by such forfeited, expired, terminated or lapsed Award shall again be available for grant under the Plan. The following shall become available for issuance under the Plan: (i) any Shares withheld in respect of taxes relating to any Award and (ii) any Shares tendered or withheld to pay the exercise price of Options or that are covered by SARs (to the extent settled in Shares).</w:t>
      </w:r>
    </w:p>
    <w:p>
      <w:pPr>
        <w:spacing w:after="0" w:line="179" w:lineRule="exact"/>
        <w:rPr>
          <w:rFonts w:ascii="Times New Roman" w:cs="Times New Roman" w:eastAsia="Times New Roman" w:hAnsi="Times New Roman"/>
          <w:sz w:val="18"/>
          <w:szCs w:val="18"/>
          <w:color w:val="auto"/>
        </w:rPr>
      </w:pPr>
    </w:p>
    <w:p>
      <w:pPr>
        <w:ind w:left="-120" w:right="60" w:firstLine="754"/>
        <w:spacing w:after="0" w:line="258" w:lineRule="auto"/>
        <w:tabs>
          <w:tab w:leader="none" w:pos="87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Committee determines that, as a result of any dividend or other distribution (other than an ordinary dividend or distribution), recapitalization, stock split, reverse stock split, reorganization, merger, amalgamation, consolidation, separation, rights offering, split-up, spin-off, combination, repurchase or exchange of Shares or other securities of the Company, issuance of warrants or other rights to acquire Shares or other securities of the Company, or other similar corporate transaction or event affecting the Shares, or of changes in applicable laws, regulations or accounting</w:t>
      </w:r>
    </w:p>
    <w:p>
      <w:pPr>
        <w:sectPr>
          <w:pgSz w:w="11900" w:h="16838" w:orient="portrait"/>
          <w:cols w:equalWidth="0" w:num="1">
            <w:col w:w="10560"/>
          </w:cols>
          <w:pgMar w:left="880" w:top="266" w:right="459" w:bottom="1440" w:gutter="0" w:footer="0" w:header="0"/>
        </w:sectPr>
      </w:pPr>
    </w:p>
    <w:bookmarkStart w:id="257" w:name="page258"/>
    <w:bookmarkEnd w:id="257"/>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principles, an adjustment is necessary in order to prevent dilution or enlargement of the benefits or potential benefits intended to be made available under the Plan, then the Committee shall, subject to Section 19 and applicable law, adjust equitably so as to ensure no undue enrichment or harm (including by payment of cash), any or all of:</w:t>
      </w:r>
    </w:p>
    <w:p>
      <w:pPr>
        <w:spacing w:after="0" w:line="68" w:lineRule="exact"/>
        <w:rPr>
          <w:sz w:val="20"/>
          <w:szCs w:val="20"/>
          <w:color w:val="auto"/>
        </w:rPr>
      </w:pPr>
    </w:p>
    <w:p>
      <w:pPr>
        <w:ind w:left="440" w:right="360" w:firstLine="417"/>
        <w:spacing w:after="0" w:line="282" w:lineRule="auto"/>
        <w:tabs>
          <w:tab w:leader="none" w:pos="106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which thereafter may be made the subject of Awards, including the aggregate limits specified in Section 5(a) and Section 5(f);</w:t>
      </w:r>
    </w:p>
    <w:p>
      <w:pPr>
        <w:spacing w:after="0" w:line="53" w:lineRule="exact"/>
        <w:rPr>
          <w:rFonts w:ascii="Times New Roman" w:cs="Times New Roman" w:eastAsia="Times New Roman" w:hAnsi="Times New Roman"/>
          <w:sz w:val="18"/>
          <w:szCs w:val="18"/>
          <w:color w:val="auto"/>
        </w:rPr>
      </w:pPr>
    </w:p>
    <w:p>
      <w:pPr>
        <w:ind w:left="1120" w:hanging="263"/>
        <w:spacing w:after="0"/>
        <w:tabs>
          <w:tab w:leader="none" w:pos="11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subject to outstanding Awards;</w:t>
      </w:r>
    </w:p>
    <w:p>
      <w:pPr>
        <w:spacing w:after="0" w:line="117" w:lineRule="exact"/>
        <w:rPr>
          <w:rFonts w:ascii="Times New Roman" w:cs="Times New Roman" w:eastAsia="Times New Roman" w:hAnsi="Times New Roman"/>
          <w:sz w:val="18"/>
          <w:szCs w:val="18"/>
          <w:color w:val="auto"/>
        </w:rPr>
      </w:pPr>
    </w:p>
    <w:p>
      <w:pPr>
        <w:ind w:left="440" w:right="480" w:firstLine="417"/>
        <w:spacing w:after="0" w:line="282" w:lineRule="auto"/>
        <w:tabs>
          <w:tab w:leader="none" w:pos="116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acquisition, exercise or hurdle price with respect to any Award or, if deemed appropriate, make provision for a cash payment to the holder of an outstanding Award; and</w:t>
      </w:r>
    </w:p>
    <w:p>
      <w:pPr>
        <w:spacing w:after="0" w:line="53" w:lineRule="exact"/>
        <w:rPr>
          <w:rFonts w:ascii="Times New Roman" w:cs="Times New Roman" w:eastAsia="Times New Roman" w:hAnsi="Times New Roman"/>
          <w:sz w:val="18"/>
          <w:szCs w:val="18"/>
          <w:color w:val="auto"/>
        </w:rPr>
      </w:pPr>
    </w:p>
    <w:p>
      <w:pPr>
        <w:ind w:left="1160" w:hanging="303"/>
        <w:spacing w:after="0"/>
        <w:tabs>
          <w:tab w:leader="none" w:pos="11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any outstanding Awards, including the performance criteria of any Performance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number of Shares subject to any Award denominated in Shares shall always be a whole number.</w:t>
      </w:r>
    </w:p>
    <w:p>
      <w:pPr>
        <w:spacing w:after="0" w:line="227" w:lineRule="exact"/>
        <w:rPr>
          <w:sz w:val="20"/>
          <w:szCs w:val="20"/>
          <w:color w:val="auto"/>
        </w:rPr>
      </w:pPr>
    </w:p>
    <w:p>
      <w:pPr>
        <w:ind w:left="1000" w:hanging="246"/>
        <w:spacing w:after="0"/>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delivered pursuant to an Award may consist, in whole or in part, of authorized and unissued Shares or Shares acquired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6" w:lineRule="exact"/>
        <w:rPr>
          <w:rFonts w:ascii="Times New Roman" w:cs="Times New Roman" w:eastAsia="Times New Roman" w:hAnsi="Times New Roman"/>
          <w:sz w:val="18"/>
          <w:szCs w:val="18"/>
          <w:color w:val="auto"/>
        </w:rPr>
      </w:pPr>
    </w:p>
    <w:p>
      <w:pPr>
        <w:ind w:firstLine="754"/>
        <w:spacing w:after="0" w:line="258" w:lineRule="auto"/>
        <w:tabs>
          <w:tab w:leader="none" w:pos="99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all compensation granted or paid, 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$1,000,000 in total value during the initial annual period, in each case calculating the value of any equity awards based on the grant date fair value of such equity awards for financial reporting purposes.</w:t>
      </w:r>
    </w:p>
    <w:p>
      <w:pPr>
        <w:spacing w:after="0" w:line="183" w:lineRule="exact"/>
        <w:rPr>
          <w:rFonts w:ascii="Times New Roman" w:cs="Times New Roman" w:eastAsia="Times New Roman" w:hAnsi="Times New Roman"/>
          <w:sz w:val="18"/>
          <w:szCs w:val="18"/>
          <w:color w:val="auto"/>
        </w:rPr>
      </w:pPr>
    </w:p>
    <w:p>
      <w:pPr>
        <w:ind w:right="80" w:firstLine="754"/>
        <w:spacing w:after="0" w:line="255" w:lineRule="auto"/>
        <w:tabs>
          <w:tab w:leader="none" w:pos="9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5(c)(i), the maximum number of Shares available for issuance with respect to Incentive Stock Options shall be 75,567,000. To the extent that the aggregate Fair Market Value (determined at the time of grant) of Shares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Nonqualified Stock Options, notwithstanding any contrary provision of the applicable Option Agreement(s).</w:t>
      </w:r>
    </w:p>
    <w:p>
      <w:pPr>
        <w:sectPr>
          <w:pgSz w:w="11900" w:h="16838" w:orient="portrait"/>
          <w:cols w:equalWidth="0" w:num="1">
            <w:col w:w="10680"/>
          </w:cols>
          <w:pgMar w:left="760" w:top="270" w:right="459" w:bottom="1440" w:gutter="0" w:footer="0" w:header="0"/>
        </w:sectPr>
      </w:pPr>
    </w:p>
    <w:bookmarkStart w:id="258" w:name="page259"/>
    <w:bookmarkEnd w:id="258"/>
    <w:p>
      <w:pPr>
        <w:ind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160" w:lineRule="exact"/>
        <w:rPr>
          <w:sz w:val="20"/>
          <w:szCs w:val="20"/>
          <w:color w:val="auto"/>
        </w:rPr>
      </w:pPr>
    </w:p>
    <w:p>
      <w:pPr>
        <w:ind w:left="320" w:right="20" w:firstLine="754"/>
        <w:spacing w:after="0" w:line="266" w:lineRule="auto"/>
        <w:tabs>
          <w:tab w:leader="none" w:pos="13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6(f) below, the exercise price per Share under an Option shall be determined by the Committee at the time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except in the case of Substitute Awards, such exercise price shall not be less than the Fair Market Value of a Share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of such Option.</w:t>
      </w:r>
    </w:p>
    <w:p>
      <w:pPr>
        <w:spacing w:after="0" w:line="175" w:lineRule="exact"/>
        <w:rPr>
          <w:rFonts w:ascii="Times New Roman" w:cs="Times New Roman" w:eastAsia="Times New Roman" w:hAnsi="Times New Roman"/>
          <w:sz w:val="18"/>
          <w:szCs w:val="18"/>
          <w:color w:val="auto"/>
        </w:rPr>
      </w:pPr>
    </w:p>
    <w:p>
      <w:pPr>
        <w:ind w:left="320" w:right="80" w:firstLine="754"/>
        <w:spacing w:after="0" w:line="282" w:lineRule="auto"/>
        <w:tabs>
          <w:tab w:leader="none" w:pos="132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6(f) below, the term of each Option shall be fixed by the Committee but shall not exceed 10 years from the date of grant of such Option.</w:t>
      </w:r>
    </w:p>
    <w:p>
      <w:pPr>
        <w:spacing w:after="0" w:line="161" w:lineRule="exact"/>
        <w:rPr>
          <w:rFonts w:ascii="Times New Roman" w:cs="Times New Roman" w:eastAsia="Times New Roman" w:hAnsi="Times New Roman"/>
          <w:sz w:val="18"/>
          <w:szCs w:val="18"/>
          <w:color w:val="auto"/>
        </w:rPr>
      </w:pPr>
    </w:p>
    <w:p>
      <w:pPr>
        <w:ind w:left="320" w:right="20" w:firstLine="754"/>
        <w:spacing w:after="0" w:line="266" w:lineRule="auto"/>
        <w:tabs>
          <w:tab w:leader="none" w:pos="13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175" w:lineRule="exact"/>
        <w:rPr>
          <w:rFonts w:ascii="Times New Roman" w:cs="Times New Roman" w:eastAsia="Times New Roman" w:hAnsi="Times New Roman"/>
          <w:sz w:val="18"/>
          <w:szCs w:val="18"/>
          <w:color w:val="auto"/>
        </w:rPr>
      </w:pPr>
    </w:p>
    <w:p>
      <w:pPr>
        <w:ind w:left="320" w:right="80" w:firstLine="754"/>
        <w:spacing w:after="0" w:line="266" w:lineRule="auto"/>
        <w:tabs>
          <w:tab w:leader="none" w:pos="132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exercisable Option is not previously exercised as to all of the Shares subject thereto, and, if the Fair Market Value of one Share is greater than the exercise price then in effect, then the Option shall be deemed automatically exercised immediately before its expiration.</w:t>
      </w:r>
    </w:p>
    <w:p>
      <w:pPr>
        <w:spacing w:after="0" w:line="175" w:lineRule="exact"/>
        <w:rPr>
          <w:rFonts w:ascii="Times New Roman" w:cs="Times New Roman" w:eastAsia="Times New Roman" w:hAnsi="Times New Roman"/>
          <w:sz w:val="18"/>
          <w:szCs w:val="18"/>
          <w:color w:val="auto"/>
        </w:rPr>
      </w:pPr>
    </w:p>
    <w:p>
      <w:pPr>
        <w:ind w:left="320" w:right="140" w:firstLine="754"/>
        <w:spacing w:after="0" w:line="282" w:lineRule="auto"/>
        <w:tabs>
          <w:tab w:leader="none" w:pos="13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 of Options may be accompanied by a tandem award of dividend equivalents or provide for dividends, dividend equivalents or other distributions to be paid on such Options (except as provided under Section 5(c)).</w:t>
      </w:r>
    </w:p>
    <w:p>
      <w:pPr>
        <w:spacing w:after="0" w:line="161" w:lineRule="exact"/>
        <w:rPr>
          <w:rFonts w:ascii="Times New Roman" w:cs="Times New Roman" w:eastAsia="Times New Roman" w:hAnsi="Times New Roman"/>
          <w:sz w:val="18"/>
          <w:szCs w:val="18"/>
          <w:color w:val="auto"/>
        </w:rPr>
      </w:pPr>
    </w:p>
    <w:p>
      <w:pPr>
        <w:ind w:left="320" w:right="100" w:firstLine="754"/>
        <w:spacing w:after="0" w:line="266" w:lineRule="auto"/>
        <w:tabs>
          <w:tab w:leader="none" w:pos="129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Incentive Stock Option granted under the Plan shall comply in all respects with the provisions of Section 422 of the Code. Incentive Stock Options may be granted only to employees of the Company or of a parent or subsidiary corporation (as defined in Section 424 of the Code).</w:t>
      </w:r>
    </w:p>
    <w:p>
      <w:pPr>
        <w:spacing w:after="0" w:line="174"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60" w:lineRule="exact"/>
        <w:rPr>
          <w:sz w:val="20"/>
          <w:szCs w:val="20"/>
          <w:color w:val="auto"/>
        </w:rPr>
      </w:pPr>
    </w:p>
    <w:p>
      <w:pPr>
        <w:ind w:left="320" w:right="320" w:firstLine="754"/>
        <w:spacing w:after="0" w:line="282" w:lineRule="auto"/>
        <w:tabs>
          <w:tab w:leader="none" w:pos="131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may be granted under the Plan to Participants either alone (“freestanding”) or in addition to other Awards granted under the Plan (“tandem”) and may, but need not, relate to a specific Option granted under Section 6.</w:t>
      </w:r>
    </w:p>
    <w:p>
      <w:pPr>
        <w:spacing w:after="0" w:line="159" w:lineRule="exact"/>
        <w:rPr>
          <w:rFonts w:ascii="Times New Roman" w:cs="Times New Roman" w:eastAsia="Times New Roman" w:hAnsi="Times New Roman"/>
          <w:sz w:val="18"/>
          <w:szCs w:val="18"/>
          <w:color w:val="auto"/>
        </w:rPr>
      </w:pPr>
    </w:p>
    <w:p>
      <w:pPr>
        <w:ind w:left="320" w:firstLine="754"/>
        <w:spacing w:after="0" w:line="284" w:lineRule="auto"/>
        <w:tabs>
          <w:tab w:leader="none" w:pos="132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or hurdle price per Share under a SAR shall be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Substitute Awards, such exercise or hurdle price shall not be less than the Fair Market Value of a Share on the date of grant of such SAR.</w:t>
      </w:r>
    </w:p>
    <w:p>
      <w:pPr>
        <w:spacing w:after="0" w:line="160" w:lineRule="exact"/>
        <w:rPr>
          <w:rFonts w:ascii="Times New Roman" w:cs="Times New Roman" w:eastAsia="Times New Roman" w:hAnsi="Times New Roman"/>
          <w:sz w:val="18"/>
          <w:szCs w:val="18"/>
          <w:color w:val="auto"/>
        </w:rPr>
      </w:pPr>
    </w:p>
    <w:p>
      <w:pPr>
        <w:ind w:left="1320" w:hanging="246"/>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SAR shall be fixed by the Committee but shall not exceed 10 years from the date of grant of such SAR.</w:t>
      </w:r>
    </w:p>
    <w:p>
      <w:pPr>
        <w:sectPr>
          <w:pgSz w:w="11900" w:h="16838" w:orient="portrait"/>
          <w:cols w:equalWidth="0" w:num="1">
            <w:col w:w="10980"/>
          </w:cols>
          <w:pgMar w:left="440" w:top="268" w:right="479" w:bottom="1440" w:gutter="0" w:footer="0" w:header="0"/>
        </w:sectPr>
      </w:pPr>
    </w:p>
    <w:bookmarkStart w:id="259" w:name="page260"/>
    <w:bookmarkEnd w:id="259"/>
    <w:p>
      <w:pPr>
        <w:ind w:left="320" w:right="240" w:firstLine="754"/>
        <w:spacing w:after="0" w:line="266" w:lineRule="auto"/>
        <w:tabs>
          <w:tab w:leader="none" w:pos="132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spacing w:after="0" w:line="175" w:lineRule="exact"/>
        <w:rPr>
          <w:rFonts w:ascii="Times New Roman" w:cs="Times New Roman" w:eastAsia="Times New Roman" w:hAnsi="Times New Roman"/>
          <w:sz w:val="18"/>
          <w:szCs w:val="18"/>
          <w:color w:val="auto"/>
        </w:rPr>
      </w:pPr>
    </w:p>
    <w:p>
      <w:pPr>
        <w:ind w:left="320" w:right="100" w:firstLine="754"/>
        <w:spacing w:after="0" w:line="282" w:lineRule="auto"/>
        <w:tabs>
          <w:tab w:leader="none" w:pos="131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exercisable SAR is not previously exercised as to all of the Shares subject thereto, and, if the Fair Market Value of one Share is greater than the exercise price then in effect, then the SAR shall be deemed automatically exercised immediately before its expiration.</w:t>
      </w:r>
    </w:p>
    <w:p>
      <w:pPr>
        <w:spacing w:after="0" w:line="161" w:lineRule="exact"/>
        <w:rPr>
          <w:rFonts w:ascii="Times New Roman" w:cs="Times New Roman" w:eastAsia="Times New Roman" w:hAnsi="Times New Roman"/>
          <w:sz w:val="18"/>
          <w:szCs w:val="18"/>
          <w:color w:val="auto"/>
        </w:rPr>
      </w:pPr>
    </w:p>
    <w:p>
      <w:pPr>
        <w:ind w:left="320" w:right="140" w:firstLine="754"/>
        <w:spacing w:after="0" w:line="282" w:lineRule="auto"/>
        <w:tabs>
          <w:tab w:leader="none" w:pos="12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 of SARs may be accompanied by a tandem award of dividend equivalents or provide for dividends, dividend equivalents or other distributions to be paid on such SARs (except as provided under Section 5(c)).</w:t>
      </w:r>
    </w:p>
    <w:p>
      <w:pPr>
        <w:spacing w:after="0" w:line="160" w:lineRule="exact"/>
        <w:rPr>
          <w:sz w:val="20"/>
          <w:szCs w:val="20"/>
          <w:color w:val="auto"/>
        </w:rPr>
      </w:pPr>
    </w:p>
    <w:p>
      <w:pPr>
        <w:jc w:val="both"/>
        <w:ind w:right="6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xml:space="preserve"> The Committee is authorized to grant Awards of Restricted Stock to Participants with the following terms and conditions and with such additional terms and conditions, in either case not inconsistent with the provisions of the Plan, as the Committee shall determine:</w:t>
      </w:r>
    </w:p>
    <w:p>
      <w:pPr>
        <w:spacing w:after="0" w:line="175" w:lineRule="exact"/>
        <w:rPr>
          <w:sz w:val="20"/>
          <w:szCs w:val="20"/>
          <w:color w:val="auto"/>
        </w:rPr>
      </w:pPr>
    </w:p>
    <w:p>
      <w:pPr>
        <w:ind w:left="1320" w:hanging="246"/>
        <w:spacing w:after="0"/>
        <w:tabs>
          <w:tab w:leader="none" w:pos="13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shall specify the vesting schedule.</w:t>
      </w:r>
    </w:p>
    <w:p>
      <w:pPr>
        <w:spacing w:after="0" w:line="225" w:lineRule="exact"/>
        <w:rPr>
          <w:rFonts w:ascii="Times New Roman" w:cs="Times New Roman" w:eastAsia="Times New Roman" w:hAnsi="Times New Roman"/>
          <w:sz w:val="18"/>
          <w:szCs w:val="18"/>
          <w:color w:val="auto"/>
        </w:rPr>
      </w:pPr>
    </w:p>
    <w:p>
      <w:pPr>
        <w:ind w:left="320" w:firstLine="754"/>
        <w:spacing w:after="0" w:line="282" w:lineRule="auto"/>
        <w:tabs>
          <w:tab w:leader="none" w:pos="132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Restricted Stock shall be subject to such restrictions as the Committee may impose, which restrictions may lapse separately or in combination at such time or times, in such installments or otherwise, as the Committee may deem appropriate.</w:t>
      </w:r>
    </w:p>
    <w:p>
      <w:pPr>
        <w:spacing w:after="0" w:line="161" w:lineRule="exact"/>
        <w:rPr>
          <w:rFonts w:ascii="Times New Roman" w:cs="Times New Roman" w:eastAsia="Times New Roman" w:hAnsi="Times New Roman"/>
          <w:sz w:val="18"/>
          <w:szCs w:val="18"/>
          <w:color w:val="auto"/>
        </w:rPr>
      </w:pPr>
    </w:p>
    <w:p>
      <w:pPr>
        <w:ind w:left="320" w:right="40" w:firstLine="754"/>
        <w:spacing w:after="0" w:line="266" w:lineRule="auto"/>
        <w:tabs>
          <w:tab w:leader="none" w:pos="131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restrictions set forth in the applicable Award Agreement, a Participant generally shall have the rights and privileges of a shareholder with respect to Awards of Restricted Stock, including the right to vote such Shares of Restricted Stock and the right to receive dividends.</w:t>
      </w:r>
    </w:p>
    <w:p>
      <w:pPr>
        <w:spacing w:after="0" w:line="175" w:lineRule="exact"/>
        <w:rPr>
          <w:rFonts w:ascii="Times New Roman" w:cs="Times New Roman" w:eastAsia="Times New Roman" w:hAnsi="Times New Roman"/>
          <w:sz w:val="18"/>
          <w:szCs w:val="18"/>
          <w:color w:val="auto"/>
        </w:rPr>
      </w:pPr>
    </w:p>
    <w:p>
      <w:pPr>
        <w:ind w:left="320" w:right="100" w:firstLine="754"/>
        <w:spacing w:after="0" w:line="289" w:lineRule="auto"/>
        <w:tabs>
          <w:tab w:leader="none" w:pos="1323"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in its discretion, specify in the applicable Award Agreement that any or all dividends or other distributions paid on Awards of Restricted Stock prior to vesting be paid either in cash or in additional Shares and either on a current or deferred basis and that such dividends or other distributions may be reinvested in additional Shares, which may be subject to the same restrictions as the underlying Awards.</w:t>
      </w:r>
    </w:p>
    <w:p>
      <w:pPr>
        <w:spacing w:after="0" w:line="157" w:lineRule="exact"/>
        <w:rPr>
          <w:rFonts w:ascii="Times New Roman" w:cs="Times New Roman" w:eastAsia="Times New Roman" w:hAnsi="Times New Roman"/>
          <w:sz w:val="17"/>
          <w:szCs w:val="17"/>
          <w:color w:val="auto"/>
        </w:rPr>
      </w:pPr>
    </w:p>
    <w:p>
      <w:pPr>
        <w:ind w:left="1320" w:hanging="246"/>
        <w:spacing w:after="0"/>
        <w:tabs>
          <w:tab w:leader="none" w:pos="13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of Restricted Stock may be evidenced in such manner as the Committee may deem appropriate, including book-entry</w:t>
      </w:r>
    </w:p>
    <w:p>
      <w:pPr>
        <w:spacing w:after="0" w:line="2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w:t>
      </w:r>
    </w:p>
    <w:p>
      <w:pPr>
        <w:spacing w:after="0" w:line="206" w:lineRule="exact"/>
        <w:rPr>
          <w:rFonts w:ascii="Times New Roman" w:cs="Times New Roman" w:eastAsia="Times New Roman" w:hAnsi="Times New Roman"/>
          <w:sz w:val="18"/>
          <w:szCs w:val="18"/>
          <w:color w:val="auto"/>
        </w:rPr>
      </w:pPr>
    </w:p>
    <w:p>
      <w:pPr>
        <w:ind w:left="320" w:right="80" w:firstLine="754"/>
        <w:spacing w:after="0" w:line="261" w:lineRule="auto"/>
        <w:tabs>
          <w:tab w:leader="none" w:pos="129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in an Award Agreement that an Award of Restricted Stock is conditioned upon the Participant making or refraining from making an election with respect to the Award under Section 83(b) of the Code. If a Participant makes an election pursuant to Section 83(b) of the Code with respect to an Award of Restricted Stock, such Participant shall be required to file promptly a copy of such election with the Company and the applicable Internal Revenue Service office.</w:t>
      </w:r>
    </w:p>
    <w:p>
      <w:pPr>
        <w:sectPr>
          <w:pgSz w:w="11900" w:h="16838" w:orient="portrait"/>
          <w:cols w:equalWidth="0" w:num="1">
            <w:col w:w="11000"/>
          </w:cols>
          <w:pgMar w:left="440" w:top="270" w:right="459" w:bottom="1440" w:gutter="0" w:footer="0" w:header="0"/>
        </w:sectPr>
      </w:pPr>
    </w:p>
    <w:bookmarkStart w:id="260" w:name="page261"/>
    <w:bookmarkEnd w:id="260"/>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xml:space="preserve"> The Committee is authorized to grant Awards of RSUs to Participants with the following terms and conditions and with such additional terms and conditions, in either case not inconsistent with the provisions of the Plan, as the Committee shall determine:</w:t>
      </w:r>
    </w:p>
    <w:p>
      <w:pPr>
        <w:spacing w:after="0" w:line="160" w:lineRule="exact"/>
        <w:rPr>
          <w:sz w:val="20"/>
          <w:szCs w:val="20"/>
          <w:color w:val="auto"/>
        </w:rPr>
      </w:pPr>
    </w:p>
    <w:p>
      <w:pPr>
        <w:ind w:left="320" w:right="220" w:firstLine="754"/>
        <w:spacing w:after="0" w:line="282" w:lineRule="auto"/>
        <w:tabs>
          <w:tab w:leader="none" w:pos="13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shall specify the vesting schedule and the delivery schedule (which may include deferred delivery later than the vesting date).</w:t>
      </w:r>
    </w:p>
    <w:p>
      <w:pPr>
        <w:spacing w:after="0" w:line="161" w:lineRule="exact"/>
        <w:rPr>
          <w:rFonts w:ascii="Times New Roman" w:cs="Times New Roman" w:eastAsia="Times New Roman" w:hAnsi="Times New Roman"/>
          <w:sz w:val="18"/>
          <w:szCs w:val="18"/>
          <w:color w:val="auto"/>
        </w:rPr>
      </w:pPr>
    </w:p>
    <w:p>
      <w:pPr>
        <w:ind w:left="320" w:right="360" w:firstLine="754"/>
        <w:spacing w:after="0" w:line="282" w:lineRule="auto"/>
        <w:tabs>
          <w:tab w:leader="none" w:pos="132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RSUs shall be subject to such restrictions as the Committee may impose, which restrictions may lapse separately or in combination at such time or times, in such installments or otherwise, as the Committee may deem appropriate.</w:t>
      </w:r>
    </w:p>
    <w:p>
      <w:pPr>
        <w:spacing w:after="0" w:line="161" w:lineRule="exact"/>
        <w:rPr>
          <w:rFonts w:ascii="Times New Roman" w:cs="Times New Roman" w:eastAsia="Times New Roman" w:hAnsi="Times New Roman"/>
          <w:sz w:val="18"/>
          <w:szCs w:val="18"/>
          <w:color w:val="auto"/>
        </w:rPr>
      </w:pPr>
    </w:p>
    <w:p>
      <w:pPr>
        <w:ind w:left="320" w:right="100" w:firstLine="754"/>
        <w:spacing w:after="0" w:line="312" w:lineRule="auto"/>
        <w:tabs>
          <w:tab w:leader="none" w:pos="1313"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RSU shall not convey to a Participant the rights and privileges of a shareholder with respect to the Share subject to such RSU, such as the right to vote or the right to receive dividends, unless and until and to the extent a Share is issued to such Participant to settle such RSU.</w:t>
      </w:r>
    </w:p>
    <w:p>
      <w:pPr>
        <w:spacing w:after="0" w:line="139" w:lineRule="exact"/>
        <w:rPr>
          <w:rFonts w:ascii="Times New Roman" w:cs="Times New Roman" w:eastAsia="Times New Roman" w:hAnsi="Times New Roman"/>
          <w:sz w:val="17"/>
          <w:szCs w:val="17"/>
          <w:color w:val="auto"/>
        </w:rPr>
      </w:pPr>
    </w:p>
    <w:p>
      <w:pPr>
        <w:ind w:left="320" w:right="140" w:firstLine="754"/>
        <w:spacing w:after="0" w:line="261" w:lineRule="auto"/>
        <w:tabs>
          <w:tab w:leader="none" w:pos="132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specify in the applicable Award Agreement that any or all dividend equivalents or other distributions paid on Awards of RSUs prior to vesting or settlement, as applicable, be paid either in cash or in additional Shares and either on a current or deferred basis and that such dividend equivalents or other distributions may be reinvested in additional Shares, which may be subject to the same restrictions as such Awards.</w:t>
      </w:r>
    </w:p>
    <w:p>
      <w:pPr>
        <w:spacing w:after="0" w:line="179" w:lineRule="exact"/>
        <w:rPr>
          <w:rFonts w:ascii="Times New Roman" w:cs="Times New Roman" w:eastAsia="Times New Roman" w:hAnsi="Times New Roman"/>
          <w:sz w:val="18"/>
          <w:szCs w:val="18"/>
          <w:color w:val="auto"/>
        </w:rPr>
      </w:pPr>
    </w:p>
    <w:p>
      <w:pPr>
        <w:ind w:left="320" w:right="240" w:firstLine="754"/>
        <w:spacing w:after="0" w:line="282" w:lineRule="auto"/>
        <w:tabs>
          <w:tab w:leader="none" w:pos="13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upon the vesting and settlement of an RSU Award may be evidenced in such manner as the Committee may deem appropriate, including book-entry registration.</w:t>
      </w:r>
    </w:p>
    <w:p>
      <w:pPr>
        <w:spacing w:after="0" w:line="161" w:lineRule="exact"/>
        <w:rPr>
          <w:rFonts w:ascii="Times New Roman" w:cs="Times New Roman" w:eastAsia="Times New Roman" w:hAnsi="Times New Roman"/>
          <w:sz w:val="18"/>
          <w:szCs w:val="18"/>
          <w:color w:val="auto"/>
        </w:rPr>
      </w:pPr>
    </w:p>
    <w:p>
      <w:pPr>
        <w:ind w:left="320" w:firstLine="754"/>
        <w:spacing w:after="0" w:line="282" w:lineRule="auto"/>
        <w:tabs>
          <w:tab w:leader="none" w:pos="129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determine the form or forms (including cash, Shares, other Awards, other property or any combination thereof) in which payment of the amount owing upon settlement of any RSU Award may be made.</w:t>
      </w:r>
    </w:p>
    <w:p>
      <w:pPr>
        <w:spacing w:after="0" w:line="160" w:lineRule="exact"/>
        <w:rPr>
          <w:sz w:val="20"/>
          <w:szCs w:val="20"/>
          <w:color w:val="auto"/>
        </w:rPr>
      </w:pPr>
    </w:p>
    <w:p>
      <w:pPr>
        <w:jc w:val="both"/>
        <w:ind w:right="6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175" w:lineRule="exact"/>
        <w:rPr>
          <w:sz w:val="20"/>
          <w:szCs w:val="20"/>
          <w:color w:val="auto"/>
        </w:rPr>
      </w:pPr>
    </w:p>
    <w:p>
      <w:pPr>
        <w:ind w:left="320" w:right="100" w:firstLine="754"/>
        <w:spacing w:after="0" w:line="254" w:lineRule="auto"/>
        <w:tabs>
          <w:tab w:leader="none" w:pos="131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may be denominated as a cash amount, number of Shares or units or a combination thereof and are Awards that may be earned upon achievement or satisfaction of performance conditions specified by the Committee. In addition, the Committee may specify that any other Award shall constitute a Performance Award by conditioning the grant to a Participant or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ectPr>
          <w:pgSz w:w="11900" w:h="16838" w:orient="portrait"/>
          <w:cols w:equalWidth="0" w:num="1">
            <w:col w:w="10980"/>
          </w:cols>
          <w:pgMar w:left="440" w:top="268" w:right="479" w:bottom="1440" w:gutter="0" w:footer="0" w:header="0"/>
        </w:sectPr>
      </w:pPr>
    </w:p>
    <w:bookmarkStart w:id="261" w:name="page262"/>
    <w:bookmarkEnd w:id="261"/>
    <w:p>
      <w:pPr>
        <w:ind w:left="320" w:firstLine="754"/>
        <w:spacing w:after="0" w:line="254" w:lineRule="auto"/>
        <w:tabs>
          <w:tab w:leader="none" w:pos="132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criteria may be measured on an absolute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plan or budget) or relative basis, and may be established on a corporate-wide basis, with respect to one or more business units, divisions, Subsidiaries or business segments, or on an individual basis.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performance objectives or the related minimum acceptable level of achievement, in whole or in part, as the Committee deems appropriate and equitable such that it does not provide any undue enrichment or harm.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10(b) as it may deem necessary or appropriate to ensure that such Awards satisfy all requirements of any applicable law, stock market or exchange rules and regulations or accounting or tax rules and regulations.</w:t>
      </w:r>
    </w:p>
    <w:p>
      <w:pPr>
        <w:spacing w:after="0" w:line="190" w:lineRule="exact"/>
        <w:rPr>
          <w:rFonts w:ascii="Times New Roman" w:cs="Times New Roman" w:eastAsia="Times New Roman" w:hAnsi="Times New Roman"/>
          <w:sz w:val="18"/>
          <w:szCs w:val="18"/>
          <w:color w:val="auto"/>
        </w:rPr>
      </w:pPr>
    </w:p>
    <w:p>
      <w:pPr>
        <w:ind w:left="320" w:right="120" w:firstLine="754"/>
        <w:spacing w:after="0" w:line="282" w:lineRule="auto"/>
        <w:tabs>
          <w:tab w:leader="none" w:pos="13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Performance Awards shall be in cash, Shares, other Awards, other property, net settlement, or any combination thereof, as determined in the discretion of the Committee.</w:t>
      </w:r>
    </w:p>
    <w:p>
      <w:pPr>
        <w:spacing w:after="0" w:line="161" w:lineRule="exact"/>
        <w:rPr>
          <w:rFonts w:ascii="Times New Roman" w:cs="Times New Roman" w:eastAsia="Times New Roman" w:hAnsi="Times New Roman"/>
          <w:sz w:val="18"/>
          <w:szCs w:val="18"/>
          <w:color w:val="auto"/>
        </w:rPr>
      </w:pPr>
    </w:p>
    <w:p>
      <w:pPr>
        <w:ind w:left="320" w:firstLine="754"/>
        <w:spacing w:after="0" w:line="253" w:lineRule="auto"/>
        <w:tabs>
          <w:tab w:leader="none" w:pos="132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Performance Award shall not convey to a Participant the rights and privileges of a shareholder with respect to the Share subject to such Performance Award, such as the right to vote (except as relates to Restricted Stock) or the right to receive dividends, unless and until and to the extent a Share is issued to such Participant to settle such Performance Award. The Committee, in its sole discretion, may provide that a Performance Award shall convey the right to receive dividend equivalents on the Shares subject to such Performance Award with respect to any dividends declared during the period that such Performance Award is outstanding, in which case, such dividend equivalent rights shall accumulate and shall be paid in cash or Shares on the settlement date of the Performance Award, subject to the Participant’s earning of the Shares with respect to which such dividend equivalents are paid upon achievement or satisfaction of performance conditions specified by the Committee. Shares delivered upon the vesting and settlement of a Performance Award may be evidenced in such manner as the Committee may deem appropriate, including book-entry registration. For the avoidance of doubt, unless otherwise determined by the Committee, no dividend equivalent rights shall be provided with respect to any Shares subject to Performance Awards that are not earned or otherwise do not vest or settle pursuant to their terms.</w:t>
      </w:r>
    </w:p>
    <w:p>
      <w:pPr>
        <w:spacing w:after="0" w:line="194" w:lineRule="exact"/>
        <w:rPr>
          <w:rFonts w:ascii="Times New Roman" w:cs="Times New Roman" w:eastAsia="Times New Roman" w:hAnsi="Times New Roman"/>
          <w:sz w:val="18"/>
          <w:szCs w:val="18"/>
          <w:color w:val="auto"/>
        </w:rPr>
      </w:pPr>
    </w:p>
    <w:p>
      <w:pPr>
        <w:ind w:left="320" w:right="580" w:firstLine="754"/>
        <w:spacing w:after="0" w:line="282" w:lineRule="auto"/>
        <w:tabs>
          <w:tab w:leader="none" w:pos="13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increase or reduce the amount of a settlement otherwise to be made in connection with a Performance Award.</w:t>
      </w:r>
    </w:p>
    <w:p>
      <w:pPr>
        <w:spacing w:after="0" w:line="16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Other Cash-Based Awards and Other Stock-Based Awards.</w:t>
      </w:r>
      <w:r>
        <w:rPr>
          <w:rFonts w:ascii="Times New Roman" w:cs="Times New Roman" w:eastAsia="Times New Roman" w:hAnsi="Times New Roman"/>
          <w:sz w:val="18"/>
          <w:szCs w:val="18"/>
          <w:color w:val="auto"/>
        </w:rPr>
        <w:t xml:space="preserve"> The Committee is authorized, subject to limitations under applicable law, to grant Other Cash-Based Awards (either independently or as an element of or supplement to any other Award under the Plan) and Other Stock-Based Awards. The Committee shall determine the terms and conditions of such Awards. Shares delivered pursuant to an Award in the nature of a purchase right granted under this Section 11 shall be purchased for such consideration, and</w:t>
      </w:r>
    </w:p>
    <w:p>
      <w:pPr>
        <w:sectPr>
          <w:pgSz w:w="11900" w:h="16838" w:orient="portrait"/>
          <w:cols w:equalWidth="0" w:num="1">
            <w:col w:w="11000"/>
          </w:cols>
          <w:pgMar w:left="440" w:top="268" w:right="459" w:bottom="1440" w:gutter="0" w:footer="0" w:header="0"/>
        </w:sectPr>
      </w:pPr>
    </w:p>
    <w:bookmarkStart w:id="262" w:name="page263"/>
    <w:bookmarkEnd w:id="26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paid for at such times, by such methods and in such forms, including cash, Shares, other Awards, other property, net settlement, broker-assisted cashless exercise or any combination thereof, as the Committee shall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therefor shall not be less than the Fair Market Value of such Shares on the date of grant of such right.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Effect of Termination of Service or a Change in Control on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20" w:right="140" w:firstLine="754"/>
        <w:spacing w:after="0" w:line="266" w:lineRule="auto"/>
        <w:tabs>
          <w:tab w:leader="none" w:pos="131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by rule or regulation or in any applicable Award Agreement, or may determine in any individual case, the circumstances in which, and the extent to which, an Award may be exercised, settled, vested, paid or forfeited in the event of a Participant’s Termination of Service prior to the end of a Performance Period or vesting, exercise or settlement of such Award.</w:t>
      </w:r>
    </w:p>
    <w:p>
      <w:pPr>
        <w:spacing w:after="0" w:line="175" w:lineRule="exact"/>
        <w:rPr>
          <w:rFonts w:ascii="Times New Roman" w:cs="Times New Roman" w:eastAsia="Times New Roman" w:hAnsi="Times New Roman"/>
          <w:sz w:val="18"/>
          <w:szCs w:val="18"/>
          <w:color w:val="auto"/>
        </w:rPr>
      </w:pPr>
    </w:p>
    <w:p>
      <w:pPr>
        <w:ind w:left="320" w:right="160" w:firstLine="754"/>
        <w:spacing w:after="0" w:line="266" w:lineRule="auto"/>
        <w:tabs>
          <w:tab w:leader="none" w:pos="132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2(ll), the Committee may determine, in its discretion, whether, and the extent to which, (i) an Award will vest during a leave of absence, (ii) a reduction in service level (for example, from full-time to part-time employment) will cause a reduction, or other change, to an Award and (iii) a leave of absence or reduction in service will be deemed a Termination of Service.</w:t>
      </w:r>
    </w:p>
    <w:p>
      <w:pPr>
        <w:spacing w:after="0" w:line="175" w:lineRule="exact"/>
        <w:rPr>
          <w:rFonts w:ascii="Times New Roman" w:cs="Times New Roman" w:eastAsia="Times New Roman" w:hAnsi="Times New Roman"/>
          <w:sz w:val="18"/>
          <w:szCs w:val="18"/>
          <w:color w:val="auto"/>
        </w:rPr>
      </w:pPr>
    </w:p>
    <w:p>
      <w:pPr>
        <w:ind w:left="320" w:right="280" w:firstLine="754"/>
        <w:spacing w:after="0" w:line="266" w:lineRule="auto"/>
        <w:tabs>
          <w:tab w:leader="none" w:pos="131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the Committee may, in its sole discretion, and on such terms and conditions as it deems appropriate, take any one or more of the following actions with respect to any outstanding Award, which need not be uniform with respect to all Participants and/or Awards:</w:t>
      </w:r>
    </w:p>
    <w:p>
      <w:pPr>
        <w:spacing w:after="0" w:line="67" w:lineRule="exact"/>
        <w:rPr>
          <w:rFonts w:ascii="Times New Roman" w:cs="Times New Roman" w:eastAsia="Times New Roman" w:hAnsi="Times New Roman"/>
          <w:sz w:val="18"/>
          <w:szCs w:val="18"/>
          <w:color w:val="auto"/>
        </w:rPr>
      </w:pPr>
    </w:p>
    <w:p>
      <w:pPr>
        <w:ind w:left="1100" w:right="180" w:firstLine="394"/>
        <w:spacing w:after="0" w:line="282" w:lineRule="auto"/>
        <w:tabs>
          <w:tab w:leader="none" w:pos="171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or assumption of such Award by the Company (if it is the surviving corporation) or by the successor or surviving entity or its parent;</w:t>
      </w:r>
    </w:p>
    <w:p>
      <w:pPr>
        <w:spacing w:after="0" w:line="53" w:lineRule="exact"/>
        <w:rPr>
          <w:rFonts w:ascii="Times New Roman" w:cs="Times New Roman" w:eastAsia="Times New Roman" w:hAnsi="Times New Roman"/>
          <w:sz w:val="18"/>
          <w:szCs w:val="18"/>
          <w:color w:val="auto"/>
        </w:rPr>
      </w:pPr>
    </w:p>
    <w:p>
      <w:pPr>
        <w:ind w:left="1100" w:right="40" w:firstLine="394"/>
        <w:spacing w:after="0" w:line="266" w:lineRule="auto"/>
        <w:tabs>
          <w:tab w:leader="none" w:pos="176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67" w:lineRule="exact"/>
        <w:rPr>
          <w:rFonts w:ascii="Times New Roman" w:cs="Times New Roman" w:eastAsia="Times New Roman" w:hAnsi="Times New Roman"/>
          <w:sz w:val="18"/>
          <w:szCs w:val="18"/>
          <w:color w:val="auto"/>
        </w:rPr>
      </w:pPr>
    </w:p>
    <w:p>
      <w:pPr>
        <w:ind w:left="1100" w:firstLine="394"/>
        <w:spacing w:after="0" w:line="254" w:lineRule="auto"/>
        <w:tabs>
          <w:tab w:leader="none" w:pos="181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vesting of such Award and the lapse of any restrictions thereon and, in the case of an Option or SAR Award, acceleration of the right to exercise such Award during a specified period (and the termination of such Option or SAR Award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the Company (or a successor corporation or its parent) without Cause, by a Participant for “good reason” (as such term may be defined in the applicable Award Agreement and/or a Participant’s Service Agreement) and/or due to a Participant’s death or Disability, as the case may be) on or within a specified period following the Change in Control or (C) upon the failure of the successor or surviving entity (or its parent) to continue or assume such Award;</w:t>
      </w:r>
    </w:p>
    <w:p>
      <w:pPr>
        <w:sectPr>
          <w:pgSz w:w="11900" w:h="16838" w:orient="portrait"/>
          <w:cols w:equalWidth="0" w:num="1">
            <w:col w:w="10960"/>
          </w:cols>
          <w:pgMar w:left="440" w:top="270" w:right="499" w:bottom="1440" w:gutter="0" w:footer="0" w:header="0"/>
        </w:sectPr>
      </w:pPr>
    </w:p>
    <w:bookmarkStart w:id="263" w:name="page264"/>
    <w:bookmarkEnd w:id="263"/>
    <w:p>
      <w:pPr>
        <w:ind w:left="1360" w:hanging="306"/>
        <w:spacing w:after="0"/>
        <w:tabs>
          <w:tab w:leader="none" w:pos="13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Performance Award, determination of the level of attainment of the applicable performance condition(s); and</w:t>
      </w:r>
    </w:p>
    <w:p>
      <w:pPr>
        <w:spacing w:after="0" w:line="117" w:lineRule="exact"/>
        <w:rPr>
          <w:rFonts w:ascii="Times New Roman" w:cs="Times New Roman" w:eastAsia="Times New Roman" w:hAnsi="Times New Roman"/>
          <w:sz w:val="18"/>
          <w:szCs w:val="18"/>
          <w:color w:val="auto"/>
        </w:rPr>
      </w:pPr>
    </w:p>
    <w:p>
      <w:pPr>
        <w:ind w:left="660" w:firstLine="394"/>
        <w:spacing w:after="0" w:line="253" w:lineRule="auto"/>
        <w:tabs>
          <w:tab w:leader="none" w:pos="131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 Option or SAR Award, if such value equals the Intrinsic Value of such Award, such value shall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be valid;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Intrinsic Value of an Option or SAR Award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Awards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timing of such payment shall comply with Section 409A of the Code.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General Provisions Applicable to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754"/>
        <w:spacing w:after="0" w:line="284" w:lineRule="auto"/>
        <w:tabs>
          <w:tab w:leader="none" w:pos="87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Awards shall be granted for such cash or other consideration, if any, as the Committee determines;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Awards be issued for less than such minimal consideration as may be required by applicable law.</w:t>
      </w:r>
    </w:p>
    <w:p>
      <w:pPr>
        <w:spacing w:after="0" w:line="160" w:lineRule="exact"/>
        <w:rPr>
          <w:rFonts w:ascii="Times New Roman" w:cs="Times New Roman" w:eastAsia="Times New Roman" w:hAnsi="Times New Roman"/>
          <w:sz w:val="18"/>
          <w:szCs w:val="18"/>
          <w:color w:val="auto"/>
        </w:rPr>
      </w:pPr>
    </w:p>
    <w:p>
      <w:pPr>
        <w:ind w:left="-120" w:right="160" w:firstLine="754"/>
        <w:spacing w:after="0" w:line="261" w:lineRule="auto"/>
        <w:tabs>
          <w:tab w:leader="none" w:pos="88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79" w:lineRule="exact"/>
        <w:rPr>
          <w:rFonts w:ascii="Times New Roman" w:cs="Times New Roman" w:eastAsia="Times New Roman" w:hAnsi="Times New Roman"/>
          <w:sz w:val="18"/>
          <w:szCs w:val="18"/>
          <w:color w:val="auto"/>
        </w:rPr>
      </w:pPr>
    </w:p>
    <w:p>
      <w:pPr>
        <w:ind w:left="-120" w:firstLine="754"/>
        <w:spacing w:after="0" w:line="256" w:lineRule="auto"/>
        <w:tabs>
          <w:tab w:leader="none" w:pos="87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at the time of grant,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ectPr>
          <w:pgSz w:w="11900" w:h="16838" w:orient="portrait"/>
          <w:cols w:equalWidth="0" w:num="1">
            <w:col w:w="10540"/>
          </w:cols>
          <w:pgMar w:left="880" w:top="270" w:right="479" w:bottom="1440" w:gutter="0" w:footer="0" w:header="0"/>
        </w:sectPr>
      </w:pPr>
    </w:p>
    <w:bookmarkStart w:id="264" w:name="page265"/>
    <w:bookmarkEnd w:id="264"/>
    <w:p>
      <w:pPr>
        <w:ind w:left="-680" w:right="20" w:firstLine="754"/>
        <w:spacing w:after="0" w:line="258" w:lineRule="auto"/>
        <w:tabs>
          <w:tab w:leader="none" w:pos="32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may be permitted by the Committee or as specifically provided in an Award Agreement, (i) no Award and no right under any Award shall be assignable, alienable, saleable or transferable by a Participant other than by will or pursuant to Section 13(e) and (ii) during a Participant’s lifetime, each Award, and each right under any Award, shall be exercisable only by such Participant or, if permissible under applicable law, by such Participant’s guardian or legal representative. The provisions of this Section 13(d) shall not apply to any Award that has been fully exercised or settled, as the case may be, and shall not preclude forfeiture of an Award in accordance with the terms thereof.</w:t>
      </w:r>
    </w:p>
    <w:p>
      <w:pPr>
        <w:spacing w:after="0" w:line="183" w:lineRule="exact"/>
        <w:rPr>
          <w:rFonts w:ascii="Times New Roman" w:cs="Times New Roman" w:eastAsia="Times New Roman" w:hAnsi="Times New Roman"/>
          <w:sz w:val="18"/>
          <w:szCs w:val="18"/>
          <w:color w:val="auto"/>
        </w:rPr>
      </w:pPr>
    </w:p>
    <w:p>
      <w:pPr>
        <w:jc w:val="both"/>
        <w:ind w:left="-680" w:right="420" w:firstLine="754"/>
        <w:spacing w:after="0" w:line="282" w:lineRule="auto"/>
        <w:tabs>
          <w:tab w:leader="none" w:pos="3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designate a Beneficiary or change a previous Beneficiary designation only at such times as prescribed by the Committee, in its sole discretion, and only by using forms and following procedures approved or accepted by the Committee for that purpose.</w:t>
      </w:r>
    </w:p>
    <w:p>
      <w:pPr>
        <w:spacing w:after="0" w:line="161" w:lineRule="exact"/>
        <w:rPr>
          <w:rFonts w:ascii="Times New Roman" w:cs="Times New Roman" w:eastAsia="Times New Roman" w:hAnsi="Times New Roman"/>
          <w:sz w:val="18"/>
          <w:szCs w:val="18"/>
          <w:color w:val="auto"/>
        </w:rPr>
      </w:pPr>
    </w:p>
    <w:p>
      <w:pPr>
        <w:ind w:left="-680" w:right="100" w:firstLine="754"/>
        <w:spacing w:after="0" w:line="258" w:lineRule="auto"/>
        <w:tabs>
          <w:tab w:leader="none" w:pos="29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183" w:lineRule="exact"/>
        <w:rPr>
          <w:rFonts w:ascii="Times New Roman" w:cs="Times New Roman" w:eastAsia="Times New Roman" w:hAnsi="Times New Roman"/>
          <w:sz w:val="18"/>
          <w:szCs w:val="18"/>
          <w:color w:val="auto"/>
        </w:rPr>
      </w:pPr>
    </w:p>
    <w:p>
      <w:pPr>
        <w:ind w:left="-680" w:firstLine="754"/>
        <w:spacing w:after="0" w:line="255" w:lineRule="auto"/>
        <w:tabs>
          <w:tab w:leader="none" w:pos="32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obligated to deliver any Shares under the Plan or remove restrictions from Shares previously delivered under the Plan until (i) all Award conditions have been met or removed to the Committee’s satisfaction, (ii) as determined by the Committee, all other legal matters regarding the issuance and delivery of such Shares have been satisfied, including any applicable securities laws, stock market or exchange rules and regulations or accounting or tax rules and regulations and (iii) the Participant has executed and delivered to the Company such representations or agreements as the Committee deems necessary or appropriate to satisfy any applicable laws. The Company’s inability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p>
      <w:pPr>
        <w:spacing w:after="0" w:line="188" w:lineRule="exact"/>
        <w:rPr>
          <w:rFonts w:ascii="Times New Roman" w:cs="Times New Roman" w:eastAsia="Times New Roman" w:hAnsi="Times New Roman"/>
          <w:sz w:val="18"/>
          <w:szCs w:val="18"/>
          <w:color w:val="auto"/>
        </w:rPr>
      </w:pPr>
    </w:p>
    <w:p>
      <w:pPr>
        <w:ind w:left="-680" w:right="280" w:firstLine="754"/>
        <w:spacing w:after="0" w:line="266" w:lineRule="auto"/>
        <w:tabs>
          <w:tab w:leader="none" w:pos="32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impose restrictions on any Award with respect to non-competition,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w:t>
      </w:r>
    </w:p>
    <w:p>
      <w:pPr>
        <w:sectPr>
          <w:pgSz w:w="11900" w:h="16838" w:orient="portrait"/>
          <w:cols w:equalWidth="0" w:num="1">
            <w:col w:w="9960"/>
          </w:cols>
          <w:pgMar w:left="1440" w:top="270" w:right="499" w:bottom="1440" w:gutter="0" w:footer="0" w:header="0"/>
        </w:sectPr>
      </w:pPr>
    </w:p>
    <w:bookmarkStart w:id="265" w:name="page266"/>
    <w:bookmarkEnd w:id="265"/>
    <w:p>
      <w:pPr>
        <w:ind w:left="11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i w:val="1"/>
          <w:iCs w:val="1"/>
          <w:color w:val="auto"/>
        </w:rPr>
        <w:t>Amendments and Terminations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 w:firstLine="754"/>
        <w:spacing w:after="0" w:line="268" w:lineRule="auto"/>
        <w:tabs>
          <w:tab w:leader="none" w:pos="986"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 or Termination of the Plan</w:t>
      </w:r>
      <w:r>
        <w:rPr>
          <w:rFonts w:ascii="Times New Roman" w:cs="Times New Roman" w:eastAsia="Times New Roman" w:hAnsi="Times New Roman"/>
          <w:sz w:val="17"/>
          <w:szCs w:val="17"/>
          <w:color w:val="auto"/>
        </w:rPr>
        <w:t>. Except to the extent prohibited by applicable law and unless otherwise expressly provided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 Award Agreement or in the Plan, the Board may amend, alter, suspend, discontinue or terminate the Plan or any portion thereof at any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 such amendment, alteration, suspension, discontinuation or termination shall be made without (i) shareholder approval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approval is required by applicable law or the rules of the stock market or exchange, if any, on which the Shares are principally quoted or traded or (ii) subject to Section 5(c) and Section 12,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w:t>
      </w:r>
    </w:p>
    <w:p>
      <w:pPr>
        <w:spacing w:after="0" w:line="4" w:lineRule="exact"/>
        <w:rPr>
          <w:rFonts w:ascii="Times New Roman" w:cs="Times New Roman" w:eastAsia="Times New Roman" w:hAnsi="Times New Roman"/>
          <w:sz w:val="17"/>
          <w:szCs w:val="17"/>
          <w:color w:val="auto"/>
        </w:rPr>
      </w:pPr>
    </w:p>
    <w:p>
      <w:pPr>
        <w:ind w:left="-6" w:right="100" w:firstLine="6"/>
        <w:spacing w:after="0" w:line="253" w:lineRule="auto"/>
        <w:tabs>
          <w:tab w:leader="none" w:pos="24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any “clawback” or recoupment provisions on any Awards (including any amounts or benefits arising from such Awards) in accordance with Section 18.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spacing w:after="0" w:line="186" w:lineRule="exact"/>
        <w:rPr>
          <w:rFonts w:ascii="Times New Roman" w:cs="Times New Roman" w:eastAsia="Times New Roman" w:hAnsi="Times New Roman"/>
          <w:sz w:val="18"/>
          <w:szCs w:val="18"/>
          <w:color w:val="auto"/>
        </w:rPr>
      </w:pPr>
    </w:p>
    <w:p>
      <w:pPr>
        <w:ind w:left="-6" w:right="120" w:firstLine="754"/>
        <w:spacing w:after="0" w:line="284" w:lineRule="auto"/>
        <w:tabs>
          <w:tab w:leader="none" w:pos="99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Winding Up, Dissolution or Liquidation</w:t>
      </w:r>
      <w:r>
        <w:rPr>
          <w:rFonts w:ascii="Times New Roman" w:cs="Times New Roman" w:eastAsia="Times New Roman" w:hAnsi="Times New Roman"/>
          <w:sz w:val="18"/>
          <w:szCs w:val="18"/>
          <w:color w:val="auto"/>
        </w:rPr>
        <w:t>. In the event of the winding up, dissolution or liquidation of the Company, each Award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immediately prior to the consummation of such action, unless otherwise determined by the Committee.</w:t>
      </w:r>
    </w:p>
    <w:p>
      <w:pPr>
        <w:spacing w:after="0" w:line="158" w:lineRule="exact"/>
        <w:rPr>
          <w:rFonts w:ascii="Times New Roman" w:cs="Times New Roman" w:eastAsia="Times New Roman" w:hAnsi="Times New Roman"/>
          <w:sz w:val="18"/>
          <w:szCs w:val="18"/>
          <w:color w:val="auto"/>
        </w:rPr>
      </w:pPr>
    </w:p>
    <w:p>
      <w:pPr>
        <w:ind w:left="-6" w:right="40" w:firstLine="754"/>
        <w:spacing w:after="0" w:line="253" w:lineRule="auto"/>
        <w:tabs>
          <w:tab w:leader="none" w:pos="98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Awards</w:t>
      </w:r>
      <w:r>
        <w:rPr>
          <w:rFonts w:ascii="Times New Roman" w:cs="Times New Roman" w:eastAsia="Times New Roman" w:hAnsi="Times New Roman"/>
          <w:sz w:val="18"/>
          <w:szCs w:val="18"/>
          <w:color w:val="auto"/>
        </w:rPr>
        <w:t>. The Committee may waive any conditions or rights under, amend any terms of, or amend, alter, suspend,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discontinue or terminate any Award theretofore granted (including by substituting another Award of the same or a different type), prospectively or retroactively, without the consent of any relevant Participant or holder or Beneficiary of an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 Section 5(c) and Section 12, no such action shall materially adversely affect the rights of any affected Participant or holder or Beneficiary under any Award theretofore granted under the Plan, except (x) to the extent any such action is made to cause the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Section 18. The Committee shall be authorized to make adjustments in the terms and conditions of, and the criteria included in, Awards in recognition of events (including the events described in Section 5(c))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91" w:lineRule="exact"/>
        <w:rPr>
          <w:rFonts w:ascii="Times New Roman" w:cs="Times New Roman" w:eastAsia="Times New Roman" w:hAnsi="Times New Roman"/>
          <w:sz w:val="18"/>
          <w:szCs w:val="18"/>
          <w:color w:val="auto"/>
        </w:rPr>
      </w:pPr>
    </w:p>
    <w:p>
      <w:pPr>
        <w:ind w:left="-6" w:right="20" w:firstLine="754"/>
        <w:spacing w:after="0" w:line="271" w:lineRule="auto"/>
        <w:tabs>
          <w:tab w:leader="none" w:pos="996"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Repricing</w:t>
      </w:r>
      <w:r>
        <w:rPr>
          <w:rFonts w:ascii="Times New Roman" w:cs="Times New Roman" w:eastAsia="Times New Roman" w:hAnsi="Times New Roman"/>
          <w:sz w:val="17"/>
          <w:szCs w:val="17"/>
          <w:color w:val="auto"/>
        </w:rPr>
        <w:t>. Except as provided in Section 5(c), the Committee may not, without shareholder approval, seek to effect any re-pricing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any previously granted “underwater” Option, SAR or similar Award by: (i) amending or modifying the terms of the Option, SAR or similar Award to lower the exercise price; (ii) cancelling the underwater Option, SAR or similar Award and granting either (A) replacement Options, SARs or similar Awards having a lower exercise price or (B) Restricted Shares, RSUs, Performance Awards or Other Share-Based Awards in exchange; or</w:t>
      </w:r>
    </w:p>
    <w:p>
      <w:pPr>
        <w:spacing w:after="0" w:line="1" w:lineRule="exact"/>
        <w:rPr>
          <w:rFonts w:ascii="Times New Roman" w:cs="Times New Roman" w:eastAsia="Times New Roman" w:hAnsi="Times New Roman"/>
          <w:sz w:val="17"/>
          <w:szCs w:val="17"/>
          <w:color w:val="auto"/>
        </w:rPr>
      </w:pPr>
    </w:p>
    <w:p>
      <w:pPr>
        <w:ind w:left="-6" w:right="40" w:firstLine="6"/>
        <w:spacing w:after="0" w:line="255" w:lineRule="auto"/>
        <w:tabs>
          <w:tab w:leader="none" w:pos="30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repurchasing the underwater Options, SARs or similar Awards for cash or other securities. An Option, SAR or similar Award will be deemed to be “underwater” at any time when the Fair Market Value of the Shares covered by such Award is less than the exercise price of the Award.</w:t>
      </w:r>
    </w:p>
    <w:p>
      <w:pPr>
        <w:sectPr>
          <w:pgSz w:w="11900" w:h="16838" w:orient="portrait"/>
          <w:cols w:equalWidth="0" w:num="1">
            <w:col w:w="10674"/>
          </w:cols>
          <w:pgMar w:left="766" w:top="268"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40" w:firstLine="754"/>
        <w:spacing w:after="0" w:line="258" w:lineRule="auto"/>
        <w:tabs>
          <w:tab w:leader="none" w:pos="87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Consultant, Non-Employee Director,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183" w:lineRule="exact"/>
        <w:rPr>
          <w:rFonts w:ascii="Times New Roman" w:cs="Times New Roman" w:eastAsia="Times New Roman" w:hAnsi="Times New Roman"/>
          <w:sz w:val="18"/>
          <w:szCs w:val="18"/>
          <w:color w:val="auto"/>
        </w:rPr>
      </w:pPr>
    </w:p>
    <w:p>
      <w:pPr>
        <w:ind w:left="-120" w:firstLine="754"/>
        <w:spacing w:after="0" w:line="258" w:lineRule="auto"/>
        <w:tabs>
          <w:tab w:leader="none" w:pos="88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shall not be construed as giving a Participant the right to be retained in the employ of, or to continue to provide services to, the Company or any Affiliate. Further, the Company or any applicable Affiliate may at any time dismiss a Participant, free from any liability, or any claim under the Plan, unless otherwise expressly provided in the Plan or in any Award Agreement or in any other agreement binding on the parties. The receipt of any Award under the Plan is not intended to confer any rights on the receiving Participant except as set forth in the applicable Award Agreement.</w:t>
      </w:r>
    </w:p>
    <w:p>
      <w:pPr>
        <w:spacing w:after="0" w:line="183" w:lineRule="exact"/>
        <w:rPr>
          <w:rFonts w:ascii="Times New Roman" w:cs="Times New Roman" w:eastAsia="Times New Roman" w:hAnsi="Times New Roman"/>
          <w:sz w:val="18"/>
          <w:szCs w:val="18"/>
          <w:color w:val="auto"/>
        </w:rPr>
      </w:pPr>
    </w:p>
    <w:p>
      <w:pPr>
        <w:ind w:left="-120" w:firstLine="754"/>
        <w:spacing w:after="0" w:line="273" w:lineRule="auto"/>
        <w:tabs>
          <w:tab w:leader="none" w:pos="873"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serves as a Consultant or Director)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1" w:lineRule="exact"/>
        <w:rPr>
          <w:rFonts w:ascii="Times New Roman" w:cs="Times New Roman" w:eastAsia="Times New Roman" w:hAnsi="Times New Roman"/>
          <w:sz w:val="17"/>
          <w:szCs w:val="17"/>
          <w:color w:val="auto"/>
        </w:rPr>
      </w:pPr>
    </w:p>
    <w:p>
      <w:pPr>
        <w:ind w:left="-120" w:right="200" w:firstLine="754"/>
        <w:spacing w:after="0" w:line="266" w:lineRule="auto"/>
        <w:tabs>
          <w:tab w:leader="none" w:pos="88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accepting an Award under the Plan, the Participant agrees to execute any additional documents or instruments necessary or desirable, as determined in the Committee’s sole discretion, to carry out the purposes or intent of the Award, or facilitate compliance with securities and/or other regulatory requirements, in each case at the Committee’s request.</w:t>
      </w:r>
    </w:p>
    <w:p>
      <w:pPr>
        <w:sectPr>
          <w:pgSz w:w="11900" w:h="16838" w:orient="portrait"/>
          <w:cols w:equalWidth="0" w:num="1">
            <w:col w:w="10560"/>
          </w:cols>
          <w:pgMar w:left="880" w:top="268" w:right="459" w:bottom="1440" w:gutter="0" w:footer="0" w:header="0"/>
        </w:sectPr>
      </w:pPr>
    </w:p>
    <w:bookmarkStart w:id="267" w:name="page268"/>
    <w:bookmarkEnd w:id="267"/>
    <w:p>
      <w:pPr>
        <w:ind w:left="-680" w:right="280" w:firstLine="754"/>
        <w:spacing w:after="0" w:line="266" w:lineRule="auto"/>
        <w:tabs>
          <w:tab w:leader="none" w:pos="31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175" w:lineRule="exact"/>
        <w:rPr>
          <w:rFonts w:ascii="Times New Roman" w:cs="Times New Roman" w:eastAsia="Times New Roman" w:hAnsi="Times New Roman"/>
          <w:sz w:val="18"/>
          <w:szCs w:val="18"/>
          <w:color w:val="auto"/>
        </w:rPr>
      </w:pPr>
    </w:p>
    <w:p>
      <w:pPr>
        <w:ind w:left="-680" w:firstLine="754"/>
        <w:spacing w:after="0" w:line="266" w:lineRule="auto"/>
        <w:tabs>
          <w:tab w:leader="none" w:pos="29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Plan shall prevent the Company or any Affiliate from adopting or continuing in effect other or additional compensation arrangements, including the grant of options and other stock-based awards, and such arrangements may be either generally applicable or applicable only in specific cases.</w:t>
      </w:r>
    </w:p>
    <w:p>
      <w:pPr>
        <w:spacing w:after="0" w:line="175" w:lineRule="exact"/>
        <w:rPr>
          <w:rFonts w:ascii="Times New Roman" w:cs="Times New Roman" w:eastAsia="Times New Roman" w:hAnsi="Times New Roman"/>
          <w:sz w:val="18"/>
          <w:szCs w:val="18"/>
          <w:color w:val="auto"/>
        </w:rPr>
      </w:pPr>
    </w:p>
    <w:p>
      <w:pPr>
        <w:ind w:left="-680" w:right="80" w:firstLine="754"/>
        <w:spacing w:after="0" w:line="253" w:lineRule="auto"/>
        <w:tabs>
          <w:tab w:leader="none" w:pos="32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such Participant) as may be necessary to satisfy all obligations for the payment of such taxes and, unless otherwise determined by the Committee in its discretion, to the extent such withholding would not result in liability classification of such Award (or any portion thereof) pursuant to FASB ASC Subtopic 718-10.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94" w:lineRule="exact"/>
        <w:rPr>
          <w:rFonts w:ascii="Times New Roman" w:cs="Times New Roman" w:eastAsia="Times New Roman" w:hAnsi="Times New Roman"/>
          <w:sz w:val="18"/>
          <w:szCs w:val="18"/>
          <w:color w:val="auto"/>
        </w:rPr>
      </w:pPr>
    </w:p>
    <w:p>
      <w:pPr>
        <w:ind w:left="-680" w:right="140" w:firstLine="754"/>
        <w:spacing w:after="0" w:line="258" w:lineRule="auto"/>
        <w:tabs>
          <w:tab w:leader="none" w:pos="32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spacing w:after="0" w:line="183" w:lineRule="exact"/>
        <w:rPr>
          <w:rFonts w:ascii="Times New Roman" w:cs="Times New Roman" w:eastAsia="Times New Roman" w:hAnsi="Times New Roman"/>
          <w:sz w:val="18"/>
          <w:szCs w:val="18"/>
          <w:color w:val="auto"/>
        </w:rPr>
      </w:pPr>
    </w:p>
    <w:p>
      <w:pPr>
        <w:ind w:left="-680" w:right="120" w:firstLine="754"/>
        <w:spacing w:after="0" w:line="266" w:lineRule="auto"/>
        <w:tabs>
          <w:tab w:leader="none" w:pos="28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75" w:lineRule="exact"/>
        <w:rPr>
          <w:rFonts w:ascii="Times New Roman" w:cs="Times New Roman" w:eastAsia="Times New Roman" w:hAnsi="Times New Roman"/>
          <w:sz w:val="18"/>
          <w:szCs w:val="18"/>
          <w:color w:val="auto"/>
        </w:rPr>
      </w:pPr>
    </w:p>
    <w:p>
      <w:pPr>
        <w:ind w:left="-680" w:right="340" w:firstLine="754"/>
        <w:spacing w:after="0" w:line="256" w:lineRule="auto"/>
        <w:tabs>
          <w:tab w:leader="none" w:pos="28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Committee’s or another third party selected by the Committee. The form of delivery of any Shares (e.g., a stock certificate or electronic entry evidencing such shares) shall be determined by the Company.</w:t>
      </w:r>
    </w:p>
    <w:p>
      <w:pPr>
        <w:sectPr>
          <w:pgSz w:w="11900" w:h="16838" w:orient="portrait"/>
          <w:cols w:equalWidth="0" w:num="1">
            <w:col w:w="9980"/>
          </w:cols>
          <w:pgMar w:left="1440" w:top="270" w:right="479" w:bottom="1440" w:gutter="0" w:footer="0" w:header="0"/>
        </w:sectPr>
      </w:pPr>
    </w:p>
    <w:bookmarkStart w:id="268" w:name="page269"/>
    <w:bookmarkEnd w:id="268"/>
    <w:p>
      <w:pPr>
        <w:ind w:left="320" w:right="60" w:firstLine="754"/>
        <w:spacing w:after="0" w:line="266" w:lineRule="auto"/>
        <w:tabs>
          <w:tab w:leader="none" w:pos="132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75" w:lineRule="exact"/>
        <w:rPr>
          <w:rFonts w:ascii="Times New Roman" w:cs="Times New Roman" w:eastAsia="Times New Roman" w:hAnsi="Times New Roman"/>
          <w:sz w:val="18"/>
          <w:szCs w:val="18"/>
          <w:color w:val="auto"/>
        </w:rPr>
      </w:pPr>
    </w:p>
    <w:p>
      <w:pPr>
        <w:ind w:left="320" w:firstLine="754"/>
        <w:spacing w:after="0" w:line="258" w:lineRule="auto"/>
        <w:tabs>
          <w:tab w:leader="none" w:pos="128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Effective Date of the Plan.</w:t>
      </w:r>
      <w:r>
        <w:rPr>
          <w:rFonts w:ascii="Times New Roman" w:cs="Times New Roman" w:eastAsia="Times New Roman" w:hAnsi="Times New Roman"/>
          <w:sz w:val="18"/>
          <w:szCs w:val="18"/>
          <w:color w:val="auto"/>
        </w:rPr>
        <w:t xml:space="preserve"> The Plan shall be effective as of the Effective Date.</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Term of the Plan.</w:t>
      </w:r>
      <w:r>
        <w:rPr>
          <w:rFonts w:ascii="Times New Roman" w:cs="Times New Roman" w:eastAsia="Times New Roman" w:hAnsi="Times New Roman"/>
          <w:sz w:val="18"/>
          <w:szCs w:val="18"/>
          <w:color w:val="auto"/>
        </w:rPr>
        <w:t xml:space="preserve"> No Award shall be granted under the Plan after the earliest to occur of (i) the 10-year anniversary of the date on which the Plan was adopted by the Board; (ii) the maximum number of Shares available for issuance under the Plan have been issued; or (iii) the Board terminates the Plan in accordance with Section 14(a).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Cancellation or “Clawback” of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20" w:right="20" w:firstLine="754"/>
        <w:spacing w:after="0" w:line="254" w:lineRule="auto"/>
        <w:tabs>
          <w:tab w:leader="none" w:pos="131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Agreement) or remain in effect, depending on the outcome), violation of material policies, breach of non-competition, non-solicitation, confidentiality or other restrictive covenants, or requirements to comply with minimum share ownership requirements, that may apply to the Participant, or other conduct by the Participant that is detrimental to the business or reputation of the Company and/or its Affiliates.</w:t>
      </w:r>
    </w:p>
    <w:p>
      <w:pPr>
        <w:sectPr>
          <w:pgSz w:w="11900" w:h="16838" w:orient="portrait"/>
          <w:cols w:equalWidth="0" w:num="1">
            <w:col w:w="10960"/>
          </w:cols>
          <w:pgMar w:left="440" w:top="270" w:right="499" w:bottom="1440" w:gutter="0" w:footer="0" w:header="0"/>
        </w:sectPr>
      </w:pPr>
    </w:p>
    <w:bookmarkStart w:id="269" w:name="page270"/>
    <w:bookmarkEnd w:id="269"/>
    <w:p>
      <w:pPr>
        <w:ind w:left="320" w:right="120" w:firstLine="754"/>
        <w:spacing w:after="0" w:line="255" w:lineRule="auto"/>
        <w:tabs>
          <w:tab w:leader="none" w:pos="132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shall have full authority to implement any policies and procedures necessary to comply with Section 10D of the Exchange Act and any rules promulgated thereunder and any other regulatory regimes. Notwithstanding anything to the contrary contained herein, any Awards granted under the Plan (including any amounts or benefits arising from such Awards) shall be subject to any clawback or recoupment arrangements or policies the Company has in place from time to time and the Committee may, to the extent permitted by applicable law and stock exchange rules or by any applicable Company policy or arrangement, and shall, to the extent required, cancel or require reimbursement of any Awards granted to the Participant or any Shares issued or cash received upon vesting, exercise or settlement of any such Awards or sale of Shares underlying such Awards.</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Section 409A of the Code.</w:t>
      </w:r>
      <w:r>
        <w:rPr>
          <w:rFonts w:ascii="Times New Roman" w:cs="Times New Roman" w:eastAsia="Times New Roman" w:hAnsi="Times New Roman"/>
          <w:sz w:val="18"/>
          <w:szCs w:val="18"/>
          <w:color w:val="auto"/>
        </w:rPr>
        <w:t xml:space="preserve"> With respect to Awards subject to Section 409A of the Code, the Plan is intended to comply with the 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 Plan to the contrary, if the Board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Section 1.409A-2(b)(2)(iii)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 Award. 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96"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terms of the Plan shall be binding upon and inure to the benefit of the Company and any successor entity, including any successor entity contemplated by Section 12(c).</w:t>
      </w:r>
    </w:p>
    <w:p>
      <w:pPr>
        <w:sectPr>
          <w:pgSz w:w="11900" w:h="16838" w:orient="portrait"/>
          <w:cols w:equalWidth="0" w:num="1">
            <w:col w:w="11000"/>
          </w:cols>
          <w:pgMar w:left="440" w:top="270" w:right="459" w:bottom="1440" w:gutter="0" w:footer="0" w:header="0"/>
        </w:sectPr>
      </w:pPr>
    </w:p>
    <w:bookmarkStart w:id="270" w:name="page271"/>
    <w:bookmarkEnd w:id="270"/>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 </w:t>
      </w:r>
      <w:r>
        <w:rPr>
          <w:rFonts w:ascii="Times New Roman" w:cs="Times New Roman" w:eastAsia="Times New Roman" w:hAnsi="Times New Roman"/>
          <w:sz w:val="17"/>
          <w:szCs w:val="17"/>
          <w:i w:val="1"/>
          <w:iCs w:val="1"/>
          <w:color w:val="auto"/>
        </w:rPr>
        <w:t>Data Protection</w:t>
      </w:r>
      <w:r>
        <w:rPr>
          <w:rFonts w:ascii="Times New Roman" w:cs="Times New Roman" w:eastAsia="Times New Roman" w:hAnsi="Times New Roman"/>
          <w:sz w:val="17"/>
          <w:szCs w:val="17"/>
          <w:color w:val="auto"/>
        </w:rPr>
        <w:t>. In connection with the Plan, the Company may need to process personal data provided by the Participant to the Company or its Affiliates, third party service providers or others acting on the Company’s behalf. Examples of such personal data may include, without limitation, the Participant’s name, account information, social security number, tax number and contact information. The Company may process such personal data in its legitimate business interests for all purposes relating to the operation and performance of the Plan, including but not limited to</w:t>
      </w:r>
      <w:r>
        <w:rPr>
          <w:rFonts w:ascii="Times New Roman" w:cs="Times New Roman" w:eastAsia="Times New Roman" w:hAnsi="Times New Roman"/>
          <w:sz w:val="17"/>
          <w:szCs w:val="17"/>
          <w:b w:val="1"/>
          <w:bCs w:val="1"/>
          <w:color w:val="auto"/>
        </w:rPr>
        <w:t>:</w:t>
      </w:r>
    </w:p>
    <w:p>
      <w:pPr>
        <w:spacing w:after="0" w:line="58" w:lineRule="exact"/>
        <w:rPr>
          <w:sz w:val="20"/>
          <w:szCs w:val="20"/>
          <w:color w:val="auto"/>
        </w:rPr>
      </w:pPr>
    </w:p>
    <w:p>
      <w:pPr>
        <w:ind w:left="1740" w:hanging="246"/>
        <w:spacing w:after="0"/>
        <w:tabs>
          <w:tab w:leader="none" w:pos="17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maintaining Participant records;</w:t>
      </w:r>
    </w:p>
    <w:p>
      <w:pPr>
        <w:spacing w:after="0" w:line="117" w:lineRule="exact"/>
        <w:rPr>
          <w:rFonts w:ascii="Times New Roman" w:cs="Times New Roman" w:eastAsia="Times New Roman" w:hAnsi="Times New Roman"/>
          <w:sz w:val="18"/>
          <w:szCs w:val="18"/>
          <w:color w:val="auto"/>
        </w:rPr>
      </w:pPr>
    </w:p>
    <w:p>
      <w:pPr>
        <w:ind w:left="1740" w:hanging="246"/>
        <w:spacing w:after="0"/>
        <w:tabs>
          <w:tab w:leader="none" w:pos="17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services described in the Plan;</w:t>
      </w:r>
    </w:p>
    <w:p>
      <w:pPr>
        <w:spacing w:after="0" w:line="117" w:lineRule="exact"/>
        <w:rPr>
          <w:rFonts w:ascii="Times New Roman" w:cs="Times New Roman" w:eastAsia="Times New Roman" w:hAnsi="Times New Roman"/>
          <w:sz w:val="18"/>
          <w:szCs w:val="18"/>
          <w:color w:val="auto"/>
        </w:rPr>
      </w:pPr>
    </w:p>
    <w:p>
      <w:pPr>
        <w:ind w:left="1100" w:right="240" w:firstLine="394"/>
        <w:spacing w:after="0" w:line="282" w:lineRule="auto"/>
        <w:tabs>
          <w:tab w:leader="none" w:pos="174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to future purchasers or merger partners of the Company or any Affiliate, or the business in which such Participant works; and</w:t>
      </w:r>
    </w:p>
    <w:p>
      <w:pPr>
        <w:spacing w:after="0" w:line="53" w:lineRule="exact"/>
        <w:rPr>
          <w:rFonts w:ascii="Times New Roman" w:cs="Times New Roman" w:eastAsia="Times New Roman" w:hAnsi="Times New Roman"/>
          <w:sz w:val="18"/>
          <w:szCs w:val="18"/>
          <w:color w:val="auto"/>
        </w:rPr>
      </w:pPr>
    </w:p>
    <w:p>
      <w:pPr>
        <w:ind w:left="1740" w:hanging="246"/>
        <w:spacing w:after="0"/>
        <w:tabs>
          <w:tab w:leader="none" w:pos="17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public authorities, court orders and legal investigations, as applicable.</w:t>
      </w:r>
    </w:p>
    <w:p>
      <w:pPr>
        <w:spacing w:after="0" w:line="225" w:lineRule="exact"/>
        <w:rPr>
          <w:sz w:val="20"/>
          <w:szCs w:val="20"/>
          <w:color w:val="auto"/>
        </w:rPr>
      </w:pPr>
    </w:p>
    <w:p>
      <w:pPr>
        <w:ind w:left="760" w:right="20" w:firstLine="410"/>
        <w:spacing w:after="0" w:line="266" w:lineRule="auto"/>
        <w:rPr>
          <w:sz w:val="20"/>
          <w:szCs w:val="20"/>
          <w:color w:val="auto"/>
        </w:rPr>
      </w:pPr>
      <w:r>
        <w:rPr>
          <w:rFonts w:ascii="Times New Roman" w:cs="Times New Roman" w:eastAsia="Times New Roman" w:hAnsi="Times New Roman"/>
          <w:sz w:val="18"/>
          <w:szCs w:val="18"/>
          <w:color w:val="auto"/>
        </w:rPr>
        <w:t>The Company may share the Participant’s personal data with (i) Affiliates, (ii) trustees of any employee benefit trust, (iii) registrars, (iv) brokers, (v) third party administrators of the Plan, (vi) third party service providers acting on the Company’s behalf to provide the services described above or (vii) regulators and others, as required by law.</w:t>
      </w:r>
    </w:p>
    <w:p>
      <w:pPr>
        <w:spacing w:after="0" w:line="176" w:lineRule="exact"/>
        <w:rPr>
          <w:sz w:val="20"/>
          <w:szCs w:val="20"/>
          <w:color w:val="auto"/>
        </w:rPr>
      </w:pPr>
    </w:p>
    <w:p>
      <w:pPr>
        <w:ind w:left="760" w:firstLine="410"/>
        <w:spacing w:after="0" w:line="254" w:lineRule="auto"/>
        <w:rPr>
          <w:sz w:val="20"/>
          <w:szCs w:val="20"/>
          <w:color w:val="auto"/>
        </w:rPr>
      </w:pPr>
      <w:r>
        <w:rPr>
          <w:rFonts w:ascii="Times New Roman" w:cs="Times New Roman" w:eastAsia="Times New Roman" w:hAnsi="Times New Roman"/>
          <w:sz w:val="18"/>
          <w:szCs w:val="18"/>
          <w:color w:val="auto"/>
        </w:rPr>
        <w:t>If necessary, the Company may transfer the Participant’s personal data to any of the parties mentioned above in a country or territory that may not provide the same protection for the information as the Participant’s home country. Any transfer of the Participant’s personal data to recipients in a third country will be made subject to appropriate safeguards or applicable derogations provided for under applicable law. Further information on those safeguards or derogations can be obtained through the contact set forth in the Employee Privacy Notice (the “Employee Privacy Notice”) that previously has been provided by the Company or its applicable Affiliate to the Participant. The terms set forth in this Section 21 are supplementary to the terms set forth in the Employee Privacy Notice (which, among other things, further describes the rights of the Participant with respect to the Participant’s personal data); provided that, in the event of any conflict between the terms of this Section 21 and the terms of the Employee Privacy Notice, the terms of this Section 21 shall govern and control in relation to the Plan and any personal data of the Participant to the extent collected in connection therewith.</w:t>
      </w:r>
    </w:p>
    <w:p>
      <w:pPr>
        <w:spacing w:after="0" w:line="188" w:lineRule="exact"/>
        <w:rPr>
          <w:sz w:val="20"/>
          <w:szCs w:val="20"/>
          <w:color w:val="auto"/>
        </w:rPr>
      </w:pPr>
    </w:p>
    <w:p>
      <w:pPr>
        <w:ind w:left="760" w:right="80" w:firstLine="410"/>
        <w:spacing w:after="0" w:line="282" w:lineRule="auto"/>
        <w:rPr>
          <w:sz w:val="20"/>
          <w:szCs w:val="20"/>
          <w:color w:val="auto"/>
        </w:rPr>
      </w:pPr>
      <w:r>
        <w:rPr>
          <w:rFonts w:ascii="Times New Roman" w:cs="Times New Roman" w:eastAsia="Times New Roman" w:hAnsi="Times New Roman"/>
          <w:sz w:val="18"/>
          <w:szCs w:val="18"/>
          <w:color w:val="auto"/>
        </w:rPr>
        <w:t>The Company will keep personal data collected in connection with the Plan for as long as necessary to operate the Plan or as necessary to comply with any legal or regulatory requirements.</w:t>
      </w:r>
    </w:p>
    <w:p>
      <w:pPr>
        <w:spacing w:after="0" w:line="162" w:lineRule="exact"/>
        <w:rPr>
          <w:sz w:val="20"/>
          <w:szCs w:val="20"/>
          <w:color w:val="auto"/>
        </w:rPr>
      </w:pPr>
    </w:p>
    <w:p>
      <w:pPr>
        <w:ind w:left="760" w:right="80" w:firstLine="922"/>
        <w:spacing w:after="0" w:line="266" w:lineRule="auto"/>
        <w:rPr>
          <w:sz w:val="20"/>
          <w:szCs w:val="20"/>
          <w:color w:val="auto"/>
        </w:rPr>
      </w:pPr>
      <w:r>
        <w:rPr>
          <w:rFonts w:ascii="Times New Roman" w:cs="Times New Roman" w:eastAsia="Times New Roman" w:hAnsi="Times New Roman"/>
          <w:sz w:val="18"/>
          <w:szCs w:val="18"/>
          <w:color w:val="auto"/>
        </w:rPr>
        <w:t>A Participant has a right to (i) request access to and rectification or erasure of the personal data provided, (ii) request the restriction of the processing of his or her personal data, (iii) object to the processing of his or her personal data, (iv) receive the personal data provided to the Company and transmit such data to another party, and (v) to lodge a complaint with a supervisory authority.</w:t>
      </w:r>
    </w:p>
    <w:p>
      <w:pPr>
        <w:sectPr>
          <w:pgSz w:w="11900" w:h="16838" w:orient="portrait"/>
          <w:cols w:equalWidth="0" w:num="1">
            <w:col w:w="10980"/>
          </w:cols>
          <w:pgMar w:left="440" w:top="268" w:right="479" w:bottom="1440" w:gutter="0" w:footer="0" w:header="0"/>
        </w:sectPr>
      </w:pPr>
    </w:p>
    <w:bookmarkStart w:id="271" w:name="page272"/>
    <w:bookmarkEnd w:id="271"/>
    <w:p>
      <w:pPr>
        <w:ind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and each Award Agreement shall be governed by the laws of the State of Delaware, without application of the conflicts of law principles thereof.</w:t>
      </w:r>
    </w:p>
    <w:p>
      <w:pPr>
        <w:sectPr>
          <w:pgSz w:w="11900" w:h="16838" w:orient="portrait"/>
          <w:cols w:equalWidth="0" w:num="1">
            <w:col w:w="10840"/>
          </w:cols>
          <w:pgMar w:left="440" w:top="268" w:right="61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 EMPLOYEE STOCK PURCHASE PLAN</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xml:space="preserve"> This ProKidney Corp.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intended to provide employees of the Company and its Participating Subsidiaries with an opportunity to acquire a proprietary interest in the Company through the purchase of Shares. Initially, the Plan is not intended to qualify as an “employee stock purchase plan” under Section 423 of the Code. From and after such date as the Committee, in its discretion, determines that the Plan is able to satisfy the requirements under Section 423 of the Code and that it will operate the Plan in accordance with such requirements (such date, the “</w:t>
      </w:r>
      <w:r>
        <w:rPr>
          <w:rFonts w:ascii="Times New Roman" w:cs="Times New Roman" w:eastAsia="Times New Roman" w:hAnsi="Times New Roman"/>
          <w:sz w:val="18"/>
          <w:szCs w:val="18"/>
          <w:b w:val="1"/>
          <w:bCs w:val="1"/>
          <w:color w:val="auto"/>
        </w:rPr>
        <w:t>Section 423 Effective Date</w:t>
      </w:r>
      <w:r>
        <w:rPr>
          <w:rFonts w:ascii="Times New Roman" w:cs="Times New Roman" w:eastAsia="Times New Roman" w:hAnsi="Times New Roman"/>
          <w:sz w:val="18"/>
          <w:szCs w:val="18"/>
          <w:color w:val="auto"/>
        </w:rPr>
        <w:t>”), the Plan is intended to qualify as an “employee stock purchase plan” under Section 423 of the Code and the Plan shall be interpreted in a manner that is consistent with that intent. Except as specifically provided under Section 4, and unless the Plan is amended pursuant to Section 18(i), the operative terms of the Plan as in effect on the Effective Date will remain the same on and after the Section 423 Effective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0" w:firstLine="436"/>
        <w:spacing w:after="0" w:line="286"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amended and restated articles and memorandum of association of the Company, as may be amended and/or restated from time to time.</w:t>
      </w:r>
    </w:p>
    <w:p>
      <w:pPr>
        <w:spacing w:after="0" w:line="15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right="40" w:firstLine="436"/>
        <w:spacing w:after="0" w:line="262"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January 18, 2022, made and entered into by and between Social Capital Suvretta Holdings Corp. III, a Cayman Islands exempted company limited by shares, and ProKidney LP, a limited partnership organized under the laws of Ireland, acting through its general partner ProKidney GP Limited, a private limited company incorporated under the laws of Ireland.</w:t>
      </w:r>
    </w:p>
    <w:p>
      <w:pPr>
        <w:spacing w:after="0" w:line="176" w:lineRule="exact"/>
        <w:rPr>
          <w:rFonts w:ascii="Times New Roman" w:cs="Times New Roman" w:eastAsia="Times New Roman" w:hAnsi="Times New Roman"/>
          <w:sz w:val="18"/>
          <w:szCs w:val="18"/>
          <w:color w:val="auto"/>
        </w:rPr>
      </w:pPr>
    </w:p>
    <w:p>
      <w:pPr>
        <w:ind w:right="360" w:firstLine="436"/>
        <w:spacing w:after="0" w:line="286" w:lineRule="auto"/>
        <w:tabs>
          <w:tab w:leader="none" w:pos="69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and the rules, regulations and guidance thereunder. Any reference to a provision in the Code shall include any successor provision thereto.</w:t>
      </w:r>
    </w:p>
    <w:p>
      <w:pPr>
        <w:spacing w:after="0" w:line="154" w:lineRule="exact"/>
        <w:rPr>
          <w:rFonts w:ascii="Times New Roman" w:cs="Times New Roman" w:eastAsia="Times New Roman" w:hAnsi="Times New Roman"/>
          <w:sz w:val="18"/>
          <w:szCs w:val="18"/>
          <w:color w:val="auto"/>
        </w:rPr>
      </w:pPr>
    </w:p>
    <w:p>
      <w:pPr>
        <w:ind w:right="460" w:firstLine="436"/>
        <w:spacing w:after="0" w:line="268"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unless another committee is designated by the Board. If there is no compensation committee of the Board and the Board does not designate another committee, references herein to the “Committee” shall refer to the Board.</w:t>
      </w:r>
    </w:p>
    <w:p>
      <w:pPr>
        <w:spacing w:after="0" w:line="170"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ProKidney Corp., a Cayman Islands exempted company limited by shares, including any successor thereto.</w:t>
      </w:r>
    </w:p>
    <w:p>
      <w:pPr>
        <w:sectPr>
          <w:pgSz w:w="11900" w:h="16838" w:orient="portrait"/>
          <w:cols w:equalWidth="0" w:num="1">
            <w:col w:w="11020"/>
          </w:cols>
          <w:pgMar w:left="440" w:top="117" w:right="439" w:bottom="1440" w:gutter="0" w:footer="0" w:header="0"/>
        </w:sectPr>
      </w:pPr>
    </w:p>
    <w:bookmarkStart w:id="273" w:name="page274"/>
    <w:bookmarkEnd w:id="273"/>
    <w:p>
      <w:pPr>
        <w:jc w:val="both"/>
        <w:ind w:left="4" w:right="200" w:firstLine="436"/>
        <w:spacing w:after="0" w:line="262" w:lineRule="auto"/>
        <w:tabs>
          <w:tab w:leader="none" w:pos="69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unless otherwise determined by the Committee prior to the commencement of an Offering, the base salary, wages, annual cash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w:t>
      </w:r>
    </w:p>
    <w:p>
      <w:pPr>
        <w:spacing w:after="0" w:line="176" w:lineRule="exact"/>
        <w:rPr>
          <w:rFonts w:ascii="Times New Roman" w:cs="Times New Roman" w:eastAsia="Times New Roman" w:hAnsi="Times New Roman"/>
          <w:sz w:val="18"/>
          <w:szCs w:val="18"/>
          <w:color w:val="auto"/>
        </w:rPr>
      </w:pPr>
    </w:p>
    <w:p>
      <w:pPr>
        <w:ind w:left="4" w:right="60" w:firstLine="436"/>
        <w:spacing w:after="0" w:line="286" w:lineRule="auto"/>
        <w:tabs>
          <w:tab w:leader="none" w:pos="69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means a merger, consolidation, acquisition of property or stock, separation, reorganization or other corporate event described in Section 424 of the Code.</w:t>
      </w:r>
    </w:p>
    <w:p>
      <w:pPr>
        <w:spacing w:after="0" w:line="154" w:lineRule="exact"/>
        <w:rPr>
          <w:rFonts w:ascii="Times New Roman" w:cs="Times New Roman" w:eastAsia="Times New Roman" w:hAnsi="Times New Roman"/>
          <w:sz w:val="18"/>
          <w:szCs w:val="18"/>
          <w:color w:val="auto"/>
        </w:rPr>
      </w:pPr>
    </w:p>
    <w:p>
      <w:pPr>
        <w:ind w:left="4" w:firstLine="436"/>
        <w:spacing w:after="0" w:line="286" w:lineRule="auto"/>
        <w:tabs>
          <w:tab w:leader="none" w:pos="65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Broker</w:t>
      </w:r>
      <w:r>
        <w:rPr>
          <w:rFonts w:ascii="Times New Roman" w:cs="Times New Roman" w:eastAsia="Times New Roman" w:hAnsi="Times New Roman"/>
          <w:sz w:val="18"/>
          <w:szCs w:val="18"/>
          <w:color w:val="auto"/>
        </w:rPr>
        <w:t>” means the financial services firm or other agent designated by the Company to maintain ESPP Share Accounts on behalf of Participants who have purchased Shares under the Plan.</w:t>
      </w:r>
    </w:p>
    <w:p>
      <w:pPr>
        <w:spacing w:after="0" w:line="154"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latest of (i) the date on which the Plan is adopted by the Board and approved by the shareholders of the Company,</w:t>
      </w:r>
    </w:p>
    <w:p>
      <w:pPr>
        <w:spacing w:after="0" w:line="3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11, 2022 and (iii) a date to be determined by the Committee.</w:t>
      </w:r>
    </w:p>
    <w:p>
      <w:pPr>
        <w:spacing w:after="0" w:line="202" w:lineRule="exact"/>
        <w:rPr>
          <w:rFonts w:ascii="Times New Roman" w:cs="Times New Roman" w:eastAsia="Times New Roman" w:hAnsi="Times New Roman"/>
          <w:sz w:val="18"/>
          <w:szCs w:val="18"/>
          <w:color w:val="auto"/>
        </w:rPr>
      </w:pPr>
    </w:p>
    <w:p>
      <w:pPr>
        <w:ind w:left="4" w:right="20" w:firstLine="436"/>
        <w:spacing w:after="0" w:line="259" w:lineRule="auto"/>
        <w:tabs>
          <w:tab w:leader="none" w:pos="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an Employee who is customarily employed for at least twenty (20) hours per week and more than five (5) months in any calendar year. Notwithstanding the foregoing, the Committee (i) may exclude from participation in the Plan or any Offering any Employees who are “highly compensated employees” or a sub-set of such “highly compensated employees” (within the meaning of Section 414(q) of the Code) or who otherwise may be excluded from participation pursuant to Treasury Regulation Section 1.423-2(e) and (ii) shall exclude any Employees located outside of the United States to the extent permitted under Section 423 of the Code.</w:t>
      </w:r>
    </w:p>
    <w:p>
      <w:pPr>
        <w:spacing w:after="0" w:line="179" w:lineRule="exact"/>
        <w:rPr>
          <w:rFonts w:ascii="Times New Roman" w:cs="Times New Roman" w:eastAsia="Times New Roman" w:hAnsi="Times New Roman"/>
          <w:sz w:val="18"/>
          <w:szCs w:val="18"/>
          <w:color w:val="auto"/>
        </w:rPr>
      </w:pPr>
    </w:p>
    <w:p>
      <w:pPr>
        <w:ind w:left="4" w:right="60" w:firstLine="436"/>
        <w:spacing w:after="0" w:line="278" w:lineRule="auto"/>
        <w:tabs>
          <w:tab w:leader="none" w:pos="659"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and the individual’s right to reemployment is not provided by statute or contract, the employment relationship shall be deemed to have terminated on the first day immediately following such three-month period.</w:t>
      </w:r>
    </w:p>
    <w:p>
      <w:pPr>
        <w:spacing w:after="0" w:line="163" w:lineRule="exact"/>
        <w:rPr>
          <w:rFonts w:ascii="Times New Roman" w:cs="Times New Roman" w:eastAsia="Times New Roman" w:hAnsi="Times New Roman"/>
          <w:sz w:val="17"/>
          <w:szCs w:val="17"/>
          <w:color w:val="auto"/>
        </w:rPr>
      </w:pPr>
    </w:p>
    <w:p>
      <w:pPr>
        <w:ind w:left="4" w:right="60" w:firstLine="436"/>
        <w:spacing w:after="0" w:line="286" w:lineRule="auto"/>
        <w:tabs>
          <w:tab w:leader="none" w:pos="74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Enrollment Form</w:t>
      </w:r>
      <w:r>
        <w:rPr>
          <w:rFonts w:ascii="Times New Roman" w:cs="Times New Roman" w:eastAsia="Times New Roman" w:hAnsi="Times New Roman"/>
          <w:sz w:val="18"/>
          <w:szCs w:val="18"/>
          <w:color w:val="auto"/>
        </w:rPr>
        <w:t>” means an agreement pursuant to which an Eligible Employee may elect to enroll in the Plan, to authorize a new level of payroll deductions, or to stop payroll deductions and withdraw from an Offering.</w:t>
      </w:r>
    </w:p>
    <w:p>
      <w:pPr>
        <w:spacing w:after="0" w:line="154" w:lineRule="exact"/>
        <w:rPr>
          <w:rFonts w:ascii="Times New Roman" w:cs="Times New Roman" w:eastAsia="Times New Roman" w:hAnsi="Times New Roman"/>
          <w:sz w:val="18"/>
          <w:szCs w:val="18"/>
          <w:color w:val="auto"/>
        </w:rPr>
      </w:pPr>
    </w:p>
    <w:p>
      <w:pPr>
        <w:ind w:left="4" w:right="60" w:firstLine="436"/>
        <w:spacing w:after="0" w:line="286" w:lineRule="auto"/>
        <w:tabs>
          <w:tab w:leader="none" w:pos="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 Share Account</w:t>
      </w:r>
      <w:r>
        <w:rPr>
          <w:rFonts w:ascii="Times New Roman" w:cs="Times New Roman" w:eastAsia="Times New Roman" w:hAnsi="Times New Roman"/>
          <w:sz w:val="18"/>
          <w:szCs w:val="18"/>
          <w:color w:val="auto"/>
        </w:rPr>
        <w:t>” means an account into which Shares purchased with accumulated payroll deductions at the end of an Offering Period are deposited on behalf of a Participant.</w:t>
      </w:r>
    </w:p>
    <w:p>
      <w:pPr>
        <w:sectPr>
          <w:pgSz w:w="11900" w:h="16838" w:orient="portrait"/>
          <w:cols w:equalWidth="0" w:num="1">
            <w:col w:w="10984"/>
          </w:cols>
          <w:pgMar w:left="436" w:top="266" w:right="479" w:bottom="1440" w:gutter="0" w:footer="0" w:header="0"/>
        </w:sectPr>
      </w:pPr>
    </w:p>
    <w:bookmarkStart w:id="274" w:name="page275"/>
    <w:bookmarkEnd w:id="274"/>
    <w:p>
      <w:pPr>
        <w:ind w:left="-436" w:right="760" w:firstLine="436"/>
        <w:spacing w:after="0" w:line="286" w:lineRule="auto"/>
        <w:tabs>
          <w:tab w:leader="none" w:pos="2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54" w:lineRule="exact"/>
        <w:rPr>
          <w:rFonts w:ascii="Times New Roman" w:cs="Times New Roman" w:eastAsia="Times New Roman" w:hAnsi="Times New Roman"/>
          <w:sz w:val="18"/>
          <w:szCs w:val="18"/>
          <w:color w:val="auto"/>
        </w:rPr>
      </w:pPr>
    </w:p>
    <w:p>
      <w:pPr>
        <w:ind w:left="-436" w:firstLine="436"/>
        <w:spacing w:after="0" w:line="262" w:lineRule="auto"/>
        <w:tabs>
          <w:tab w:leader="none" w:pos="2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the closing price of a Share on the applicable date of determination (or, if there is no reported sale on such date, on the last preceding date on which any reported sale occurred), on the principal stock market or exchange on which Shares are quoted or traded, or if Shares are not so quoted or traded, the fair market value of a Share as determined by the Committee, which such determination shall be conclusive and binding on all persons.</w:t>
      </w:r>
    </w:p>
    <w:p>
      <w:pPr>
        <w:spacing w:after="0" w:line="176" w:lineRule="exact"/>
        <w:rPr>
          <w:rFonts w:ascii="Times New Roman" w:cs="Times New Roman" w:eastAsia="Times New Roman" w:hAnsi="Times New Roman"/>
          <w:sz w:val="18"/>
          <w:szCs w:val="18"/>
          <w:color w:val="auto"/>
        </w:rPr>
      </w:pPr>
    </w:p>
    <w:p>
      <w:pPr>
        <w:ind w:left="-436" w:right="40" w:firstLine="436"/>
        <w:spacing w:after="0" w:line="259" w:lineRule="auto"/>
        <w:tabs>
          <w:tab w:leader="none" w:pos="2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Fully-Diluted Basis</w:t>
      </w:r>
      <w:r>
        <w:rPr>
          <w:rFonts w:ascii="Times New Roman" w:cs="Times New Roman" w:eastAsia="Times New Roman" w:hAnsi="Times New Roman"/>
          <w:sz w:val="18"/>
          <w:szCs w:val="18"/>
          <w:color w:val="auto"/>
        </w:rPr>
        <w:t>” means all Shares outstanding on the applicable date of determination, which shall include Shares into which New Company Common Units may be exchanged pursuant to the Exchange Agreement (as such terms are defined in the Business Combination Agreement), but before giving effect to the number of Shares reserved for issuance or issued under this Plan and the Company’s 2022 Incentive Equity Plan and excluding all Earnout Shares and all Earnout Company Units (as such terms are defined in the Business Combination Agreement) on the applicable date of determination.</w:t>
      </w:r>
    </w:p>
    <w:p>
      <w:pPr>
        <w:spacing w:after="0" w:line="17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Date</w:t>
      </w:r>
      <w:r>
        <w:rPr>
          <w:rFonts w:ascii="Times New Roman" w:cs="Times New Roman" w:eastAsia="Times New Roman" w:hAnsi="Times New Roman"/>
          <w:sz w:val="18"/>
          <w:szCs w:val="18"/>
          <w:color w:val="auto"/>
        </w:rPr>
        <w:t>” means the first Trading Day of each Offering Period as designated by the Committee.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means the period described in Section 5.</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Period Limit</w:t>
      </w:r>
      <w:r>
        <w:rPr>
          <w:rFonts w:ascii="Times New Roman" w:cs="Times New Roman" w:eastAsia="Times New Roman" w:hAnsi="Times New Roman"/>
          <w:sz w:val="18"/>
          <w:szCs w:val="18"/>
          <w:color w:val="auto"/>
        </w:rPr>
        <w:t>” has the meaning set forth in Section 8.</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Employee who is actively participating in the Plan.</w:t>
      </w:r>
    </w:p>
    <w:p>
      <w:pPr>
        <w:spacing w:after="0" w:line="225" w:lineRule="exact"/>
        <w:rPr>
          <w:rFonts w:ascii="Times New Roman" w:cs="Times New Roman" w:eastAsia="Times New Roman" w:hAnsi="Times New Roman"/>
          <w:sz w:val="18"/>
          <w:szCs w:val="18"/>
          <w:color w:val="auto"/>
        </w:rPr>
      </w:pPr>
    </w:p>
    <w:p>
      <w:pPr>
        <w:ind w:left="-436" w:right="300" w:firstLine="436"/>
        <w:spacing w:after="0" w:line="286" w:lineRule="auto"/>
        <w:tabs>
          <w:tab w:leader="none" w:pos="2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Subsidiaries</w:t>
      </w:r>
      <w:r>
        <w:rPr>
          <w:rFonts w:ascii="Times New Roman" w:cs="Times New Roman" w:eastAsia="Times New Roman" w:hAnsi="Times New Roman"/>
          <w:sz w:val="18"/>
          <w:szCs w:val="18"/>
          <w:color w:val="auto"/>
        </w:rPr>
        <w:t>” means the Subsidiaries that have been designated by the Committee as eligible to participate in the Plan, and such other Subsidiaries that may be designated by the Committee from time to time in its sole discretion.</w:t>
      </w:r>
    </w:p>
    <w:p>
      <w:pPr>
        <w:spacing w:after="0" w:line="154"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ProKidney Corp. Employee Stock Purchase Plan, as set forth herein, and as amended from time to time.</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means the last Trading Day of each Offering Period.</w:t>
      </w:r>
    </w:p>
    <w:p>
      <w:pPr>
        <w:spacing w:after="0" w:line="225" w:lineRule="exact"/>
        <w:rPr>
          <w:rFonts w:ascii="Times New Roman" w:cs="Times New Roman" w:eastAsia="Times New Roman" w:hAnsi="Times New Roman"/>
          <w:sz w:val="18"/>
          <w:szCs w:val="18"/>
          <w:color w:val="auto"/>
        </w:rPr>
      </w:pPr>
    </w:p>
    <w:p>
      <w:pPr>
        <w:ind w:left="-436" w:right="240" w:firstLine="436"/>
        <w:spacing w:after="0" w:line="262" w:lineRule="auto"/>
        <w:tabs>
          <w:tab w:leader="none" w:pos="2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means an amount equal to the lesser of (i) eighty-five percent (85%) (or such greater percentage as designated by the Committee) of the Fair Market Value of a Share on the Offering Date or (ii) eight-five (85%) (or such greater percentage as designated by the Committee) of the Fair Market Value of a Share on the 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per Share will in no event be less than the par value of the Shares.</w:t>
      </w:r>
    </w:p>
    <w:p>
      <w:pPr>
        <w:sectPr>
          <w:pgSz w:w="11900" w:h="16838" w:orient="portrait"/>
          <w:cols w:equalWidth="0" w:num="1">
            <w:col w:w="10564"/>
          </w:cols>
          <w:pgMar w:left="876" w:top="266" w:right="459" w:bottom="1440" w:gutter="0" w:footer="0" w:header="0"/>
        </w:sectPr>
      </w:pPr>
    </w:p>
    <w:bookmarkStart w:id="275" w:name="page276"/>
    <w:bookmarkEnd w:id="275"/>
    <w:p>
      <w:pPr>
        <w:ind w:left="-436" w:right="320" w:firstLine="436"/>
        <w:spacing w:after="0" w:line="286" w:lineRule="auto"/>
        <w:tabs>
          <w:tab w:leader="none" w:pos="24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and the rules, regulations and guidance thereunder. Any reference to a provision in the Securities Act includes any successor provision thereto.</w:t>
      </w:r>
    </w:p>
    <w:p>
      <w:pPr>
        <w:spacing w:after="0" w:line="155" w:lineRule="exact"/>
        <w:rPr>
          <w:sz w:val="20"/>
          <w:szCs w:val="20"/>
          <w:color w:val="auto"/>
        </w:rPr>
      </w:pPr>
    </w:p>
    <w:p>
      <w:pPr>
        <w:ind w:left="324" w:hanging="324"/>
        <w:spacing w:after="0"/>
        <w:tabs>
          <w:tab w:leader="none" w:pos="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Class A ordinary share, $0.0001 par value, in the capital of the Company.</w:t>
      </w:r>
    </w:p>
    <w:p>
      <w:pPr>
        <w:spacing w:after="0" w:line="225" w:lineRule="exact"/>
        <w:rPr>
          <w:rFonts w:ascii="Times New Roman" w:cs="Times New Roman" w:eastAsia="Times New Roman" w:hAnsi="Times New Roman"/>
          <w:sz w:val="18"/>
          <w:szCs w:val="18"/>
          <w:color w:val="auto"/>
        </w:rPr>
      </w:pPr>
    </w:p>
    <w:p>
      <w:pPr>
        <w:ind w:left="-436" w:firstLine="436"/>
        <w:spacing w:after="0" w:line="271" w:lineRule="auto"/>
        <w:tabs>
          <w:tab w:leader="none" w:pos="349"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xml:space="preserve">” means (i) on and after the Section 423 Effective Date, any corporation, domestic or foreign, in an unbroken chain of corporations beginning with the Company of which at the time of the granting of an option pursuant to Section 7, not less than 50% of the total combined voting power of all classes of stock are held by the Company or a Subsidiary, whether or not such corporation exists now or is hereafter organized or acquired by the Company or a Subsidiary;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or (ii) prior to the Section 423 Effective Date, in addition to the entities in clause (i), “Subsidiary” shall also include any entity that, directly or indirectly, is controlled by, controls or is under common control with the Company but shall not include any entity for which the Committee or the Board has excluded its employees from participation in this Plan.</w:t>
      </w:r>
    </w:p>
    <w:p>
      <w:pPr>
        <w:spacing w:after="0" w:line="173"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national stock exchange upon which the Shares are listed is open for trading.</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36" w:firstLine="436"/>
        <w:spacing w:after="0" w:line="253" w:lineRule="auto"/>
        <w:tabs>
          <w:tab w:leader="none" w:pos="24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Committee which shall have the authority to construe and interpret the Plan, prescribe, amend and rescind rules relating to the Plan’s administration and take any other actions necessary or desirable for the administration of the Plan including, without limitation, adopting sub-plans applicable to particular Participating Subsidiaries or locations, which sub-plans may be designed to be outside the scope of Section 423 of the Code. The Committee may correct any defect or supply any omission or reconcile any inconsistency or ambiguity in the Plan. The decisions of the Committee shall be final and binding on all persons. All expenses of administering the Plan shall be borne by the Company. Notwithstanding anything in the Plan to the contrary and without limiting the generality of the foregoing, the Committee shall have the authority to change the minimum and maximum amounts of Compensation for payroll deductions pursuant to Section 6(a), the frequency with which a Participant may elect to change their rate of payroll deductions pursuant to Section 6(b), the dates by which a Participant is required to submit an Enrollment Form pursuant to Section 6(b) and Section 10(a), and the effective date of a Participant’s withdrawal due to termination of employment or change in status pursuant to Section 11, and the withholding procedures pursuant to Section 18(l).</w:t>
      </w:r>
    </w:p>
    <w:p>
      <w:pPr>
        <w:sectPr>
          <w:pgSz w:w="11900" w:h="16838" w:orient="portrait"/>
          <w:cols w:equalWidth="0" w:num="1">
            <w:col w:w="10564"/>
          </w:cols>
          <w:pgMar w:left="876" w:top="266" w:right="459" w:bottom="1440" w:gutter="0" w:footer="0" w:header="0"/>
        </w:sectPr>
      </w:pPr>
    </w:p>
    <w:bookmarkStart w:id="276" w:name="page277"/>
    <w:bookmarkEnd w:id="276"/>
    <w:p>
      <w:pPr>
        <w:ind w:right="60" w:firstLine="436"/>
        <w:spacing w:after="0" w:line="266"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Delegation of Authority</w:t>
      </w:r>
      <w:r>
        <w:rPr>
          <w:rFonts w:ascii="Times New Roman" w:cs="Times New Roman" w:eastAsia="Times New Roman" w:hAnsi="Times New Roman"/>
          <w:sz w:val="18"/>
          <w:szCs w:val="18"/>
          <w:color w:val="auto"/>
        </w:rPr>
        <w:t>. To the extent permitted by applicable law, including under the Companies Act (as amended) of the Cayman Islands, and the Articles, the Committee may delegate to (i) one or more officers of the Company some or all of its authority under the Plan and (ii) one or more committees of the Board some or all of its authority under the Plan.</w:t>
      </w:r>
    </w:p>
    <w:p>
      <w:pPr>
        <w:spacing w:after="0" w:line="17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In order to participate in an Offering, an Eligible Employee must deliver a completed Enrollment Form to the Company at least five (5) business days prior to the Offering Date (unless a different time is set by the Company for all Eligible Employees with respect to such Offering) and must elect their payroll deduction rate as described in Section 6. 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stock of the Company or hold outstanding options to purchase stock of the Company possessing 5% or more of the total combined voting power or value of all classes of stock of the Company or any Subsidiary or (ii) such option would permit such Eligible Employee’s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 in accordance with the provisions of Section 423(b)(8) of the Code.</w:t>
      </w:r>
    </w:p>
    <w:p>
      <w:pPr>
        <w:spacing w:after="0" w:line="18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The Plan shall be implemented by a series of Offering Periods, each of which shall be six (6) months in duration. The Committee shall have, prior to the commencement of a particular Offering Period, the authority to determine or change the duration, frequency, start and end dates of Offering Periods (subject to a maximum Offering Period of twenty-seven (27) months).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4"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 Payroll Deductions</w:t>
      </w:r>
      <w:r>
        <w:rPr>
          <w:rFonts w:ascii="Times New Roman" w:cs="Times New Roman" w:eastAsia="Times New Roman" w:hAnsi="Times New Roman"/>
          <w:sz w:val="18"/>
          <w:szCs w:val="18"/>
          <w:color w:val="auto"/>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their paycheck in an amount equal to at least one percent (1%), but not more than ten percent (10%) of their Compensation on each payday occurring during an Offering Period (or such other maximum percentage as the Committee may establish from time to time before an Offering Period begins). Payroll deductions shall commence as soon as administratively practicable following the Offering Date and end on the latest practicable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ectPr>
          <w:pgSz w:w="11900" w:h="16838" w:orient="portrait"/>
          <w:cols w:equalWidth="0" w:num="1">
            <w:col w:w="10980"/>
          </w:cols>
          <w:pgMar w:left="440" w:top="270" w:right="479" w:bottom="1440" w:gutter="0" w:footer="0" w:header="0"/>
        </w:sectPr>
      </w:pPr>
    </w:p>
    <w:bookmarkStart w:id="277" w:name="page278"/>
    <w:bookmarkEnd w:id="277"/>
    <w:p>
      <w:pPr>
        <w:ind w:firstLine="436"/>
        <w:spacing w:after="0" w:line="261" w:lineRule="auto"/>
        <w:tabs>
          <w:tab w:leader="none" w:pos="69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Changes</w:t>
      </w:r>
      <w:r>
        <w:rPr>
          <w:rFonts w:ascii="Times New Roman" w:cs="Times New Roman" w:eastAsia="Times New Roman" w:hAnsi="Times New Roman"/>
          <w:sz w:val="18"/>
          <w:szCs w:val="18"/>
          <w:color w:val="auto"/>
        </w:rPr>
        <w:t>. During an Offering Period, a Participant may decrease (but not increase) their rate of payroll deductions applicable to such Offering Period only once. To make such a change, the Participant must submit a new Enrollment Form authorizing the new rate of payroll deductions at least fifteen (15) days before the Purchase Date. A Participant may decrease or increase their rate of payroll deductions for future Offering Periods by submitting a new Enrollment Form authorizing the new rate of payroll deductions at least fifteen days before the start of the next Offering Period.</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Re-enrollment</w:t>
      </w:r>
      <w:r>
        <w:rPr>
          <w:rFonts w:ascii="Times New Roman" w:cs="Times New Roman" w:eastAsia="Times New Roman" w:hAnsi="Times New Roman"/>
          <w:sz w:val="18"/>
          <w:szCs w:val="18"/>
          <w:color w:val="auto"/>
        </w:rPr>
        <w:t>. The deduction rate selected in the Enrollment Form shall remain in effect for subsequent Offering Periods unless the Participant (i) submits a new Enrollment Form authorizing a new level of payroll deductions in accordance with Section 6(b), (ii) withdraws from the Plan in accordance with Section 10, or (iii) terminates employment or otherwise becomes ineligible to participate in the Plan.</w:t>
      </w:r>
    </w:p>
    <w:p>
      <w:pPr>
        <w:spacing w:after="0" w:line="174"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Grant of Option</w:t>
      </w:r>
      <w:r>
        <w:rPr>
          <w:rFonts w:ascii="Times New Roman" w:cs="Times New Roman" w:eastAsia="Times New Roman" w:hAnsi="Times New Roman"/>
          <w:sz w:val="18"/>
          <w:szCs w:val="18"/>
          <w:color w:val="auto"/>
        </w:rPr>
        <w:t xml:space="preserve">. On each Offering Date, each Participant in the applicable Offering Period shall be granted an option to purchase, on the Purchase Date, a number of Shares determined by dividing the Participant’s accumulated payroll deductions by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any Participant purchase more than 12,500 Shares during an Offering Period (subject to adjustment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17 and the limitations set forth in Section 4 and Section 13 of the Plan) (the “</w:t>
      </w:r>
      <w:r>
        <w:rPr>
          <w:rFonts w:ascii="Times New Roman" w:cs="Times New Roman" w:eastAsia="Times New Roman" w:hAnsi="Times New Roman"/>
          <w:sz w:val="18"/>
          <w:szCs w:val="18"/>
          <w:b w:val="1"/>
          <w:bCs w:val="1"/>
          <w:color w:val="auto"/>
        </w:rPr>
        <w:t>Offering Period Limit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Exercise of Option/Purchase of Shares</w:t>
      </w:r>
      <w:r>
        <w:rPr>
          <w:rFonts w:ascii="Times New Roman" w:cs="Times New Roman" w:eastAsia="Times New Roman" w:hAnsi="Times New Roman"/>
          <w:sz w:val="18"/>
          <w:szCs w:val="18"/>
          <w:color w:val="auto"/>
        </w:rPr>
        <w:t>. A Participant’s option to purchase Shares will be exercised automatically on the Purchase Date of each Offering Period. The Participant’s accumulated payroll deductions will be used to purchase the maximum number of whole Shares that can be purchased with the amounts in the Participant’s notional account, subject to the Offering Period Limit and the limitations set forth in Section 4 and Section 13 of the Plan. No fractional Shares may be purchased, and any contributions unused in a given Offering Period due to being less than the cost of a Share will be carried forward to the next Offering Period, subject to earlier withdrawal by the Participant in accordance with Section 10 or termination of employment or change in employment status in accordance with Section 11. Any such contributions not carried forward to the next Offering Period in accordance with the prior sentence shall be promptly refunded to the Participant. During a Participant’s lifetime, the Participant’s option to purchase Shares under the Plan is exercisable only by the Participant.</w:t>
      </w:r>
    </w:p>
    <w:p>
      <w:pPr>
        <w:spacing w:after="0" w:line="18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As soon as administratively practicable, but in no event later than thirty (30) days, after each Purchase Date, the Company will arrange for the delivery to each Participant of the Shares purchased upon exercise of the Participant’s option. The Committee may permit or require that the Shares be deposited directly into an ESPP Share Account established in the name of the Participant with a Designated Broker and may require that the Shares be retained with such Designated Broker for a specified period of time. Participants will not have any voting, dividend or other rights of a shareholder with respect to the Shares subject to any option granted under the Plan until such Shares have been delivered pursuant to this Section 9.</w:t>
      </w:r>
    </w:p>
    <w:p>
      <w:pPr>
        <w:sectPr>
          <w:pgSz w:w="11900" w:h="16838" w:orient="portrait"/>
          <w:cols w:equalWidth="0" w:num="1">
            <w:col w:w="11000"/>
          </w:cols>
          <w:pgMar w:left="440" w:top="270" w:right="459" w:bottom="1440" w:gutter="0" w:footer="0" w:header="0"/>
        </w:sectPr>
      </w:pPr>
    </w:p>
    <w:bookmarkStart w:id="278" w:name="page279"/>
    <w:bookmarkEnd w:id="2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i w:val="1"/>
          <w:iCs w:val="1"/>
          <w:color w:val="auto"/>
        </w:rPr>
        <w:t>Withdrawal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58"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Procedure</w:t>
      </w:r>
      <w:r>
        <w:rPr>
          <w:rFonts w:ascii="Times New Roman" w:cs="Times New Roman" w:eastAsia="Times New Roman" w:hAnsi="Times New Roman"/>
          <w:sz w:val="18"/>
          <w:szCs w:val="18"/>
          <w:color w:val="auto"/>
        </w:rPr>
        <w:t>. A Participant may withdraw from an Offering by submitting to the Company a revised Enrollment Form indicating their election to withdraw at least fifteen (15) days before the Purchase Date. The accumulated payroll deductions held on behalf of a Participant in their notional account shall be paid to the Participant promptly following receipt of the Participant’s Enrollment Form indicating their election to withdraw and the Participant’s option shall be automatically terminated. If a Participant withdraws from an Offering Period, no payroll deductions will be made during any succeeding Offering Period, unless the Participant re-enrolls in accordance with Section 6(a) of the Plan.</w:t>
      </w:r>
    </w:p>
    <w:p>
      <w:pPr>
        <w:spacing w:after="0" w:line="183" w:lineRule="exact"/>
        <w:rPr>
          <w:rFonts w:ascii="Times New Roman" w:cs="Times New Roman" w:eastAsia="Times New Roman" w:hAnsi="Times New Roman"/>
          <w:sz w:val="18"/>
          <w:szCs w:val="18"/>
          <w:color w:val="auto"/>
        </w:rPr>
      </w:pPr>
    </w:p>
    <w:p>
      <w:pPr>
        <w:ind w:right="300" w:firstLine="436"/>
        <w:spacing w:after="0" w:line="266" w:lineRule="auto"/>
        <w:tabs>
          <w:tab w:leader="none" w:pos="6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Succeeding Offering Periods</w:t>
      </w:r>
      <w:r>
        <w:rPr>
          <w:rFonts w:ascii="Times New Roman" w:cs="Times New Roman" w:eastAsia="Times New Roman" w:hAnsi="Times New Roman"/>
          <w:sz w:val="18"/>
          <w:szCs w:val="18"/>
          <w:color w:val="auto"/>
        </w:rPr>
        <w:t>. A Participant’s election to withdraw from an Offering Period will not have any effect upon the Participant’s eligibility to participate in succeeding Offering Periods that commence following the completion of the Offering Period from which the Participant withdraws.</w:t>
      </w:r>
    </w:p>
    <w:p>
      <w:pPr>
        <w:spacing w:after="0" w:line="174"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Termination of Employment; Change in Employment Status</w:t>
      </w:r>
      <w:r>
        <w:rPr>
          <w:rFonts w:ascii="Times New Roman" w:cs="Times New Roman" w:eastAsia="Times New Roman" w:hAnsi="Times New Roman"/>
          <w:sz w:val="18"/>
          <w:szCs w:val="18"/>
          <w:color w:val="auto"/>
        </w:rPr>
        <w:t>. Notwithstanding Section 10, upon termination of a Participant’s employment for any reason prior to the Purchase Date, including death, disability or retirement, or a change in the Participant’s employment status following which the Participant is no longer an Eligible Employee, the Participant will be deemed to have withdrawn from an Offering in accordance with Section 10 and the payroll deductions in the Participant’s notional account shall be returned to the Participant, or in the case of the Participant’s death, to the person(s) entitled to such amounts by will or the laws of descent and distribution, and the Participant’s option shall be automatically terminated.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No interest shall accrue on or be payable with respect to the payroll deductions of a Participant in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Shares Reserved for Plan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7" w:lineRule="auto"/>
        <w:tabs>
          <w:tab w:leader="none" w:pos="6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maximum number of Shares available for issuance under the Plan (the “</w:t>
      </w:r>
      <w:r>
        <w:rPr>
          <w:rFonts w:ascii="Times New Roman" w:cs="Times New Roman" w:eastAsia="Times New Roman" w:hAnsi="Times New Roman"/>
          <w:sz w:val="18"/>
          <w:szCs w:val="18"/>
          <w:b w:val="1"/>
          <w:bCs w:val="1"/>
          <w:color w:val="auto"/>
        </w:rPr>
        <w:t>Plan Share Limit</w:t>
      </w:r>
      <w:r>
        <w:rPr>
          <w:rFonts w:ascii="Times New Roman" w:cs="Times New Roman" w:eastAsia="Times New Roman" w:hAnsi="Times New Roman"/>
          <w:sz w:val="18"/>
          <w:szCs w:val="18"/>
          <w:color w:val="auto"/>
        </w:rPr>
        <w:t xml:space="preserve">”) shall not exceed in the aggregate 5,287,800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upon the “Closing” (as defined in the Business Combination Agreement) the Plan Share Limit shall be reduced automatically to equal 2% of outstanding Shares on a Fully-Diluted Basis immediately following the Closing (for the avoidance of doubt, after giving effect to any Share redemptions in connection with the Closing), subject to the Articles and any adjustment as provided in Section 17. The Shares may be newly issued Shares, treasury Shares or Shares acquired on the open market. The Plan Share Limit shall be increased on the first day of each Company fiscal year beginning on January 1, 2023 and ending on January 1, 2032 in an amount equal to the least of (i) 5,037,800 Shares,</w:t>
      </w:r>
    </w:p>
    <w:p>
      <w:pPr>
        <w:sectPr>
          <w:pgSz w:w="11900" w:h="16838" w:orient="portrait"/>
          <w:cols w:equalWidth="0" w:num="1">
            <w:col w:w="10980"/>
          </w:cols>
          <w:pgMar w:left="440" w:top="268" w:right="479" w:bottom="1440" w:gutter="0" w:footer="0" w:header="0"/>
        </w:sectPr>
      </w:pPr>
    </w:p>
    <w:bookmarkStart w:id="279" w:name="page280"/>
    <w:bookmarkEnd w:id="279"/>
    <w:p>
      <w:pPr>
        <w:ind w:left="4" w:right="140" w:hanging="4"/>
        <w:spacing w:after="0" w:line="261" w:lineRule="auto"/>
        <w:tabs>
          <w:tab w:leader="none" w:pos="26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 of the aggregate number of Shares outstanding (on a Fully-Diluted Basis) on the last day of the immediately preceding fiscal year and (iii) such number of Shares as determined by the Board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maximum number of Shares that may be issued under the Plan in any event shall be 15,113,400 Shares (subject to the Articles and any adjustment in accordance with Section 17). If any purchase of Shares pursuant to an option under the Plan is not consummated, the Shares not purchased under such option will again become available for issuance under the Plan.</w:t>
      </w:r>
    </w:p>
    <w:p>
      <w:pPr>
        <w:spacing w:after="0" w:line="179" w:lineRule="exact"/>
        <w:rPr>
          <w:rFonts w:ascii="Times New Roman" w:cs="Times New Roman" w:eastAsia="Times New Roman" w:hAnsi="Times New Roman"/>
          <w:sz w:val="18"/>
          <w:szCs w:val="18"/>
          <w:color w:val="auto"/>
        </w:rPr>
      </w:pPr>
    </w:p>
    <w:p>
      <w:pPr>
        <w:ind w:left="4" w:right="240" w:firstLine="436"/>
        <w:spacing w:after="0" w:line="258" w:lineRule="auto"/>
        <w:tabs>
          <w:tab w:leader="none" w:pos="69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Over-subscribed Offerings</w:t>
      </w:r>
      <w:r>
        <w:rPr>
          <w:rFonts w:ascii="Times New Roman" w:cs="Times New Roman" w:eastAsia="Times New Roman" w:hAnsi="Times New Roman"/>
          <w:sz w:val="18"/>
          <w:szCs w:val="18"/>
          <w:color w:val="auto"/>
        </w:rPr>
        <w:t>. If the Committee determines that, on a particular Purchase Date, the number of Shares with respect to which options are to be exercised exceeds the number of Shares then available under the Plan, the Company shall make a pro rata allocation of the Shares remaining available for purchase in as uniform a manner as practicable and as the Committee determines to be equitable. No option granted under the Plan shall permit a Participant to purchase Shares which, if added together with the total number of Shares purchased by all other Participants in such Offering would exceed the total number of Shares remaining available under the Plan.</w:t>
      </w:r>
    </w:p>
    <w:p>
      <w:pPr>
        <w:spacing w:after="0" w:line="18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No payroll deductions credited to a Participant, nor any rights with respect to the exercise of an option or any rights to receive Shares hereunder may be assigned, transferred, pledged or otherwise disposed of in any way (other than by will or the laws of descent and distribution, or as provided in Section 16) by the Participant. Any attempt to assign, transfer, pledge or otherwise dispose of such rights or amounts shall be without effect.</w:t>
      </w:r>
    </w:p>
    <w:p>
      <w:pPr>
        <w:spacing w:after="0" w:line="180" w:lineRule="exact"/>
        <w:rPr>
          <w:sz w:val="20"/>
          <w:szCs w:val="20"/>
          <w:color w:val="auto"/>
        </w:rPr>
      </w:pPr>
    </w:p>
    <w:p>
      <w:pPr>
        <w:ind w:left="4"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Application of Funds</w:t>
      </w:r>
      <w:r>
        <w:rPr>
          <w:rFonts w:ascii="Times New Roman" w:cs="Times New Roman" w:eastAsia="Times New Roman" w:hAnsi="Times New Roman"/>
          <w:sz w:val="18"/>
          <w:szCs w:val="18"/>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173"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Designation of Beneficiary</w:t>
      </w:r>
      <w:r>
        <w:rPr>
          <w:rFonts w:ascii="Times New Roman" w:cs="Times New Roman" w:eastAsia="Times New Roman" w:hAnsi="Times New Roman"/>
          <w:sz w:val="18"/>
          <w:szCs w:val="18"/>
          <w:color w:val="auto"/>
        </w:rPr>
        <w:t>. If permitted by the Committee, a Participant may file, on forms supplied by the Committee, a written designation of beneficiary who, in the event of the Participant’s death, is to receive any Shares from the Participant’s ESPP Share Account or any payroll deduction amounts remaining in the Participant’s notional account.</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Adjustments Upon Changes in Capitalization; Winding Up, Dissolution or Liquidation; Corporate Transactions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firstLine="436"/>
        <w:spacing w:after="0" w:line="256" w:lineRule="auto"/>
        <w:tabs>
          <w:tab w:leader="none" w:pos="68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or other property), recapitalization, stock split, reverse stock split, reorganization, merger, consolidation, split-up, spin-off, combination, repurchase, or exchange of Shares or other securities of the Company, or other change in the Company’s structure affecting the Shares occurs, then in order to prevent dilution or enlargement of the benefits or potential benefits intended to be made available under the Plan, the Committee will, in such manner as it deems equitable, adjust the number of Shares and class of Shares that may be delivered under the Plan, the Purchase Price per Share and the number of Shares covered by each outstanding option under the Plan, and the numerical limits of Section 7 and Section 13.</w:t>
      </w:r>
    </w:p>
    <w:p>
      <w:pPr>
        <w:sectPr>
          <w:pgSz w:w="11900" w:h="16838" w:orient="portrait"/>
          <w:cols w:equalWidth="0" w:num="1">
            <w:col w:w="11004"/>
          </w:cols>
          <w:pgMar w:left="436" w:top="270" w:right="459" w:bottom="1440" w:gutter="0" w:footer="0" w:header="0"/>
        </w:sectPr>
      </w:pPr>
    </w:p>
    <w:bookmarkStart w:id="280" w:name="page281"/>
    <w:bookmarkEnd w:id="280"/>
    <w:p>
      <w:pPr>
        <w:ind w:left="-436" w:right="20" w:firstLine="436"/>
        <w:spacing w:after="0" w:line="256" w:lineRule="auto"/>
        <w:tabs>
          <w:tab w:leader="none" w:pos="25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Winding Up, Dissolution or Liquidation</w:t>
      </w:r>
      <w:r>
        <w:rPr>
          <w:rFonts w:ascii="Times New Roman" w:cs="Times New Roman" w:eastAsia="Times New Roman" w:hAnsi="Times New Roman"/>
          <w:sz w:val="18"/>
          <w:szCs w:val="18"/>
          <w:color w:val="auto"/>
        </w:rPr>
        <w:t>. Unless otherwise determined by the Committee, in the event of a proposed winding up, dissolution or liquidation of the Company, any Offering Period then in progress will be shortened by setting a new Purchase Date and the Offering Period will end immediately prior to the proposed, winding up, dissolution or liquidation. The new Purchase Date will be before the date of the Company’s proposed winding up,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 (or deemed to have withdrawn in accordance with Section 11).</w:t>
      </w:r>
    </w:p>
    <w:p>
      <w:pPr>
        <w:spacing w:after="0" w:line="187" w:lineRule="exact"/>
        <w:rPr>
          <w:rFonts w:ascii="Times New Roman" w:cs="Times New Roman" w:eastAsia="Times New Roman" w:hAnsi="Times New Roman"/>
          <w:sz w:val="18"/>
          <w:szCs w:val="18"/>
          <w:color w:val="auto"/>
        </w:rPr>
      </w:pPr>
    </w:p>
    <w:p>
      <w:pPr>
        <w:ind w:left="-436" w:firstLine="436"/>
        <w:spacing w:after="0" w:line="254" w:lineRule="auto"/>
        <w:tabs>
          <w:tab w:leader="none" w:pos="24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date, the Participant has withdrawn (or, pursuant to Section 11, been deemed to have withdrawn) from the Offering in accordance with Section 10. Notwithstanding the foregoing, in the event of a Corporate Transaction, the Committee may also elect to terminate all outstanding Offering Periods in accordance with Section 18(i).</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36" w:right="320" w:firstLine="436"/>
        <w:spacing w:after="0" w:line="282" w:lineRule="auto"/>
        <w:tabs>
          <w:tab w:leader="none" w:pos="24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Notwithstanding any provision of the Plan to the contrary and in accordance with Section 423 of the Code, all Eligible Employees who are granted options under the Plan shall have the same rights and privileges.</w:t>
      </w:r>
    </w:p>
    <w:p>
      <w:pPr>
        <w:spacing w:after="0" w:line="161"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25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Neither the Plan nor any compensation paid hereunder will confer on any Participant the right to continue as an Employee or in any other capacity.</w:t>
      </w:r>
    </w:p>
    <w:p>
      <w:pPr>
        <w:spacing w:after="0" w:line="161" w:lineRule="exact"/>
        <w:rPr>
          <w:rFonts w:ascii="Times New Roman" w:cs="Times New Roman" w:eastAsia="Times New Roman" w:hAnsi="Times New Roman"/>
          <w:sz w:val="18"/>
          <w:szCs w:val="18"/>
          <w:color w:val="auto"/>
        </w:rPr>
      </w:pPr>
    </w:p>
    <w:p>
      <w:pPr>
        <w:jc w:val="both"/>
        <w:ind w:left="-436" w:right="20" w:firstLine="436"/>
        <w:spacing w:after="0" w:line="261" w:lineRule="auto"/>
        <w:tabs>
          <w:tab w:leader="none" w:pos="24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w:t>
      </w:r>
      <w:r>
        <w:rPr>
          <w:rFonts w:ascii="Times New Roman" w:cs="Times New Roman" w:eastAsia="Times New Roman" w:hAnsi="Times New Roman"/>
          <w:sz w:val="18"/>
          <w:szCs w:val="18"/>
          <w:color w:val="auto"/>
        </w:rPr>
        <w:t>. A Participant will become a shareholder with respect to the Shares that are purchased pursuant to options granted under the Plan when the Shares are transferred to the Participant or, if applicable, to the Participant’s ESPP Share Account. A Participant will have no rights as a shareholder with respect to Shares for which an election to participate in an Offering Period has been made until such Participant becomes a shareholder as provided herein.</w:t>
      </w:r>
    </w:p>
    <w:p>
      <w:pPr>
        <w:sectPr>
          <w:pgSz w:w="11900" w:h="16838" w:orient="portrait"/>
          <w:cols w:equalWidth="0" w:num="1">
            <w:col w:w="10564"/>
          </w:cols>
          <w:pgMar w:left="876" w:top="270" w:right="459" w:bottom="1440" w:gutter="0" w:footer="0" w:header="0"/>
        </w:sectPr>
      </w:pPr>
    </w:p>
    <w:bookmarkStart w:id="281" w:name="page282"/>
    <w:bookmarkEnd w:id="281"/>
    <w:p>
      <w:pPr>
        <w:ind w:left="700" w:hanging="264"/>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The Plan shall be binding on the Company and its successors and assigns.</w:t>
      </w:r>
    </w:p>
    <w:p>
      <w:pPr>
        <w:spacing w:after="0" w:line="225" w:lineRule="exact"/>
        <w:rPr>
          <w:rFonts w:ascii="Times New Roman" w:cs="Times New Roman" w:eastAsia="Times New Roman" w:hAnsi="Times New Roman"/>
          <w:sz w:val="18"/>
          <w:szCs w:val="18"/>
          <w:color w:val="auto"/>
        </w:rPr>
      </w:pPr>
    </w:p>
    <w:p>
      <w:pPr>
        <w:ind w:right="380" w:firstLine="436"/>
        <w:spacing w:after="0" w:line="282"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Plan</w:t>
      </w:r>
      <w:r>
        <w:rPr>
          <w:rFonts w:ascii="Times New Roman" w:cs="Times New Roman" w:eastAsia="Times New Roman" w:hAnsi="Times New Roman"/>
          <w:sz w:val="18"/>
          <w:szCs w:val="18"/>
          <w:color w:val="auto"/>
        </w:rPr>
        <w:t>. This Plan constitutes the entire plan with respect to the subject matter hereof and supersedes all prior plans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firstLine="436"/>
        <w:spacing w:after="0" w:line="261" w:lineRule="auto"/>
        <w:tabs>
          <w:tab w:leader="none" w:pos="66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obligations of the Company with respect to payments under the Plan are subject to compliance with all applicable laws and regulations. Shares shall not be issued with respect to an option granted under the Plan unless the exercise of such option and the issuance and delivery of the Shares pursuant thereto shall comply with all applicable provisions of law, including, without limitation, the Securities Act, the Exchange Act, and the requirements of any stock exchange upon which the Shares may then be listed.</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Disqualifying Dispositions</w:t>
      </w:r>
      <w:r>
        <w:rPr>
          <w:rFonts w:ascii="Times New Roman" w:cs="Times New Roman" w:eastAsia="Times New Roman" w:hAnsi="Times New Roman"/>
          <w:sz w:val="18"/>
          <w:szCs w:val="18"/>
          <w:color w:val="auto"/>
        </w:rPr>
        <w:t>. On and after the Section 423 Effective Date, each Participant shall, if requested by the Company, give the Company prompt written notice of any disposition or other transfer of Shares acquired pursuant to the exercise of an option acquired under the Plan, if such disposition or transfer is made within two years after the Offering Date or within one year after the Purchase Date.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shall become effective on the Effective Date and shall continue in effect until terminated pursuant to Section 18(i).</w:t>
      </w:r>
    </w:p>
    <w:p>
      <w:pPr>
        <w:spacing w:after="0" w:line="225" w:lineRule="exact"/>
        <w:rPr>
          <w:rFonts w:ascii="Times New Roman" w:cs="Times New Roman" w:eastAsia="Times New Roman" w:hAnsi="Times New Roman"/>
          <w:sz w:val="18"/>
          <w:szCs w:val="18"/>
          <w:color w:val="auto"/>
        </w:rPr>
      </w:pPr>
    </w:p>
    <w:p>
      <w:pPr>
        <w:jc w:val="both"/>
        <w:ind w:firstLine="436"/>
        <w:spacing w:after="0" w:line="257" w:lineRule="auto"/>
        <w:tabs>
          <w:tab w:leader="none" w:pos="6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 The Committee may, in its sole discretion, amend, suspend or terminate the Plan at any time and for any reason. If the Plan is terminated, the Committee may elect to terminate all outstanding Offering Periods either immediately or once Shares have been purchased on the next Purchase Date or permit Offering Periods to expire in accordance with their terms (and subject to any adjustment in accordance with</w:t>
      </w:r>
    </w:p>
    <w:p>
      <w:pPr>
        <w:spacing w:after="0" w:line="1"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If any Offering Period is terminated before its scheduled expiration, all amounts that have not been used to purchase Shares will be returned to Participants (without interest, except as otherwise required by law) as soon as administratively practicable.</w:t>
      </w:r>
    </w:p>
    <w:p>
      <w:pPr>
        <w:spacing w:after="0" w:line="181" w:lineRule="exact"/>
        <w:rPr>
          <w:rFonts w:ascii="Times New Roman" w:cs="Times New Roman" w:eastAsia="Times New Roman" w:hAnsi="Times New Roman"/>
          <w:sz w:val="18"/>
          <w:szCs w:val="18"/>
          <w:color w:val="auto"/>
        </w:rPr>
      </w:pPr>
    </w:p>
    <w:p>
      <w:pPr>
        <w:ind w:right="320" w:firstLine="436"/>
        <w:spacing w:after="0" w:line="282" w:lineRule="auto"/>
        <w:tabs>
          <w:tab w:leader="none" w:pos="6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laws of the State of Delaware shall govern all questions concerning the construction, validity and interpretation of the Plan, without regard to such state’s conflict of law rules.</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Plan shall be subject to approval by the shareholders of the Company within twelve (12) months before or after the date the Plan is adopted by the Board.</w:t>
      </w:r>
    </w:p>
    <w:p>
      <w:pPr>
        <w:sectPr>
          <w:pgSz w:w="11900" w:h="16838" w:orient="portrait"/>
          <w:cols w:equalWidth="0" w:num="1">
            <w:col w:w="11000"/>
          </w:cols>
          <w:pgMar w:left="440" w:top="270" w:right="459" w:bottom="1440" w:gutter="0" w:footer="0" w:header="0"/>
        </w:sectPr>
      </w:pPr>
    </w:p>
    <w:bookmarkStart w:id="282" w:name="page283"/>
    <w:bookmarkEnd w:id="2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On and after the Section 423 Effective Date, the Plan is intended to qualify as an “employee stock purchase plan”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423 of the Code, and any provision of the Plan that is inconsistent with Section 423 of the Code shall be reformed to comply with Section 423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207" w:lineRule="exact"/>
        <w:rPr>
          <w:sz w:val="20"/>
          <w:szCs w:val="20"/>
          <w:color w:val="auto"/>
        </w:rPr>
      </w:pPr>
    </w:p>
    <w:p>
      <w:pPr>
        <w:ind w:right="40" w:firstLine="436"/>
        <w:spacing w:after="0" w:line="255" w:lineRule="auto"/>
        <w:tabs>
          <w:tab w:leader="none" w:pos="74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Limitation of Liability</w:t>
      </w:r>
      <w:r>
        <w:rPr>
          <w:rFonts w:ascii="Times New Roman" w:cs="Times New Roman" w:eastAsia="Times New Roman" w:hAnsi="Times New Roman"/>
          <w:sz w:val="18"/>
          <w:szCs w:val="18"/>
          <w:color w:val="auto"/>
        </w:rPr>
        <w:t>. Prior to the Section 423 Effective Date, the Plan and all options are intended to be exempt from Section 409A of the Code as “short-term deferrals” within the meaning of Treasury Regulation §1.409A-1(b)(4), and on and after the Section 423 Effective Date, as “statutory stock options” within the meaning of Treasury Regulation §1.409A-1(b)(5)(ii), and the Plan and the options will be interpreted and administered accordingly. Notwithstanding anything to the contrary in the Plan, neither the Company nor the Committee, nor any person acting on behalf of the Company or the Committee, will be liable to any Participant or other person by reason of any acceleration of income, any additional tax, or any other tax or liability asserted by reason of the failure of the Plan or any option to be exempt from or satisfy the requirements of Section 409A of the Code.</w:t>
      </w:r>
    </w:p>
    <w:p>
      <w:pPr>
        <w:spacing w:after="0" w:line="188"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To the extent required by applicable Federal, state or local law, a Participant must make arrangements satisfactory to the Company for the payment of any withholding or similar tax obligations that arise in connection with the Plan. At any time, the Company or any Subsidiary may, but will not be obligated to, withhold from a Participant’s compensation the amount necessary for the Company or any Subsidiary to meet applicable withholding obligations, including any withholding required to make available to the Company or any Subsidiary any tax deductions or benefits attributable to the sale or early disposition of Shares by such Participant. In addition, the Company or any Subsidiary may, but will not be obligated to, withhold from the proceeds of the sale of Shares or any other method of withholding that the Company or any Subsidiary deems appropriate to the extent permitted by, where applicable, Treasury Regulation Section 1.423-2(f). The Company will not be required to issue any Shares under the Plan until such obligations are satisfied.</w:t>
      </w:r>
    </w:p>
    <w:p>
      <w:pPr>
        <w:spacing w:after="0" w:line="191"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sections herein are included solely for convenience and shall not affect the meaning of any of the provisions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Participating Subsidiaries</w:t>
      </w:r>
      <w:r>
        <w:rPr>
          <w:rFonts w:ascii="Times New Roman" w:cs="Times New Roman" w:eastAsia="Times New Roman" w:hAnsi="Times New Roman"/>
          <w:sz w:val="18"/>
          <w:szCs w:val="18"/>
          <w:color w:val="auto"/>
        </w:rPr>
        <w:t>. This Plan shall constitute the Employee Stock Purchase Plan of the Company and each Participating Subsidiary. A Participating Subsidiary may withdraw from the Plan as of any Offering Date by giving written notice to the Board, which notice must be received by at least thirty (30) days prior to such Offering Date.</w:t>
      </w:r>
    </w:p>
    <w:p>
      <w:pPr>
        <w:sectPr>
          <w:pgSz w:w="11900" w:h="16838" w:orient="portrait"/>
          <w:cols w:equalWidth="0" w:num="1">
            <w:col w:w="11000"/>
          </w:cols>
          <w:pgMar w:left="440" w:top="270" w:right="45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INDEMNITY AGREEMENT</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July 11, 2022, by and between ProKidney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_____________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companies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companies;</w:t>
      </w:r>
    </w:p>
    <w:p>
      <w:pPr>
        <w:spacing w:after="0" w:line="171"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of its subsidiaries, if any, from certain liabilities;</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directors, officers and other persons in service to companies or business enterprises are being increasingly subjected to expensive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time-consuming litigation relating to, among other things, matters that traditionally would have been brought only against the Company or business enterprise itself;</w:t>
      </w:r>
    </w:p>
    <w:p>
      <w:pPr>
        <w:spacing w:after="0" w:line="171"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of the Company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require indemnification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directors of the Company, Indemnitee may also be entitled to indemnification pursuant to applicable Cayman Islands law and the Articles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and the Articles so that they will serve or continue to serve the Company free from undue concern that they will not be so protected against liabilities;</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and any resolutions adopted pursuant thereto,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 substitute therefor, nor to diminish or abrogate any rights of Indemnitee thereunder; and</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ectPr>
          <w:pgSz w:w="11900" w:h="16838" w:orient="portrait"/>
          <w:cols w:equalWidth="0" w:num="1">
            <w:col w:w="11020"/>
          </w:cols>
          <w:pgMar w:left="440" w:top="117" w:right="4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AND CONDITIONS</w:t>
      </w:r>
    </w:p>
    <w:p>
      <w:pPr>
        <w:spacing w:after="0" w:line="225" w:lineRule="exact"/>
        <w:rPr>
          <w:sz w:val="20"/>
          <w:szCs w:val="20"/>
          <w:color w:val="auto"/>
        </w:rPr>
      </w:pPr>
    </w:p>
    <w:p>
      <w:pPr>
        <w:ind w:firstLine="436"/>
        <w:spacing w:after="0" w:line="257" w:lineRule="auto"/>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of the Company, as applicable, for so long as Indemnitee is duly elected,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ind w:right="80" w:firstLine="987"/>
        <w:spacing w:after="0" w:line="262" w:lineRule="auto"/>
        <w:tabs>
          <w:tab w:leader="none" w:pos="12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right="280" w:firstLine="987"/>
        <w:spacing w:after="0" w:line="286" w:lineRule="auto"/>
        <w:tabs>
          <w:tab w:leader="none" w:pos="124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New York Court</w:t>
      </w:r>
      <w:r>
        <w:rPr>
          <w:rFonts w:ascii="Times New Roman" w:cs="Times New Roman" w:eastAsia="Times New Roman" w:hAnsi="Times New Roman"/>
          <w:sz w:val="18"/>
          <w:szCs w:val="18"/>
          <w:color w:val="auto"/>
        </w:rPr>
        <w:t xml:space="preserve">” shall mean the courts of the </w:t>
      </w:r>
      <w:r>
        <w:rPr>
          <w:rFonts w:ascii="Times New Roman" w:cs="Times New Roman" w:eastAsia="Times New Roman" w:hAnsi="Times New Roman"/>
          <w:sz w:val="18"/>
          <w:szCs w:val="18"/>
          <w:i w:val="1"/>
          <w:iCs w:val="1"/>
          <w:color w:val="auto"/>
        </w:rPr>
        <w:t>New York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40" w:firstLine="987"/>
        <w:spacing w:after="0" w:line="286" w:lineRule="auto"/>
        <w:tabs>
          <w:tab w:leader="none" w:pos="124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 the occurrence of the earliest to occur after the date of this Agreement of any of the following events:</w:t>
      </w:r>
    </w:p>
    <w:p>
      <w:pPr>
        <w:spacing w:after="0" w:line="50" w:lineRule="exact"/>
        <w:rPr>
          <w:rFonts w:ascii="Times New Roman" w:cs="Times New Roman" w:eastAsia="Times New Roman" w:hAnsi="Times New Roman"/>
          <w:sz w:val="18"/>
          <w:szCs w:val="18"/>
          <w:color w:val="auto"/>
        </w:rPr>
      </w:pPr>
    </w:p>
    <w:p>
      <w:pPr>
        <w:ind w:left="760" w:right="40" w:firstLine="929"/>
        <w:spacing w:after="0" w:line="255" w:lineRule="auto"/>
        <w:tabs>
          <w:tab w:leader="none" w:pos="1897"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Shares by Third Party</w:t>
      </w:r>
      <w:r>
        <w:rPr>
          <w:rFonts w:ascii="Times New Roman" w:cs="Times New Roman" w:eastAsia="Times New Roman" w:hAnsi="Times New Roman"/>
          <w:sz w:val="18"/>
          <w:szCs w:val="18"/>
          <w:color w:val="auto"/>
        </w:rPr>
        <w:t>. Other than Tolerantia, LLC, Control Empresarial de Capitales, S.A. de C.V., ProKidney Management Equity LLC or any of their respective affiliates, any Person (as defined below) is or becomes the Beneficial Owner, directly or indirectly, of shares or securities of the Company representing fifteen percent (15%) or more of the combined voting power of the Company’s then outstanding shares or securities entitled to vote generally in the appointment of directors, unless (1) the change in the relative Beneficial Ownership of the Company’s shares or securities by any Person results solely from a reduction in the aggregate number of outstanding shares or securities entitled to vote generally in the appointment of directors, or (2) such acquisition was approved in advance by the Continuing Directors (as defined below) and such acquisition would not constitute a Change in Control under part (iii) of this definition;</w:t>
      </w:r>
    </w:p>
    <w:p>
      <w:pPr>
        <w:spacing w:after="0" w:line="80" w:lineRule="exact"/>
        <w:rPr>
          <w:rFonts w:ascii="Times New Roman" w:cs="Times New Roman" w:eastAsia="Times New Roman" w:hAnsi="Times New Roman"/>
          <w:sz w:val="18"/>
          <w:szCs w:val="18"/>
          <w:color w:val="auto"/>
        </w:rPr>
      </w:pPr>
    </w:p>
    <w:p>
      <w:pPr>
        <w:ind w:left="760" w:right="80" w:firstLine="929"/>
        <w:spacing w:after="0" w:line="261" w:lineRule="auto"/>
        <w:tabs>
          <w:tab w:leader="none" w:pos="1947"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appointment by the Board or nomination for appointment by the Company’s shareholders was approved by a vote of at least two thirds of the directors then still in office who were directors on the date hereof or whose appointment or nomination for appointment was previously so approved (collectively, the “</w:t>
      </w:r>
      <w:r>
        <w:rPr>
          <w:rFonts w:ascii="Times New Roman" w:cs="Times New Roman" w:eastAsia="Times New Roman" w:hAnsi="Times New Roman"/>
          <w:sz w:val="18"/>
          <w:szCs w:val="18"/>
          <w:b w:val="1"/>
          <w:bCs w:val="1"/>
          <w:i w:val="1"/>
          <w:i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71" w:lineRule="exact"/>
        <w:rPr>
          <w:rFonts w:ascii="Times New Roman" w:cs="Times New Roman" w:eastAsia="Times New Roman" w:hAnsi="Times New Roman"/>
          <w:sz w:val="18"/>
          <w:szCs w:val="18"/>
          <w:color w:val="auto"/>
        </w:rPr>
      </w:pPr>
    </w:p>
    <w:p>
      <w:pPr>
        <w:ind w:left="760" w:firstLine="929"/>
        <w:spacing w:after="0" w:line="253" w:lineRule="auto"/>
        <w:tabs>
          <w:tab w:leader="none" w:pos="1997"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share purchase, reorganization or similar business combination involving the Company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shares or securities entitled to vote generally in the appointment of directors immediately prior to such Business Combination beneficially own, directly or indirectly, more than 51% of the combined voting power of the then outstanding shares or securities of the Company entitled to vote generally in the appointment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shares or securities entitled to vote generally in the appointment of directors; (2) no Person (excluding any corporation resulting from such Business Combination) is the Beneficial Owner, directly or indirectly, of 15% or more of the combined voting power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85" w:name="page286"/>
    <w:bookmarkEnd w:id="285"/>
    <w:p>
      <w:pPr>
        <w:jc w:val="both"/>
        <w:ind w:left="72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then outstanding shares or securities entitled to vote generally in the appointment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72" w:lineRule="exact"/>
        <w:rPr>
          <w:sz w:val="20"/>
          <w:szCs w:val="20"/>
          <w:color w:val="auto"/>
        </w:rPr>
      </w:pPr>
    </w:p>
    <w:p>
      <w:pPr>
        <w:ind w:left="720" w:firstLine="929"/>
        <w:spacing w:after="0" w:line="261" w:lineRule="auto"/>
        <w:tabs>
          <w:tab w:leader="none" w:pos="194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71" w:lineRule="exact"/>
        <w:rPr>
          <w:rFonts w:ascii="Times New Roman" w:cs="Times New Roman" w:eastAsia="Times New Roman" w:hAnsi="Times New Roman"/>
          <w:sz w:val="18"/>
          <w:szCs w:val="18"/>
          <w:color w:val="auto"/>
        </w:rPr>
      </w:pPr>
    </w:p>
    <w:p>
      <w:pPr>
        <w:ind w:left="720" w:right="320" w:firstLine="929"/>
        <w:spacing w:after="0" w:line="266" w:lineRule="auto"/>
        <w:tabs>
          <w:tab w:leader="none" w:pos="189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Companies Act</w:t>
      </w:r>
      <w:r>
        <w:rPr>
          <w:rFonts w:ascii="Times New Roman" w:cs="Times New Roman" w:eastAsia="Times New Roman" w:hAnsi="Times New Roman"/>
          <w:sz w:val="18"/>
          <w:szCs w:val="18"/>
          <w:color w:val="auto"/>
        </w:rPr>
        <w:t>” shall mean the Companies Act (As Revised) of the Cayman Islands, as amended from time to time.</w:t>
      </w:r>
    </w:p>
    <w:p>
      <w:pPr>
        <w:spacing w:after="0" w:line="225" w:lineRule="exact"/>
        <w:rPr>
          <w:rFonts w:ascii="Times New Roman" w:cs="Times New Roman" w:eastAsia="Times New Roman" w:hAnsi="Times New Roman"/>
          <w:sz w:val="18"/>
          <w:szCs w:val="18"/>
          <w:color w:val="auto"/>
        </w:rPr>
      </w:pPr>
    </w:p>
    <w:p>
      <w:pPr>
        <w:ind w:left="-40" w:right="120" w:firstLine="987"/>
        <w:spacing w:after="0" w:line="268" w:lineRule="auto"/>
        <w:tabs>
          <w:tab w:leader="none" w:pos="117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managing member,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left="-40" w:right="100" w:firstLine="987"/>
        <w:spacing w:after="0" w:line="286" w:lineRule="auto"/>
        <w:tabs>
          <w:tab w:leader="none" w:pos="120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left="-40" w:right="60" w:firstLine="987"/>
        <w:spacing w:after="0" w:line="262" w:lineRule="auto"/>
        <w:tabs>
          <w:tab w:leader="none" w:pos="120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1160" w:hanging="213"/>
        <w:spacing w:after="0"/>
        <w:tabs>
          <w:tab w:leader="none" w:pos="11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40" w:right="60" w:firstLine="987"/>
        <w:spacing w:after="0" w:line="254" w:lineRule="auto"/>
        <w:tabs>
          <w:tab w:leader="none" w:pos="116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ind w:left="-40" w:right="80" w:firstLine="987"/>
        <w:spacing w:after="0" w:line="275" w:lineRule="auto"/>
        <w:tabs>
          <w:tab w:leader="none" w:pos="120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corporate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270" w:right="479" w:bottom="1440" w:gutter="0" w:footer="0" w:header="0"/>
        </w:sectPr>
      </w:pPr>
    </w:p>
    <w:bookmarkStart w:id="286" w:name="page287"/>
    <w:bookmarkEnd w:id="286"/>
    <w:p>
      <w:pPr>
        <w:ind w:right="60" w:firstLine="987"/>
        <w:spacing w:after="0" w:line="257" w:lineRule="auto"/>
        <w:tabs>
          <w:tab w:leader="none" w:pos="120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firstLine="987"/>
        <w:spacing w:after="0" w:line="272" w:lineRule="auto"/>
        <w:tabs>
          <w:tab w:leader="none" w:pos="1296"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71" w:lineRule="exact"/>
        <w:rPr>
          <w:rFonts w:ascii="Times New Roman" w:cs="Times New Roman" w:eastAsia="Times New Roman" w:hAnsi="Times New Roman"/>
          <w:sz w:val="17"/>
          <w:szCs w:val="17"/>
          <w:color w:val="auto"/>
        </w:rPr>
      </w:pPr>
    </w:p>
    <w:p>
      <w:pPr>
        <w:ind w:right="20" w:firstLine="987"/>
        <w:spacing w:after="0" w:line="259" w:lineRule="auto"/>
        <w:tabs>
          <w:tab w:leader="none" w:pos="124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w:t>
      </w:r>
      <w:r>
        <w:rPr>
          <w:rFonts w:ascii="Times New Roman" w:cs="Times New Roman" w:eastAsia="Times New Roman" w:hAnsi="Times New Roman"/>
          <w:sz w:val="18"/>
          <w:szCs w:val="18"/>
          <w:b w:val="1"/>
          <w:bCs w:val="1"/>
          <w:i w:val="1"/>
          <w:iCs w:val="1"/>
          <w:color w:val="auto"/>
        </w:rPr>
        <w:t>erving at 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i w:val="1"/>
          <w:iCs w:val="1"/>
          <w:color w:val="auto"/>
        </w:rPr>
        <w:t>not opposed to the best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 as referred to in this Agreement.</w:t>
      </w:r>
    </w:p>
    <w:p>
      <w:pPr>
        <w:spacing w:after="0" w:line="179" w:lineRule="exact"/>
        <w:rPr>
          <w:rFonts w:ascii="Times New Roman" w:cs="Times New Roman" w:eastAsia="Times New Roman" w:hAnsi="Times New Roman"/>
          <w:sz w:val="18"/>
          <w:szCs w:val="18"/>
          <w:color w:val="auto"/>
        </w:rPr>
      </w:pPr>
    </w:p>
    <w:p>
      <w:pPr>
        <w:ind w:right="240" w:firstLine="987"/>
        <w:spacing w:after="0" w:line="268" w:lineRule="auto"/>
        <w:tabs>
          <w:tab w:leader="none" w:pos="124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70"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harmless and exonerate Indemnitee in accordance with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8" w:lineRule="exact"/>
        <w:rPr>
          <w:rFonts w:ascii="Times New Roman" w:cs="Times New Roman" w:eastAsia="Times New Roman" w:hAnsi="Times New Roman"/>
          <w:sz w:val="18"/>
          <w:szCs w:val="18"/>
          <w:color w:val="auto"/>
        </w:rPr>
      </w:pPr>
    </w:p>
    <w:p>
      <w:pPr>
        <w:ind w:right="60" w:firstLine="436"/>
        <w:spacing w:after="0" w:line="257"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indemnify, hold harmless and exonerate Indemnitee in accordance with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87" w:name="page288"/>
    <w:bookmarkEnd w:id="28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faith and in a manner he or she reasonably believed to be in or not opposed to the best interests of the Company. No indemnification, hold harmless or exoneration for Expenses shall be made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respect of any claim, issue or matter as to which Indemnitee shall have been finally adjudged by a court to be liable to the Company, unless and only to the extent that any court in which the Proceeding was brought or the New York Court shall determine upon application that, despite the adjudication of liability but in view of all the circumstances of the case, Indemnitee is fairly and reasonably entitled to indemnification, to be held harmless or to exoneration.</w:t>
      </w:r>
    </w:p>
    <w:p>
      <w:pPr>
        <w:spacing w:after="0" w:line="179" w:lineRule="exact"/>
        <w:rPr>
          <w:sz w:val="20"/>
          <w:szCs w:val="20"/>
          <w:color w:val="auto"/>
        </w:rPr>
      </w:pPr>
    </w:p>
    <w:p>
      <w:pPr>
        <w:ind w:firstLine="436"/>
        <w:spacing w:after="0" w:line="253" w:lineRule="auto"/>
        <w:tabs>
          <w:tab w:leader="none" w:pos="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ind w:right="220" w:firstLine="436"/>
        <w:spacing w:after="0" w:line="262" w:lineRule="auto"/>
        <w:tabs>
          <w:tab w:leader="none" w:pos="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is, by reason of his or her Corporate Status, a witness or deponent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 Notwithstanding any limitation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p>
    <w:p>
      <w:pPr>
        <w:spacing w:after="0" w:line="229"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88" w:name="page289"/>
    <w:bookmarkEnd w:id="288"/>
    <w:p>
      <w:pPr>
        <w:ind w:left="-20" w:right="140" w:firstLine="987"/>
        <w:spacing w:after="0" w:line="282" w:lineRule="auto"/>
        <w:tabs>
          <w:tab w:leader="none" w:pos="1216"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20" w:right="380" w:firstLine="436"/>
        <w:spacing w:after="0" w:line="286" w:lineRule="auto"/>
        <w:tabs>
          <w:tab w:leader="none" w:pos="6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the Company shall not be obligated under this Agreement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advance expenses,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1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and which payment has not subsequently been returned,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left="-20" w:right="40" w:firstLine="987"/>
        <w:spacing w:after="0" w:line="282" w:lineRule="auto"/>
        <w:tabs>
          <w:tab w:leader="none" w:pos="122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left="-20" w:firstLine="987"/>
        <w:spacing w:after="0" w:line="256" w:lineRule="auto"/>
        <w:tabs>
          <w:tab w:leader="none" w:pos="121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Sections 14(e)-(f)</w:t>
      </w:r>
      <w:r>
        <w:rPr>
          <w:rFonts w:ascii="Times New Roman" w:cs="Times New Roman" w:eastAsia="Times New Roman" w:hAnsi="Times New Roman"/>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p>
    <w:p>
      <w:pPr>
        <w:spacing w:after="0" w:line="229"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1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and to the fullest extent not prohibited by applicable law or the Articles,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to the fullest extent permitted by law,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Articles, applicable law or otherwise.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shall not apply to any claim made by Indemnitee for which an indemnification, hold harmless or exoneration payment is excluded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20" w:right="140" w:firstLine="987"/>
        <w:spacing w:after="0" w:line="282" w:lineRule="auto"/>
        <w:tabs>
          <w:tab w:leader="none" w:pos="121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70" w:right="459" w:bottom="1440" w:gutter="0" w:footer="0" w:header="0"/>
        </w:sectPr>
      </w:pPr>
    </w:p>
    <w:bookmarkStart w:id="289" w:name="page290"/>
    <w:bookmarkEnd w:id="289"/>
    <w:p>
      <w:pPr>
        <w:ind w:left="700" w:hanging="264"/>
        <w:spacing w:after="0"/>
        <w:tabs>
          <w:tab w:leader="none" w:pos="7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 FOR NOTIFICATION AND APPLICATION FOR INDEMNIFICATION.</w:t>
      </w:r>
    </w:p>
    <w:p>
      <w:pPr>
        <w:spacing w:after="0" w:line="121"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p>
    <w:p>
      <w:pPr>
        <w:spacing w:after="0" w:line="229"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97" w:lineRule="exact"/>
        <w:rPr>
          <w:rFonts w:ascii="Times New Roman" w:cs="Times New Roman" w:eastAsia="Times New Roman" w:hAnsi="Times New Roman"/>
          <w:sz w:val="18"/>
          <w:szCs w:val="18"/>
          <w:color w:val="auto"/>
        </w:rPr>
      </w:pPr>
    </w:p>
    <w:p>
      <w:pPr>
        <w:ind w:right="20" w:firstLine="987"/>
        <w:spacing w:after="0" w:line="251" w:lineRule="auto"/>
        <w:tabs>
          <w:tab w:leader="none" w:pos="124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determination of entitlement to indemnification is to be made by Independent Counsel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hereof, the Independent Counsel shall be selected as provided in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If the Independent Counsel is selected by the Board, the Company shall give written notice to Indemnitee advising him or her of the identity of the Independent Counsel so selected and certifying that the Independent Counsel so selected meets the requirements of “Independent Counsel”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the New York Court for resolution of any objection which shall have been made by the Company or Indemnitee to the other’s selection of Independent Counsel and/or for the appointment as Independent Counsel of a person selected by the New York Court, and the person with respect to whom all objections are so resolved or the person so appointed shall act as Independent Counsel under</w:t>
      </w:r>
    </w:p>
    <w:p>
      <w:pPr>
        <w:spacing w:after="0" w:line="10" w:lineRule="exact"/>
        <w:rPr>
          <w:rFonts w:ascii="Times New Roman" w:cs="Times New Roman" w:eastAsia="Times New Roman" w:hAnsi="Times New Roman"/>
          <w:sz w:val="18"/>
          <w:szCs w:val="18"/>
          <w:color w:val="auto"/>
        </w:rPr>
      </w:pPr>
    </w:p>
    <w:p>
      <w:pPr>
        <w:jc w:val="both"/>
        <w:ind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hereof. Upon the due commencement of any judicial proceeding or arbitration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of this Agreement, Independent Counsel shall be discharged and relieved of any further responsibility in such capacity (subject to the applicable standards of professional conduct then prevailing).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290" w:name="page291"/>
    <w:bookmarkEnd w:id="290"/>
    <w:p>
      <w:pPr>
        <w:ind w:left="-20" w:right="180" w:firstLine="987"/>
        <w:spacing w:after="0" w:line="266" w:lineRule="auto"/>
        <w:tabs>
          <w:tab w:leader="none" w:pos="121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p>
    <w:p>
      <w:pPr>
        <w:spacing w:after="0" w:line="229"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1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and the Articles,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88"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1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3"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291" w:name="page292"/>
    <w:bookmarkEnd w:id="291"/>
    <w:p>
      <w:pPr>
        <w:jc w:val="both"/>
        <w:ind w:left="4" w:right="140" w:firstLine="987"/>
        <w:spacing w:after="0" w:line="312" w:lineRule="auto"/>
        <w:tabs>
          <w:tab w:leader="none" w:pos="1240" w:val="left"/>
        </w:tabs>
        <w:numPr>
          <w:ilvl w:val="2"/>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35"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p>
    <w:p>
      <w:pPr>
        <w:spacing w:after="0" w:line="229" w:lineRule="exact"/>
        <w:rPr>
          <w:rFonts w:ascii="Times New Roman" w:cs="Times New Roman" w:eastAsia="Times New Roman" w:hAnsi="Times New Roman"/>
          <w:sz w:val="18"/>
          <w:szCs w:val="18"/>
          <w:color w:val="auto"/>
        </w:rPr>
      </w:pPr>
    </w:p>
    <w:p>
      <w:pPr>
        <w:ind w:left="4" w:right="40" w:firstLine="987"/>
        <w:spacing w:after="0" w:line="269" w:lineRule="auto"/>
        <w:tabs>
          <w:tab w:leader="none" w:pos="1240" w:val="left"/>
        </w:tabs>
        <w:numPr>
          <w:ilvl w:val="2"/>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 a determination is made pursuant to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of this Agreement that Indemnitee is not entitled to indemnification under this Agreement, (ii) advancement of Expenses, to the fullest extent permitted by applicable law and the Articles, is not timely made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of this Agreement, (iii) no determination of entitlement to indemnification shall have been made pursuant to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of this Agreement within thirty (30) days after receipt by the Company of the request for indemnification, (iv) payment of indemnification is not made pursuant to </w:t>
      </w:r>
      <w:r>
        <w:rPr>
          <w:rFonts w:ascii="Times New Roman" w:cs="Times New Roman" w:eastAsia="Times New Roman" w:hAnsi="Times New Roman"/>
          <w:sz w:val="17"/>
          <w:szCs w:val="17"/>
          <w:u w:val="single" w:color="auto"/>
          <w:color w:val="auto"/>
        </w:rPr>
        <w:t>Section 5, 6, 7</w:t>
      </w:r>
      <w:r>
        <w:rPr>
          <w:rFonts w:ascii="Times New Roman" w:cs="Times New Roman" w:eastAsia="Times New Roman" w:hAnsi="Times New Roman"/>
          <w:sz w:val="17"/>
          <w:szCs w:val="17"/>
          <w:color w:val="auto"/>
        </w:rPr>
        <w:t xml:space="preserve"> or the last sentence of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of this Agreement within ten (10) days after receipt by the Company of a written request therefor,</w:t>
      </w:r>
    </w:p>
    <w:p>
      <w:pPr>
        <w:spacing w:after="0" w:line="2" w:lineRule="exact"/>
        <w:rPr>
          <w:rFonts w:ascii="Times New Roman" w:cs="Times New Roman" w:eastAsia="Times New Roman" w:hAnsi="Times New Roman"/>
          <w:sz w:val="17"/>
          <w:szCs w:val="17"/>
          <w:color w:val="auto"/>
        </w:rPr>
      </w:pPr>
    </w:p>
    <w:p>
      <w:pPr>
        <w:ind w:left="4" w:right="100" w:hanging="4"/>
        <w:spacing w:after="0" w:line="265" w:lineRule="auto"/>
        <w:tabs>
          <w:tab w:leader="none" w:pos="259"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contribution payment is not made in a timely manner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of this Agreement, (vi) payment of indemnification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17"/>
          <w:szCs w:val="17"/>
          <w:color w:val="auto"/>
        </w:rPr>
        <w:t xml:space="preserve"> of this Agreement is not made within ten (10) days after a determination has been made that Indemnitee is entitled to indemnification, or</w:t>
      </w:r>
    </w:p>
    <w:p>
      <w:pPr>
        <w:ind w:left="4" w:right="120" w:hanging="4"/>
        <w:spacing w:after="0" w:line="252" w:lineRule="auto"/>
        <w:tabs>
          <w:tab w:leader="none" w:pos="35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within ten (10) days after receipt by the Company of a written request therefor, Indemnitee shall be entitled to an adjudication by the New York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New York law (without regard to its conflict of laws rules) shall apply to any such arbitration. The Company shall not oppose Indemnitee’s right to seek any such adjudication or award in arbitration.</w:t>
      </w:r>
    </w:p>
    <w:p>
      <w:pPr>
        <w:spacing w:after="0" w:line="189"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 that Indemnitee is not entitled to indemnification, any judicial proceeding or arbitration commenced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conducted in all respects as a de novo trial, or arbitration, on the merits and Indemnitee shall not be prejudiced by reason of that adverse determination. In any judicial proceeding or arbitration commenced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 adverse to Indemnitee for any purpose. If Indemnitee commences a judicial proceeding or arbitration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Indemnitee shall not be required to reimburse the Company for any advances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or arbitration commenced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precluded from asserting in any judicial proceeding or arbitration commenced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applicable law and the Articles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292" w:name="page293"/>
    <w:bookmarkEnd w:id="292"/>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58" w:lineRule="exact"/>
        <w:rPr>
          <w:sz w:val="20"/>
          <w:szCs w:val="20"/>
          <w:color w:val="auto"/>
        </w:rPr>
      </w:pPr>
    </w:p>
    <w:p>
      <w:pPr>
        <w:ind w:firstLine="987"/>
        <w:spacing w:after="0" w:line="261" w:lineRule="auto"/>
        <w:tabs>
          <w:tab w:leader="none" w:pos="121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is obliged to indemnify, hold harmless or exonerate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ind w:right="120" w:firstLine="436"/>
        <w:spacing w:after="0" w:line="262" w:lineRule="auto"/>
        <w:tabs>
          <w:tab w:leader="none" w:pos="71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Indemnitee and approved by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p>
    <w:p>
      <w:pPr>
        <w:spacing w:after="0" w:line="229"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then this Agreement (without any further action by the parties hereto) shall automatically be deemed to be amended to require that the Company indemnify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right="120" w:firstLine="987"/>
        <w:spacing w:after="0" w:line="272" w:lineRule="auto"/>
        <w:tabs>
          <w:tab w:leader="none" w:pos="1246"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Companies Act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7"/>
          <w:szCs w:val="17"/>
          <w:b w:val="1"/>
          <w:bCs w:val="1"/>
          <w:i w:val="1"/>
          <w:iCs w:val="1"/>
          <w:color w:val="auto"/>
        </w:rPr>
        <w:t>Indemnification Arrangements</w:t>
      </w:r>
      <w:r>
        <w:rPr>
          <w:rFonts w:ascii="Times New Roman" w:cs="Times New Roman" w:eastAsia="Times New Roman" w:hAnsi="Times New Roman"/>
          <w:sz w:val="17"/>
          <w:szCs w:val="17"/>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Companies Act,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71" w:lineRule="exact"/>
        <w:rPr>
          <w:rFonts w:ascii="Times New Roman" w:cs="Times New Roman" w:eastAsia="Times New Roman" w:hAnsi="Times New Roman"/>
          <w:sz w:val="17"/>
          <w:szCs w:val="17"/>
          <w:color w:val="auto"/>
        </w:rPr>
      </w:pPr>
    </w:p>
    <w:p>
      <w:pPr>
        <w:ind w:right="20" w:firstLine="987"/>
        <w:spacing w:after="0" w:line="254" w:lineRule="auto"/>
        <w:tabs>
          <w:tab w:leader="none" w:pos="123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93" w:name="page294"/>
    <w:bookmarkEnd w:id="293"/>
    <w:p>
      <w:pPr>
        <w:ind w:left="4" w:right="380" w:firstLine="987"/>
        <w:spacing w:after="0" w:line="289" w:lineRule="auto"/>
        <w:tabs>
          <w:tab w:leader="none" w:pos="1250" w:val="left"/>
        </w:tabs>
        <w:numPr>
          <w:ilvl w:val="2"/>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any payment under this Agreement, the Company, to the fullest extent permitted by law and the Articles,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57" w:lineRule="exact"/>
        <w:rPr>
          <w:rFonts w:ascii="Times New Roman" w:cs="Times New Roman" w:eastAsia="Times New Roman" w:hAnsi="Times New Roman"/>
          <w:sz w:val="17"/>
          <w:szCs w:val="17"/>
          <w:color w:val="auto"/>
        </w:rPr>
      </w:pPr>
    </w:p>
    <w:p>
      <w:pPr>
        <w:ind w:left="4" w:right="20" w:firstLine="987"/>
        <w:spacing w:after="0" w:line="254" w:lineRule="auto"/>
        <w:tabs>
          <w:tab w:leader="none" w:pos="1240"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20"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Indemnitee has rights to indemnification, advancement of expenses and/or insurance provided by one or more third parties (collectively, the “</w:t>
      </w:r>
      <w:r>
        <w:rPr>
          <w:rFonts w:ascii="Times New Roman" w:cs="Times New Roman" w:eastAsia="Times New Roman" w:hAnsi="Times New Roman"/>
          <w:sz w:val="18"/>
          <w:szCs w:val="18"/>
          <w:b w:val="1"/>
          <w:bCs w:val="1"/>
          <w:i w:val="1"/>
          <w:iCs w:val="1"/>
          <w:color w:val="auto"/>
        </w:rPr>
        <w:t>Third-Party Indemnitors</w:t>
      </w:r>
      <w:r>
        <w:rPr>
          <w:rFonts w:ascii="Times New Roman" w:cs="Times New Roman" w:eastAsia="Times New Roman" w:hAnsi="Times New Roman"/>
          <w:sz w:val="18"/>
          <w:szCs w:val="18"/>
          <w:color w:val="auto"/>
        </w:rPr>
        <w:t>”) as applicable, (i) the Company shall be the indemnitor of first resort (i.e., that its obligations to Indemnitee are primary and any obligation of the Third Party Indemnitors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Third Party Indemnitors and (iii) the Company irrevocably waives, relinquishes and releases the Third Party Indemnitors from any and all claims against them for contribution, subrogation or any other recovery of any kind in respect thereof. No advancement or payment by the Third Party Indemnitors on behalf of Indemnitee with respect to any claim for which Indemnitee has sought indemnification from the Company shall affect the foregoing, and the Third Party Indemnitors shall have a right of contribution and be subrogated to the extent of such advancement or payment to all of the rights of recovery of Indemnitee against the Company.</w:t>
      </w:r>
    </w:p>
    <w:p>
      <w:pPr>
        <w:spacing w:after="0" w:line="185" w:lineRule="exact"/>
        <w:rPr>
          <w:rFonts w:ascii="Times New Roman" w:cs="Times New Roman" w:eastAsia="Times New Roman" w:hAnsi="Times New Roman"/>
          <w:sz w:val="18"/>
          <w:szCs w:val="18"/>
          <w:color w:val="auto"/>
        </w:rPr>
      </w:pPr>
    </w:p>
    <w:p>
      <w:pPr>
        <w:ind w:left="4" w:firstLine="436"/>
        <w:spacing w:after="0" w:line="257" w:lineRule="auto"/>
        <w:tabs>
          <w:tab w:leader="none" w:pos="71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serves 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this Agreement) by reason of his or her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20" w:firstLine="436"/>
        <w:spacing w:after="0" w:line="272" w:lineRule="auto"/>
        <w:tabs>
          <w:tab w:leader="none" w:pos="714"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200" w:hanging="4"/>
        <w:spacing w:after="0" w:line="253" w:lineRule="auto"/>
        <w:tabs>
          <w:tab w:leader="none" w:pos="25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294" w:name="page295"/>
    <w:bookmarkEnd w:id="294"/>
    <w:p>
      <w:pPr>
        <w:ind w:left="704" w:hanging="264"/>
        <w:spacing w:after="0"/>
        <w:tabs>
          <w:tab w:leader="none" w:pos="70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4" w:right="40" w:firstLine="987"/>
        <w:spacing w:after="0" w:line="266" w:lineRule="auto"/>
        <w:tabs>
          <w:tab w:leader="none" w:pos="1240"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 w:right="640" w:firstLine="987"/>
        <w:spacing w:after="0" w:line="266" w:lineRule="auto"/>
        <w:tabs>
          <w:tab w:leader="none" w:pos="1250"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 w:right="200" w:firstLine="987"/>
        <w:spacing w:after="0" w:line="256" w:lineRule="auto"/>
        <w:tabs>
          <w:tab w:leader="none" w:pos="1240"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director or officer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40"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law and the Articles.</w:t>
      </w:r>
    </w:p>
    <w:p>
      <w:pPr>
        <w:spacing w:after="0" w:line="190" w:lineRule="exact"/>
        <w:rPr>
          <w:rFonts w:ascii="Times New Roman" w:cs="Times New Roman" w:eastAsia="Times New Roman" w:hAnsi="Times New Roman"/>
          <w:sz w:val="18"/>
          <w:szCs w:val="18"/>
          <w:color w:val="auto"/>
        </w:rPr>
      </w:pPr>
    </w:p>
    <w:p>
      <w:pPr>
        <w:ind w:left="4" w:right="140" w:firstLine="436"/>
        <w:spacing w:after="0" w:line="268" w:lineRule="auto"/>
        <w:tabs>
          <w:tab w:leader="none" w:pos="71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 w:right="220" w:firstLine="436"/>
        <w:spacing w:after="0" w:line="263" w:lineRule="auto"/>
        <w:tabs>
          <w:tab w:leader="none" w:pos="71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(i) if delivered by hand and receipted for by the party to whom said notice or other communication shall have been directed, or</w:t>
      </w:r>
    </w:p>
    <w:p>
      <w:pPr>
        <w:ind w:left="264" w:hanging="264"/>
        <w:spacing w:after="0"/>
        <w:tabs>
          <w:tab w:leader="none" w:pos="26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certified or registered mail with postage prepaid, on the third (3rd) business day after the date on which it is so mailed:</w:t>
      </w:r>
    </w:p>
    <w:p>
      <w:pPr>
        <w:spacing w:after="0" w:line="206"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95" w:name="page296"/>
    <w:bookmarkEnd w:id="295"/>
    <w:p>
      <w:pPr>
        <w:ind w:left="1420" w:hanging="439"/>
        <w:spacing w:after="0"/>
        <w:tabs>
          <w:tab w:leader="none" w:pos="14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ProKidney Corp.</w:t>
      </w:r>
    </w:p>
    <w:p>
      <w:pPr>
        <w:spacing w:after="0" w:line="27" w:lineRule="exact"/>
        <w:rPr>
          <w:rFonts w:ascii="Times New Roman" w:cs="Times New Roman" w:eastAsia="Times New Roman" w:hAnsi="Times New Roman"/>
          <w:sz w:val="18"/>
          <w:szCs w:val="18"/>
          <w:color w:val="auto"/>
        </w:rPr>
      </w:pPr>
    </w:p>
    <w:p>
      <w:pPr>
        <w:ind w:left="1420" w:right="7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ProKidney Corp. GP Limited 70 Sir John Rogerson’s Quay Dublin 2, Ireland</w:t>
      </w:r>
    </w:p>
    <w:p>
      <w:pPr>
        <w:spacing w:after="0" w:line="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Tim Bertram</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Tim.Bertram@prokidney.com</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420"/>
        <w:spacing w:after="0"/>
        <w:tabs>
          <w:tab w:leader="none" w:pos="27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Lee Hochbaum</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Richard Truesdell</w:t>
      </w:r>
    </w:p>
    <w:p>
      <w:pPr>
        <w:spacing w:after="0" w:line="9" w:lineRule="exact"/>
        <w:rPr>
          <w:sz w:val="20"/>
          <w:szCs w:val="20"/>
          <w:color w:val="auto"/>
        </w:rPr>
      </w:pPr>
    </w:p>
    <w:p>
      <w:pPr>
        <w:ind w:left="1420"/>
        <w:spacing w:after="0"/>
        <w:tabs>
          <w:tab w:leader="none" w:pos="2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lee.hochbaum@davispolk.com</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richard.truesdell@davispolk.com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555 12th Street NW, Suite 1100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420"/>
        <w:spacing w:after="0"/>
        <w:tabs>
          <w:tab w:leader="none" w:pos="2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Matthew Simpson</w:t>
      </w:r>
    </w:p>
    <w:p>
      <w:pPr>
        <w:spacing w:after="0" w:line="9" w:lineRule="exact"/>
        <w:rPr>
          <w:sz w:val="20"/>
          <w:szCs w:val="20"/>
          <w:color w:val="auto"/>
        </w:rPr>
      </w:pPr>
    </w:p>
    <w:p>
      <w:pPr>
        <w:ind w:left="1420"/>
        <w:spacing w:after="0"/>
        <w:tabs>
          <w:tab w:leader="none" w:pos="2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MTSimpson@mintz.com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420"/>
        <w:spacing w:after="0"/>
        <w:tabs>
          <w:tab w:leader="none" w:pos="2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Stuart Leblang</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Jonathan Pavlich</w:t>
      </w:r>
    </w:p>
    <w:p>
      <w:pPr>
        <w:spacing w:after="0" w:line="9" w:lineRule="exact"/>
        <w:rPr>
          <w:sz w:val="20"/>
          <w:szCs w:val="20"/>
          <w:color w:val="auto"/>
        </w:rPr>
      </w:pPr>
    </w:p>
    <w:p>
      <w:pPr>
        <w:ind w:left="1420"/>
        <w:spacing w:after="0"/>
        <w:tabs>
          <w:tab w:leader="none" w:pos="2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sleblang@akingump.com</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jpavlich@akingump.com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firstLine="436"/>
        <w:spacing w:after="0" w:line="254"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and construed and enforced in accordance with, the laws of the State of New York, without regard to its conflict of laws rules. Except with respect to any arbitration commenced by Indemnitee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New York Court and not in any state or federal court in the United States of America or any court in any other country; (b) consent to submit to the exclusive jurisdiction of the New York Court for purposes of any action or proceeding arising out of or in connection with this Agreement; (c) waive any objection to the laying of venue of any such action or proceeding in the New York Court; and (d) waive, and agree not to plead or to make, any claim that any such action or proceeding brought in the New York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ind w:right="140" w:firstLine="436"/>
        <w:spacing w:after="0" w:line="268"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296" w:name="page297"/>
    <w:bookmarkEnd w:id="296"/>
    <w:p>
      <w:pPr>
        <w:ind w:right="80" w:firstLine="436"/>
        <w:spacing w:after="0" w:line="268" w:lineRule="auto"/>
        <w:tabs>
          <w:tab w:leader="none" w:pos="71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firstLine="436"/>
        <w:spacing w:after="0" w:line="259" w:lineRule="auto"/>
        <w:tabs>
          <w:tab w:leader="none" w:pos="71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right="400" w:firstLine="436"/>
        <w:spacing w:after="0" w:line="268" w:lineRule="auto"/>
        <w:tabs>
          <w:tab w:leader="none" w:pos="71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ind w:right="20" w:firstLine="436"/>
        <w:spacing w:after="0" w:line="256" w:lineRule="auto"/>
        <w:tabs>
          <w:tab w:leader="none" w:pos="71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and hereby waives any Claim 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an initial business combination.</w:t>
      </w:r>
    </w:p>
    <w:p>
      <w:pPr>
        <w:spacing w:after="0" w:line="182" w:lineRule="exact"/>
        <w:rPr>
          <w:rFonts w:ascii="Times New Roman" w:cs="Times New Roman" w:eastAsia="Times New Roman" w:hAnsi="Times New Roman"/>
          <w:sz w:val="18"/>
          <w:szCs w:val="18"/>
          <w:color w:val="auto"/>
        </w:rPr>
      </w:pPr>
    </w:p>
    <w:p>
      <w:pPr>
        <w:ind w:right="80" w:firstLine="436"/>
        <w:spacing w:after="0" w:line="256" w:lineRule="auto"/>
        <w:tabs>
          <w:tab w:leader="none" w:pos="71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Timothy A. Bertram</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Address:</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Indemnity Agreement</w:t>
      </w:r>
      <w:r>
        <w:rPr>
          <w:rFonts w:ascii="Times New Roman" w:cs="Times New Roman" w:eastAsia="Times New Roman" w:hAnsi="Times New Roman"/>
          <w:sz w:val="18"/>
          <w:szCs w:val="18"/>
          <w:color w:val="auto"/>
        </w:rPr>
        <w:t>]</w:t>
      </w:r>
    </w:p>
    <w:p>
      <w:pPr>
        <w:sectPr>
          <w:pgSz w:w="11900" w:h="16838" w:orient="portrait"/>
          <w:cols w:equalWidth="0" w:num="1">
            <w:col w:w="10180"/>
          </w:cols>
          <w:pgMar w:left="880" w:top="266" w:right="8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read the statements made by ProKidney Corp. under Item 4.01 of its Form 8-K dated July 15, 2022. We agree with the statements concerning our Firm under Item 4.01. We are not in a position to agree or disagree with other statements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ectPr>
          <w:pgSz w:w="11900" w:h="16838" w:orient="portrait"/>
          <w:cols w:equalWidth="0" w:num="1">
            <w:col w:w="11020"/>
          </w:cols>
          <w:pgMar w:left="440" w:top="117" w:right="4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Registrant</w:t>
      </w:r>
    </w:p>
    <w:p>
      <w:pPr>
        <w:spacing w:after="0" w:line="23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60"/>
        </w:trPr>
        <w:tc>
          <w:tcPr>
            <w:tcW w:w="6200" w:type="dxa"/>
            <w:vAlign w:val="bottom"/>
            <w:gridSpan w:val="2"/>
            <w:vMerge w:val="continue"/>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ProKidney Corp. GP Limited</w:t>
            </w:r>
          </w:p>
        </w:tc>
        <w:tc>
          <w:tcPr>
            <w:tcW w:w="12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LP</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(f/k/a RegenMed (Cayman) Ltd.)</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ProKidney, LLC (f/k/a Twin City Bio LLC)</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0020"/>
          </w:cols>
          <w:pgMar w:left="1440" w:top="117" w:right="4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173990</wp:posOffset>
            </wp:positionV>
            <wp:extent cx="1739900" cy="9340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173990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Revolutionary Chronic Kidney Disease Therapeutics Company ProKidney to List on the Nasdaq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Following Business Combination with Social Capital Suvretta Holdings Corp. III</w:t>
      </w:r>
    </w:p>
    <w:p>
      <w:pPr>
        <w:spacing w:after="0" w:line="110" w:lineRule="exact"/>
        <w:rPr>
          <w:sz w:val="20"/>
          <w:szCs w:val="20"/>
          <w:color w:val="auto"/>
        </w:rPr>
      </w:pPr>
    </w:p>
    <w:p>
      <w:pPr>
        <w:ind w:left="960" w:hanging="532"/>
        <w:spacing w:after="0"/>
        <w:tabs>
          <w:tab w:leader="none" w:pos="9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ProKidney Class A ordinary shares to begin trading on Nasdaq under the ticker symbol “PROK” on July 12,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ProKidney receives total gross proceeds of approximately $597 million, expected to fund Phase 3 study of REACT</w:t>
      </w:r>
      <w:r>
        <w:rPr>
          <w:rFonts w:ascii="Times New Roman" w:cs="Times New Roman" w:eastAsia="Times New Roman" w:hAnsi="Times New Roman"/>
          <w:sz w:val="26"/>
          <w:szCs w:val="26"/>
          <w:i w:val="1"/>
          <w:iCs w:val="1"/>
          <w:color w:val="auto"/>
          <w:vertAlign w:val="superscript"/>
        </w:rPr>
        <w:t>™</w:t>
      </w:r>
    </w:p>
    <w:p>
      <w:pPr>
        <w:spacing w:after="0" w:line="60" w:lineRule="exact"/>
        <w:rPr>
          <w:rFonts w:ascii="Times New Roman" w:cs="Times New Roman" w:eastAsia="Times New Roman" w:hAnsi="Times New Roman"/>
          <w:sz w:val="18"/>
          <w:szCs w:val="18"/>
          <w:color w:val="auto"/>
        </w:rPr>
      </w:pPr>
    </w:p>
    <w:p>
      <w:pPr>
        <w:ind w:left="960" w:right="180" w:hanging="532"/>
        <w:spacing w:after="0" w:line="254" w:lineRule="auto"/>
        <w:tabs>
          <w:tab w:leader="none" w:pos="9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PIPE is led by a $125 million investment from Social Capital, with an additional $50 million from existing ProKidney investors, approximately $30 million from Suvretta Capital’s Averill strategy and the remaining $370 million from institutional investors and family offices</w:t>
      </w:r>
    </w:p>
    <w:p>
      <w:pPr>
        <w:spacing w:after="0" w:line="90" w:lineRule="exact"/>
        <w:rPr>
          <w:rFonts w:ascii="Times New Roman" w:cs="Times New Roman" w:eastAsia="Times New Roman" w:hAnsi="Times New Roman"/>
          <w:sz w:val="18"/>
          <w:szCs w:val="18"/>
          <w:color w:val="auto"/>
        </w:rPr>
      </w:pPr>
    </w:p>
    <w:p>
      <w:pPr>
        <w:ind w:left="960" w:right="200" w:hanging="532"/>
        <w:spacing w:after="0" w:line="224" w:lineRule="auto"/>
        <w:tabs>
          <w:tab w:leader="none" w:pos="9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Proceeds will fund ongoing Phase 2 and 3 development program for ProKidney’s lead cell therapy candidate,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accelerate manufacturing scale-out, and ultimately prepare for its global commercial launch to treat patients with late-stage chronic kidney disease (“CKD”) and at high risk of kidney failure, assuming receipt of regulatory approvals</w:t>
      </w:r>
    </w:p>
    <w:p>
      <w:pPr>
        <w:spacing w:after="0" w:line="19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Winston-Salem, NC &amp; Palo Alto, CA </w:t>
      </w:r>
      <w:r>
        <w:rPr>
          <w:rFonts w:ascii="Times New Roman" w:cs="Times New Roman" w:eastAsia="Times New Roman" w:hAnsi="Times New Roman"/>
          <w:sz w:val="18"/>
          <w:szCs w:val="18"/>
          <w:color w:val="auto"/>
        </w:rPr>
        <w:t>– July 12, 2022 – ProKidney LP (“ProKidney”), a leading late clinical-stage cellular therapeutics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CKD, and Social Capital Suvretta Holdings Corp. III (“SCS”) (Nasdaq: DNAC), a special purpose acquisition company, today completed their previously announced business combination. The newly formed company is named ProKidney Corp. and its Class A ordinary shares will commence trading on the Nasdaq Capital Market (“Nasdaq”) under the symbol “PROK” on July 12, 2022.</w:t>
      </w:r>
    </w:p>
    <w:p>
      <w:pPr>
        <w:spacing w:after="0" w:line="180"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color w:val="auto"/>
        </w:rPr>
        <w:t>The business combination was approved by SCS’s shareholders at an extraordinary meeting held on July 11, 2022. ProKidney intends to use the proceeds received from the transaction to continue accelerating the development of its lead autologous cell therapy candidate,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(Renal Autologous Cell Therapy), which is currently being evaluated in multiple Phase 2 and 3 clinical trials as a treatment for late-stage diabetic CKD approaching kidney failure. Based on clinical data generated to date, ProKidney believes that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not only slow the progression of CKD, but in some cases to drive meaningful improvement in kidney function in patients with late-stage CKD – a groundbreaking first for CKD therapies that may delay or possibly prevent the need for dialysis in these patients.</w:t>
      </w:r>
    </w:p>
    <w:p>
      <w:pPr>
        <w:spacing w:after="0" w:line="19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Tim Bertram, founder and CEO of ProKidney, said: </w:t>
      </w:r>
      <w:r>
        <w:rPr>
          <w:rFonts w:ascii="Times New Roman" w:cs="Times New Roman" w:eastAsia="Times New Roman" w:hAnsi="Times New Roman"/>
          <w:sz w:val="18"/>
          <w:szCs w:val="18"/>
          <w:color w:val="auto"/>
        </w:rPr>
        <w:t>“At ProKidney, we have the potential to usher in a new era of better health for the millions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CKD patients worldwide who have few or no other options but to progress into renal failure. Based on the clinical observations of broad organ function enhancements, this therapy has the potential to have a tangible positive impact on patients’ quality of life while also providing meaningful economic benefits for the global healthcare system. We are grateful to the SCS team and our talented advisors for their support throughout this process, and excited to begin our next phase of growth and advancement as a public company.”</w:t>
      </w:r>
    </w:p>
    <w:p>
      <w:pPr>
        <w:spacing w:after="0" w:line="179"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Pablo Legorreta, Chairman of the ProKidney board, added: </w:t>
      </w:r>
      <w:r>
        <w:rPr>
          <w:rFonts w:ascii="Times New Roman" w:cs="Times New Roman" w:eastAsia="Times New Roman" w:hAnsi="Times New Roman"/>
          <w:sz w:val="18"/>
          <w:szCs w:val="18"/>
          <w:color w:val="auto"/>
        </w:rPr>
        <w:t>“ProKidney has made tremendous progress advancing its groundbreaking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therapy for the treatment of CKD. The completion of the business combination marks another important milestone in ProKidney’s journey that will better enable our leadership team to execute on its strategic vision and realize the great potential of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behalf of ProKidney’s Board and management team I would like to welcome our new investors and thank them for their strong support.”</w:t>
      </w:r>
    </w:p>
    <w:p>
      <w:pPr>
        <w:spacing w:after="0" w:line="225"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Mr. Legorreta continued, “I have been inspired both by the science behind ProKidney’s novel approach to treating CKD and the keen focus of the ProKidney team on curing this intractable disease. This transaction is a validation of ProKidney’s momentum and, most importantly, will support ProKidney’s efforts to complete Phase 3 and eventually deploy the pioneering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therapy, bringing hope for the treatment of a medical condition that is so pervasive and takes such a toll on the lives of millions.”</w:t>
      </w:r>
    </w:p>
    <w:p>
      <w:pPr>
        <w:spacing w:after="0" w:line="19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A cell therapy produced from a patient’s own kidney cells,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comprises a proprietary mixture of progenitor cells that are grown, purified, and then placed back into the patient’s kidney. This minimally invasive procedure, which begins with a standard biopsy, injects cells that harness the body’s intrinsic ability to repair and restore damaged kidney tissue. The injection procedure has been shown to be better tolerated than contemporary biopsy and can be done repeatedly in one or both kidneys based on multiple Phase 2 trial findings.</w:t>
      </w:r>
    </w:p>
    <w:p>
      <w:pPr>
        <w:spacing w:after="0" w:line="198"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8"/>
          <w:szCs w:val="18"/>
          <w:color w:val="auto"/>
        </w:rPr>
        <w:t>ProKidney’s patented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therapy is the outcome of almost 20 years of development by ProKidney and its predecessors and is part of its broad-based intellectual property strategy. The company has filed more than 200 patents worldwide for its product, cell admixture, and manufacturing and quality processes.</w:t>
      </w:r>
    </w:p>
    <w:p>
      <w:pPr>
        <w:spacing w:after="0" w:line="1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ProKidney’s management team, led by founder and CEO Tim Bertram, brings over 200 years of combined experience in the discovery, development, manufacture, and commercialization of biotechnology, pharmaceutical, and device products. ProKidney is also led by an experienced board, chaired by Pablo Legorreta, founder and CEO of Royalty Pharma, the world’s largest publicly listed acquirer of pharmaceutical royalty streams, bringing broad financial and scientific expertise with his successful track record in biopharma development and investing.</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ProKidney board of directors also includes Dr. Brian Pereira, President and CEO of Visterra, Inc., former president and board member of the National Kidney Foundation and former editor of the widely read textbook “Chronic Kidney Disease, Dialysis, and Transplantation”; Dr. John M. Maraganore, founding Chief Executive Officer of Alnylam Pharmaceuticals, Inc.; William Doyle, founder and Chairman of Novocure; Dr. Alan Lotvin, M.D., Executive Vice President of CVS Health and President of CVS Caremark, CVS Health’s pharmacy benefits manager; Dr. Uma Sinha, Chief Scientific Officer at BridgeBio Pharma; Jennifer Fox, Chief Financial Officer of Nuvation Bio; and José Ignacio Jimenez Santos, Chief Executive Officer of Grupo Financiero Inbursa.</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As a result of the business combination, ProKidney has received approximately $597 million prior to transaction-related expenses, including approximately $20 million held in SCS’s trust account with the remaining amount from PIPE investors, which includes $125 million from Social Capital and an additional $50 million from existing ProKidney investors. The Company expects that the proceeds from the transaction will be sufficient to fund operations through data from its ongoing Phase 3 study of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diabetic CKD.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Citigroup acted as sole financial advisor and capital markets advisor to ProKidney. Citigroup, Morgan Stanley, Evercore, Jefferies, and UBS acted as placement agents for a portion of the PIPE. BofA Securities acted as capital markets advisor to SCS. Wachtell, Lipton, Rosen &amp; Katz acted as legal advisor to SCS. Davis Polk &amp; Wardwell LLP, Mintz, Levin, Cohn, Ferris, Glovsky and Popeo, P.C., Akin Gump Strauss Hauer &amp; Feld LLP, Matheson LLP, and Walkers LLP acted as legal advisors to ProKidney. Winston &amp; Strawn LLP acted as legal advisor to the PIPE placement agents.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ProKidney</w:t>
      </w:r>
    </w:p>
    <w:p>
      <w:pPr>
        <w:spacing w:after="0" w:line="12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ProKidney, a pioneer in the treatment of chronic kidney disease (CKD) through innovations in cellular therapy, was founded in 2015 after a decade of research. ProKidney’s lead product candidate,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(Renal Autologous Cell Therapy), is a first-of-its-kind, patented disease-modifying autologous cellular therapy with the potential to not only slow and stabilize the progression of CKD, but in some cases drive meaningful improvement in kidney function.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received Regenerative Medicine Advanced Therapy (RMAT) designation, as well as FDA and EMA guidance, supporting its ongoing Phase 3 clinical program, which launched in January 2022. For more information, visit </w:t>
      </w:r>
      <w:r>
        <w:rPr>
          <w:rFonts w:ascii="Times New Roman" w:cs="Times New Roman" w:eastAsia="Times New Roman" w:hAnsi="Times New Roman"/>
          <w:sz w:val="18"/>
          <w:szCs w:val="18"/>
          <w:u w:val="single" w:color="auto"/>
          <w:color w:val="auto"/>
        </w:rPr>
        <w:t>www.prokidney.com.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Social Capital Suvretta Holdings Corp. III</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 xml:space="preserve">Social Capital Suvretta Holdings Corp. III is led by Chamath Palihapitiya and Kishen Mehta and is a blank check company formed for the purpose of effecting a merger, amalgamation, share exchange, asset acquisition, share purchase, reorganization or similar business combination with one or more businesses. The company is focused on businesses operating in the biotechnology industry and within the organ space subsector. To learn more about Social Capital Suvretta Holdings, visit </w:t>
      </w:r>
      <w:r>
        <w:rPr>
          <w:rFonts w:ascii="Times New Roman" w:cs="Times New Roman" w:eastAsia="Times New Roman" w:hAnsi="Times New Roman"/>
          <w:sz w:val="18"/>
          <w:szCs w:val="18"/>
          <w:u w:val="single" w:color="auto"/>
          <w:color w:val="auto"/>
        </w:rPr>
        <w:t>https://www.socialcapitalsuvrettaholdings.com/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combined company’s expectations with respect to financial results, future performance, development and commercialization of products, if approved, the potential benefits and impact of the combined company’s products, if approved, potential regulatory approvals, anticipated financial impacts and other effects of the business combination on the combined company’s business, and the size and potential growth of current or future markets for the combined company’s products, if approved. Most of these factors are outside of the combined company’s control and are difficult to predict. Factors that may cause such differences include, but are not limited to: the inability to maintain the listing of the combined company’s Class A ordinary shares on the Nasdaq following the business combination; the inability to implement business plans, forecasts, and other expectations and to recognize the anticipated benefits of the business combination or identify and realize additional opportunities, which may be affected by, among other things, competition and the ability of the combined company to grow and manage growth profitably and retain its key employees; the risk of downturns and a changing regulatory landscape in the highly competitive biotechnology industry; the inability of the combined company to raise financing in the future; the inability of the combined company to obtain and maintain regulatory clearance or approval for its products, and any related restrictions and limitations of any cleared or approved product; the inability of the combined company to identify, in-license or acquire additional technology; the inability of combined company to compete with other companies currently marketing or engaged in the biologics market and in the area of treatment of kidney diseases; the size and growth potential of the markets for the combined company’s products, if approved, and its ability to serve those markets, either alone or in partnership with others; the combined company’s estimates regarding expenses, future revenue, capital requirements and needs for additional financing; the combined company’s financial performance; the combined company’s intellectual property rights; uncertainties inherent in cell therapy research and development, including the actual time it takes to initiate and complete clinical studies and the timing and content of decisions made by regulatory authorities; the impact of COVID-19 or geo-political conflict such as the war in Ukraine on the combined company’s business; and other risks and uncertainties indicated from time to time in the proxy statement relating to the business combination, including those under “Risk Factors” therein, and in the combined company’s other filings with the Securities and Exchange Commission. The combined company cautions readers that the foregoing list of factors is not exclusive and cautions readers not to place undue reliance upon any forward-looking statements, which speak only as of the date made. The combined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ProKidney: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Roth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lroth@burnsmc.com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Capital Suvretta: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Reze Wong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reze@socialcapital.com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Kala Krishnan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kala.krishnan@fgsglobal.com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scs-us@fgsglobal.com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19"/>
          </w:cols>
          <w:pgMar w:left="440" w:top="266" w:right="1440"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the context otherwise requires, the “combined company” or “ProKidney” refer to ProKidney Corp. (formerly Social Capital Suvretta Holdings Corp. III) and its subsidiaries after the Closing, “SCS” refers to SCS prior to the Closing, and “Legacy ProKidney” refers to ProKidney LP and its subsidiaries prior to the Closing.</w:t>
      </w:r>
    </w:p>
    <w:p>
      <w:pPr>
        <w:spacing w:after="0" w:line="17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for the three months ended March 31, 2022 and for the year ended December 31, 2021 combines the historical statement of operations of SCS and the historical consolidated statement of operations of Legacy ProKidney, giving effect to the Business Combination as if it had occurred on January 1, 2021. The unaudited pro forma condensed combined balance sheet as of March 31, 2022 combines the historical balance sheet of SCS and Legacy ProKidney, giving effect to the Business Combination as if it had occurred on March 31, 2022, and the unaudited pro forma condensed combined balance sheet as of December 31, 2021 combines the historical balance sheet of SCS and Legacy ProKidney, giving effect to the Business Combination as if it had occurred on December 31, 2021.</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SCS and Legacy ProKidney, adjusted to give effect to the Business Combination and other events contemplated by the Business Combination Agreement. The following unaudited pro forma condensed combined financial information has been prepared in accordance with Article 11 of Regulation S-X as amended by the final rule, Release 33-10786 “Amendments to Financial Disclosures about Acquired and Disposed Businesses.”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 The unaudited pro forma condensed combined statement of operations is not necessarily indicative of what the actual results of operations would have been had the Business Combination taken place on the date indicated, nor is it indicative of the future consolidated results of operations of the combined company. The pro forma adjustments were based on the information available as of the date of these unaudited pro forma condensed combined financial statements and are subject to change as additional information becomes available and analyses are performed. Actual results may differ materially from the assumptions within the accompanying unaudited pro forma condensed combined financial information.</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 July 11, 2022, SCS and Legacy ProKidney consummated the Business Combination pursuant to the Business Combination Agreement. The historical financial information has been adjusted to give pro forma effect to the following events that are related and/or directly attributable to the Business Combination. The following pro forma condensed combined financial statements presented herein reflect the actual redemption of 22,829,769 Class A ordinary shares in conjunction with the shareholder vote on the Business Combination contemplated by the Business Combination Agreement at the extraordinary general meeting held on July 11, 2022.</w:t>
      </w:r>
    </w:p>
    <w:p>
      <w:pPr>
        <w:sectPr>
          <w:pgSz w:w="11900" w:h="16838" w:orient="portrait"/>
          <w:cols w:equalWidth="0" w:num="1">
            <w:col w:w="11020"/>
          </w:cols>
          <w:pgMar w:left="440" w:top="117" w:right="439" w:bottom="1440" w:gutter="0" w:footer="0" w:header="0"/>
        </w:sectPr>
      </w:pPr>
    </w:p>
    <w:bookmarkStart w:id="305" w:name="page306"/>
    <w:bookmarkEnd w:id="305"/>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summarizes the pro forma share ownership of the combined company’s Class A ordinary shares after giving effect to the Business Combination.</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ProKidney</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i w:val="1"/>
                <w:iCs w:val="1"/>
                <w:color w:val="auto"/>
                <w:w w:val="98"/>
              </w:rPr>
              <w:t>Ownership</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10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2,170,231</w:t>
            </w:r>
          </w:p>
        </w:tc>
        <w:tc>
          <w:tcPr>
            <w:tcW w:w="3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0.9%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Sponsor</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6,890,000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PIPE Investors</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36,840,000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Sponsor Related PIPE Investors</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15,640,000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Unitholders (including the ProKidney Related PIPE Investors)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74.5%</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241,540,231</w:t>
            </w:r>
          </w:p>
        </w:tc>
        <w:tc>
          <w:tcPr>
            <w:tcW w:w="360" w:type="dxa"/>
            <w:vAlign w:val="bottom"/>
            <w:vMerge w:val="continue"/>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100.00%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and should be read in conjunction with:</w:t>
      </w:r>
    </w:p>
    <w:p>
      <w:pPr>
        <w:spacing w:after="0" w:line="131" w:lineRule="exact"/>
        <w:rPr>
          <w:sz w:val="20"/>
          <w:szCs w:val="20"/>
          <w:color w:val="auto"/>
        </w:rPr>
      </w:pPr>
    </w:p>
    <w:p>
      <w:pPr>
        <w:ind w:left="1420" w:hanging="331"/>
        <w:spacing w:after="0"/>
        <w:tabs>
          <w:tab w:leader="none" w:pos="14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66" w:lineRule="auto"/>
        <w:tabs>
          <w:tab w:leader="none" w:pos="14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SCS as of and for the three months ended March 31, 2022, the historical audited condensed financial statements for SCS as of December 31, 2021 and for the period from February 25, 2021 (date of inception) through December 31, 2021, and the related notes, in each case, included elsewhere in this prospectus;</w:t>
      </w:r>
    </w:p>
    <w:p>
      <w:pPr>
        <w:spacing w:after="0" w:line="81"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Legacy ProKidney as of and for the three months ended March 31, 2022, the historical audited consolidated financial statements of Legacy ProKidney as of and for the year ended December 31, 2021, and the related notes, in each case, included elsewhere in this prospectus; and</w:t>
      </w:r>
    </w:p>
    <w:p>
      <w:pPr>
        <w:spacing w:after="0" w:line="81" w:lineRule="exact"/>
        <w:rPr>
          <w:rFonts w:ascii="Times New Roman" w:cs="Times New Roman" w:eastAsia="Times New Roman" w:hAnsi="Times New Roman"/>
          <w:sz w:val="18"/>
          <w:szCs w:val="18"/>
          <w:color w:val="auto"/>
        </w:rPr>
      </w:pPr>
    </w:p>
    <w:p>
      <w:pPr>
        <w:ind w:left="1420" w:right="60" w:hanging="331"/>
        <w:spacing w:after="0" w:line="261" w:lineRule="auto"/>
        <w:tabs>
          <w:tab w:leader="none" w:pos="14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SCS and Legacy ProKidney contained in this prospectus, including the Business Combination Agreement and the description of certain terms thereof set forth under “</w:t>
      </w:r>
      <w:r>
        <w:rPr>
          <w:rFonts w:ascii="Times New Roman" w:cs="Times New Roman" w:eastAsia="Times New Roman" w:hAnsi="Times New Roman"/>
          <w:sz w:val="18"/>
          <w:szCs w:val="18"/>
          <w:i w:val="1"/>
          <w:iCs w:val="1"/>
          <w:color w:val="auto"/>
        </w:rPr>
        <w:t>Summary of the Prospectus — Background and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as well as the disclosures contained in “Management’s Discussion and Analysis of Financial Condition and Results of Operations.”</w:t>
      </w:r>
    </w:p>
    <w:p>
      <w:pPr>
        <w:sectPr>
          <w:pgSz w:w="11900" w:h="16838" w:orient="portrait"/>
          <w:cols w:equalWidth="0" w:num="1">
            <w:col w:w="10940"/>
          </w:cols>
          <w:pgMar w:left="440" w:top="270" w:right="519" w:bottom="1440" w:gutter="0" w:footer="0" w:header="0"/>
        </w:sectPr>
      </w:pPr>
    </w:p>
    <w:bookmarkStart w:id="306" w:name="page307"/>
    <w:bookmarkEnd w:id="30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SHEETS MARCH 31, 2022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1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29,802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531,461</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561,315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clinical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595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567,305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(250,034)</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(5,108)</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assets</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124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250,753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53,507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276,319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580,579</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2,509</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13,459</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notes payable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(20,078)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17,247</w:t>
            </w: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(7,700)</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Temporary equity: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(250,000)</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422,491</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422,491</w:t>
            </w:r>
          </w:p>
        </w:tc>
        <w:tc>
          <w:tcPr>
            <w:tcW w:w="0" w:type="dxa"/>
            <w:vAlign w:val="bottom"/>
          </w:tcPr>
          <w:p>
            <w:pPr>
              <w:spacing w:after="0"/>
              <w:rPr>
                <w:sz w:val="1"/>
                <w:szCs w:val="1"/>
                <w:color w:val="auto"/>
              </w:rPr>
            </w:pPr>
          </w:p>
        </w:tc>
      </w:tr>
      <w:tr>
        <w:trPr>
          <w:trHeight w:val="90"/>
        </w:trPr>
        <w:tc>
          <w:tcPr>
            <w:tcW w:w="5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PubCo:</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Pubco Class A Common Stock</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(j),(h),(o)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Pubco Class B Common Stock</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SCS: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SCS Preference shares, $0.0001 par value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SCS Class A ordinary shares, $0.0001 par value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SCS Class B ordinary shares, $0.0001 par value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ProKidney - Class A Units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(186,500)</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ProKidney - Class B Units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(62,663)</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131,531</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131,531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(228,996)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249,163</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131,606</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139,413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equity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250,753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53,507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276,319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580,579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07" w:name="page308"/>
    <w:bookmarkEnd w:id="30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SHEETS DECEMBER 31, 2021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1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20,558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551,493</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572,491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clinical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945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579,709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(250,008)</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 term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592,984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(7,700)</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34"/>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5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(250,008)</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430,480</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430,480</w:t>
            </w: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PubCo:</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Pubco Class A Common Stock</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Pubco Class B Common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SCS Preference shares, $0.0001 par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SCS Class A ordinary shares, $0.0001 par value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SCS Class B ordinary shares, $0.0001 par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ProKidney: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ProKidney - Class A Units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(186,500)</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ProKidney - Class B Units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(1,927)</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5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128,648</w:t>
            </w: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128,648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(161,510)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188,427</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18,529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128,723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147,253</w:t>
            </w:r>
          </w:p>
        </w:tc>
        <w:tc>
          <w:tcPr>
            <w:tcW w:w="0" w:type="dxa"/>
            <w:vAlign w:val="bottom"/>
          </w:tcPr>
          <w:p>
            <w:pPr>
              <w:spacing w:after="0"/>
              <w:rPr>
                <w:sz w:val="1"/>
                <w:szCs w:val="1"/>
                <w:color w:val="auto"/>
              </w:rPr>
            </w:pPr>
          </w:p>
        </w:tc>
      </w:tr>
      <w:tr>
        <w:trPr>
          <w:trHeight w:val="223"/>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equity</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592,984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08" w:name="page309"/>
    <w:bookmarkEnd w:id="308"/>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STATEMENTS OF OPERATIONS FOR THE THREE MONTHS ENDED MARCH 31, 2022 (in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11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28,490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28,490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and formation costs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4,006</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37,972</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37,972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66,462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70,468</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(66,462)</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(66,476)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(70,465)</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(67,486)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(71,475)</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(53,264)</w:t>
            </w:r>
          </w:p>
        </w:tc>
        <w:tc>
          <w:tcPr>
            <w:tcW w:w="30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(cc)</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Class A Common Stock</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(67,486)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53,256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(18,211)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Class A Common Stock,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61,540,231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Class A Common Stock, basic and</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(dd)</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09" w:name="page310"/>
    <w:bookmarkEnd w:id="30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ProKidney</w:t>
            </w:r>
          </w:p>
        </w:tc>
        <w:tc>
          <w:tcPr>
            <w:tcW w:w="11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restart"/>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SCS Historical</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98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46,255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46,255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and formation costs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8,855</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55,110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57,443</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(55,110)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(57,443)</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Pr>
          <w:p>
            <w:pPr>
              <w:spacing w:after="0"/>
              <w:rPr>
                <w:sz w:val="18"/>
                <w:szCs w:val="18"/>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7"/>
              </w:rPr>
              <w:t>(55,108)</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rPr>
              <w:t>(57,441)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(55,146)</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(57,479)</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(42,834)</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(cc)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(42,834)</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Class A Common Stock</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(55,146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Class A Common Stock, basic and diluted</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61,540,231</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 basic and diluted</w:t>
            </w: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(dd)</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10" w:name="page311"/>
    <w:bookmarkEnd w:id="3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INFORMATION</w:t>
      </w:r>
    </w:p>
    <w:p>
      <w:pPr>
        <w:spacing w:after="0" w:line="252" w:lineRule="exact"/>
        <w:rPr>
          <w:sz w:val="20"/>
          <w:szCs w:val="20"/>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Transaction</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11, 2022, SCS and Legacy ProKidney consummated the Business Combination contemplated by the Business Combination Agreement.</w:t>
      </w:r>
    </w:p>
    <w:p>
      <w:pPr>
        <w:spacing w:after="0" w:line="223" w:lineRule="exact"/>
        <w:rPr>
          <w:sz w:val="20"/>
          <w:szCs w:val="20"/>
          <w:color w:val="auto"/>
        </w:rPr>
      </w:pPr>
    </w:p>
    <w:p>
      <w:pPr>
        <w:ind w:left="4" w:right="160" w:firstLine="440"/>
        <w:spacing w:after="0" w:line="281" w:lineRule="auto"/>
        <w:rPr>
          <w:sz w:val="20"/>
          <w:szCs w:val="20"/>
          <w:color w:val="auto"/>
        </w:rPr>
      </w:pPr>
      <w:r>
        <w:rPr>
          <w:rFonts w:ascii="Times New Roman" w:cs="Times New Roman" w:eastAsia="Times New Roman" w:hAnsi="Times New Roman"/>
          <w:sz w:val="17"/>
          <w:szCs w:val="17"/>
          <w:color w:val="auto"/>
        </w:rPr>
        <w:t>Following the Closing, the combined company was organized in an umbrella partnership-C corporation (or “</w:t>
      </w:r>
      <w:r>
        <w:rPr>
          <w:rFonts w:ascii="Times New Roman" w:cs="Times New Roman" w:eastAsia="Times New Roman" w:hAnsi="Times New Roman"/>
          <w:sz w:val="17"/>
          <w:szCs w:val="17"/>
          <w:i w:val="1"/>
          <w:iCs w:val="1"/>
          <w:color w:val="auto"/>
        </w:rPr>
        <w:t>Up-C</w:t>
      </w:r>
      <w:r>
        <w:rPr>
          <w:rFonts w:ascii="Times New Roman" w:cs="Times New Roman" w:eastAsia="Times New Roman" w:hAnsi="Times New Roman"/>
          <w:sz w:val="17"/>
          <w:szCs w:val="17"/>
          <w:color w:val="auto"/>
        </w:rPr>
        <w:t>”) structure, and the combined company’s direct assets consisted of Post-Combination ProKidney Common Units and all of the issued and outstanding equity interests of GP, which replaced Legacy GP as the general partner of Legacy ProKidney upon the Closing, and substantially all of the operating assets and business of the combined company is held indirectly through Legacy ProKidney, as described further below. ProKidney is domiciled in the Cayman Islands.</w:t>
      </w:r>
    </w:p>
    <w:p>
      <w:pPr>
        <w:spacing w:after="0" w:line="1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Pursuant to the Business Combination Agreement, the following transactions occurred:</w:t>
      </w:r>
    </w:p>
    <w:p>
      <w:pPr>
        <w:spacing w:after="0" w:line="131" w:lineRule="exact"/>
        <w:rPr>
          <w:sz w:val="20"/>
          <w:szCs w:val="20"/>
          <w:color w:val="auto"/>
        </w:rPr>
      </w:pPr>
    </w:p>
    <w:p>
      <w:pPr>
        <w:ind w:left="1424" w:hanging="331"/>
        <w:spacing w:after="0" w:line="252" w:lineRule="auto"/>
        <w:tabs>
          <w:tab w:leader="none" w:pos="142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(i) Legacy ProKidney amended and restated the ProKidney Limited Partnership Agreement to be in the form of the Second Amended and Restated ProKidney Limited Partnership Agreement, which became effective upon the completion of the Business Combination; (ii) GP amended and restated its constitution, which became effective upon the completion of the Business Combination; (iii) SCS amended and restated the Memorandum and Articles of Association to be in the form of the Second Amended and Restated Memorandum and Articles of Association, which became effective upon the completion of the Business Combination; (iv) (A) each issued and outstanding Legacy ProKidney Class B Unit that was not vested pursuant to the terms of the applicable award agreement with the applicable holder as of such time was recapitalized into one PMEL RCU, which would, when vested in accordance with the applicable award agreement, automatically convert into a Post-Combination ProKidney Common Unit (and the associated Legacy ProKidney Class B PMEL RSR would vest) and (B) all other issued and outstanding Legacy ProKidney Class A Units and ProKidney Class B Units were recapitalized into an aggregate number of Post-Combination ProKidney Common Units equal to (x) 175,000,000 minus (y) the number of PMEL RCUs issued pursuant to the foregoing clause (A); (v) Legacy ProKidney completed a restructuring of PMEL; and (vi) Legacy ProKidney issued 5,000,000 Post-Combination ProKidney Common Units pursuant to certain Subscription Agreements in connection with the exercise of election by certain holders to purchase Post-Combination ProKidney Common Units in lieu of SCS Class A ordinary shares; and</w:t>
      </w:r>
    </w:p>
    <w:p>
      <w:pPr>
        <w:spacing w:after="0" w:line="102" w:lineRule="exact"/>
        <w:rPr>
          <w:rFonts w:ascii="Times New Roman" w:cs="Times New Roman" w:eastAsia="Times New Roman" w:hAnsi="Times New Roman"/>
          <w:sz w:val="18"/>
          <w:szCs w:val="18"/>
          <w:color w:val="auto"/>
        </w:rPr>
      </w:pPr>
    </w:p>
    <w:p>
      <w:pPr>
        <w:ind w:left="1424" w:right="80" w:hanging="331"/>
        <w:spacing w:after="0" w:line="267" w:lineRule="auto"/>
        <w:tabs>
          <w:tab w:leader="none" w:pos="1424"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(i) Legacy ProKidney issued to SCS a number of Post-Combination ProKidney Common Units equal to the number of fully diluted outstanding SCS ordinary shares as of immediately prior to the Closing (but after giving effect to all redemptions of SCS Class A ordinary shares and the purchase of SCS Class A ordinary shares and/or Post-Combination ProKidney Common Units pursuant to the PIPE Investment), in exchange for (a) (x) ProKidney Class B ordinary shares, which shares have no economic rights but entitle the holders thereof to vote on all matters on which shareholders of the combined company are entitled to vote generally, and (y) ProKidney Class B PMEL RSRs, which shall convert into ProKidney Class B ordinary shares upon the vesting of the associated PMEL RCUs (as described above), (b) an amount in cash equal to the aggregate proceeds obtained by SCS in the PIPE Investment and (c) an amount in cash equal to the aggregate proceeds available for release to SCS from the Trust Account (after giving effect to all redemptions of SCS Class A ordinary shares and after payment of any deferred underwriting commissions being held in the Trust Account and payment of certain transaction expenses); (ii) Legacy GP resigned as the general partner of Legacy ProKidney and GP was be admitted as the general partner of Legacy ProKidney; (iii) Legacy ProKidney distributed to the Closing ProKidney Unitholders the ProKidney Class B ordinary shares and ProKidney Class B PMEL RSRs received pursuant to clause (i)</w:t>
      </w:r>
    </w:p>
    <w:p>
      <w:pPr>
        <w:ind w:left="1424" w:right="2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(x) and (y) above; and (iv) the Earnout Participants received the Earnout Rights, which Earnout Rights will vest in three equal tranches upon the achievement of certain ProKidney share price milestones or certain change of control events. When vested, the Earnout RCUs will automatically convert into Post-Combination ProKidney Common Units and the associated Earnout RSRs will automatically convert into ProKidney Class B ordinary shares, respectively.</w:t>
      </w:r>
    </w:p>
    <w:p>
      <w:pPr>
        <w:sectPr>
          <w:pgSz w:w="11900" w:h="16838" w:orient="portrait"/>
          <w:cols w:equalWidth="0" w:num="1">
            <w:col w:w="11004"/>
          </w:cols>
          <w:pgMar w:left="436" w:top="266" w:right="459" w:bottom="1440" w:gutter="0" w:footer="0" w:header="0"/>
        </w:sectPr>
      </w:pPr>
    </w:p>
    <w:bookmarkStart w:id="311" w:name="page312"/>
    <w:bookmarkEnd w:id="311"/>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Exchange Agreement as described elsewhere in this prospectus, each Post-Combination ProKidney Common Unit, together with one Class B ordinary share, is generally exchangeable for one Class A ordinary share, subject to certain procedures and restrictions.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Accounting Policies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adjusted to include transaction accounting adjustments related to the Business Combination in accordance with GAAP.</w:t>
      </w:r>
    </w:p>
    <w:p>
      <w:pPr>
        <w:spacing w:after="0" w:line="162"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We determined that the Business Combination qualified as a common control transaction and, therefore, was accounted for akin to a reverse recapitalization, with no goodwill or other intangible assets recorded, in accordance with GAAP. Legacy ProKidney is considered the accounting acquirer primarily based on the evaluation of the following facts and circumstances: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the guidance in ASC 805 for transactions between entities under common control, the assets, liabilities, and noncontrolling interests of Legacy ProKidney and SCS were recognized at their carrying amounts on the date of the Business Combination. Under this method of accounting, SCS was treated as the “acquired” company for financial reporting purposes. Accordingly, for accounting purposes, the Business Combination was treated as the equivalent of Legacy ProKidney issuing stock for the net assets of SCS, accompanied by a recapitalization. The net assets of SCS were stated at their historical value within the pro formas with no goodwill or other intangible assets recorded.</w:t>
      </w:r>
    </w:p>
    <w:p>
      <w:pPr>
        <w:spacing w:after="0" w:line="89" w:lineRule="exact"/>
        <w:rPr>
          <w:sz w:val="20"/>
          <w:szCs w:val="20"/>
          <w:color w:val="auto"/>
        </w:rPr>
      </w:pPr>
    </w:p>
    <w:p>
      <w:pPr>
        <w:ind w:left="1420" w:right="140" w:hanging="331"/>
        <w:spacing w:after="0" w:line="266" w:lineRule="auto"/>
        <w:tabs>
          <w:tab w:leader="none" w:pos="14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controlling Legacy ProKidney prior to the Business Combination also controls the combined company as a result of the Voting Agreement, which provides Tolerantia with the majority of the votes related to the appointment and removal of the majority of the Board;</w:t>
      </w:r>
    </w:p>
    <w:p>
      <w:pPr>
        <w:spacing w:after="0" w:line="81"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ProKidney unitholders prior to the Closing comprise a majority of the voting power of the combined company following the Closing;</w:t>
      </w:r>
    </w:p>
    <w:p>
      <w:pPr>
        <w:spacing w:after="0" w:line="67"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Legacy ProKidney prior to the Closing comprise the senior management of the combined company following the Closing; and</w:t>
      </w:r>
    </w:p>
    <w:p>
      <w:pPr>
        <w:spacing w:after="0" w:line="67"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Legacy ProKidney prior to the Closing comprise the ongoing operations of the combined company following the Closing.</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Business Combination, GP became the sole general partner of Legacy ProKidney. Giving effect to the redemption of 22,829,769 Class A ordinary shares, ProKidney has the sole voting interest in Legacy ProKidney through its ownership of GP. As a result, ProKidney consolidated the financial results of Legacy ProKidney and reports a non controlling interest related to the Post-Combination ProKidney Units held by Legacy ProKidney’s investors prior to the Closing on ProKidney’s consolidated balance sheet. The computation of the non controlling interest following the Closing, is as follows: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ProKidney LP held by the Issuer</w:t>
            </w:r>
          </w:p>
        </w:tc>
        <w:tc>
          <w:tcPr>
            <w:tcW w:w="9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4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the Issuer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180,000,000</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241,540,231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Accounting Treatment of the Earnout Rights</w:t>
      </w:r>
    </w:p>
    <w:p>
      <w:pPr>
        <w:spacing w:after="0" w:line="121"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As discussed in this Note 1, the Earnout Participants received 17,500,000 Earnout Rights upon Closing. Upon satisfaction, during the five-year period after the Closing, of certain volume weighted average price (“VWAP”) thresholds, or a change in control with a per share price exceeding the VWAP thresholds within a five-year period immediately following the Closing, the Earnout Rights will automatically vest and convert into Post-Combination ProKidney Common Units and ProKidney Class B ordinary shares. As the Business Combination was accounted for as a reverse recapitalization, the issuance of the Earnout Rights to the Legacy ProKidney unitholders was accounted for as an equity transaction. Since the Earnout Rights were payable to the Legacy ProKidney unitholders (i.e., the accounting acquirer in the business combination), the accounting for the Earnout Rights arrangement did not fall under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805, Business Combinations nor Topic 718, Stock Compensation.</w:t>
      </w:r>
    </w:p>
    <w:p>
      <w:pPr>
        <w:sectPr>
          <w:pgSz w:w="11900" w:h="16838" w:orient="portrait"/>
          <w:cols w:equalWidth="0" w:num="1">
            <w:col w:w="11000"/>
          </w:cols>
          <w:pgMar w:left="440" w:top="270" w:right="459" w:bottom="1440" w:gutter="0" w:footer="0" w:header="0"/>
        </w:sectPr>
      </w:pPr>
    </w:p>
    <w:bookmarkStart w:id="312" w:name="page313"/>
    <w:bookmarkEnd w:id="312"/>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accounting for the Earnout Rights was also evaluated under ASC Topic 480, Distinguishing Liabilities from Equity, to determine if the arrangement should be classified as a liability. As part of that preliminary analysis, it was determined that the Earnout Rights did not meet the criteria to be accounted for as a liability. Additionally, the Earnout Rights were evaluated under ASC Topic 815, Derivatives. As part of that preliminary analysis, it was determined that the Earnout Rights met the definition of a derivative; however, they meet the scope exception criteria as they were clearly and closely related to the entity’s own stock, and met the criteria for equity treatment. Therefore, an adjustment to recognize the Earnout Rights would have no net impact on any financial statement line item as it would simultaneously increase and decrease additional paid-in capital. Thus, no adjustment has been applied to the unaudited pro forma combined financial information related to the Earnout Rights.</w:t>
      </w:r>
    </w:p>
    <w:p>
      <w:pPr>
        <w:spacing w:after="0" w:line="333" w:lineRule="exact"/>
        <w:rPr>
          <w:sz w:val="20"/>
          <w:szCs w:val="20"/>
          <w:color w:val="auto"/>
        </w:rPr>
      </w:pPr>
    </w:p>
    <w:p>
      <w:pPr>
        <w:ind w:left="424" w:hanging="424"/>
        <w:spacing w:after="0"/>
        <w:tabs>
          <w:tab w:leader="none" w:pos="424"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121" w:lineRule="exact"/>
        <w:rPr>
          <w:sz w:val="20"/>
          <w:szCs w:val="20"/>
          <w:color w:val="auto"/>
        </w:rPr>
      </w:pPr>
    </w:p>
    <w:p>
      <w:pPr>
        <w:ind w:left="4" w:right="20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necessary for an illustrative understanding of the combined company upon consummation of the Business Combination in accordance with GAAP.</w:t>
      </w:r>
    </w:p>
    <w:p>
      <w:pPr>
        <w:spacing w:after="0" w:line="158"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 The unaudited pro forma condensed combined financial information does not purport to project the future operating results or financial position of ProKidney following the completion of the Business Combination. The unaudited pro forma adjustments represent management’s estimates based on information available as of the date of this unaudited pro forma condensed combined financial information and are subject to change as additional information becomes available and analyses are performed. SCS and Legacy ProKidney did not have any historical relationship prior to the transactions. Accordingly, no pro forma adjustments were required to eliminate activities between the companies.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give effect to the redemption of 22,829,769 Class A ordinary shares.</w:t>
      </w:r>
    </w:p>
    <w:p>
      <w:pPr>
        <w:spacing w:after="0" w:line="370" w:lineRule="exact"/>
        <w:rPr>
          <w:sz w:val="20"/>
          <w:szCs w:val="20"/>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Adjustments</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Adjustments to Unaudited Pro Forma Condensed Combined Balance Sheet as of March 31, 2022</w:t>
      </w:r>
    </w:p>
    <w:p>
      <w:pPr>
        <w:spacing w:after="0" w:line="119" w:lineRule="exact"/>
        <w:rPr>
          <w:rFonts w:ascii="Times New Roman" w:cs="Times New Roman" w:eastAsia="Times New Roman" w:hAnsi="Times New Roman"/>
          <w:sz w:val="18"/>
          <w:szCs w:val="18"/>
          <w:b w:val="1"/>
          <w:bCs w:val="1"/>
          <w:color w:val="auto"/>
        </w:rPr>
      </w:pPr>
    </w:p>
    <w:p>
      <w:pPr>
        <w:ind w:left="824" w:hanging="384"/>
        <w:spacing w:after="0"/>
        <w:tabs>
          <w:tab w:leader="none" w:pos="82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cash and cash equivalents to reflect the following:</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920" w:type="dxa"/>
            <w:vAlign w:val="bottom"/>
          </w:tcPr>
          <w:p>
            <w:pPr>
              <w:spacing w:after="0"/>
              <w:rPr>
                <w:sz w:val="15"/>
                <w:szCs w:val="15"/>
                <w:color w:val="auto"/>
              </w:rPr>
            </w:pP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SCS cash held in Trust Account</w:t>
            </w: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$ 250,034</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gridSpan w:val="2"/>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underwriting fees</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redeeming Public Stockholders</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(228,329)</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related party notes payable</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related party advance</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cash to balance sheet from Business Combination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$ 531,461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and which were paid at the Closing.</w:t>
      </w:r>
    </w:p>
    <w:p>
      <w:pPr>
        <w:spacing w:after="0" w:line="9"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from the issuance and sale of 57.5 million ProKidney Class A ordinary shares at $10.00 per share pursuant to the Subscription Agreements entered into with PIPE Investors in connection with the PIPE Investment.</w:t>
      </w:r>
    </w:p>
    <w:p>
      <w:pPr>
        <w:ind w:left="424" w:right="460" w:hanging="424"/>
        <w:spacing w:after="0" w:line="250"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payments made to the holders of SCS Class A ordinary shares in connection with the redemption of 22,829,769 SCS Class A ordinary shares.</w:t>
      </w:r>
    </w:p>
    <w:p>
      <w:pPr>
        <w:ind w:left="424" w:right="100" w:hanging="424"/>
        <w:spacing w:after="0" w:line="252"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Investment, and the remaining $7.9 million related to direct and incremental costs such as legal, tax, accounting, third-party advisory and other miscellaneous fees. This amount excluded the $7.7 million of deferred underwriting fees related to the SCS initial public offering as described in note (2) above, any amounts relating to the ProKidney Promissory Notes, which were repaid at the Closing, and other SCS transaction costs.</w:t>
      </w:r>
    </w:p>
    <w:p>
      <w:pPr>
        <w:sectPr>
          <w:pgSz w:w="11900" w:h="16838" w:orient="portrait"/>
          <w:cols w:equalWidth="0" w:num="1">
            <w:col w:w="10984"/>
          </w:cols>
          <w:pgMar w:left="436" w:top="270" w:right="479" w:bottom="1440" w:gutter="0" w:footer="0" w:header="0"/>
        </w:sectPr>
      </w:pPr>
    </w:p>
    <w:bookmarkStart w:id="313" w:name="page314"/>
    <w:bookmarkEnd w:id="313"/>
    <w:p>
      <w:pPr>
        <w:ind w:left="424" w:hanging="424"/>
        <w:spacing w:after="0"/>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Represents repayment of amounts drawn on ProKidney Promissory Notes.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130"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Legacy ProKidney deferred offering costs incurred through March 31, 2022 to additional paid in capital as an offset to the proceeds from the transaction.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repayment of amounts drawn on the ProKidney Promissory Notes.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for which payment is due upon the Closing.</w:t>
      </w:r>
    </w:p>
    <w:p>
      <w:pPr>
        <w:spacing w:after="0" w:line="130" w:lineRule="exact"/>
        <w:rPr>
          <w:rFonts w:ascii="Times New Roman" w:cs="Times New Roman" w:eastAsia="Times New Roman" w:hAnsi="Times New Roman"/>
          <w:sz w:val="18"/>
          <w:szCs w:val="18"/>
          <w:color w:val="auto"/>
        </w:rPr>
      </w:pPr>
    </w:p>
    <w:p>
      <w:pPr>
        <w:ind w:left="964" w:right="20" w:hanging="532"/>
        <w:spacing w:after="0" w:line="254" w:lineRule="auto"/>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Business Combination, the combined company became a party to the Tax Receivable Agreement. Under the terms of the Tax Receivable Agreement, the combined company is required to pay to certain parties to the agreement 85% of the tax savings that it is deemed to realize in certain circumstances as a result of certain tax attributes that exist following the Transaction and that are created thereafter, including as a result of payments made under the Tax Receivable Agreement. The combined company does not expect to record net deferred tax assets related to the tax basis adjustments associated with the exchange of Paired Interests as those deferred tax assets are not more likely than not expected to be realized in accordance with ASC 740—Income Taxes. Accordingly, the combined company has not recorded a liability related to the Tax Receivable Agreement as of December 31, 2021, as the liability is not considered to be probable in accordance with ASC 450—Contingencies.</w:t>
      </w:r>
    </w:p>
    <w:p>
      <w:pPr>
        <w:spacing w:after="0" w:line="9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SCS Class A ordinary shares, giving effect to the redemption of 22,829,769 SCS Class A ordinary shares.</w:t>
      </w:r>
    </w:p>
    <w:p>
      <w:pPr>
        <w:spacing w:after="0" w:line="130"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1 to these unaudited pro forma condensed consolidated financial statements, the combined company will consolidate ProKidney, but does not own 100% of the economic interest in ProKidney. The noncontrolling interest reflecting actual redemptions is 74.5%.</w:t>
      </w:r>
    </w:p>
    <w:p>
      <w:pPr>
        <w:spacing w:after="0" w:line="81"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net of an adjustment for the associated par value, from the issuance and sale of 57.5 million ProKidney Class A ordinary shares at $10.00 per share pursuant to the Subscription Agreements entered into with PIPE Investors in connection with the PIPE Investment.</w:t>
      </w:r>
    </w:p>
    <w:p>
      <w:pPr>
        <w:spacing w:after="0" w:line="81"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recapitalization of the Legacy ProKidney Class A and Class B Units upon issuance of ProKidney Class B ordinary shares and Class B PMEL RSRs to Closing ProKidney Unitholders.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additional paid in capital to reflect the following:</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0" w:type="dxa"/>
            <w:vAlign w:val="bottom"/>
          </w:tcPr>
          <w:p>
            <w:pPr>
              <w:spacing w:after="0"/>
              <w:rPr>
                <w:sz w:val="15"/>
                <w:szCs w:val="15"/>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$ 574,743</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80" w:type="dxa"/>
            <w:vAlign w:val="bottom"/>
            <w:gridSpan w:val="2"/>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300"/>
              <w:spacing w:after="0" w:line="203" w:lineRule="exact"/>
              <w:rPr>
                <w:sz w:val="20"/>
                <w:szCs w:val="20"/>
                <w:color w:val="auto"/>
              </w:rPr>
            </w:pPr>
            <w:r>
              <w:rPr>
                <w:rFonts w:ascii="Times New Roman" w:cs="Times New Roman" w:eastAsia="Times New Roman" w:hAnsi="Times New Roman"/>
                <w:sz w:val="18"/>
                <w:szCs w:val="18"/>
                <w:color w:val="auto"/>
              </w:rPr>
              <w:t>(j)</w:t>
            </w:r>
          </w:p>
        </w:tc>
        <w:tc>
          <w:tcPr>
            <w:tcW w:w="7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common stock subject to redemption to permanent equity</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(h)</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21,705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Class B ordinary shares to existing ProKidney owners</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(k)</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fees</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ProKidney deferred offering costs to equity upon close</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(5,108)</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(i)</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(422,491)</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additional paid in capital</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$ 131,531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84" w:right="60" w:hanging="644"/>
        <w:spacing w:after="0" w:line="257" w:lineRule="auto"/>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financing and the remaining</w:t>
      </w:r>
    </w:p>
    <w:p>
      <w:pPr>
        <w:spacing w:after="0" w:line="1" w:lineRule="exact"/>
        <w:rPr>
          <w:rFonts w:ascii="Times New Roman" w:cs="Times New Roman" w:eastAsia="Times New Roman" w:hAnsi="Times New Roman"/>
          <w:sz w:val="18"/>
          <w:szCs w:val="18"/>
          <w:color w:val="auto"/>
        </w:rPr>
      </w:pPr>
    </w:p>
    <w:p>
      <w:pPr>
        <w:ind w:left="1184" w:right="2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$7.9 million related to direct and incremental costs such as legal, tax, accounting, third-party advisory and other miscellaneous fees. This amount excluded the $7.7 million of deferred underwriting fees related to the SCS initial public offering as described in note</w:t>
      </w:r>
    </w:p>
    <w:p>
      <w:pPr>
        <w:ind w:left="1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 above, any amounts relating to the ProKidney Promissory Notes, which were repaid at the Closing, and other SCS transaction costs.</w:t>
      </w:r>
    </w:p>
    <w:p>
      <w:pPr>
        <w:sectPr>
          <w:pgSz w:w="11900" w:h="16838" w:orient="portrait"/>
          <w:cols w:equalWidth="0" w:num="1">
            <w:col w:w="10944"/>
          </w:cols>
          <w:pgMar w:left="436" w:top="270" w:right="519" w:bottom="1440" w:gutter="0" w:footer="0" w:header="0"/>
        </w:sectPr>
      </w:pPr>
    </w:p>
    <w:bookmarkStart w:id="314" w:name="page315"/>
    <w:bookmarkEnd w:id="314"/>
    <w:p>
      <w:pPr>
        <w:ind w:left="964" w:right="260" w:hanging="532"/>
        <w:spacing w:after="0" w:line="266" w:lineRule="auto"/>
        <w:tabs>
          <w:tab w:leader="none" w:pos="9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Represents the issuance of 17,500,000 Earnout Rights to Earnout Participants upon Closing. As discussed in Note 2 to the unaudited condensed consolidated financial statements, the adjustment to recognize the Earnout Rights would have no net impact on any financial statement line item as it would simultaneously increase and decrease additional paid-in capital.</w:t>
      </w:r>
    </w:p>
    <w:p>
      <w:pPr>
        <w:spacing w:after="0" w:line="81"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exchange of SCS Class A ordinary shares, SCS Class B ordinary shares and related director restricted stock units held by the Sponsor and an independent director of SCS for ProKidney Class A ordinary shares.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Adjustments to Unaudited Pro Forma Condensed Combined Statement of Operations for the Three Months Ended March 31, 2022</w:t>
      </w:r>
    </w:p>
    <w:p>
      <w:pPr>
        <w:spacing w:after="0" w:line="133" w:lineRule="exact"/>
        <w:rPr>
          <w:sz w:val="20"/>
          <w:szCs w:val="20"/>
          <w:color w:val="auto"/>
        </w:rPr>
      </w:pPr>
    </w:p>
    <w:p>
      <w:pPr>
        <w:ind w:left="964" w:hanging="532"/>
        <w:spacing w:after="0"/>
        <w:tabs>
          <w:tab w:leader="none" w:pos="96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eliminate interest income related to the investment held in Trust Account.</w:t>
      </w:r>
    </w:p>
    <w:p>
      <w:pPr>
        <w:spacing w:after="0" w:line="130" w:lineRule="exact"/>
        <w:rPr>
          <w:rFonts w:ascii="Times New Roman" w:cs="Times New Roman" w:eastAsia="Times New Roman" w:hAnsi="Times New Roman"/>
          <w:sz w:val="18"/>
          <w:szCs w:val="18"/>
          <w:color w:val="auto"/>
        </w:rPr>
      </w:pPr>
    </w:p>
    <w:p>
      <w:pPr>
        <w:ind w:left="964" w:hanging="532"/>
        <w:spacing w:after="0" w:line="256" w:lineRule="auto"/>
        <w:tabs>
          <w:tab w:leader="none" w:pos="96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 pro forma adjustment to income tax expense as Legacy ProKidney has historically been in a net loss position. Legacy ProKidney files as a partnership for federal and state income tax purposes. As such, each partner is responsible for reporting income or loss to the extent required by federal and state income tax regulations, based upon their respective share of Legacy ProKidney income and expenses. ProKidney-US is a limited liability company and has elected to be treated as a C corporation, therefore, a provision for federal and state taxes has been recorded. Income tax expense of the combined company may differ from historical results due to the change in structure of ProKidney.</w:t>
      </w:r>
    </w:p>
    <w:p>
      <w:pPr>
        <w:spacing w:after="0" w:line="92"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loss attributable to noncontrolling interest. The noncontrolling interest, giving effect to redemptions, is 74.5%.</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per share calculated using the historical weighted average shares outstanding, and the issuance of additional shares in connection with the Business Combination, assuming the shares were outstanding since January 1, 2021. As the Business Combination and related equity transactions are being reflected as if they had occurred at the beginning of the period presented, the calculation of weighted average shares outstanding for basic and diluted net income per share assumes that the shares issuable relating to the Business Combination were outstanding for the entirety of the period presented.</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Adjustments to Unaudited Pro Forma Condensed Combined Balance Sheet as of December 31, 2021</w:t>
      </w:r>
    </w:p>
    <w:p>
      <w:pPr>
        <w:spacing w:after="0" w:line="119" w:lineRule="exact"/>
        <w:rPr>
          <w:sz w:val="20"/>
          <w:szCs w:val="20"/>
          <w:color w:val="auto"/>
        </w:rPr>
      </w:pPr>
    </w:p>
    <w:p>
      <w:pPr>
        <w:ind w:left="444"/>
        <w:spacing w:after="0"/>
        <w:tabs>
          <w:tab w:leader="none" w:pos="80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Represents pro forma adjustments to cash and cash equivalents to reflect the following:</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9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SCS cash held in Trust Account</w:t>
            </w: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$ 250,008</w:t>
            </w:r>
          </w:p>
        </w:tc>
        <w:tc>
          <w:tcPr>
            <w:tcW w:w="0" w:type="dxa"/>
            <w:vAlign w:val="bottom"/>
          </w:tcPr>
          <w:p>
            <w:pPr>
              <w:spacing w:after="0" w:line="20" w:lineRule="exact"/>
              <w:rPr>
                <w:sz w:val="1"/>
                <w:szCs w:val="1"/>
                <w:color w:val="auto"/>
              </w:rPr>
            </w:pPr>
          </w:p>
        </w:tc>
      </w:tr>
      <w:tr>
        <w:trPr>
          <w:trHeight w:val="203"/>
        </w:trPr>
        <w:tc>
          <w:tcPr>
            <w:tcW w:w="6800" w:type="dxa"/>
            <w:vAlign w:val="bottom"/>
            <w:gridSpan w:val="2"/>
            <w:vMerge w:val="continue"/>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underwriting fees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574,800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redeeming Public Stockholders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(228,305)</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related party advance</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cash to balance sheet from Business Combination</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$ 551,493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and which were paid at the Closing.</w:t>
      </w:r>
    </w:p>
    <w:p>
      <w:pPr>
        <w:spacing w:after="0" w:line="9" w:lineRule="exact"/>
        <w:rPr>
          <w:rFonts w:ascii="Times New Roman" w:cs="Times New Roman" w:eastAsia="Times New Roman" w:hAnsi="Times New Roman"/>
          <w:sz w:val="18"/>
          <w:szCs w:val="18"/>
          <w:color w:val="auto"/>
        </w:rPr>
      </w:pPr>
    </w:p>
    <w:p>
      <w:pPr>
        <w:ind w:left="424" w:right="260" w:hanging="424"/>
        <w:spacing w:after="0" w:line="250" w:lineRule="auto"/>
        <w:tabs>
          <w:tab w:leader="none" w:pos="4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from the issuance and sale of 57.5 million ProKidney Class A ordinary shares at $10.00 per share pursuant to the Subscription Agreements entered into with PIPE Investors in connection with the PIPE Investment.</w:t>
      </w:r>
    </w:p>
    <w:p>
      <w:pPr>
        <w:ind w:left="424" w:right="480" w:hanging="424"/>
        <w:spacing w:after="0" w:line="250" w:lineRule="auto"/>
        <w:tabs>
          <w:tab w:leader="none" w:pos="4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payments made to the holders of SCS Class A ordinary shares in connection with the redemption of 22,829,769 SCS Class A ordinary shares.</w:t>
      </w:r>
    </w:p>
    <w:p>
      <w:pPr>
        <w:jc w:val="both"/>
        <w:ind w:left="424" w:right="120" w:hanging="424"/>
        <w:spacing w:after="0" w:line="255" w:lineRule="auto"/>
        <w:tabs>
          <w:tab w:leader="none" w:pos="4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financing and the remaining $7.9 million related to direct and</w:t>
      </w:r>
    </w:p>
    <w:p>
      <w:pPr>
        <w:sectPr>
          <w:pgSz w:w="11900" w:h="16838" w:orient="portrait"/>
          <w:cols w:equalWidth="0" w:num="1">
            <w:col w:w="11004"/>
          </w:cols>
          <w:pgMar w:left="436" w:top="270" w:right="459" w:bottom="1440" w:gutter="0" w:footer="0" w:header="0"/>
        </w:sectPr>
      </w:pPr>
    </w:p>
    <w:bookmarkStart w:id="315" w:name="page316"/>
    <w:bookmarkEnd w:id="315"/>
    <w:p>
      <w:pPr>
        <w:ind w:left="424" w:right="4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incremental costs such as legal, tax, accounting, third-party advisory and other miscellaneous fees. This amount excludes the $7.7 million of deferred underwriting fees related to the SCS initial public offering as described in note (2) above, any amounts relating to the ProKidney Promissory Notes, which were repaid at the Closing, and other SCS transaction costs.</w:t>
      </w:r>
    </w:p>
    <w:p>
      <w:pPr>
        <w:spacing w:after="0" w:line="1" w:lineRule="exact"/>
        <w:rPr>
          <w:sz w:val="20"/>
          <w:szCs w:val="20"/>
          <w:color w:val="auto"/>
        </w:rPr>
      </w:pPr>
    </w:p>
    <w:p>
      <w:pPr>
        <w:ind w:left="424" w:hanging="424"/>
        <w:spacing w:after="0"/>
        <w:tabs>
          <w:tab w:leader="none" w:pos="4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investments held in the Trust Account to cash and cash equivalents.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related party advance.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$7.7 million of underwriters’ fees deferred by SCS and which were paid at the Closing.</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SCS Class A ordinary shares, giving effect to the redemption of 22,829,769 SCS Class A ordinary shares.</w:t>
      </w:r>
    </w:p>
    <w:p>
      <w:pPr>
        <w:spacing w:after="0" w:line="130"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1 to these unaudited pro forma condensed consolidated financial statements, the combined company will consolidate ProKidney but does not own 100% of the economic interest in Legacy ProKidney. The noncontrolling interest reflecting actual redemptions is 74.5%.</w:t>
      </w:r>
    </w:p>
    <w:p>
      <w:pPr>
        <w:spacing w:after="0" w:line="81"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proceeds of $574.8 million, net of an adjustment for the associated par value, from the issuance and sale of 57.5 million ProKidney Class A ordinary shares at $10.00 per share pursuant to the Subscription Agreements entered into with PIPE Investors in connection with the PIPE Investment.</w:t>
      </w:r>
    </w:p>
    <w:p>
      <w:pPr>
        <w:spacing w:after="0" w:line="81"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recapitalization of the Legacy ProKidney Class A and Class B Units upon issuance of ProKidney Class B ordinary shares and Class B PMEL RSRs to Closing ProKidney Unitholders.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additional paid in capital to reflect the following:</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9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$ 574,743</w:t>
            </w:r>
          </w:p>
        </w:tc>
        <w:tc>
          <w:tcPr>
            <w:tcW w:w="0" w:type="dxa"/>
            <w:vAlign w:val="bottom"/>
          </w:tcPr>
          <w:p>
            <w:pPr>
              <w:spacing w:after="0" w:line="20" w:lineRule="exact"/>
              <w:rPr>
                <w:sz w:val="1"/>
                <w:szCs w:val="1"/>
                <w:color w:val="auto"/>
              </w:rPr>
            </w:pPr>
          </w:p>
        </w:tc>
      </w:tr>
      <w:tr>
        <w:trPr>
          <w:trHeight w:val="203"/>
        </w:trPr>
        <w:tc>
          <w:tcPr>
            <w:tcW w:w="6800" w:type="dxa"/>
            <w:vAlign w:val="bottom"/>
            <w:gridSpan w:val="2"/>
            <w:vMerge w:val="continue"/>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(g)</w:t>
            </w:r>
          </w:p>
        </w:tc>
        <w:tc>
          <w:tcPr>
            <w:tcW w:w="102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common stock subject to redemption to permanent equity</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(e)</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21,703</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Class B ordinary shares to existing ProKidney owners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(h)</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fees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(j)</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(k)</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(f)</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(430,480)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additional paid in capital</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$ 128,648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964" w:hanging="532"/>
        <w:spacing w:after="0" w:line="256" w:lineRule="auto"/>
        <w:tabs>
          <w:tab w:leader="none" w:pos="96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of $37.3 million incurred by Legacy ProKidney prior to, or concurrent with, the Closing that were cash settled upon Closing in accordance with the Business Combination Agreement. Of that amount, approximately $17.5 million related to investment transaction fees; $11.9 million related to equity financing fees associated with the PIPE financing and the remaining $7.9 million related to direct and incremental costs such as legal, tax, accounting, third-party advisory and other miscellaneous fees. This amount excluded the $7.7 million of deferred underwriting fees related to the SCS initial public offering as described in note (2) above, any amounts relating to the ProKidney Promissory Notes, which were repaid at the Closing, and other SCS transaction costs.</w:t>
      </w:r>
    </w:p>
    <w:p>
      <w:pPr>
        <w:spacing w:after="0" w:line="92" w:lineRule="exact"/>
        <w:rPr>
          <w:rFonts w:ascii="Times New Roman" w:cs="Times New Roman" w:eastAsia="Times New Roman" w:hAnsi="Times New Roman"/>
          <w:sz w:val="18"/>
          <w:szCs w:val="18"/>
          <w:color w:val="auto"/>
        </w:rPr>
      </w:pPr>
    </w:p>
    <w:p>
      <w:pPr>
        <w:ind w:left="964" w:right="260" w:hanging="532"/>
        <w:spacing w:after="0" w:line="266" w:lineRule="auto"/>
        <w:tabs>
          <w:tab w:leader="none" w:pos="96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17,500,000 Earnout Rights to Earnout Participants upon Closing. As discussed in Note 2 to the unaudited condensed consolidated financial statements, the adjustment to recognize the Earnout Rights would have no net impact on any financial statement line item as it would simultaneously increase and decrease additional paid-in capital.</w:t>
      </w:r>
    </w:p>
    <w:p>
      <w:pPr>
        <w:spacing w:after="0" w:line="81"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exchange of SCS Class A ordinary shares, SCS Class B ordinary shares and related director restricted stock units held by the Sponsor and an independent director of SCS for ProKidney Class A ordinary shares.</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Business Combination, the combined company became a party to the Tax Receivable Agreement. Under the terms of the Tax Receivable Agreement, the combined company is required to pay to certain parties to the agreement 85% of the tax savings that it is deemed to realize in</w:t>
      </w:r>
    </w:p>
    <w:p>
      <w:pPr>
        <w:sectPr>
          <w:pgSz w:w="11900" w:h="16838" w:orient="portrait"/>
          <w:cols w:equalWidth="0" w:num="1">
            <w:col w:w="11004"/>
          </w:cols>
          <w:pgMar w:left="436" w:top="270" w:right="459" w:bottom="1440" w:gutter="0" w:footer="0" w:header="0"/>
        </w:sectPr>
      </w:pPr>
    </w:p>
    <w:bookmarkStart w:id="316" w:name="page317"/>
    <w:bookmarkEnd w:id="316"/>
    <w:p>
      <w:pPr>
        <w:ind w:left="9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circumstances as a result of certain tax attributes that exist following the Transaction and that are created thereafter, including as a result of payments made under the Tax Receivable Agreement. The combined company does not expect to record net deferred tax assets related to the tax basis adjustments associated with the exchange of Paired Interests as those deferred tax assets are not more likely than not expected to be realized in accordance with ASC 740—Income Taxes. Accordingly, the combined company has not recorded a liability related to the Tax Receivable Agreement as of December 31, 2021, as the liability is not considered to be probable in accordance with ASC 450—Contingencies.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to Unaudited Pro Forma Condensed Combined Statement of Operations for the Year Ended December 31, 2021</w:t>
      </w:r>
    </w:p>
    <w:p>
      <w:pPr>
        <w:spacing w:after="0" w:line="133" w:lineRule="exact"/>
        <w:rPr>
          <w:sz w:val="20"/>
          <w:szCs w:val="20"/>
          <w:color w:val="auto"/>
        </w:rPr>
      </w:pPr>
    </w:p>
    <w:p>
      <w:pPr>
        <w:ind w:left="960" w:hanging="532"/>
        <w:spacing w:after="0"/>
        <w:tabs>
          <w:tab w:leader="none" w:pos="9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eliminate interest income related to the investment held in Trust Account.</w:t>
      </w:r>
    </w:p>
    <w:p>
      <w:pPr>
        <w:spacing w:after="0" w:line="130"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 pro forma adjustment to income tax expense as Legacy ProKidney has historically been in a net loss position. Legacy ProKidney files as a partnership for federal and state income tax purposes. As such, each partner is responsible for reporting income or loss to the extent required by federal and state income tax regulations, based upon their respective share of Legacy ProKidney income and expenses. ProKidney-US is a limited liability company and has elected to be treated as a C corporation, therefore, a provision for federal and state taxes has been recorded. Income tax expense of the combined company may differ from historical results due to the change in structure of ProKidney.</w:t>
      </w:r>
    </w:p>
    <w:p>
      <w:pPr>
        <w:spacing w:after="0" w:line="92" w:lineRule="exact"/>
        <w:rPr>
          <w:rFonts w:ascii="Times New Roman" w:cs="Times New Roman" w:eastAsia="Times New Roman" w:hAnsi="Times New Roman"/>
          <w:sz w:val="18"/>
          <w:szCs w:val="18"/>
          <w:color w:val="auto"/>
        </w:rPr>
      </w:pPr>
    </w:p>
    <w:p>
      <w:pPr>
        <w:ind w:left="960" w:right="600" w:hanging="532"/>
        <w:spacing w:after="0" w:line="282" w:lineRule="auto"/>
        <w:tabs>
          <w:tab w:leader="none" w:pos="9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loss attributable to noncontrolling interest. The noncontrolling interest, giving effect to actual redemptions, is 74.5%.</w:t>
      </w:r>
    </w:p>
    <w:p>
      <w:pPr>
        <w:spacing w:after="0" w:line="188"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per share calculated using the historical weighted average shares outstanding, and the issuance of additional shares in connection with the Business Combination, assuming the shares were outstanding since January 1, 2021. As the Business Combination and related equity transactions are being reflected as if they had occurred at the beginning of the period presented, the calculation of weighted average shares outstanding for basic and diluted net income per share assumes that the shares issuable relating to the Business Combination were outstanding for the entirety of the period presented.</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1)"/>
      <w:numFmt w:val="lowerRoman"/>
      <w:start w:val="1"/>
    </w:lvl>
  </w:abstractNum>
  <w:abstractNum w:abstractNumId="2">
    <w:nsid w:val="2A082C70"/>
    <w:multiLevelType w:val="hybridMultilevel"/>
    <w:lvl w:ilvl="0">
      <w:lvlJc w:val="left"/>
      <w:lvlText w:val="(%1)"/>
      <w:numFmt w:val="lowerRoman"/>
      <w:start w:val="2"/>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1)"/>
      <w:numFmt w:val="decimal"/>
      <w:start w:val="1"/>
    </w:lvl>
  </w:abstractNum>
  <w:abstractNum w:abstractNumId="9">
    <w:nsid w:val="4427069A"/>
    <w:multiLevelType w:val="hybridMultilevel"/>
    <w:lvl w:ilvl="0">
      <w:lvlJc w:val="left"/>
      <w:lvlText w:val="(%1)"/>
      <w:numFmt w:val="decimal"/>
      <w:start w:val="2"/>
    </w:lvl>
  </w:abstractNum>
  <w:abstractNum w:abstractNumId="10">
    <w:nsid w:val="B37E80A"/>
    <w:multiLevelType w:val="hybridMultilevel"/>
    <w:lvl w:ilvl="0">
      <w:lvlJc w:val="left"/>
      <w:lvlText w:val="(%1)"/>
      <w:numFmt w:val="lowerRoman"/>
      <w:start w:val="5"/>
    </w:lvl>
  </w:abstractNum>
  <w:abstractNum w:abstractNumId="11">
    <w:nsid w:val="2157F6BC"/>
    <w:multiLevelType w:val="hybridMultilevel"/>
    <w:lvl w:ilvl="0">
      <w:lvlJc w:val="left"/>
      <w:lvlText w:val="(%1)"/>
      <w:numFmt w:val="lowerLetter"/>
      <w:start w:val="4"/>
    </w:lvl>
  </w:abstractNum>
  <w:abstractNum w:abstractNumId="12">
    <w:nsid w:val="704E1DD5"/>
    <w:multiLevelType w:val="hybridMultilevel"/>
    <w:lvl w:ilvl="0">
      <w:lvlJc w:val="left"/>
      <w:lvlText w:val="†"/>
      <w:numFmt w:val="bullet"/>
      <w:start w:val="1"/>
    </w:lvl>
  </w:abstractNum>
  <w:abstractNum w:abstractNumId="13">
    <w:nsid w:val="57D2F10E"/>
    <w:multiLevelType w:val="hybridMultilevel"/>
    <w:lvl w:ilvl="0">
      <w:lvlJc w:val="left"/>
      <w:lvlText w:val="1"/>
      <w:numFmt w:val="bullet"/>
      <w:start w:val="1"/>
    </w:lvl>
  </w:abstractNum>
  <w:abstractNum w:abstractNumId="14">
    <w:nsid w:val="BFFAE18"/>
    <w:multiLevelType w:val="hybridMultilevel"/>
    <w:lvl w:ilvl="0">
      <w:lvlJc w:val="left"/>
      <w:lvlText w:val="2"/>
      <w:numFmt w:val="bullet"/>
      <w:start w:val="1"/>
    </w:lvl>
  </w:abstractNum>
  <w:abstractNum w:abstractNumId="15">
    <w:nsid w:val="E3E47A8"/>
    <w:multiLevelType w:val="hybridMultilevel"/>
    <w:lvl w:ilvl="0">
      <w:lvlJc w:val="left"/>
      <w:lvlText w:val="3"/>
      <w:numFmt w:val="bullet"/>
      <w:start w:val="1"/>
    </w:lvl>
  </w:abstractNum>
  <w:abstractNum w:abstractNumId="16">
    <w:nsid w:val="2E48F044"/>
    <w:multiLevelType w:val="hybridMultilevel"/>
    <w:lvl w:ilvl="0">
      <w:lvlJc w:val="left"/>
      <w:lvlText w:val="4"/>
      <w:numFmt w:val="bullet"/>
      <w:start w:val="1"/>
    </w:lvl>
  </w:abstractNum>
  <w:abstractNum w:abstractNumId="17">
    <w:nsid w:val="49D0FEAC"/>
    <w:multiLevelType w:val="hybridMultilevel"/>
    <w:lvl w:ilvl="0">
      <w:lvlJc w:val="left"/>
      <w:lvlText w:val="5"/>
      <w:numFmt w:val="bullet"/>
      <w:start w:val="1"/>
    </w:lvl>
  </w:abstractNum>
  <w:abstractNum w:abstractNumId="18">
    <w:nsid w:val="4BEE5A5B"/>
    <w:multiLevelType w:val="hybridMultilevel"/>
    <w:lvl w:ilvl="0">
      <w:lvlJc w:val="left"/>
      <w:lvlText w:val="6"/>
      <w:numFmt w:val="bullet"/>
      <w:start w:val="1"/>
    </w:lvl>
  </w:abstractNum>
  <w:abstractNum w:abstractNumId="19">
    <w:nsid w:val="5551B9F3"/>
    <w:multiLevelType w:val="hybridMultilevel"/>
    <w:lvl w:ilvl="0">
      <w:lvlJc w:val="left"/>
      <w:lvlText w:val="7"/>
      <w:numFmt w:val="bullet"/>
      <w:start w:val="1"/>
    </w:lvl>
  </w:abstractNum>
  <w:abstractNum w:abstractNumId="20">
    <w:nsid w:val="24F6AB8E"/>
    <w:multiLevelType w:val="hybridMultilevel"/>
    <w:lvl w:ilvl="0">
      <w:lvlJc w:val="left"/>
      <w:lvlText w:val="1"/>
      <w:numFmt w:val="bullet"/>
      <w:start w:val="1"/>
    </w:lvl>
  </w:abstractNum>
  <w:abstractNum w:abstractNumId="21">
    <w:nsid w:val="634C574C"/>
    <w:multiLevelType w:val="hybridMultilevel"/>
    <w:lvl w:ilvl="0">
      <w:lvlJc w:val="left"/>
      <w:lvlText w:val="(%1)"/>
      <w:numFmt w:val="lowerLetter"/>
      <w:start w:val="8"/>
    </w:lvl>
  </w:abstractNum>
  <w:abstractNum w:abstractNumId="22">
    <w:nsid w:val="24E99DD7"/>
    <w:multiLevelType w:val="hybridMultilevel"/>
    <w:lvl w:ilvl="0">
      <w:lvlJc w:val="left"/>
      <w:lvlText w:val="2"/>
      <w:numFmt w:val="bullet"/>
      <w:start w:val="1"/>
    </w:lvl>
  </w:abstractNum>
  <w:abstractNum w:abstractNumId="23">
    <w:nsid w:val="2A31B62D"/>
    <w:multiLevelType w:val="hybridMultilevel"/>
    <w:lvl w:ilvl="0">
      <w:lvlJc w:val="left"/>
      <w:lvlText w:val="3"/>
      <w:numFmt w:val="bullet"/>
      <w:start w:val="1"/>
    </w:lvl>
  </w:abstractNum>
  <w:abstractNum w:abstractNumId="24">
    <w:nsid w:val="1849C29B"/>
    <w:multiLevelType w:val="hybridMultilevel"/>
    <w:lvl w:ilvl="0">
      <w:lvlJc w:val="left"/>
      <w:lvlText w:val="4"/>
      <w:numFmt w:val="bullet"/>
      <w:start w:val="1"/>
    </w:lvl>
  </w:abstractNum>
  <w:abstractNum w:abstractNumId="25">
    <w:nsid w:val="7DFF9D09"/>
    <w:multiLevelType w:val="hybridMultilevel"/>
    <w:lvl w:ilvl="0">
      <w:lvlJc w:val="left"/>
      <w:lvlText w:val="5"/>
      <w:numFmt w:val="bullet"/>
      <w:start w:val="1"/>
    </w:lvl>
  </w:abstractNum>
  <w:abstractNum w:abstractNumId="26">
    <w:nsid w:val="754342"/>
    <w:multiLevelType w:val="hybridMultilevel"/>
    <w:lvl w:ilvl="0">
      <w:lvlJc w:val="left"/>
      <w:lvlText w:val="6"/>
      <w:numFmt w:val="bullet"/>
      <w:start w:val="1"/>
    </w:lvl>
  </w:abstractNum>
  <w:abstractNum w:abstractNumId="27">
    <w:nsid w:val="69E7F3E5"/>
    <w:multiLevelType w:val="hybridMultilevel"/>
    <w:lvl w:ilvl="0">
      <w:lvlJc w:val="left"/>
      <w:lvlText w:val="7"/>
      <w:numFmt w:val="bullet"/>
      <w:start w:val="1"/>
    </w:lvl>
  </w:abstractNum>
  <w:abstractNum w:abstractNumId="28">
    <w:nsid w:val="2A6DE806"/>
    <w:multiLevelType w:val="hybridMultilevel"/>
    <w:lvl w:ilvl="0">
      <w:lvlJc w:val="left"/>
      <w:lvlText w:val="8"/>
      <w:numFmt w:val="bullet"/>
      <w:start w:val="1"/>
    </w:lvl>
  </w:abstractNum>
  <w:abstractNum w:abstractNumId="29">
    <w:nsid w:val="1816F8C4"/>
    <w:multiLevelType w:val="hybridMultilevel"/>
    <w:lvl w:ilvl="0">
      <w:lvlJc w:val="left"/>
      <w:lvlText w:val="9"/>
      <w:numFmt w:val="bullet"/>
      <w:start w:val="1"/>
    </w:lvl>
  </w:abstractNum>
  <w:abstractNum w:abstractNumId="30">
    <w:nsid w:val="37DF2233"/>
    <w:multiLevelType w:val="hybridMultilevel"/>
    <w:lvl w:ilvl="0">
      <w:lvlJc w:val="left"/>
      <w:lvlText w:val="%1"/>
      <w:numFmt w:val="decimal"/>
      <w:start w:val="13"/>
    </w:lvl>
  </w:abstractNum>
  <w:abstractNum w:abstractNumId="31">
    <w:nsid w:val="7AB49DAF"/>
    <w:multiLevelType w:val="hybridMultilevel"/>
    <w:lvl w:ilvl="0">
      <w:lvlJc w:val="left"/>
      <w:lvlText w:val="%1"/>
      <w:numFmt w:val="decimal"/>
      <w:start w:val="14"/>
    </w:lvl>
  </w:abstractNum>
  <w:abstractNum w:abstractNumId="32">
    <w:nsid w:val="759F82CD"/>
    <w:multiLevelType w:val="hybridMultilevel"/>
    <w:lvl w:ilvl="0">
      <w:lvlJc w:val="left"/>
      <w:lvlText w:val="(%1)"/>
      <w:numFmt w:val="lowerLetter"/>
      <w:start w:val="1"/>
    </w:lvl>
  </w:abstractNum>
  <w:abstractNum w:abstractNumId="33">
    <w:nsid w:val="61E74EA3"/>
    <w:multiLevelType w:val="hybridMultilevel"/>
    <w:lvl w:ilvl="0">
      <w:lvlJc w:val="left"/>
      <w:lvlText w:val="(%1)"/>
      <w:numFmt w:val="lowerLetter"/>
      <w:start w:val="1"/>
    </w:lvl>
  </w:abstractNum>
  <w:abstractNum w:abstractNumId="34">
    <w:nsid w:val="597B4D84"/>
    <w:multiLevelType w:val="hybridMultilevel"/>
    <w:lvl w:ilvl="0">
      <w:lvlJc w:val="left"/>
      <w:lvlText w:val="%1"/>
      <w:numFmt w:val="decimal"/>
      <w:start w:val="21"/>
    </w:lvl>
  </w:abstractNum>
  <w:abstractNum w:abstractNumId="35">
    <w:nsid w:val="F819E7F"/>
    <w:multiLevelType w:val="hybridMultilevel"/>
    <w:lvl w:ilvl="0">
      <w:lvlJc w:val="left"/>
      <w:lvlText w:val="(%1)"/>
      <w:numFmt w:val="lowerLetter"/>
      <w:start w:val="1"/>
    </w:lvl>
  </w:abstractNum>
  <w:abstractNum w:abstractNumId="36">
    <w:nsid w:val="57C7D42D"/>
    <w:multiLevelType w:val="hybridMultilevel"/>
    <w:lvl w:ilvl="0">
      <w:lvlJc w:val="left"/>
      <w:lvlText w:val="%1"/>
      <w:numFmt w:val="decimal"/>
      <w:start w:val="28"/>
    </w:lvl>
  </w:abstractNum>
  <w:abstractNum w:abstractNumId="37">
    <w:nsid w:val="312167AD"/>
    <w:multiLevelType w:val="hybridMultilevel"/>
    <w:lvl w:ilvl="0">
      <w:lvlJc w:val="left"/>
      <w:lvlText w:val="(%1)"/>
      <w:numFmt w:val="lowerLetter"/>
      <w:start w:val="1"/>
    </w:lvl>
  </w:abstractNum>
  <w:abstractNum w:abstractNumId="38">
    <w:nsid w:val="631B64D4"/>
    <w:multiLevelType w:val="hybridMultilevel"/>
    <w:lvl w:ilvl="0">
      <w:lvlJc w:val="left"/>
      <w:lvlText w:val="%1"/>
      <w:numFmt w:val="decimal"/>
      <w:start w:val="32"/>
    </w:lvl>
    <w:lvl w:ilvl="1">
      <w:lvlJc w:val="left"/>
      <w:lvlText w:val="(%2)"/>
      <w:numFmt w:val="lowerLetter"/>
      <w:start w:val="1"/>
    </w:lvl>
  </w:abstractNum>
  <w:abstractNum w:abstractNumId="39">
    <w:nsid w:val="78B5E776"/>
    <w:multiLevelType w:val="hybridMultilevel"/>
    <w:lvl w:ilvl="0">
      <w:lvlJc w:val="left"/>
      <w:lvlText w:val="%1"/>
      <w:numFmt w:val="decimal"/>
      <w:start w:val="34"/>
    </w:lvl>
  </w:abstractNum>
  <w:abstractNum w:abstractNumId="40">
    <w:nsid w:val="75486E47"/>
    <w:multiLevelType w:val="hybridMultilevel"/>
    <w:lvl w:ilvl="0">
      <w:lvlJc w:val="left"/>
      <w:lvlText w:val="%1"/>
      <w:numFmt w:val="decimal"/>
      <w:start w:val="36"/>
    </w:lvl>
  </w:abstractNum>
  <w:abstractNum w:abstractNumId="41">
    <w:nsid w:val="6E534CDE"/>
    <w:multiLevelType w:val="hybridMultilevel"/>
    <w:lvl w:ilvl="0">
      <w:lvlJc w:val="left"/>
      <w:lvlText w:val="%1"/>
      <w:numFmt w:val="decimal"/>
      <w:start w:val="38"/>
    </w:lvl>
  </w:abstractNum>
  <w:abstractNum w:abstractNumId="42">
    <w:nsid w:val="1A0DDE32"/>
    <w:multiLevelType w:val="hybridMultilevel"/>
    <w:lvl w:ilvl="0">
      <w:lvlJc w:val="left"/>
      <w:lvlText w:val="%1"/>
      <w:numFmt w:val="decimal"/>
      <w:start w:val="42"/>
    </w:lvl>
  </w:abstractNum>
  <w:abstractNum w:abstractNumId="43">
    <w:nsid w:val="65968C1C"/>
    <w:multiLevelType w:val="hybridMultilevel"/>
    <w:lvl w:ilvl="0">
      <w:lvlJc w:val="left"/>
      <w:lvlText w:val="(%1)"/>
      <w:numFmt w:val="lowerLetter"/>
      <w:start w:val="1"/>
    </w:lvl>
  </w:abstractNum>
  <w:abstractNum w:abstractNumId="44">
    <w:nsid w:val="46263DEC"/>
    <w:multiLevelType w:val="hybridMultilevel"/>
    <w:lvl w:ilvl="0">
      <w:lvlJc w:val="left"/>
      <w:lvlText w:val="(%1)"/>
      <w:numFmt w:val="lowerLetter"/>
      <w:start w:val="1"/>
    </w:lvl>
  </w:abstractNum>
  <w:abstractNum w:abstractNumId="45">
    <w:nsid w:val="260D8C4A"/>
    <w:multiLevelType w:val="hybridMultilevel"/>
    <w:lvl w:ilvl="0">
      <w:lvlJc w:val="left"/>
      <w:lvlText w:val="%1"/>
      <w:numFmt w:val="decimal"/>
      <w:start w:val="48"/>
    </w:lvl>
  </w:abstractNum>
  <w:abstractNum w:abstractNumId="46">
    <w:nsid w:val="73D4D3C4"/>
    <w:multiLevelType w:val="hybridMultilevel"/>
    <w:lvl w:ilvl="0">
      <w:lvlJc w:val="left"/>
      <w:lvlText w:val="(%1)"/>
      <w:numFmt w:val="lowerRoman"/>
      <w:start w:val="1"/>
    </w:lvl>
  </w:abstractNum>
  <w:abstractNum w:abstractNumId="47">
    <w:nsid w:val="746F2E30"/>
    <w:multiLevelType w:val="hybridMultilevel"/>
    <w:lvl w:ilvl="0">
      <w:lvlJc w:val="left"/>
      <w:lvlText w:val="(%1)"/>
      <w:numFmt w:val="lowerRoman"/>
      <w:start w:val="1"/>
    </w:lvl>
  </w:abstractNum>
  <w:abstractNum w:abstractNumId="48">
    <w:nsid w:val="6FDE8AF6"/>
    <w:multiLevelType w:val="hybridMultilevel"/>
    <w:lvl w:ilvl="0">
      <w:lvlJc w:val="left"/>
      <w:lvlText w:val="(%1)"/>
      <w:numFmt w:val="lowerRoman"/>
      <w:start w:val="1"/>
    </w:lvl>
  </w:abstractNum>
  <w:abstractNum w:abstractNumId="49">
    <w:nsid w:val="3FC32E20"/>
    <w:multiLevelType w:val="hybridMultilevel"/>
    <w:lvl w:ilvl="0">
      <w:lvlJc w:val="left"/>
      <w:lvlText w:val="(%1)"/>
      <w:numFmt w:val="lowerLetter"/>
      <w:start w:val="1"/>
    </w:lvl>
  </w:abstractNum>
  <w:abstractNum w:abstractNumId="50">
    <w:nsid w:val="49C0E823"/>
    <w:multiLevelType w:val="hybridMultilevel"/>
    <w:lvl w:ilvl="0">
      <w:lvlJc w:val="left"/>
      <w:lvlText w:val="(%1)"/>
      <w:numFmt w:val="lowerLetter"/>
      <w:start w:val="6"/>
    </w:lvl>
  </w:abstractNum>
  <w:abstractNum w:abstractNumId="51">
    <w:nsid w:val="14D53685"/>
    <w:multiLevelType w:val="hybridMultilevel"/>
    <w:lvl w:ilvl="0">
      <w:lvlJc w:val="left"/>
      <w:lvlText w:val="(%1)"/>
      <w:numFmt w:val="lowerLetter"/>
      <w:start w:val="1"/>
    </w:lvl>
  </w:abstractNum>
  <w:abstractNum w:abstractNumId="52">
    <w:nsid w:val="230F856C"/>
    <w:multiLevelType w:val="hybridMultilevel"/>
    <w:lvl w:ilvl="0">
      <w:lvlJc w:val="left"/>
      <w:lvlText w:val="(%1)"/>
      <w:numFmt w:val="lowerLetter"/>
      <w:start w:val="3"/>
    </w:lvl>
  </w:abstractNum>
  <w:abstractNum w:abstractNumId="53">
    <w:nsid w:val="6EAA85FB"/>
    <w:multiLevelType w:val="hybridMultilevel"/>
    <w:lvl w:ilvl="0">
      <w:lvlJc w:val="left"/>
      <w:lvlText w:val="%1"/>
      <w:numFmt w:val="lowerLetter"/>
      <w:start w:val="1"/>
    </w:lvl>
    <w:lvl w:ilvl="1">
      <w:lvlJc w:val="left"/>
      <w:lvlText w:val="(%2)"/>
      <w:numFmt w:val="lowerLetter"/>
      <w:start w:val="1"/>
    </w:lvl>
  </w:abstractNum>
  <w:abstractNum w:abstractNumId="54">
    <w:nsid w:val="3F06ECB2"/>
    <w:multiLevelType w:val="hybridMultilevel"/>
    <w:lvl w:ilvl="0">
      <w:lvlJc w:val="left"/>
      <w:lvlText w:val="(%1)"/>
      <w:numFmt w:val="lowerLetter"/>
      <w:start w:val="24"/>
    </w:lvl>
    <w:lvl w:ilvl="1">
      <w:lvlJc w:val="left"/>
      <w:lvlText w:val="%2"/>
      <w:numFmt w:val="lowerLetter"/>
      <w:start w:val="1"/>
    </w:lvl>
  </w:abstractNum>
  <w:abstractNum w:abstractNumId="55">
    <w:nsid w:val="3B594807"/>
    <w:multiLevelType w:val="hybridMultilevel"/>
    <w:lvl w:ilvl="0">
      <w:lvlJc w:val="left"/>
      <w:lvlText w:val="(%1)"/>
      <w:numFmt w:val="lowerLetter"/>
      <w:start w:val="9"/>
    </w:lvl>
    <w:lvl w:ilvl="1">
      <w:lvlJc w:val="left"/>
      <w:lvlText w:val="%2"/>
      <w:numFmt w:val="lowerLetter"/>
      <w:start w:val="1"/>
    </w:lvl>
  </w:abstractNum>
  <w:abstractNum w:abstractNumId="56">
    <w:nsid w:val="6CAA2304"/>
    <w:multiLevelType w:val="hybridMultilevel"/>
    <w:lvl w:ilvl="0">
      <w:lvlJc w:val="left"/>
      <w:lvlText w:val="(%1)"/>
      <w:numFmt w:val="lowerLetter"/>
      <w:start w:val="2"/>
    </w:lvl>
  </w:abstractNum>
  <w:abstractNum w:abstractNumId="57">
    <w:nsid w:val="3F7C2FF4"/>
    <w:multiLevelType w:val="hybridMultilevel"/>
    <w:lvl w:ilvl="0">
      <w:lvlJc w:val="left"/>
      <w:lvlText w:val="(%1)"/>
      <w:numFmt w:val="lowerLetter"/>
      <w:start w:val="1"/>
    </w:lvl>
  </w:abstractNum>
  <w:abstractNum w:abstractNumId="58">
    <w:nsid w:val="25413BEC"/>
    <w:multiLevelType w:val="hybridMultilevel"/>
    <w:lvl w:ilvl="0">
      <w:lvlJc w:val="left"/>
      <w:lvlText w:val="(%1)"/>
      <w:numFmt w:val="lowerLetter"/>
      <w:start w:val="2"/>
    </w:lvl>
  </w:abstractNum>
  <w:abstractNum w:abstractNumId="59">
    <w:nsid w:val="17180B0B"/>
    <w:multiLevelType w:val="hybridMultilevel"/>
    <w:lvl w:ilvl="0">
      <w:lvlJc w:val="left"/>
      <w:lvlText w:val="%1"/>
      <w:numFmt w:val="lowerLetter"/>
      <w:start w:val="1"/>
    </w:lvl>
    <w:lvl w:ilvl="1">
      <w:lvlJc w:val="left"/>
      <w:lvlText w:val="(%2)"/>
      <w:numFmt w:val="lowerLetter"/>
      <w:start w:val="1"/>
    </w:lvl>
  </w:abstractNum>
  <w:abstractNum w:abstractNumId="60">
    <w:nsid w:val="579328B9"/>
    <w:multiLevelType w:val="hybridMultilevel"/>
    <w:lvl w:ilvl="0">
      <w:lvlJc w:val="left"/>
      <w:lvlText w:val="(%1)"/>
      <w:numFmt w:val="lowerLetter"/>
      <w:start w:val="9"/>
    </w:lvl>
    <w:lvl w:ilvl="1">
      <w:lvlJc w:val="left"/>
      <w:lvlText w:val="%2"/>
      <w:numFmt w:val="lowerLetter"/>
      <w:start w:val="1"/>
    </w:lvl>
  </w:abstractNum>
  <w:abstractNum w:abstractNumId="61">
    <w:nsid w:val="5D205E20"/>
    <w:multiLevelType w:val="hybridMultilevel"/>
    <w:lvl w:ilvl="0">
      <w:lvlJc w:val="left"/>
      <w:lvlText w:val="(%1)"/>
      <w:numFmt w:val="lowerLetter"/>
      <w:start w:val="1"/>
    </w:lvl>
  </w:abstractNum>
  <w:abstractNum w:abstractNumId="62">
    <w:nsid w:val="11CCA8BA"/>
    <w:multiLevelType w:val="hybridMultilevel"/>
    <w:lvl w:ilvl="0">
      <w:lvlJc w:val="left"/>
      <w:lvlText w:val="%1"/>
      <w:numFmt w:val="lowerLetter"/>
      <w:start w:val="1"/>
    </w:lvl>
    <w:lvl w:ilvl="1">
      <w:lvlJc w:val="left"/>
      <w:lvlText w:val="(%2)"/>
      <w:numFmt w:val="lowerLetter"/>
      <w:start w:val="1"/>
    </w:lvl>
  </w:abstractNum>
  <w:abstractNum w:abstractNumId="63">
    <w:nsid w:val="4D32AB86"/>
    <w:multiLevelType w:val="hybridMultilevel"/>
    <w:lvl w:ilvl="0">
      <w:lvlJc w:val="left"/>
      <w:lvlText w:val="(%1)"/>
      <w:numFmt w:val="lowerLetter"/>
      <w:start w:val="61"/>
    </w:lvl>
    <w:lvl w:ilvl="1">
      <w:lvlJc w:val="left"/>
      <w:lvlText w:val="%2"/>
      <w:numFmt w:val="lowerLetter"/>
      <w:start w:val="1"/>
    </w:lvl>
  </w:abstractNum>
  <w:abstractNum w:abstractNumId="64">
    <w:nsid w:val="3F07ACC3"/>
    <w:multiLevelType w:val="hybridMultilevel"/>
    <w:lvl w:ilvl="0">
      <w:lvlJc w:val="left"/>
      <w:lvlText w:val="%1"/>
      <w:numFmt w:val="decimal"/>
      <w:start w:val="1"/>
    </w:lvl>
    <w:lvl w:ilvl="1">
      <w:lvlJc w:val="left"/>
      <w:lvlText w:val="(%2)"/>
      <w:numFmt w:val="lowerLetter"/>
      <w:start w:val="3"/>
    </w:lvl>
  </w:abstractNum>
  <w:abstractNum w:abstractNumId="65">
    <w:nsid w:val="6B47F63E"/>
    <w:multiLevelType w:val="hybridMultilevel"/>
    <w:lvl w:ilvl="0">
      <w:lvlJc w:val="left"/>
      <w:lvlText w:val="(%1)"/>
      <w:numFmt w:val="decimal"/>
      <w:start w:val="1"/>
    </w:lvl>
    <w:lvl w:ilvl="1">
      <w:lvlJc w:val="left"/>
      <w:lvlText w:val="%2"/>
      <w:numFmt w:val="lowerLetter"/>
      <w:start w:val="1"/>
    </w:lvl>
  </w:abstractNum>
  <w:abstractNum w:abstractNumId="66">
    <w:nsid w:val="5CB44A05"/>
    <w:multiLevelType w:val="hybridMultilevel"/>
    <w:lvl w:ilvl="0">
      <w:lvlJc w:val="left"/>
      <w:lvlText w:val="(%1)"/>
      <w:numFmt w:val="lowerLetter"/>
      <w:start w:val="1"/>
    </w:lvl>
  </w:abstractNum>
  <w:abstractNum w:abstractNumId="67">
    <w:nsid w:val="16CF80F1"/>
    <w:multiLevelType w:val="hybridMultilevel"/>
    <w:lvl w:ilvl="0">
      <w:lvlJc w:val="left"/>
      <w:lvlText w:val="(%1)"/>
      <w:numFmt w:val="lowerLetter"/>
      <w:start w:val="1"/>
    </w:lvl>
  </w:abstractNum>
  <w:abstractNum w:abstractNumId="68">
    <w:nsid w:val="1C695DEC"/>
    <w:multiLevelType w:val="hybridMultilevel"/>
    <w:lvl w:ilvl="0">
      <w:lvlJc w:val="left"/>
      <w:lvlText w:val="(%1)"/>
      <w:numFmt w:val="lowerLetter"/>
      <w:start w:val="2"/>
    </w:lvl>
  </w:abstractNum>
  <w:abstractNum w:abstractNumId="69">
    <w:nsid w:val="3FCFAED9"/>
    <w:multiLevelType w:val="hybridMultilevel"/>
    <w:lvl w:ilvl="0">
      <w:lvlJc w:val="left"/>
      <w:lvlText w:val="(%1)"/>
      <w:numFmt w:val="lowerLetter"/>
      <w:start w:val="1"/>
    </w:lvl>
  </w:abstractNum>
  <w:abstractNum w:abstractNumId="70">
    <w:nsid w:val="F856867"/>
    <w:multiLevelType w:val="hybridMultilevel"/>
    <w:lvl w:ilvl="0">
      <w:lvlJc w:val="left"/>
      <w:lvlText w:val="%1"/>
      <w:numFmt w:val="lowerLetter"/>
      <w:start w:val="1"/>
    </w:lvl>
    <w:lvl w:ilvl="1">
      <w:lvlJc w:val="left"/>
      <w:lvlText w:val="(%2)"/>
      <w:numFmt w:val="lowerLetter"/>
      <w:start w:val="1"/>
    </w:lvl>
  </w:abstractNum>
  <w:abstractNum w:abstractNumId="71">
    <w:nsid w:val="11B1CC33"/>
    <w:multiLevelType w:val="hybridMultilevel"/>
    <w:lvl w:ilvl="0">
      <w:lvlJc w:val="left"/>
      <w:lvlText w:val="(%1)"/>
      <w:numFmt w:val="lowerLetter"/>
      <w:start w:val="35"/>
    </w:lvl>
    <w:lvl w:ilvl="1">
      <w:lvlJc w:val="left"/>
      <w:lvlText w:val="(%2)"/>
      <w:numFmt w:val="lowerLetter"/>
      <w:start w:val="2"/>
    </w:lvl>
  </w:abstractNum>
  <w:abstractNum w:abstractNumId="72">
    <w:nsid w:val="2E22FBB7"/>
    <w:multiLevelType w:val="hybridMultilevel"/>
    <w:lvl w:ilvl="0">
      <w:lvlJc w:val="left"/>
      <w:lvlText w:val="(%1)"/>
      <w:numFmt w:val="lowerLetter"/>
      <w:start w:val="1"/>
    </w:lvl>
  </w:abstractNum>
  <w:abstractNum w:abstractNumId="73">
    <w:nsid w:val="29934699"/>
    <w:multiLevelType w:val="hybridMultilevel"/>
    <w:lvl w:ilvl="0">
      <w:lvlJc w:val="left"/>
      <w:lvlText w:val="(%1)"/>
      <w:numFmt w:val="lowerLetter"/>
      <w:start w:val="2"/>
    </w:lvl>
  </w:abstractNum>
  <w:abstractNum w:abstractNumId="74">
    <w:nsid w:val="77485850"/>
    <w:multiLevelType w:val="hybridMultilevel"/>
    <w:lvl w:ilvl="0">
      <w:lvlJc w:val="left"/>
      <w:lvlText w:val="(%1)"/>
      <w:numFmt w:val="lowerLetter"/>
      <w:start w:val="1"/>
    </w:lvl>
  </w:abstractNum>
  <w:abstractNum w:abstractNumId="75">
    <w:nsid w:val="744939A3"/>
    <w:multiLevelType w:val="hybridMultilevel"/>
    <w:lvl w:ilvl="0">
      <w:lvlJc w:val="left"/>
      <w:lvlText w:val="(%1)"/>
      <w:numFmt w:val="lowerLetter"/>
      <w:start w:val="4"/>
    </w:lvl>
  </w:abstractNum>
  <w:abstractNum w:abstractNumId="76">
    <w:nsid w:val="4FA0D2E3"/>
    <w:multiLevelType w:val="hybridMultilevel"/>
    <w:lvl w:ilvl="0">
      <w:lvlJc w:val="left"/>
      <w:lvlText w:val="(%1)"/>
      <w:numFmt w:val="lowerLetter"/>
      <w:start w:val="1"/>
    </w:lvl>
  </w:abstractNum>
  <w:abstractNum w:abstractNumId="77">
    <w:nsid w:val="6B1D2C14"/>
    <w:multiLevelType w:val="hybridMultilevel"/>
    <w:lvl w:ilvl="0">
      <w:lvlJc w:val="left"/>
      <w:lvlText w:val="(%1)"/>
      <w:numFmt w:val="lowerRoman"/>
      <w:start w:val="2"/>
    </w:lvl>
  </w:abstractNum>
  <w:abstractNum w:abstractNumId="78">
    <w:nsid w:val="68B867D3"/>
    <w:multiLevelType w:val="hybridMultilevel"/>
    <w:lvl w:ilvl="0">
      <w:lvlJc w:val="left"/>
      <w:lvlText w:val="%1"/>
      <w:numFmt w:val="lowerRoman"/>
      <w:start w:val="1"/>
    </w:lvl>
    <w:lvl w:ilvl="1">
      <w:lvlJc w:val="left"/>
      <w:lvlText w:val="(%2)"/>
      <w:numFmt w:val="lowerRoman"/>
      <w:start w:val="2"/>
    </w:lvl>
  </w:abstractNum>
  <w:abstractNum w:abstractNumId="79">
    <w:nsid w:val="3F7F5DD9"/>
    <w:multiLevelType w:val="hybridMultilevel"/>
    <w:lvl w:ilvl="0">
      <w:lvlJc w:val="left"/>
      <w:lvlText w:val="(%1)"/>
      <w:numFmt w:val="lowerRoman"/>
      <w:start w:val="2"/>
    </w:lvl>
    <w:lvl w:ilvl="1">
      <w:lvlJc w:val="left"/>
      <w:lvlText w:val="(%2)"/>
      <w:numFmt w:val="lowerRoman"/>
      <w:start w:val="3"/>
    </w:lvl>
  </w:abstractNum>
  <w:abstractNum w:abstractNumId="80">
    <w:nsid w:val="2AE05A34"/>
    <w:multiLevelType w:val="hybridMultilevel"/>
    <w:lvl w:ilvl="0">
      <w:lvlJc w:val="left"/>
      <w:lvlText w:val="(%1)"/>
      <w:numFmt w:val="lowerLetter"/>
      <w:start w:val="1"/>
    </w:lvl>
  </w:abstractNum>
  <w:abstractNum w:abstractNumId="81">
    <w:nsid w:val="32794FF7"/>
    <w:multiLevelType w:val="hybridMultilevel"/>
    <w:lvl w:ilvl="0">
      <w:lvlJc w:val="left"/>
      <w:lvlText w:val="(%1)"/>
      <w:numFmt w:val="lowerLetter"/>
      <w:start w:val="2"/>
    </w:lvl>
  </w:abstractNum>
  <w:abstractNum w:abstractNumId="82">
    <w:nsid w:val="5454945E"/>
    <w:multiLevelType w:val="hybridMultilevel"/>
    <w:lvl w:ilvl="0">
      <w:lvlJc w:val="left"/>
      <w:lvlText w:val="(%1)"/>
      <w:numFmt w:val="lowerLetter"/>
      <w:start w:val="4"/>
    </w:lvl>
  </w:abstractNum>
  <w:abstractNum w:abstractNumId="83">
    <w:nsid w:val="4DEFDFA0"/>
    <w:multiLevelType w:val="hybridMultilevel"/>
    <w:lvl w:ilvl="0">
      <w:lvlJc w:val="left"/>
      <w:lvlText w:val="%1"/>
      <w:numFmt w:val="lowerLetter"/>
      <w:start w:val="1"/>
    </w:lvl>
    <w:lvl w:ilvl="1">
      <w:lvlJc w:val="left"/>
      <w:lvlText w:val="(%2)"/>
      <w:numFmt w:val="lowerLetter"/>
      <w:start w:val="1"/>
    </w:lvl>
  </w:abstractNum>
  <w:abstractNum w:abstractNumId="84">
    <w:nsid w:val="2123D5F2"/>
    <w:multiLevelType w:val="hybridMultilevel"/>
    <w:lvl w:ilvl="0">
      <w:lvlJc w:val="left"/>
      <w:lvlText w:val="(%1)"/>
      <w:numFmt w:val="lowerLetter"/>
      <w:start w:val="9"/>
    </w:lvl>
    <w:lvl w:ilvl="1">
      <w:lvlJc w:val="left"/>
      <w:lvlText w:val="%2"/>
      <w:numFmt w:val="lowerLetter"/>
      <w:start w:val="1"/>
    </w:lvl>
  </w:abstractNum>
  <w:abstractNum w:abstractNumId="85">
    <w:nsid w:val="135B8110"/>
    <w:multiLevelType w:val="hybridMultilevel"/>
    <w:lvl w:ilvl="0">
      <w:lvlJc w:val="left"/>
      <w:lvlText w:val="(%1)"/>
      <w:numFmt w:val="lowerLetter"/>
      <w:start w:val="22"/>
    </w:lvl>
    <w:lvl w:ilvl="1">
      <w:lvlJc w:val="left"/>
      <w:lvlText w:val="%2"/>
      <w:numFmt w:val="lowerLetter"/>
      <w:start w:val="1"/>
    </w:lvl>
  </w:abstractNum>
  <w:abstractNum w:abstractNumId="86">
    <w:nsid w:val="94927A8"/>
    <w:multiLevelType w:val="hybridMultilevel"/>
    <w:lvl w:ilvl="0">
      <w:lvlJc w:val="left"/>
      <w:lvlText w:val="(%1)"/>
      <w:numFmt w:val="lowerLetter"/>
      <w:start w:val="4"/>
    </w:lvl>
  </w:abstractNum>
  <w:abstractNum w:abstractNumId="87">
    <w:nsid w:val="DCDF8F6"/>
    <w:multiLevelType w:val="hybridMultilevel"/>
    <w:lvl w:ilvl="0">
      <w:lvlJc w:val="left"/>
      <w:lvlText w:val="(%1)"/>
      <w:numFmt w:val="lowerLetter"/>
      <w:start w:val="1"/>
    </w:lvl>
  </w:abstractNum>
  <w:abstractNum w:abstractNumId="88">
    <w:nsid w:val="52D7B105"/>
    <w:multiLevelType w:val="hybridMultilevel"/>
    <w:lvl w:ilvl="0">
      <w:lvlJc w:val="left"/>
      <w:lvlText w:val="(%1)"/>
      <w:numFmt w:val="lowerLetter"/>
      <w:start w:val="3"/>
    </w:lvl>
  </w:abstractNum>
  <w:abstractNum w:abstractNumId="89">
    <w:nsid w:val="2E8A6394"/>
    <w:multiLevelType w:val="hybridMultilevel"/>
    <w:lvl w:ilvl="0">
      <w:lvlJc w:val="left"/>
      <w:lvlText w:val="(%1)"/>
      <w:numFmt w:val="lowerLetter"/>
      <w:start w:val="1"/>
    </w:lvl>
  </w:abstractNum>
  <w:abstractNum w:abstractNumId="90">
    <w:nsid w:val="24E60401"/>
    <w:multiLevelType w:val="hybridMultilevel"/>
    <w:lvl w:ilvl="0">
      <w:lvlJc w:val="left"/>
      <w:lvlText w:val="(%1)"/>
      <w:numFmt w:val="lowerLetter"/>
      <w:start w:val="1"/>
    </w:lvl>
  </w:abstractNum>
  <w:abstractNum w:abstractNumId="91">
    <w:nsid w:val="2A6AD9BE"/>
    <w:multiLevelType w:val="hybridMultilevel"/>
    <w:lvl w:ilvl="0">
      <w:lvlJc w:val="left"/>
      <w:lvlText w:val="(%1)"/>
      <w:numFmt w:val="lowerLetter"/>
      <w:start w:val="1"/>
    </w:lvl>
  </w:abstractNum>
  <w:abstractNum w:abstractNumId="92">
    <w:nsid w:val="BAAC1B4"/>
    <w:multiLevelType w:val="hybridMultilevel"/>
    <w:lvl w:ilvl="0">
      <w:lvlJc w:val="left"/>
      <w:lvlText w:val="(%1)"/>
      <w:numFmt w:val="lowerLetter"/>
      <w:start w:val="1"/>
    </w:lvl>
  </w:abstractNum>
  <w:abstractNum w:abstractNumId="93">
    <w:nsid w:val="36B2ACBC"/>
    <w:multiLevelType w:val="hybridMultilevel"/>
    <w:lvl w:ilvl="0">
      <w:lvlJc w:val="left"/>
      <w:lvlText w:val="(%1)"/>
      <w:numFmt w:val="lowerLetter"/>
      <w:start w:val="2"/>
    </w:lvl>
  </w:abstractNum>
  <w:abstractNum w:abstractNumId="94">
    <w:nsid w:val="779D8544"/>
    <w:multiLevelType w:val="hybridMultilevel"/>
    <w:lvl w:ilvl="0">
      <w:lvlJc w:val="left"/>
      <w:lvlText w:val="(%1)"/>
      <w:numFmt w:val="lowerRoman"/>
      <w:start w:val="2"/>
    </w:lvl>
  </w:abstractNum>
  <w:abstractNum w:abstractNumId="95">
    <w:nsid w:val="4AB26E78"/>
    <w:multiLevelType w:val="hybridMultilevel"/>
    <w:lvl w:ilvl="0">
      <w:lvlJc w:val="left"/>
      <w:lvlText w:val="%1."/>
      <w:numFmt w:val="decimal"/>
      <w:start w:val="1"/>
    </w:lvl>
    <w:lvl w:ilvl="1">
      <w:lvlJc w:val="left"/>
      <w:lvlText w:val="(%2)"/>
      <w:numFmt w:val="lowerLetter"/>
      <w:start w:val="1"/>
    </w:lvl>
  </w:abstractNum>
  <w:abstractNum w:abstractNumId="96">
    <w:nsid w:val="21FAA2FA"/>
    <w:multiLevelType w:val="hybridMultilevel"/>
    <w:lvl w:ilvl="0">
      <w:lvlJc w:val="left"/>
      <w:lvlText w:val="(%1)"/>
      <w:numFmt w:val="lowerLetter"/>
      <w:start w:val="3"/>
    </w:lvl>
  </w:abstractNum>
  <w:abstractNum w:abstractNumId="97">
    <w:nsid w:val="5451CF49"/>
    <w:multiLevelType w:val="hybridMultilevel"/>
    <w:lvl w:ilvl="0">
      <w:lvlJc w:val="left"/>
      <w:lvlText w:val="%1"/>
      <w:numFmt w:val="decimal"/>
      <w:start w:val="1"/>
    </w:lvl>
    <w:lvl w:ilvl="1">
      <w:lvlJc w:val="left"/>
      <w:lvlText w:val="(%2)"/>
      <w:numFmt w:val="lowerLetter"/>
      <w:start w:val="6"/>
    </w:lvl>
  </w:abstractNum>
  <w:abstractNum w:abstractNumId="98">
    <w:nsid w:val="6181EF69"/>
    <w:multiLevelType w:val="hybridMultilevel"/>
    <w:lvl w:ilvl="0">
      <w:lvlJc w:val="left"/>
      <w:lvlText w:val="%1."/>
      <w:numFmt w:val="decimal"/>
      <w:start w:val="2"/>
    </w:lvl>
    <w:lvl w:ilvl="1">
      <w:lvlJc w:val="left"/>
      <w:lvlText w:val="(%2)"/>
      <w:numFmt w:val="lowerLetter"/>
      <w:start w:val="1"/>
    </w:lvl>
  </w:abstractNum>
  <w:abstractNum w:abstractNumId="99">
    <w:nsid w:val="3E6400E6"/>
    <w:multiLevelType w:val="hybridMultilevel"/>
    <w:lvl w:ilvl="0">
      <w:lvlJc w:val="left"/>
      <w:lvlText w:val="%1"/>
      <w:numFmt w:val="decimal"/>
      <w:start w:val="1"/>
    </w:lvl>
    <w:lvl w:ilvl="1">
      <w:lvlJc w:val="left"/>
      <w:lvlText w:val="(%2)"/>
      <w:numFmt w:val="lowerLetter"/>
      <w:start w:val="3"/>
    </w:lvl>
  </w:abstractNum>
  <w:abstractNum w:abstractNumId="100">
    <w:nsid w:val="14217E23"/>
    <w:multiLevelType w:val="hybridMultilevel"/>
    <w:lvl w:ilvl="0">
      <w:lvlJc w:val="left"/>
      <w:lvlText w:val="%1."/>
      <w:numFmt w:val="decimal"/>
      <w:start w:val="3"/>
    </w:lvl>
    <w:lvl w:ilvl="1">
      <w:lvlJc w:val="left"/>
      <w:lvlText w:val="(%2)"/>
      <w:numFmt w:val="lowerLetter"/>
      <w:start w:val="1"/>
    </w:lvl>
  </w:abstractNum>
  <w:abstractNum w:abstractNumId="101">
    <w:nsid w:val="710757D0"/>
    <w:multiLevelType w:val="hybridMultilevel"/>
    <w:lvl w:ilvl="0">
      <w:lvlJc w:val="left"/>
      <w:lvlText w:val="(%1)"/>
      <w:numFmt w:val="lowerLetter"/>
      <w:start w:val="2"/>
    </w:lvl>
  </w:abstractNum>
  <w:abstractNum w:abstractNumId="102">
    <w:nsid w:val="5015CD1A"/>
    <w:multiLevelType w:val="hybridMultilevel"/>
    <w:lvl w:ilvl="0">
      <w:lvlJc w:val="left"/>
      <w:lvlText w:val="(%1)"/>
      <w:numFmt w:val="lowerLetter"/>
      <w:start w:val="5"/>
    </w:lvl>
  </w:abstractNum>
  <w:abstractNum w:abstractNumId="103">
    <w:nsid w:val="424479DA"/>
    <w:multiLevelType w:val="hybridMultilevel"/>
    <w:lvl w:ilvl="0">
      <w:lvlJc w:val="left"/>
      <w:lvlText w:val="(%1)"/>
      <w:numFmt w:val="lowerLetter"/>
      <w:start w:val="8"/>
    </w:lvl>
  </w:abstractNum>
  <w:abstractNum w:abstractNumId="104">
    <w:nsid w:val="1A9A9E69"/>
    <w:multiLevelType w:val="hybridMultilevel"/>
    <w:lvl w:ilvl="0">
      <w:lvlJc w:val="left"/>
      <w:lvlText w:val="%1."/>
      <w:numFmt w:val="decimal"/>
      <w:start w:val="1"/>
    </w:lvl>
  </w:abstractNum>
  <w:abstractNum w:abstractNumId="105">
    <w:nsid w:val="475E256A"/>
    <w:multiLevelType w:val="hybridMultilevel"/>
    <w:lvl w:ilvl="0">
      <w:lvlJc w:val="left"/>
      <w:lvlText w:val="%1."/>
      <w:numFmt w:val="decimal"/>
      <w:start w:val="1"/>
    </w:lvl>
  </w:abstractNum>
  <w:abstractNum w:abstractNumId="106">
    <w:nsid w:val="368DB37E"/>
    <w:multiLevelType w:val="hybridMultilevel"/>
    <w:lvl w:ilvl="0">
      <w:lvlJc w:val="left"/>
      <w:lvlText w:val="(%1)"/>
      <w:numFmt w:val="upperLetter"/>
      <w:start w:val="1"/>
    </w:lvl>
  </w:abstractNum>
  <w:abstractNum w:abstractNumId="107">
    <w:nsid w:val="6A3B714C"/>
    <w:multiLevelType w:val="hybridMultilevel"/>
    <w:lvl w:ilvl="0">
      <w:lvlJc w:val="left"/>
      <w:lvlText w:val="(%1)"/>
      <w:numFmt w:val="upperLetter"/>
      <w:start w:val="8"/>
    </w:lvl>
  </w:abstractNum>
  <w:abstractNum w:abstractNumId="108">
    <w:nsid w:val="327B517E"/>
    <w:multiLevelType w:val="hybridMultilevel"/>
    <w:lvl w:ilvl="0">
      <w:lvlJc w:val="left"/>
      <w:lvlText w:val="(%1)"/>
      <w:numFmt w:val="decimal"/>
      <w:start w:val="1"/>
    </w:lvl>
  </w:abstractNum>
  <w:abstractNum w:abstractNumId="109">
    <w:nsid w:val="1F461B51"/>
    <w:multiLevelType w:val="hybridMultilevel"/>
    <w:lvl w:ilvl="0">
      <w:lvlJc w:val="left"/>
      <w:lvlText w:val="(%1)"/>
      <w:numFmt w:val="upperLetter"/>
      <w:start w:val="1"/>
    </w:lvl>
  </w:abstractNum>
  <w:abstractNum w:abstractNumId="110">
    <w:nsid w:val="29BACF25"/>
    <w:multiLevelType w:val="hybridMultilevel"/>
    <w:lvl w:ilvl="0">
      <w:lvlJc w:val="left"/>
      <w:lvlText w:val="(%1)"/>
      <w:numFmt w:val="lowerLetter"/>
      <w:start w:val="1"/>
    </w:lvl>
  </w:abstractNum>
  <w:abstractNum w:abstractNumId="111">
    <w:nsid w:val="5D5BABB3"/>
    <w:multiLevelType w:val="hybridMultilevel"/>
    <w:lvl w:ilvl="0">
      <w:lvlJc w:val="left"/>
      <w:lvlText w:val="(%1)"/>
      <w:numFmt w:val="lowerLetter"/>
      <w:start w:val="3"/>
    </w:lvl>
  </w:abstractNum>
  <w:abstractNum w:abstractNumId="112">
    <w:nsid w:val="51BF6B48"/>
    <w:multiLevelType w:val="hybridMultilevel"/>
    <w:lvl w:ilvl="0">
      <w:lvlJc w:val="left"/>
      <w:lvlText w:val="(%1)"/>
      <w:numFmt w:val="lowerRoman"/>
      <w:start w:val="10"/>
    </w:lvl>
  </w:abstractNum>
  <w:abstractNum w:abstractNumId="113">
    <w:nsid w:val="7E0F6384"/>
    <w:multiLevelType w:val="hybridMultilevel"/>
    <w:lvl w:ilvl="0">
      <w:lvlJc w:val="left"/>
      <w:lvlText w:val="(%1)"/>
      <w:numFmt w:val="decimal"/>
      <w:start w:val="12"/>
    </w:lvl>
  </w:abstractNum>
  <w:abstractNum w:abstractNumId="114">
    <w:nsid w:val="2B4B8B53"/>
    <w:multiLevelType w:val="hybridMultilevel"/>
    <w:lvl w:ilvl="0">
      <w:lvlJc w:val="left"/>
      <w:lvlText w:val="%1."/>
      <w:numFmt w:val="decimal"/>
      <w:start w:val="1"/>
    </w:lvl>
  </w:abstractNum>
  <w:abstractNum w:abstractNumId="115">
    <w:nsid w:val="72E3413A"/>
    <w:multiLevelType w:val="hybridMultilevel"/>
    <w:lvl w:ilvl="0">
      <w:lvlJc w:val="left"/>
      <w:lvlText w:val="%1."/>
      <w:numFmt w:val="decimal"/>
      <w:start w:val="1"/>
    </w:lvl>
  </w:abstractNum>
  <w:abstractNum w:abstractNumId="116">
    <w:nsid w:val="116AE494"/>
    <w:multiLevelType w:val="hybridMultilevel"/>
    <w:lvl w:ilvl="0">
      <w:lvlJc w:val="left"/>
      <w:lvlText w:val="(%1)"/>
      <w:numFmt w:val="decimal"/>
      <w:start w:val="5"/>
    </w:lvl>
  </w:abstractNum>
  <w:abstractNum w:abstractNumId="117">
    <w:nsid w:val="3494B2FB"/>
    <w:multiLevelType w:val="hybridMultilevel"/>
    <w:lvl w:ilvl="0">
      <w:lvlJc w:val="left"/>
      <w:lvlText w:val="(%1)"/>
      <w:numFmt w:val="lowerLetter"/>
      <w:start w:val="2"/>
    </w:lvl>
  </w:abstractNum>
  <w:abstractNum w:abstractNumId="118">
    <w:nsid w:val="B13A31"/>
    <w:multiLevelType w:val="hybridMultilevel"/>
    <w:lvl w:ilvl="0">
      <w:lvlJc w:val="left"/>
      <w:lvlText w:val="(%1)"/>
      <w:numFmt w:val="lowerLetter"/>
      <w:start w:val="1"/>
    </w:lvl>
  </w:abstractNum>
  <w:abstractNum w:abstractNumId="119">
    <w:nsid w:val="64429599"/>
    <w:multiLevelType w:val="hybridMultilevel"/>
    <w:lvl w:ilvl="0">
      <w:lvlJc w:val="left"/>
      <w:lvlText w:val="(%1)"/>
      <w:numFmt w:val="lowerLetter"/>
      <w:start w:val="1"/>
    </w:lvl>
  </w:abstractNum>
  <w:abstractNum w:abstractNumId="120">
    <w:nsid w:val="631F1690"/>
    <w:multiLevelType w:val="hybridMultilevel"/>
    <w:lvl w:ilvl="0">
      <w:lvlJc w:val="left"/>
      <w:lvlText w:val="(%1)"/>
      <w:numFmt w:val="lowerRoman"/>
      <w:start w:val="2"/>
    </w:lvl>
  </w:abstractNum>
  <w:abstractNum w:abstractNumId="121">
    <w:nsid w:val="25973E32"/>
    <w:multiLevelType w:val="hybridMultilevel"/>
    <w:lvl w:ilvl="0">
      <w:lvlJc w:val="left"/>
      <w:lvlText w:val="(%1)"/>
      <w:numFmt w:val="lowerLetter"/>
      <w:start w:val="2"/>
    </w:lvl>
  </w:abstractNum>
  <w:abstractNum w:abstractNumId="122">
    <w:nsid w:val="EAD6F57"/>
    <w:multiLevelType w:val="hybridMultilevel"/>
    <w:lvl w:ilvl="0">
      <w:lvlJc w:val="left"/>
      <w:lvlText w:val="(%1)"/>
      <w:numFmt w:val="lowerLetter"/>
      <w:start w:val="1"/>
    </w:lvl>
  </w:abstractNum>
  <w:abstractNum w:abstractNumId="123">
    <w:nsid w:val="6EC9D844"/>
    <w:multiLevelType w:val="hybridMultilevel"/>
    <w:lvl w:ilvl="0">
      <w:lvlJc w:val="left"/>
      <w:lvlText w:val="(%1)"/>
      <w:numFmt w:val="lowerLetter"/>
      <w:start w:val="2"/>
    </w:lvl>
  </w:abstractNum>
  <w:abstractNum w:abstractNumId="124">
    <w:nsid w:val="5C49EAEE"/>
    <w:multiLevelType w:val="hybridMultilevel"/>
    <w:lvl w:ilvl="0">
      <w:lvlJc w:val="left"/>
      <w:lvlText w:val="(%1)"/>
      <w:numFmt w:val="lowerRoman"/>
      <w:start w:val="1"/>
    </w:lvl>
  </w:abstractNum>
  <w:abstractNum w:abstractNumId="125">
    <w:nsid w:val="64AF49B"/>
    <w:multiLevelType w:val="hybridMultilevel"/>
    <w:lvl w:ilvl="0">
      <w:lvlJc w:val="left"/>
      <w:lvlText w:val="(%1)"/>
      <w:numFmt w:val="lowerRoman"/>
      <w:start w:val="2"/>
    </w:lvl>
  </w:abstractNum>
  <w:abstractNum w:abstractNumId="126">
    <w:nsid w:val="397C46BC"/>
    <w:multiLevelType w:val="hybridMultilevel"/>
    <w:lvl w:ilvl="0">
      <w:lvlJc w:val="left"/>
      <w:lvlText w:val="(%1)"/>
      <w:numFmt w:val="lowerLetter"/>
      <w:start w:val="1"/>
    </w:lvl>
  </w:abstractNum>
  <w:abstractNum w:abstractNumId="127">
    <w:nsid w:val="7E448DE9"/>
    <w:multiLevelType w:val="hybridMultilevel"/>
    <w:lvl w:ilvl="0">
      <w:lvlJc w:val="left"/>
      <w:lvlText w:val="%1"/>
      <w:numFmt w:val="lowerLetter"/>
      <w:start w:val="1"/>
    </w:lvl>
    <w:lvl w:ilvl="1">
      <w:lvlJc w:val="left"/>
      <w:lvlText w:val="(%2)"/>
      <w:numFmt w:val="lowerLetter"/>
      <w:start w:val="3"/>
    </w:lvl>
  </w:abstractNum>
  <w:abstractNum w:abstractNumId="128">
    <w:nsid w:val="5A9CC3E5"/>
    <w:multiLevelType w:val="hybridMultilevel"/>
    <w:lvl w:ilvl="0">
      <w:lvlJc w:val="left"/>
      <w:lvlText w:val="(%1)"/>
      <w:numFmt w:val="lowerLetter"/>
      <w:start w:val="61"/>
    </w:lvl>
    <w:lvl w:ilvl="1">
      <w:lvlJc w:val="left"/>
      <w:lvlText w:val="(%2)"/>
      <w:numFmt w:val="lowerLetter"/>
      <w:start w:val="4"/>
    </w:lvl>
  </w:abstractNum>
  <w:abstractNum w:abstractNumId="129">
    <w:nsid w:val="1AFE3625"/>
    <w:multiLevelType w:val="hybridMultilevel"/>
    <w:lvl w:ilvl="0">
      <w:lvlJc w:val="left"/>
      <w:lvlText w:val="(%1)"/>
      <w:numFmt w:val="lowerRoman"/>
      <w:start w:val="1"/>
    </w:lvl>
  </w:abstractNum>
  <w:abstractNum w:abstractNumId="130">
    <w:nsid w:val="3CA88ECF"/>
    <w:multiLevelType w:val="hybridMultilevel"/>
    <w:lvl w:ilvl="0">
      <w:lvlJc w:val="left"/>
      <w:lvlText w:val="(%1)"/>
      <w:numFmt w:val="lowerRoman"/>
      <w:start w:val="2"/>
    </w:lvl>
  </w:abstractNum>
  <w:abstractNum w:abstractNumId="131">
    <w:nsid w:val="6EBE4208"/>
    <w:multiLevelType w:val="hybridMultilevel"/>
    <w:lvl w:ilvl="0">
      <w:lvlJc w:val="left"/>
      <w:lvlText w:val="(%1)"/>
      <w:numFmt w:val="lowerLetter"/>
      <w:start w:val="1"/>
    </w:lvl>
  </w:abstractNum>
  <w:abstractNum w:abstractNumId="132">
    <w:nsid w:val="C058DF5"/>
    <w:multiLevelType w:val="hybridMultilevel"/>
    <w:lvl w:ilvl="0">
      <w:lvlJc w:val="left"/>
      <w:lvlText w:val="(%1)"/>
      <w:numFmt w:val="lowerLetter"/>
      <w:start w:val="3"/>
    </w:lvl>
  </w:abstractNum>
  <w:abstractNum w:abstractNumId="133">
    <w:nsid w:val="CBE5BE9"/>
    <w:multiLevelType w:val="hybridMultilevel"/>
    <w:lvl w:ilvl="0">
      <w:lvlJc w:val="left"/>
      <w:lvlText w:val="(%1)"/>
      <w:numFmt w:val="lowerLetter"/>
      <w:start w:val="1"/>
    </w:lvl>
  </w:abstractNum>
  <w:abstractNum w:abstractNumId="134">
    <w:nsid w:val="3102BBE2"/>
    <w:multiLevelType w:val="hybridMultilevel"/>
    <w:lvl w:ilvl="0">
      <w:lvlJc w:val="left"/>
      <w:lvlText w:val="(%1)"/>
      <w:numFmt w:val="lowerLetter"/>
      <w:start w:val="1"/>
    </w:lvl>
  </w:abstractNum>
  <w:abstractNum w:abstractNumId="135">
    <w:nsid w:val="26A02C5E"/>
    <w:multiLevelType w:val="hybridMultilevel"/>
    <w:lvl w:ilvl="0">
      <w:lvlJc w:val="left"/>
      <w:lvlText w:val="(%1)"/>
      <w:numFmt w:val="lowerLetter"/>
      <w:start w:val="1"/>
    </w:lvl>
  </w:abstractNum>
  <w:abstractNum w:abstractNumId="136">
    <w:nsid w:val="541C8153"/>
    <w:multiLevelType w:val="hybridMultilevel"/>
    <w:lvl w:ilvl="0">
      <w:lvlJc w:val="left"/>
      <w:lvlText w:val="(%1)"/>
      <w:numFmt w:val="lowerLetter"/>
      <w:start w:val="3"/>
    </w:lvl>
  </w:abstractNum>
  <w:abstractNum w:abstractNumId="137">
    <w:nsid w:val="67906F60"/>
    <w:multiLevelType w:val="hybridMultilevel"/>
    <w:lvl w:ilvl="0">
      <w:lvlJc w:val="left"/>
      <w:lvlText w:val="(%1)"/>
      <w:numFmt w:val="lowerLetter"/>
      <w:start w:val="1"/>
    </w:lvl>
    <w:lvl w:ilvl="1">
      <w:lvlJc w:val="left"/>
      <w:lvlText w:val="(%2)"/>
      <w:numFmt w:val="lowerRoman"/>
      <w:start w:val="1"/>
    </w:lvl>
  </w:abstractNum>
  <w:abstractNum w:abstractNumId="138">
    <w:nsid w:val="10DB9DAA"/>
    <w:multiLevelType w:val="hybridMultilevel"/>
    <w:lvl w:ilvl="0">
      <w:lvlJc w:val="left"/>
      <w:lvlText w:val="(%1)"/>
      <w:numFmt w:val="lowerLetter"/>
      <w:start w:val="3"/>
    </w:lvl>
  </w:abstractNum>
  <w:abstractNum w:abstractNumId="139">
    <w:nsid w:val="697D2D2"/>
    <w:multiLevelType w:val="hybridMultilevel"/>
    <w:lvl w:ilvl="0">
      <w:lvlJc w:val="left"/>
      <w:lvlText w:val="%1"/>
      <w:numFmt w:val="lowerLetter"/>
      <w:start w:val="1"/>
    </w:lvl>
    <w:lvl w:ilvl="1">
      <w:lvlJc w:val="left"/>
      <w:lvlText w:val="(%2)"/>
      <w:numFmt w:val="lowerRoman"/>
      <w:start w:val="1"/>
    </w:lvl>
  </w:abstractNum>
  <w:abstractNum w:abstractNumId="140">
    <w:nsid w:val="6D68AB2"/>
    <w:multiLevelType w:val="hybridMultilevel"/>
    <w:lvl w:ilvl="0">
      <w:lvlJc w:val="left"/>
      <w:lvlText w:val="(%1)"/>
      <w:numFmt w:val="lowerLetter"/>
      <w:start w:val="4"/>
    </w:lvl>
    <w:lvl w:ilvl="1">
      <w:lvlJc w:val="left"/>
      <w:lvlText w:val="%2"/>
      <w:numFmt w:val="lowerRoman"/>
      <w:start w:val="1"/>
    </w:lvl>
  </w:abstractNum>
  <w:abstractNum w:abstractNumId="141">
    <w:nsid w:val="3A966CD0"/>
    <w:multiLevelType w:val="hybridMultilevel"/>
    <w:lvl w:ilvl="0">
      <w:lvlJc w:val="left"/>
      <w:lvlText w:val="(%1)"/>
      <w:numFmt w:val="lowerLetter"/>
      <w:start w:val="1"/>
    </w:lvl>
  </w:abstractNum>
  <w:abstractNum w:abstractNumId="142">
    <w:nsid w:val="63F37E85"/>
    <w:multiLevelType w:val="hybridMultilevel"/>
    <w:lvl w:ilvl="0">
      <w:lvlJc w:val="left"/>
      <w:lvlText w:val="(%1)"/>
      <w:numFmt w:val="lowerRoman"/>
      <w:start w:val="1"/>
    </w:lvl>
  </w:abstractNum>
  <w:abstractNum w:abstractNumId="143">
    <w:nsid w:val="5895F5FA"/>
    <w:multiLevelType w:val="hybridMultilevel"/>
    <w:lvl w:ilvl="0">
      <w:lvlJc w:val="left"/>
      <w:lvlText w:val="(%1)"/>
      <w:numFmt w:val="lowerLetter"/>
      <w:start w:val="2"/>
    </w:lvl>
  </w:abstractNum>
  <w:abstractNum w:abstractNumId="144">
    <w:nsid w:val="38A5D054"/>
    <w:multiLevelType w:val="hybridMultilevel"/>
    <w:lvl w:ilvl="0">
      <w:lvlJc w:val="left"/>
      <w:lvlText w:val="(%1)"/>
      <w:numFmt w:val="lowerLetter"/>
      <w:start w:val="9"/>
    </w:lvl>
    <w:lvl w:ilvl="1">
      <w:lvlJc w:val="left"/>
      <w:lvlText w:val="(%2)"/>
      <w:numFmt w:val="lowerRoman"/>
      <w:start w:val="2"/>
    </w:lvl>
  </w:abstractNum>
  <w:abstractNum w:abstractNumId="145">
    <w:nsid w:val="F3F09D8"/>
    <w:multiLevelType w:val="hybridMultilevel"/>
    <w:lvl w:ilvl="0">
      <w:lvlJc w:val="left"/>
      <w:lvlText w:val="(%1)"/>
      <w:numFmt w:val="lowerLetter"/>
      <w:start w:val="3"/>
    </w:lvl>
    <w:lvl w:ilvl="1">
      <w:lvlJc w:val="left"/>
      <w:lvlText w:val="%2"/>
      <w:numFmt w:val="lowerRoman"/>
      <w:start w:val="1"/>
    </w:lvl>
  </w:abstractNum>
  <w:abstractNum w:abstractNumId="146">
    <w:nsid w:val="4B793735"/>
    <w:multiLevelType w:val="hybridMultilevel"/>
    <w:lvl w:ilvl="0">
      <w:lvlJc w:val="left"/>
      <w:lvlText w:val="(%1)"/>
      <w:numFmt w:val="lowerLetter"/>
      <w:start w:val="1"/>
    </w:lvl>
  </w:abstractNum>
  <w:abstractNum w:abstractNumId="147">
    <w:nsid w:val="4A10B4E8"/>
    <w:multiLevelType w:val="hybridMultilevel"/>
    <w:lvl w:ilvl="0">
      <w:lvlJc w:val="left"/>
      <w:lvlText w:val="(%1)"/>
      <w:numFmt w:val="lowerLetter"/>
      <w:start w:val="3"/>
    </w:lvl>
  </w:abstractNum>
  <w:abstractNum w:abstractNumId="148">
    <w:nsid w:val="43D3BCD4"/>
    <w:multiLevelType w:val="hybridMultilevel"/>
    <w:lvl w:ilvl="0">
      <w:lvlJc w:val="left"/>
      <w:lvlText w:val="(%1)"/>
      <w:numFmt w:val="lowerRoman"/>
      <w:start w:val="1"/>
    </w:lvl>
  </w:abstractNum>
  <w:abstractNum w:abstractNumId="149">
    <w:nsid w:val="4C2A7166"/>
    <w:multiLevelType w:val="hybridMultilevel"/>
    <w:lvl w:ilvl="0">
      <w:lvlJc w:val="left"/>
      <w:lvlText w:val="(%1)"/>
      <w:numFmt w:val="lowerLetter"/>
      <w:start w:val="1"/>
    </w:lvl>
  </w:abstractNum>
  <w:abstractNum w:abstractNumId="150">
    <w:nsid w:val="2E534A82"/>
    <w:multiLevelType w:val="hybridMultilevel"/>
    <w:lvl w:ilvl="0">
      <w:lvlJc w:val="left"/>
      <w:lvlText w:val="(%1)"/>
      <w:numFmt w:val="decimal"/>
      <w:start w:val="30"/>
    </w:lvl>
  </w:abstractNum>
  <w:abstractNum w:abstractNumId="151">
    <w:nsid w:val="26F2D364"/>
    <w:multiLevelType w:val="hybridMultilevel"/>
    <w:lvl w:ilvl="0">
      <w:lvlJc w:val="left"/>
      <w:lvlText w:val="(%1)"/>
      <w:numFmt w:val="lowerLetter"/>
      <w:start w:val="1"/>
    </w:lvl>
  </w:abstractNum>
  <w:abstractNum w:abstractNumId="152">
    <w:nsid w:val="71C1AF98"/>
    <w:multiLevelType w:val="hybridMultilevel"/>
    <w:lvl w:ilvl="0">
      <w:lvlJc w:val="left"/>
      <w:lvlText w:val="(%1)"/>
      <w:numFmt w:val="lowerLetter"/>
      <w:start w:val="3"/>
    </w:lvl>
  </w:abstractNum>
  <w:abstractNum w:abstractNumId="153">
    <w:nsid w:val="3D00B9D9"/>
    <w:multiLevelType w:val="hybridMultilevel"/>
    <w:lvl w:ilvl="0">
      <w:lvlJc w:val="left"/>
      <w:lvlText w:val="(%1)"/>
      <w:numFmt w:val="lowerLetter"/>
      <w:start w:val="1"/>
    </w:lvl>
  </w:abstractNum>
  <w:abstractNum w:abstractNumId="154">
    <w:nsid w:val="15BCABA8"/>
    <w:multiLevelType w:val="hybridMultilevel"/>
    <w:lvl w:ilvl="0">
      <w:lvlJc w:val="left"/>
      <w:lvlText w:val="(%1)"/>
      <w:numFmt w:val="lowerLetter"/>
      <w:start w:val="1"/>
    </w:lvl>
  </w:abstractNum>
  <w:abstractNum w:abstractNumId="155">
    <w:nsid w:val="4E0B9A87"/>
    <w:multiLevelType w:val="hybridMultilevel"/>
    <w:lvl w:ilvl="0">
      <w:lvlJc w:val="left"/>
      <w:lvlText w:val="(%1)"/>
      <w:numFmt w:val="lowerLetter"/>
      <w:start w:val="1"/>
    </w:lvl>
  </w:abstractNum>
  <w:abstractNum w:abstractNumId="156">
    <w:nsid w:val="434BAE75"/>
    <w:multiLevelType w:val="hybridMultilevel"/>
    <w:lvl w:ilvl="0">
      <w:lvlJc w:val="left"/>
      <w:lvlText w:val="(%1)"/>
      <w:numFmt w:val="lowerLetter"/>
      <w:start w:val="2"/>
    </w:lvl>
  </w:abstractNum>
  <w:abstractNum w:abstractNumId="157">
    <w:nsid w:val="4F38F265"/>
    <w:multiLevelType w:val="hybridMultilevel"/>
    <w:lvl w:ilvl="0">
      <w:lvlJc w:val="left"/>
      <w:lvlText w:val="(%1)"/>
      <w:numFmt w:val="lowerRoman"/>
      <w:start w:val="1"/>
    </w:lvl>
  </w:abstractNum>
  <w:abstractNum w:abstractNumId="158">
    <w:nsid w:val="4C502870"/>
    <w:multiLevelType w:val="hybridMultilevel"/>
    <w:lvl w:ilvl="0">
      <w:lvlJc w:val="left"/>
      <w:lvlText w:val="(%1)"/>
      <w:numFmt w:val="lowerLetter"/>
      <w:start w:val="1"/>
    </w:lvl>
  </w:abstractNum>
  <w:abstractNum w:abstractNumId="159">
    <w:nsid w:val="1DE8725A"/>
    <w:multiLevelType w:val="hybridMultilevel"/>
    <w:lvl w:ilvl="0">
      <w:lvlJc w:val="left"/>
      <w:lvlText w:val="$"/>
      <w:numFmt w:val="bullet"/>
      <w:start w:val="1"/>
    </w:lvl>
  </w:abstractNum>
  <w:abstractNum w:abstractNumId="160">
    <w:nsid w:val="6A37288A"/>
    <w:multiLevelType w:val="hybridMultilevel"/>
    <w:lvl w:ilvl="0">
      <w:lvlJc w:val="left"/>
      <w:lvlText w:val="(%1)"/>
      <w:numFmt w:val="lowerLetter"/>
      <w:start w:val="1"/>
    </w:lvl>
  </w:abstractNum>
  <w:abstractNum w:abstractNumId="161">
    <w:nsid w:val="8F8B73F"/>
    <w:multiLevelType w:val="hybridMultilevel"/>
    <w:lvl w:ilvl="0">
      <w:lvlJc w:val="left"/>
      <w:lvlText w:val="(%1)"/>
      <w:numFmt w:val="lowerLetter"/>
      <w:start w:val="9"/>
    </w:lvl>
    <w:lvl w:ilvl="1">
      <w:lvlJc w:val="left"/>
      <w:lvlText w:val="(%2)"/>
      <w:numFmt w:val="lowerLetter"/>
      <w:start w:val="9"/>
    </w:lvl>
  </w:abstractNum>
  <w:abstractNum w:abstractNumId="162">
    <w:nsid w:val="CA6B462"/>
    <w:multiLevelType w:val="hybridMultilevel"/>
    <w:lvl w:ilvl="0">
      <w:lvlJc w:val="left"/>
      <w:lvlText w:val="(%1)"/>
      <w:numFmt w:val="lowerRoman"/>
      <w:start w:val="2"/>
    </w:lvl>
  </w:abstractNum>
  <w:abstractNum w:abstractNumId="163">
    <w:nsid w:val="763CB680"/>
    <w:multiLevelType w:val="hybridMultilevel"/>
    <w:lvl w:ilvl="0">
      <w:lvlJc w:val="left"/>
      <w:lvlText w:val="(%1)"/>
      <w:numFmt w:val="lowerLetter"/>
      <w:start w:val="11"/>
    </w:lvl>
  </w:abstractNum>
  <w:abstractNum w:abstractNumId="164">
    <w:nsid w:val="15B71329"/>
    <w:multiLevelType w:val="hybridMultilevel"/>
    <w:lvl w:ilvl="0">
      <w:lvlJc w:val="left"/>
      <w:lvlText w:val="(%1)"/>
      <w:numFmt w:val="lowerLetter"/>
      <w:start w:val="16"/>
    </w:lvl>
  </w:abstractNum>
  <w:abstractNum w:abstractNumId="165">
    <w:nsid w:val="3DA97044"/>
    <w:multiLevelType w:val="hybridMultilevel"/>
    <w:lvl w:ilvl="0">
      <w:lvlJc w:val="left"/>
      <w:lvlText w:val="(%1)"/>
      <w:numFmt w:val="lowerRoman"/>
      <w:start w:val="5"/>
    </w:lvl>
  </w:abstractNum>
  <w:abstractNum w:abstractNumId="166">
    <w:nsid w:val="1CDCE2DE"/>
    <w:multiLevelType w:val="hybridMultilevel"/>
    <w:lvl w:ilvl="0">
      <w:lvlJc w:val="left"/>
      <w:lvlText w:val="(%1)"/>
      <w:numFmt w:val="lowerLetter"/>
      <w:start w:val="23"/>
    </w:lvl>
  </w:abstractNum>
  <w:abstractNum w:abstractNumId="167">
    <w:nsid w:val="69D3947C"/>
    <w:multiLevelType w:val="hybridMultilevel"/>
    <w:lvl w:ilvl="0">
      <w:lvlJc w:val="left"/>
      <w:lvlText w:val="(%1)"/>
      <w:numFmt w:val="lowerLetter"/>
      <w:start w:val="27"/>
    </w:lvl>
  </w:abstractNum>
  <w:abstractNum w:abstractNumId="168">
    <w:nsid w:val="2539DFA5"/>
    <w:multiLevelType w:val="hybridMultilevel"/>
    <w:lvl w:ilvl="0">
      <w:lvlJc w:val="left"/>
      <w:lvlText w:val="(%1)"/>
      <w:numFmt w:val="lowerLetter"/>
      <w:start w:val="36"/>
    </w:lvl>
  </w:abstractNum>
  <w:abstractNum w:abstractNumId="169">
    <w:nsid w:val="2DB88089"/>
    <w:multiLevelType w:val="hybridMultilevel"/>
    <w:lvl w:ilvl="0">
      <w:lvlJc w:val="left"/>
      <w:lvlText w:val="(%1)"/>
      <w:numFmt w:val="lowerLetter"/>
      <w:start w:val="1"/>
    </w:lvl>
  </w:abstractNum>
  <w:abstractNum w:abstractNumId="170">
    <w:nsid w:val="706B674E"/>
    <w:multiLevelType w:val="hybridMultilevel"/>
    <w:lvl w:ilvl="0">
      <w:lvlJc w:val="left"/>
      <w:lvlText w:val="%1"/>
      <w:numFmt w:val="lowerRoman"/>
      <w:start w:val="1"/>
    </w:lvl>
    <w:lvl w:ilvl="1">
      <w:lvlJc w:val="left"/>
      <w:lvlText w:val="(%2)"/>
      <w:numFmt w:val="lowerLetter"/>
      <w:start w:val="1"/>
    </w:lvl>
  </w:abstractNum>
  <w:abstractNum w:abstractNumId="171">
    <w:nsid w:val="2C106A57"/>
    <w:multiLevelType w:val="hybridMultilevel"/>
    <w:lvl w:ilvl="0">
      <w:lvlJc w:val="left"/>
      <w:lvlText w:val="(%1)"/>
      <w:numFmt w:val="lowerRoman"/>
      <w:start w:val="9"/>
    </w:lvl>
    <w:lvl w:ilvl="1">
      <w:lvlJc w:val="left"/>
      <w:lvlText w:val="%2"/>
      <w:numFmt w:val="lowerLetter"/>
      <w:start w:val="1"/>
    </w:lvl>
  </w:abstractNum>
  <w:abstractNum w:abstractNumId="172">
    <w:nsid w:val="684EED59"/>
    <w:multiLevelType w:val="hybridMultilevel"/>
    <w:lvl w:ilvl="0">
      <w:lvlJc w:val="left"/>
      <w:lvlText w:val="(%1)"/>
      <w:numFmt w:val="lowerLetter"/>
      <w:start w:val="4"/>
    </w:lvl>
  </w:abstractNum>
  <w:abstractNum w:abstractNumId="173">
    <w:nsid w:val="545EE5D3"/>
    <w:multiLevelType w:val="hybridMultilevel"/>
    <w:lvl w:ilvl="0">
      <w:lvlJc w:val="left"/>
      <w:lvlText w:val="(%1)"/>
      <w:numFmt w:val="lowerLetter"/>
      <w:start w:val="1"/>
    </w:lvl>
  </w:abstractNum>
  <w:abstractNum w:abstractNumId="174">
    <w:nsid w:val="4A66051"/>
    <w:multiLevelType w:val="hybridMultilevel"/>
    <w:lvl w:ilvl="0">
      <w:lvlJc w:val="left"/>
      <w:lvlText w:val="(%1)"/>
      <w:numFmt w:val="lowerRoman"/>
      <w:start w:val="1"/>
    </w:lvl>
  </w:abstractNum>
  <w:abstractNum w:abstractNumId="175">
    <w:nsid w:val="20F4BDAD"/>
    <w:multiLevelType w:val="hybridMultilevel"/>
    <w:lvl w:ilvl="0">
      <w:lvlJc w:val="left"/>
      <w:lvlText w:val="(%1)"/>
      <w:numFmt w:val="lowerLetter"/>
      <w:start w:val="4"/>
    </w:lvl>
  </w:abstractNum>
  <w:abstractNum w:abstractNumId="176">
    <w:nsid w:val="639DEFAC"/>
    <w:multiLevelType w:val="hybridMultilevel"/>
    <w:lvl w:ilvl="0">
      <w:lvlJc w:val="left"/>
      <w:lvlText w:val="(%1)"/>
      <w:numFmt w:val="lowerLetter"/>
      <w:start w:val="1"/>
    </w:lvl>
  </w:abstractNum>
  <w:abstractNum w:abstractNumId="177">
    <w:nsid w:val="501F9786"/>
    <w:multiLevelType w:val="hybridMultilevel"/>
    <w:lvl w:ilvl="0">
      <w:lvlJc w:val="left"/>
      <w:lvlText w:val="(%1)"/>
      <w:numFmt w:val="lowerLetter"/>
      <w:start w:val="1"/>
    </w:lvl>
  </w:abstractNum>
  <w:abstractNum w:abstractNumId="178">
    <w:nsid w:val="6B057295"/>
    <w:multiLevelType w:val="hybridMultilevel"/>
    <w:lvl w:ilvl="0">
      <w:lvlJc w:val="left"/>
      <w:lvlText w:val="(%1)"/>
      <w:numFmt w:val="lowerLetter"/>
      <w:start w:val="4"/>
    </w:lvl>
  </w:abstractNum>
  <w:abstractNum w:abstractNumId="179">
    <w:nsid w:val="2771AC80"/>
    <w:multiLevelType w:val="hybridMultilevel"/>
    <w:lvl w:ilvl="0">
      <w:lvlJc w:val="left"/>
      <w:lvlText w:val="(%1)"/>
      <w:numFmt w:val="lowerLetter"/>
      <w:start w:val="1"/>
    </w:lvl>
  </w:abstractNum>
  <w:abstractNum w:abstractNumId="180">
    <w:nsid w:val="1C4A08EC"/>
    <w:multiLevelType w:val="hybridMultilevel"/>
    <w:lvl w:ilvl="0">
      <w:lvlJc w:val="left"/>
      <w:lvlText w:val="(%1)"/>
      <w:numFmt w:val="lowerLetter"/>
      <w:start w:val="1"/>
    </w:lvl>
  </w:abstractNum>
  <w:abstractNum w:abstractNumId="181">
    <w:nsid w:val="1958BD17"/>
    <w:multiLevelType w:val="hybridMultilevel"/>
    <w:lvl w:ilvl="0">
      <w:lvlJc w:val="left"/>
      <w:lvlText w:val="(%1)"/>
      <w:numFmt w:val="lowerLetter"/>
      <w:start w:val="1"/>
    </w:lvl>
  </w:abstractNum>
  <w:abstractNum w:abstractNumId="182">
    <w:nsid w:val="4E647FE4"/>
    <w:multiLevelType w:val="hybridMultilevel"/>
    <w:lvl w:ilvl="0">
      <w:lvlJc w:val="left"/>
      <w:lvlText w:val="(%1)"/>
      <w:numFmt w:val="lowerLetter"/>
      <w:start w:val="2"/>
    </w:lvl>
  </w:abstractNum>
  <w:abstractNum w:abstractNumId="183">
    <w:nsid w:val="E0BB885"/>
    <w:multiLevelType w:val="hybridMultilevel"/>
    <w:lvl w:ilvl="0">
      <w:lvlJc w:val="left"/>
      <w:lvlText w:val="(%1)"/>
      <w:numFmt w:val="lowerLetter"/>
      <w:start w:val="1"/>
    </w:lvl>
    <w:lvl w:ilvl="1">
      <w:lvlJc w:val="left"/>
      <w:lvlText w:val="(%2)"/>
      <w:numFmt w:val="lowerRoman"/>
      <w:start w:val="1"/>
    </w:lvl>
  </w:abstractNum>
  <w:abstractNum w:abstractNumId="184">
    <w:nsid w:val="565976F1"/>
    <w:multiLevelType w:val="hybridMultilevel"/>
    <w:lvl w:ilvl="0">
      <w:lvlJc w:val="left"/>
      <w:lvlText w:val="(%1)"/>
      <w:numFmt w:val="lowerRoman"/>
      <w:start w:val="4"/>
    </w:lvl>
  </w:abstractNum>
  <w:abstractNum w:abstractNumId="185">
    <w:nsid w:val="64212B8C"/>
    <w:multiLevelType w:val="hybridMultilevel"/>
    <w:lvl w:ilvl="0">
      <w:lvlJc w:val="left"/>
      <w:lvlText w:val="(%1)"/>
      <w:numFmt w:val="lowerLetter"/>
      <w:start w:val="1"/>
    </w:lvl>
  </w:abstractNum>
  <w:abstractNum w:abstractNumId="186">
    <w:nsid w:val="5C17530C"/>
    <w:multiLevelType w:val="hybridMultilevel"/>
    <w:lvl w:ilvl="0">
      <w:lvlJc w:val="left"/>
      <w:lvlText w:val="(%1)"/>
      <w:numFmt w:val="lowerLetter"/>
      <w:start w:val="4"/>
    </w:lvl>
  </w:abstractNum>
  <w:abstractNum w:abstractNumId="187">
    <w:nsid w:val="19A52566"/>
    <w:multiLevelType w:val="hybridMultilevel"/>
    <w:lvl w:ilvl="0">
      <w:lvlJc w:val="left"/>
      <w:lvlText w:val="%1"/>
      <w:numFmt w:val="lowerLetter"/>
      <w:start w:val="1"/>
    </w:lvl>
    <w:lvl w:ilvl="1">
      <w:lvlJc w:val="left"/>
      <w:lvlText w:val="(%2)"/>
      <w:numFmt w:val="lowerLetter"/>
      <w:start w:val="1"/>
    </w:lvl>
  </w:abstractNum>
  <w:abstractNum w:abstractNumId="188">
    <w:nsid w:val="335A1DF1"/>
    <w:multiLevelType w:val="hybridMultilevel"/>
    <w:lvl w:ilvl="0">
      <w:lvlJc w:val="left"/>
      <w:lvlText w:val="(%1)"/>
      <w:numFmt w:val="lowerLetter"/>
      <w:start w:val="25"/>
    </w:lvl>
    <w:lvl w:ilvl="1">
      <w:lvlJc w:val="left"/>
      <w:lvlText w:val="(%2)"/>
      <w:numFmt w:val="lowerLetter"/>
      <w:start w:val="2"/>
    </w:lvl>
  </w:abstractNum>
  <w:abstractNum w:abstractNumId="189">
    <w:nsid w:val="28677B7C"/>
    <w:multiLevelType w:val="hybridMultilevel"/>
    <w:lvl w:ilvl="0">
      <w:lvlJc w:val="left"/>
      <w:lvlText w:val="(%1)"/>
      <w:numFmt w:val="lowerLetter"/>
      <w:start w:val="61"/>
    </w:lvl>
    <w:lvl w:ilvl="1">
      <w:lvlJc w:val="left"/>
      <w:lvlText w:val="%2"/>
      <w:numFmt w:val="lowerLetter"/>
      <w:start w:val="1"/>
    </w:lvl>
  </w:abstractNum>
  <w:abstractNum w:abstractNumId="190">
    <w:nsid w:val="378D97C0"/>
    <w:multiLevelType w:val="hybridMultilevel"/>
    <w:lvl w:ilvl="0">
      <w:lvlJc w:val="left"/>
      <w:lvlText w:val="(%1)"/>
      <w:numFmt w:val="lowerLetter"/>
      <w:start w:val="1"/>
    </w:lvl>
  </w:abstractNum>
  <w:abstractNum w:abstractNumId="191">
    <w:nsid w:val="1D91467C"/>
    <w:multiLevelType w:val="hybridMultilevel"/>
    <w:lvl w:ilvl="0">
      <w:lvlJc w:val="left"/>
      <w:lvlText w:val="(%1)"/>
      <w:numFmt w:val="lowerLetter"/>
      <w:start w:val="5"/>
    </w:lvl>
  </w:abstractNum>
  <w:abstractNum w:abstractNumId="192">
    <w:nsid w:val="316032BB"/>
    <w:multiLevelType w:val="hybridMultilevel"/>
    <w:lvl w:ilvl="0">
      <w:lvlJc w:val="left"/>
      <w:lvlText w:val="(%1)"/>
      <w:numFmt w:val="lowerLetter"/>
      <w:start w:val="11"/>
    </w:lvl>
  </w:abstractNum>
  <w:abstractNum w:abstractNumId="193">
    <w:nsid w:val="44344C22"/>
    <w:multiLevelType w:val="hybridMultilevel"/>
    <w:lvl w:ilvl="0">
      <w:lvlJc w:val="left"/>
      <w:lvlText w:val="(%1)"/>
      <w:numFmt w:val="lowerLetter"/>
      <w:start w:val="1"/>
    </w:lvl>
  </w:abstractNum>
  <w:abstractNum w:abstractNumId="194">
    <w:nsid w:val="13CDFCFC"/>
    <w:multiLevelType w:val="hybridMultilevel"/>
    <w:lvl w:ilvl="0">
      <w:lvlJc w:val="left"/>
      <w:lvlText w:val="(%1)"/>
      <w:numFmt w:val="lowerLetter"/>
      <w:start w:val="2"/>
    </w:lvl>
  </w:abstractNum>
  <w:abstractNum w:abstractNumId="195">
    <w:nsid w:val="471745E4"/>
    <w:multiLevelType w:val="hybridMultilevel"/>
    <w:lvl w:ilvl="0">
      <w:lvlJc w:val="left"/>
      <w:lvlText w:val="(%1)"/>
      <w:numFmt w:val="lowerLetter"/>
      <w:start w:val="1"/>
    </w:lvl>
  </w:abstractNum>
  <w:abstractNum w:abstractNumId="196">
    <w:nsid w:val="1DDBC66"/>
    <w:multiLevelType w:val="hybridMultilevel"/>
    <w:lvl w:ilvl="0">
      <w:lvlJc w:val="left"/>
      <w:lvlText w:val="(%1)"/>
      <w:numFmt w:val="lowerLetter"/>
      <w:start w:val="1"/>
    </w:lvl>
  </w:abstractNum>
  <w:abstractNum w:abstractNumId="197">
    <w:nsid w:val="30AADFDA"/>
    <w:multiLevelType w:val="hybridMultilevel"/>
    <w:lvl w:ilvl="0">
      <w:lvlJc w:val="left"/>
      <w:lvlText w:val="%1"/>
      <w:numFmt w:val="lowerLetter"/>
      <w:start w:val="1"/>
    </w:lvl>
    <w:lvl w:ilvl="1">
      <w:lvlJc w:val="left"/>
      <w:lvlText w:val="(%2)"/>
      <w:numFmt w:val="lowerLetter"/>
      <w:start w:val="7"/>
    </w:lvl>
  </w:abstractNum>
  <w:abstractNum w:abstractNumId="198">
    <w:nsid w:val="30EADA61"/>
    <w:multiLevelType w:val="hybridMultilevel"/>
    <w:lvl w:ilvl="0">
      <w:lvlJc w:val="left"/>
      <w:lvlText w:val="(%1)"/>
      <w:numFmt w:val="lowerLetter"/>
      <w:start w:val="35"/>
    </w:lvl>
    <w:lvl w:ilvl="1">
      <w:lvlJc w:val="left"/>
      <w:lvlText w:val="(%2)"/>
      <w:numFmt w:val="lowerLetter"/>
      <w:start w:val="11"/>
    </w:lvl>
  </w:abstractNum>
  <w:abstractNum w:abstractNumId="199">
    <w:nsid w:val="27179C0B"/>
    <w:multiLevelType w:val="hybridMultilevel"/>
    <w:lvl w:ilvl="0">
      <w:lvlJc w:val="left"/>
      <w:lvlText w:val="(%1)"/>
      <w:numFmt w:val="lowerLetter"/>
      <w:start w:val="15"/>
    </w:lvl>
  </w:abstractNum>
  <w:abstractNum w:abstractNumId="200">
    <w:nsid w:val="5E636063"/>
    <w:multiLevelType w:val="hybridMultilevel"/>
    <w:lvl w:ilvl="0">
      <w:lvlJc w:val="left"/>
      <w:lvlText w:val="(%1)"/>
      <w:numFmt w:val="lowerLetter"/>
      <w:start w:val="26"/>
    </w:lvl>
  </w:abstractNum>
  <w:abstractNum w:abstractNumId="201">
    <w:nsid w:val="215641AF"/>
    <w:multiLevelType w:val="hybridMultilevel"/>
    <w:lvl w:ilvl="0">
      <w:lvlJc w:val="left"/>
      <w:lvlText w:val="(%1)"/>
      <w:numFmt w:val="lowerLetter"/>
      <w:start w:val="27"/>
    </w:lvl>
  </w:abstractNum>
  <w:abstractNum w:abstractNumId="202">
    <w:nsid w:val="53280662"/>
    <w:multiLevelType w:val="hybridMultilevel"/>
    <w:lvl w:ilvl="0">
      <w:lvlJc w:val="left"/>
      <w:lvlText w:val="(%1)"/>
      <w:numFmt w:val="lowerLetter"/>
      <w:start w:val="1"/>
    </w:lvl>
  </w:abstractNum>
  <w:abstractNum w:abstractNumId="203">
    <w:nsid w:val="46B24DBC"/>
    <w:multiLevelType w:val="hybridMultilevel"/>
    <w:lvl w:ilvl="0">
      <w:lvlJc w:val="left"/>
      <w:lvlText w:val="(%1)"/>
      <w:numFmt w:val="lowerLetter"/>
      <w:start w:val="2"/>
    </w:lvl>
  </w:abstractNum>
  <w:abstractNum w:abstractNumId="204">
    <w:nsid w:val="75B52783"/>
    <w:multiLevelType w:val="hybridMultilevel"/>
    <w:lvl w:ilvl="0">
      <w:lvlJc w:val="left"/>
      <w:lvlText w:val="(%1)"/>
      <w:numFmt w:val="lowerLetter"/>
      <w:start w:val="1"/>
    </w:lvl>
  </w:abstractNum>
  <w:abstractNum w:abstractNumId="205">
    <w:nsid w:val="57CE66B4"/>
    <w:multiLevelType w:val="hybridMultilevel"/>
    <w:lvl w:ilvl="0">
      <w:lvlJc w:val="left"/>
      <w:lvlText w:val="(%1)"/>
      <w:numFmt w:val="lowerLetter"/>
      <w:start w:val="2"/>
    </w:lvl>
  </w:abstractNum>
  <w:abstractNum w:abstractNumId="206">
    <w:nsid w:val="67A70B69"/>
    <w:multiLevelType w:val="hybridMultilevel"/>
    <w:lvl w:ilvl="0">
      <w:lvlJc w:val="left"/>
      <w:lvlText w:val="(%1)"/>
      <w:numFmt w:val="lowerLetter"/>
      <w:start w:val="1"/>
    </w:lvl>
  </w:abstractNum>
  <w:abstractNum w:abstractNumId="207">
    <w:nsid w:val="5953172F"/>
    <w:multiLevelType w:val="hybridMultilevel"/>
    <w:lvl w:ilvl="0">
      <w:lvlJc w:val="left"/>
      <w:lvlText w:val="(%1)"/>
      <w:numFmt w:val="lowerLetter"/>
      <w:start w:val="1"/>
    </w:lvl>
  </w:abstractNum>
  <w:abstractNum w:abstractNumId="208">
    <w:nsid w:val="27EDFE3A"/>
    <w:multiLevelType w:val="hybridMultilevel"/>
    <w:lvl w:ilvl="0">
      <w:lvlJc w:val="left"/>
      <w:lvlText w:val="(%1)"/>
      <w:numFmt w:val="lowerLetter"/>
      <w:start w:val="35"/>
    </w:lvl>
    <w:lvl w:ilvl="1">
      <w:lvlJc w:val="left"/>
      <w:lvlText w:val="(%2)"/>
      <w:numFmt w:val="lowerLetter"/>
      <w:start w:val="2"/>
    </w:lvl>
  </w:abstractNum>
  <w:abstractNum w:abstractNumId="209">
    <w:nsid w:val="52AC7DFF"/>
    <w:multiLevelType w:val="hybridMultilevel"/>
    <w:lvl w:ilvl="0">
      <w:lvlJc w:val="left"/>
      <w:lvlText w:val="(%1)"/>
      <w:numFmt w:val="lowerLetter"/>
      <w:start w:val="1"/>
    </w:lvl>
  </w:abstractNum>
  <w:abstractNum w:abstractNumId="210">
    <w:nsid w:val="C4C3AF"/>
    <w:multiLevelType w:val="hybridMultilevel"/>
    <w:lvl w:ilvl="0">
      <w:lvlJc w:val="left"/>
      <w:lvlText w:val="(%1)"/>
      <w:numFmt w:val="lowerLetter"/>
      <w:start w:val="2"/>
    </w:lvl>
  </w:abstractNum>
  <w:abstractNum w:abstractNumId="211">
    <w:nsid w:val="44380727"/>
    <w:multiLevelType w:val="hybridMultilevel"/>
    <w:lvl w:ilvl="0">
      <w:lvlJc w:val="left"/>
      <w:lvlText w:val="(%1)"/>
      <w:numFmt w:val="lowerLetter"/>
      <w:start w:val="1"/>
    </w:lvl>
  </w:abstractNum>
  <w:abstractNum w:abstractNumId="212">
    <w:nsid w:val="6C053B16"/>
    <w:multiLevelType w:val="hybridMultilevel"/>
    <w:lvl w:ilvl="0">
      <w:lvlJc w:val="left"/>
      <w:lvlText w:val="(%1)"/>
      <w:numFmt w:val="lowerLetter"/>
      <w:start w:val="4"/>
    </w:lvl>
  </w:abstractNum>
  <w:abstractNum w:abstractNumId="213">
    <w:nsid w:val="4F294393"/>
    <w:multiLevelType w:val="hybridMultilevel"/>
    <w:lvl w:ilvl="0">
      <w:lvlJc w:val="left"/>
      <w:lvlText w:val="(%1)"/>
      <w:numFmt w:val="lowerLetter"/>
      <w:start w:val="13"/>
    </w:lvl>
  </w:abstractNum>
  <w:abstractNum w:abstractNumId="214">
    <w:nsid w:val="5243BF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5">
    <w:nsid w:val="425EB207"/>
    <w:multiLevelType w:val="hybridMultilevel"/>
    <w:lvl w:ilvl="0">
      <w:lvlJc w:val="left"/>
      <w:lvlText w:val="%1"/>
      <w:numFmt w:val="lowerLetter"/>
      <w:start w:val="1"/>
    </w:lvl>
    <w:lvl w:ilvl="1">
      <w:lvlJc w:val="left"/>
      <w:lvlText w:val="(%2)"/>
      <w:numFmt w:val="lowerRoman"/>
      <w:start w:val="4"/>
    </w:lvl>
  </w:abstractNum>
  <w:abstractNum w:abstractNumId="216">
    <w:nsid w:val="334A6F1F"/>
    <w:multiLevelType w:val="hybridMultilevel"/>
    <w:lvl w:ilvl="0">
      <w:lvlJc w:val="left"/>
      <w:lvlText w:val="(%1)"/>
      <w:numFmt w:val="lowerLetter"/>
      <w:start w:val="5"/>
    </w:lvl>
    <w:lvl w:ilvl="1">
      <w:lvlJc w:val="left"/>
      <w:lvlText w:val="%2"/>
      <w:numFmt w:val="lowerRoman"/>
      <w:start w:val="1"/>
    </w:lvl>
  </w:abstractNum>
  <w:abstractNum w:abstractNumId="217">
    <w:nsid w:val="2E5B12B8"/>
    <w:multiLevelType w:val="hybridMultilevel"/>
    <w:lvl w:ilvl="0">
      <w:lvlJc w:val="left"/>
      <w:lvlText w:val="%1"/>
      <w:numFmt w:val="decimal"/>
      <w:start w:val="1"/>
    </w:lvl>
    <w:lvl w:ilvl="1">
      <w:lvlJc w:val="left"/>
      <w:lvlText w:val="(%2)"/>
      <w:numFmt w:val="lowerLetter"/>
      <w:start w:val="12"/>
    </w:lvl>
  </w:abstractNum>
  <w:abstractNum w:abstractNumId="218">
    <w:nsid w:val="5C03D76D"/>
    <w:multiLevelType w:val="hybridMultilevel"/>
    <w:lvl w:ilvl="0">
      <w:lvlJc w:val="left"/>
      <w:lvlText w:val="%1."/>
      <w:numFmt w:val="decimal"/>
      <w:start w:val="3"/>
    </w:lvl>
    <w:lvl w:ilvl="1">
      <w:lvlJc w:val="left"/>
      <w:lvlText w:val="%2"/>
      <w:numFmt w:val="lowerLetter"/>
      <w:start w:val="1"/>
    </w:lvl>
  </w:abstractNum>
  <w:abstractNum w:abstractNumId="219">
    <w:nsid w:val="66A48D11"/>
    <w:multiLevelType w:val="hybridMultilevel"/>
    <w:lvl w:ilvl="0">
      <w:lvlJc w:val="left"/>
      <w:lvlText w:val="%1."/>
      <w:numFmt w:val="decimal"/>
      <w:start w:val="5"/>
    </w:lvl>
    <w:lvl w:ilvl="1">
      <w:lvlJc w:val="left"/>
      <w:lvlText w:val="(%2)"/>
      <w:numFmt w:val="lowerLetter"/>
      <w:start w:val="1"/>
    </w:lvl>
  </w:abstractNum>
  <w:abstractNum w:abstractNumId="220">
    <w:nsid w:val="56C28E34"/>
    <w:multiLevelType w:val="hybridMultilevel"/>
    <w:lvl w:ilvl="0">
      <w:lvlJc w:val="left"/>
      <w:lvlText w:val="%1"/>
      <w:numFmt w:val="decimal"/>
      <w:start w:val="1"/>
    </w:lvl>
    <w:lvl w:ilvl="1">
      <w:lvlJc w:val="left"/>
      <w:lvlText w:val="(%2)"/>
      <w:numFmt w:val="lowerLetter"/>
      <w:start w:val="3"/>
    </w:lvl>
  </w:abstractNum>
  <w:abstractNum w:abstractNumId="221">
    <w:nsid w:val="13916F2D"/>
    <w:multiLevelType w:val="hybridMultilevel"/>
    <w:lvl w:ilvl="0">
      <w:lvlJc w:val="left"/>
      <w:lvlText w:val="%1."/>
      <w:numFmt w:val="decimal"/>
      <w:start w:val="9"/>
    </w:lvl>
    <w:lvl w:ilvl="1">
      <w:lvlJc w:val="left"/>
      <w:lvlText w:val="(%2)"/>
      <w:numFmt w:val="lowerLetter"/>
      <w:start w:val="1"/>
    </w:lvl>
  </w:abstractNum>
  <w:abstractNum w:abstractNumId="222">
    <w:nsid w:val="435D38D"/>
    <w:multiLevelType w:val="hybridMultilevel"/>
    <w:lvl w:ilvl="0">
      <w:lvlJc w:val="left"/>
      <w:lvlText w:val="%1."/>
      <w:numFmt w:val="decimal"/>
      <w:start w:val="11"/>
    </w:lvl>
    <w:lvl w:ilvl="1">
      <w:lvlJc w:val="left"/>
      <w:lvlText w:val="(%2)"/>
      <w:numFmt w:val="lowerLetter"/>
      <w:start w:val="1"/>
    </w:lvl>
  </w:abstractNum>
  <w:abstractNum w:abstractNumId="223">
    <w:nsid w:val="822C0EF"/>
    <w:multiLevelType w:val="hybridMultilevel"/>
    <w:lvl w:ilvl="0">
      <w:lvlJc w:val="left"/>
      <w:lvlText w:val="%1"/>
      <w:numFmt w:val="decimal"/>
      <w:start w:val="1"/>
    </w:lvl>
    <w:lvl w:ilvl="1">
      <w:lvlJc w:val="left"/>
      <w:lvlText w:val="(%2)"/>
      <w:numFmt w:val="lowerLetter"/>
      <w:start w:val="3"/>
    </w:lvl>
  </w:abstractNum>
  <w:abstractNum w:abstractNumId="224">
    <w:nsid w:val="57C5BB4F"/>
    <w:multiLevelType w:val="hybridMultilevel"/>
    <w:lvl w:ilvl="0">
      <w:lvlJc w:val="left"/>
      <w:lvlText w:val="%1."/>
      <w:numFmt w:val="decimal"/>
      <w:start w:val="13"/>
    </w:lvl>
    <w:lvl w:ilvl="1">
      <w:lvlJc w:val="left"/>
      <w:lvlText w:val="(%2)"/>
      <w:numFmt w:val="lowerLetter"/>
      <w:start w:val="1"/>
    </w:lvl>
  </w:abstractNum>
  <w:abstractNum w:abstractNumId="225">
    <w:nsid w:val="1803D08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226">
    <w:nsid w:val="4F3A06D4"/>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227">
    <w:nsid w:val="59A377B6"/>
    <w:multiLevelType w:val="hybridMultilevel"/>
    <w:lvl w:ilvl="0">
      <w:lvlJc w:val="left"/>
      <w:lvlText w:val="(%1)"/>
      <w:numFmt w:val="lowerRoman"/>
      <w:start w:val="5"/>
    </w:lvl>
    <w:lvl w:ilvl="1">
      <w:lvlJc w:val="left"/>
      <w:lvlText w:val="%2"/>
      <w:numFmt w:val="decimal"/>
      <w:start w:val="1"/>
    </w:lvl>
    <w:lvl w:ilvl="2">
      <w:lvlJc w:val="left"/>
      <w:lvlText w:val="%3"/>
      <w:numFmt w:val="lowerLetter"/>
      <w:start w:val="1"/>
    </w:lvl>
  </w:abstractNum>
  <w:abstractNum w:abstractNumId="228">
    <w:nsid w:val="48AEB063"/>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2"/>
    </w:lvl>
  </w:abstractNum>
  <w:abstractNum w:abstractNumId="229">
    <w:nsid w:val="24E135"/>
    <w:multiLevelType w:val="hybridMultilevel"/>
    <w:lvl w:ilvl="0">
      <w:lvlJc w:val="left"/>
      <w:lvlText w:val="%1"/>
      <w:numFmt w:val="decimal"/>
      <w:start w:val="1"/>
    </w:lvl>
    <w:lvl w:ilvl="1">
      <w:lvlJc w:val="left"/>
      <w:lvlText w:val="(%2)"/>
      <w:numFmt w:val="lowerLetter"/>
      <w:start w:val="6"/>
    </w:lvl>
  </w:abstractNum>
  <w:abstractNum w:abstractNumId="230">
    <w:nsid w:val="BB13C1"/>
    <w:multiLevelType w:val="hybridMultilevel"/>
    <w:lvl w:ilvl="0">
      <w:lvlJc w:val="left"/>
      <w:lvlText w:val="%1."/>
      <w:numFmt w:val="decimal"/>
      <w:start w:val="15"/>
    </w:lvl>
    <w:lvl w:ilvl="1">
      <w:lvlJc w:val="left"/>
      <w:lvlText w:val="(%2)"/>
      <w:numFmt w:val="lowerLetter"/>
      <w:start w:val="1"/>
    </w:lvl>
  </w:abstractNum>
  <w:abstractNum w:abstractNumId="231">
    <w:nsid w:val="271210C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32">
    <w:nsid w:val="217B22E4"/>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233">
    <w:nsid w:val="53E31A2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34">
    <w:nsid w:val="6DC45E83"/>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35">
    <w:nsid w:val="17304A6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6">
    <w:nsid w:val="2BB180D8"/>
    <w:multiLevelType w:val="hybridMultilevel"/>
    <w:lvl w:ilvl="0">
      <w:lvlJc w:val="left"/>
      <w:lvlText w:val="(%1)"/>
      <w:numFmt w:val="lowerLetter"/>
      <w:start w:val="2"/>
    </w:lvl>
  </w:abstractNum>
  <w:abstractNum w:abstractNumId="237">
    <w:nsid w:val="556B69ED"/>
    <w:multiLevelType w:val="hybridMultilevel"/>
    <w:lvl w:ilvl="0">
      <w:lvlJc w:val="left"/>
      <w:lvlText w:val="%1."/>
      <w:numFmt w:val="decimal"/>
      <w:start w:val="22"/>
    </w:lvl>
  </w:abstractNum>
  <w:abstractNum w:abstractNumId="238">
    <w:nsid w:val="70836196"/>
    <w:multiLevelType w:val="hybridMultilevel"/>
    <w:lvl w:ilvl="0">
      <w:lvlJc w:val="left"/>
      <w:lvlText w:val="%1."/>
      <w:numFmt w:val="decimal"/>
      <w:start w:val="24"/>
    </w:lvl>
  </w:abstractNum>
  <w:abstractNum w:abstractNumId="239">
    <w:nsid w:val="539F7F12"/>
    <w:multiLevelType w:val="hybridMultilevel"/>
    <w:lvl w:ilvl="0">
      <w:lvlJc w:val="left"/>
      <w:lvlText w:val="•"/>
      <w:numFmt w:val="bullet"/>
      <w:start w:val="1"/>
    </w:lvl>
  </w:abstractNum>
  <w:abstractNum w:abstractNumId="240">
    <w:nsid w:val="2817E7EC"/>
    <w:multiLevelType w:val="hybridMultilevel"/>
    <w:lvl w:ilvl="0">
      <w:lvlJc w:val="left"/>
      <w:lvlText w:val="•"/>
      <w:numFmt w:val="bullet"/>
      <w:start w:val="1"/>
    </w:lvl>
  </w:abstractNum>
  <w:abstractNum w:abstractNumId="241">
    <w:nsid w:val="71482545"/>
    <w:multiLevelType w:val="hybridMultilevel"/>
    <w:lvl w:ilvl="0">
      <w:lvlJc w:val="left"/>
      <w:lvlText w:val="%1."/>
      <w:numFmt w:val="decimal"/>
      <w:start w:val="1"/>
    </w:lvl>
  </w:abstractNum>
  <w:abstractNum w:abstractNumId="242">
    <w:nsid w:val="17D78639"/>
    <w:multiLevelType w:val="hybridMultilevel"/>
    <w:lvl w:ilvl="0">
      <w:lvlJc w:val="left"/>
      <w:lvlText w:val="•"/>
      <w:numFmt w:val="bullet"/>
      <w:start w:val="1"/>
    </w:lvl>
  </w:abstractNum>
  <w:abstractNum w:abstractNumId="243">
    <w:nsid w:val="141D2302"/>
    <w:multiLevelType w:val="hybridMultilevel"/>
    <w:lvl w:ilvl="0">
      <w:lvlJc w:val="left"/>
      <w:lvlText w:val="•"/>
      <w:numFmt w:val="bullet"/>
      <w:start w:val="1"/>
    </w:lvl>
  </w:abstractNum>
  <w:abstractNum w:abstractNumId="244">
    <w:nsid w:val="407168D8"/>
    <w:multiLevelType w:val="hybridMultilevel"/>
    <w:lvl w:ilvl="0">
      <w:lvlJc w:val="left"/>
      <w:lvlText w:val="%1."/>
      <w:numFmt w:val="decimal"/>
      <w:start w:val="2"/>
    </w:lvl>
  </w:abstractNum>
  <w:abstractNum w:abstractNumId="245">
    <w:nsid w:val="6A1B45E5"/>
    <w:multiLevelType w:val="hybridMultilevel"/>
    <w:lvl w:ilvl="0">
      <w:lvlJc w:val="left"/>
      <w:lvlText w:val="%1."/>
      <w:numFmt w:val="decimal"/>
      <w:start w:val="3"/>
    </w:lvl>
    <w:lvl w:ilvl="1">
      <w:lvlJc w:val="left"/>
      <w:lvlText w:val="(%2)"/>
      <w:numFmt w:val="lowerLetter"/>
      <w:start w:val="1"/>
    </w:lvl>
  </w:abstractNum>
  <w:abstractNum w:abstractNumId="246">
    <w:nsid w:val="567BD50A"/>
    <w:multiLevelType w:val="hybridMultilevel"/>
    <w:lvl w:ilvl="0">
      <w:lvlJc w:val="left"/>
      <w:lvlText w:val="(%1)"/>
      <w:numFmt w:val="decimal"/>
      <w:start w:val="1"/>
    </w:lvl>
  </w:abstractNum>
  <w:abstractNum w:abstractNumId="247">
    <w:nsid w:val="73BBD7F8"/>
    <w:multiLevelType w:val="hybridMultilevel"/>
    <w:lvl w:ilvl="0">
      <w:lvlJc w:val="left"/>
      <w:lvlText w:val="(%1)"/>
      <w:numFmt w:val="decimal"/>
      <w:start w:val="6"/>
    </w:lvl>
    <w:lvl w:ilvl="1">
      <w:lvlJc w:val="left"/>
      <w:lvlText w:val="(%2)"/>
      <w:numFmt w:val="lowerLetter"/>
      <w:start w:val="2"/>
    </w:lvl>
  </w:abstractNum>
  <w:abstractNum w:abstractNumId="248">
    <w:nsid w:val="1876589D"/>
    <w:multiLevelType w:val="hybridMultilevel"/>
    <w:lvl w:ilvl="0">
      <w:lvlJc w:val="left"/>
      <w:lvlText w:val="(%1)"/>
      <w:numFmt w:val="lowerLetter"/>
      <w:start w:val="13"/>
    </w:lvl>
  </w:abstractNum>
  <w:abstractNum w:abstractNumId="249">
    <w:nsid w:val="327FAC77"/>
    <w:multiLevelType w:val="hybridMultilevel"/>
    <w:lvl w:ilvl="0">
      <w:lvlJc w:val="left"/>
      <w:lvlText w:val="(%1)"/>
      <w:numFmt w:val="lowerLetter"/>
      <w:start w:val="14"/>
    </w:lvl>
  </w:abstractNum>
  <w:abstractNum w:abstractNumId="250">
    <w:nsid w:val="5A606509"/>
    <w:multiLevelType w:val="hybridMultilevel"/>
    <w:lvl w:ilvl="0">
      <w:lvlJc w:val="left"/>
      <w:lvlText w:val="(%1)"/>
      <w:numFmt w:val="lowerLetter"/>
      <w:start w:val="27"/>
    </w:lvl>
  </w:abstractNum>
  <w:abstractNum w:abstractNumId="251">
    <w:nsid w:val="6F38E6D1"/>
    <w:multiLevelType w:val="hybridMultilevel"/>
    <w:lvl w:ilvl="0">
      <w:lvlJc w:val="left"/>
      <w:lvlText w:val="(%1)"/>
      <w:numFmt w:val="decimal"/>
      <w:start w:val="1"/>
    </w:lvl>
  </w:abstractNum>
  <w:abstractNum w:abstractNumId="252">
    <w:nsid w:val="46111BA5"/>
    <w:multiLevelType w:val="hybridMultilevel"/>
    <w:lvl w:ilvl="0">
      <w:lvlJc w:val="left"/>
      <w:lvlText w:val="(%1)"/>
      <w:numFmt w:val="decimal"/>
      <w:start w:val="6"/>
    </w:lvl>
    <w:lvl w:ilvl="1">
      <w:lvlJc w:val="left"/>
      <w:lvlText w:val="(%2)"/>
      <w:numFmt w:val="lowerLetter"/>
      <w:start w:val="2"/>
    </w:lvl>
  </w:abstractNum>
  <w:abstractNum w:abstractNumId="253">
    <w:nsid w:val="5E963896"/>
    <w:multiLevelType w:val="hybridMultilevel"/>
    <w:lvl w:ilvl="0">
      <w:lvlJc w:val="left"/>
      <w:lvlText w:val="(%1)"/>
      <w:numFmt w:val="lowerLetter"/>
      <w:start w:val="10"/>
    </w:lvl>
  </w:abstractNum>
  <w:abstractNum w:abstractNumId="254">
    <w:nsid w:val="775BA7C1"/>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4"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jpe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32" Type="http://schemas.openxmlformats.org/officeDocument/2006/relationships/hyperlink" Target="http://www.sec.gov/Archives/edgar/data/1850270/000119312522172036/d546367ddefm14a.htm#toc546367_43" TargetMode="External"/><Relationship Id="rId33" Type="http://schemas.openxmlformats.org/officeDocument/2006/relationships/hyperlink" Target="http://www.sec.gov/Archives/edgar/data/1850270/000119312522172036/d546367ddefm14a.htm#toc546367_44" TargetMode="External"/><Relationship Id="rId35" Type="http://schemas.openxmlformats.org/officeDocument/2006/relationships/hyperlink" Target="http://www.sec.gov/Archives/edgar/data/1850270/000119312522172036/d546367ddefm14a.htm#toc546367_50" TargetMode="External"/><Relationship Id="rId36" Type="http://schemas.openxmlformats.org/officeDocument/2006/relationships/hyperlink" Target="http://www.sec.gov/Archives/edgar/data/1850270/000119312522172036/d546367ddefm14a.htm#toc546367_53" TargetMode="External"/><Relationship Id="rId37" Type="http://schemas.openxmlformats.org/officeDocument/2006/relationships/hyperlink" Target="http://www.sec.gov/Archives/edgar/data/1850270/000119312522172036/d546367ddefm14a.htm#toc546367_54" TargetMode="External"/><Relationship Id="rId38" Type="http://schemas.openxmlformats.org/officeDocument/2006/relationships/hyperlink" Target="http://www.sec.gov/Archives/edgar/data/1850270/000119312522172036/d546367ddefm14a.htm#toc546367_56a" TargetMode="External"/><Relationship Id="rId39" Type="http://schemas.openxmlformats.org/officeDocument/2006/relationships/hyperlink" Target="http://www.sec.gov/Archives/edgar/data/1850270/000119312522172036/d546367ddefm14a.htm#toc546367_56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2022-07-15T16:30:37Z</dcterms:created>
  <dcterms:modified xsi:type="dcterms:W3CDTF">2022-07-15T16:30:37Z</dcterms:modified>
</cp:coreProperties>
</file>