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111760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250825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600" w:right="100" w:hanging="424"/>
        <w:spacing w:after="0" w:line="237" w:lineRule="auto"/>
        <w:tabs>
          <w:tab w:leader="none" w:pos="6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43" w:lineRule="exact"/>
        <w:rPr>
          <w:sz w:val="24"/>
          <w:szCs w:val="24"/>
          <w:color w:val="auto"/>
        </w:rPr>
      </w:pPr>
    </w:p>
    <w:p>
      <w:pPr>
        <w:ind w:left="600" w:right="80" w:hanging="424"/>
        <w:spacing w:after="0" w:line="262" w:lineRule="auto"/>
        <w:tabs>
          <w:tab w:leader="none" w:pos="6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7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3829050</wp:posOffset>
            </wp:positionH>
            <wp:positionV relativeFrom="paragraph">
              <wp:posOffset>-5080</wp:posOffset>
            </wp:positionV>
            <wp:extent cx="1037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Commission file number: 001-40560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242570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PROKIDNEY CORP.</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34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8"/>
          <w:szCs w:val="18"/>
          <w:b w:val="1"/>
          <w:bCs w:val="1"/>
          <w:color w:val="auto"/>
        </w:rPr>
        <w:t>98-1586514</w:t>
      </w:r>
    </w:p>
    <w:p>
      <w:pPr>
        <w:spacing w:after="0" w:line="12" w:lineRule="exact"/>
        <w:rPr>
          <w:sz w:val="24"/>
          <w:szCs w:val="24"/>
          <w:color w:val="auto"/>
        </w:rPr>
      </w:pPr>
    </w:p>
    <w:p>
      <w:pPr>
        <w:ind w:left="2060"/>
        <w:spacing w:after="0"/>
        <w:tabs>
          <w:tab w:leader="none" w:pos="798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2020"/>
        <w:spacing w:after="0"/>
        <w:tabs>
          <w:tab w:leader="none" w:pos="794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20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2000 Frontis Plaza Blvd. Suite 250</w:t>
      </w:r>
    </w:p>
    <w:p>
      <w:pPr>
        <w:spacing w:after="0" w:line="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Winston-Salem, NC 27103</w:t>
      </w: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(336)999-7028</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251460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18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ordinary shares, $0.0001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00"/>
              <w:spacing w:after="0" w:line="188" w:lineRule="exact"/>
              <w:rPr>
                <w:sz w:val="20"/>
                <w:szCs w:val="20"/>
                <w:color w:val="auto"/>
              </w:rPr>
            </w:pPr>
            <w:r>
              <w:rPr>
                <w:rFonts w:ascii="Times New Roman" w:cs="Times New Roman" w:eastAsia="Times New Roman" w:hAnsi="Times New Roman"/>
                <w:sz w:val="18"/>
                <w:szCs w:val="18"/>
                <w:b w:val="1"/>
                <w:bCs w:val="1"/>
                <w:color w:val="auto"/>
              </w:rPr>
              <w:t>PROK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Nasdaq Capital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180"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180" w:right="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180"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00"/>
          </w:cols>
          <w:pgMar w:left="260" w:top="226" w:right="439" w:bottom="0" w:gutter="0" w:footer="0" w:header="0"/>
        </w:sectPr>
      </w:pPr>
    </w:p>
    <w:p>
      <w:pPr>
        <w:spacing w:after="0" w:line="174" w:lineRule="exact"/>
        <w:rPr>
          <w:sz w:val="24"/>
          <w:szCs w:val="24"/>
          <w:color w:val="auto"/>
        </w:rPr>
      </w:pPr>
    </w:p>
    <w:p>
      <w:pPr>
        <w:ind w:left="180"/>
        <w:spacing w:after="0" w:line="207" w:lineRule="exact"/>
        <w:tabs>
          <w:tab w:leader="none" w:pos="2120" w:val="left"/>
          <w:tab w:leader="none" w:pos="872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p>
    <w:p>
      <w:pPr>
        <w:spacing w:after="0" w:line="117" w:lineRule="exact"/>
        <w:rPr>
          <w:sz w:val="24"/>
          <w:szCs w:val="24"/>
          <w:color w:val="auto"/>
        </w:rPr>
      </w:pPr>
    </w:p>
    <w:p>
      <w:pPr>
        <w:ind w:left="180"/>
        <w:spacing w:after="0" w:line="207" w:lineRule="exact"/>
        <w:tabs>
          <w:tab w:leader="none" w:pos="2120" w:val="left"/>
          <w:tab w:leader="none" w:pos="872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p>
    <w:p>
      <w:pPr>
        <w:spacing w:after="0" w:line="146"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5" w:lineRule="exact"/>
        <w:rPr>
          <w:sz w:val="24"/>
          <w:szCs w:val="24"/>
          <w:color w:val="auto"/>
        </w:rPr>
      </w:pPr>
    </w:p>
    <w:p>
      <w:pPr>
        <w:ind w:lef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line="207" w:lineRule="exact"/>
        <w:tabs>
          <w:tab w:leader="none" w:pos="8500" w:val="left"/>
          <w:tab w:leader="none" w:pos="92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900" w:space="160"/>
            <w:col w:w="140"/>
          </w:cols>
          <w:pgMar w:left="260" w:top="226" w:right="439" w:bottom="0" w:gutter="0" w:footer="0" w:header="0"/>
          <w:type w:val="continuous"/>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As of August 11, 2022, there were 61,540,231 Class A ordinary shares, par value $0.0001 per share, and 170,723,961 Class B ordinary shares, par value $0.0001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PROKIDNEY CORP. (F/K/A SOCIAL CAPITAL SUVRETTA HOLDINGS CORP. III)</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FORM 10-Q FOR THE QUARTER ENDED JUNE 30, 2022</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20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9"/>
              </w:rPr>
              <w:t>Part I. Financial Information</w:t>
            </w:r>
          </w:p>
        </w:tc>
        <w:tc>
          <w:tcPr>
            <w:tcW w:w="8600" w:type="dxa"/>
            <w:vAlign w:val="bottom"/>
            <w:gridSpan w:val="17"/>
            <w:vMerge w:val="restart"/>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0"/>
        </w:trPr>
        <w:tc>
          <w:tcPr>
            <w:tcW w:w="2060" w:type="dxa"/>
            <w:vAlign w:val="bottom"/>
            <w:tcBorders>
              <w:bottom w:val="single" w:sz="8" w:color="0000EE"/>
            </w:tcBorders>
            <w:gridSpan w:val="8"/>
            <w:vMerge w:val="continue"/>
          </w:tcPr>
          <w:p>
            <w:pPr>
              <w:spacing w:after="0"/>
              <w:rPr>
                <w:sz w:val="13"/>
                <w:szCs w:val="13"/>
                <w:color w:val="auto"/>
              </w:rPr>
            </w:pPr>
          </w:p>
        </w:tc>
        <w:tc>
          <w:tcPr>
            <w:tcW w:w="8600" w:type="dxa"/>
            <w:vAlign w:val="bottom"/>
            <w:gridSpan w:val="17"/>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 Financial Statements</w:t>
            </w:r>
          </w:p>
        </w:tc>
        <w:tc>
          <w:tcPr>
            <w:tcW w:w="8240" w:type="dxa"/>
            <w:vAlign w:val="bottom"/>
            <w:gridSpan w:val="14"/>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at June 30, 2022 (Unaudited) and December 31, 2021</w:t>
            </w:r>
          </w:p>
        </w:tc>
        <w:tc>
          <w:tcPr>
            <w:tcW w:w="310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six months ended June 30, 2022, for the three months ended</w:t>
            </w:r>
          </w:p>
        </w:tc>
        <w:tc>
          <w:tcPr>
            <w:tcW w:w="66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June 30, 2021 and for the period from February 25, 2021 (inception) through June 30, 2021 (Unaudited)</w:t>
            </w:r>
          </w:p>
        </w:tc>
        <w:tc>
          <w:tcPr>
            <w:tcW w:w="22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Temporary Equity and Permanent (Deficit) Equity for the three and six months</w:t>
            </w:r>
          </w:p>
        </w:tc>
        <w:tc>
          <w:tcPr>
            <w:tcW w:w="5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June 30, 2022, for the three months ended June 30, 2021 and for the period from February 25, 2021 (inception) through</w:t>
            </w:r>
          </w:p>
        </w:tc>
        <w:tc>
          <w:tcPr>
            <w:tcW w:w="68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June 30, 2021 (Unaudited)</w:t>
            </w:r>
          </w:p>
        </w:tc>
        <w:tc>
          <w:tcPr>
            <w:tcW w:w="78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2022 and for the period from February 25, 2021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(inception) through June 30, 2021 (Unaudited)</w:t>
            </w:r>
          </w:p>
        </w:tc>
        <w:tc>
          <w:tcPr>
            <w:tcW w:w="640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0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Item 3. Quantitative and Qualitative Disclosures Regarding Market Risk</w:t>
            </w:r>
          </w:p>
        </w:tc>
        <w:tc>
          <w:tcPr>
            <w:tcW w:w="33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 Controls and Procedures</w:t>
            </w:r>
          </w:p>
        </w:tc>
        <w:tc>
          <w:tcPr>
            <w:tcW w:w="2940" w:type="dxa"/>
            <w:vAlign w:val="bottom"/>
            <w:tcBorders>
              <w:top w:val="single" w:sz="8" w:color="0000EE"/>
            </w:tcBorders>
            <w:gridSpan w:val="5"/>
          </w:tcPr>
          <w:p>
            <w:pPr>
              <w:spacing w:after="0"/>
              <w:rPr>
                <w:sz w:val="17"/>
                <w:szCs w:val="17"/>
                <w:color w:val="auto"/>
              </w:rPr>
            </w:pPr>
          </w:p>
        </w:tc>
        <w:tc>
          <w:tcPr>
            <w:tcW w:w="50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Part II. Other Information</w:t>
            </w:r>
          </w:p>
        </w:tc>
        <w:tc>
          <w:tcPr>
            <w:tcW w:w="8800" w:type="dxa"/>
            <w:vAlign w:val="bottom"/>
            <w:gridSpan w:val="19"/>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1. Legal Proceedings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842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0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9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540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742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 Mine Safety Disclosures</w:t>
            </w:r>
          </w:p>
        </w:tc>
        <w:tc>
          <w:tcPr>
            <w:tcW w:w="798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5. Other Information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 Exhibits</w:t>
            </w:r>
          </w:p>
        </w:tc>
        <w:tc>
          <w:tcPr>
            <w:tcW w:w="700" w:type="dxa"/>
            <w:vAlign w:val="bottom"/>
            <w:tcBorders>
              <w:top w:val="single" w:sz="8" w:color="0000EE"/>
            </w:tcBorders>
            <w:gridSpan w:val="4"/>
          </w:tcPr>
          <w:p>
            <w:pPr>
              <w:spacing w:after="0"/>
              <w:rPr>
                <w:sz w:val="17"/>
                <w:szCs w:val="17"/>
                <w:color w:val="auto"/>
              </w:rPr>
            </w:pPr>
          </w:p>
        </w:tc>
        <w:tc>
          <w:tcPr>
            <w:tcW w:w="844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6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Part III. Signatures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26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42"/>
        </w:trPr>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107,546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440,488</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504,189</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944,677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prepaid insurance</w:t>
            </w:r>
          </w:p>
        </w:tc>
        <w:tc>
          <w:tcPr>
            <w:tcW w:w="1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247,500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250,371,095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250,008,324</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251,003,391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251,200,501</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TEMPORARY EQUITY AND PERMANENT DEFICIT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7,603,038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1,864,796</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80,687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7,933,725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1,879,796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7,700,000</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15,633,725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9,579,796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25,000,000 shares at redemption value as of June 30, 2022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250,371,095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250,008,324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Permanent Deficit</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5,000,000 shares authorized; no shares issued and outstanding as of June 30,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and December 31, 2021</w:t>
            </w:r>
          </w:p>
        </w:tc>
        <w:tc>
          <w:tcPr>
            <w:tcW w:w="100" w:type="dxa"/>
            <w:vAlign w:val="bottom"/>
          </w:tcPr>
          <w:p>
            <w:pPr>
              <w:spacing w:after="0"/>
              <w:rPr>
                <w:sz w:val="20"/>
                <w:szCs w:val="20"/>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 640,000 shares issued and outstanding</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25,000,000 shares subject to possible redemption) as of June 30, 2022 and December 31, 2021</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50,000,000 shares authorized; 6,250,000 shares issued and outstanding as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June 30, 2022 and December 31, 2021</w:t>
            </w: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(15,002,118)</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(8,388,308)</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Permanent Deficit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(15,001,429)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(8,387,619)</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TEMPORARY EQUITY AND PERMANENT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251,003,391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251,200,501</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from February</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25, 2021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vMerge w:val="continue"/>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0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Through June 30,</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6,613,810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(2,607,609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(6,613,810)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337,595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362,771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337,595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362,771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(2,270,014</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(6,251,039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Class A ordinary</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25,640,000</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25,640,000</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A ordinary shares</w:t>
            </w: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Class B ordinary</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5,500,000</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5,500,000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 ordinary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TEMPORARY EQUITY AND PERMANENT (DEFICIT)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THREE AND SIX MONTHS ENDED JUNE 30, 2022</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gridSpan w:val="9"/>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Temporary Equity</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80" w:type="dxa"/>
            <w:vAlign w:val="bottom"/>
            <w:gridSpan w:val="7"/>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gridSpan w:val="9"/>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60" w:type="dxa"/>
            <w:vAlign w:val="bottom"/>
          </w:tcPr>
          <w:p>
            <w:pPr>
              <w:spacing w:after="0"/>
              <w:rPr>
                <w:sz w:val="15"/>
                <w:szCs w:val="15"/>
                <w:color w:val="auto"/>
              </w:rPr>
            </w:pPr>
          </w:p>
        </w:tc>
        <w:tc>
          <w:tcPr>
            <w:tcW w:w="15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18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Permanent</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2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2022</w:t>
            </w:r>
          </w:p>
        </w:tc>
        <w:tc>
          <w:tcPr>
            <w:tcW w:w="860" w:type="dxa"/>
            <w:vAlign w:val="bottom"/>
            <w:tcBorders>
              <w:top w:val="single" w:sz="8" w:color="auto"/>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3"/>
              </w:rPr>
              <w:t>25,000,000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$250,008,324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640,000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64</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6,250,000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625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(8,388,308)</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(8,387,619)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Remeasurement for Class A ordinary</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to redemption amount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gridSpan w:val="5"/>
          </w:tcPr>
          <w:p>
            <w:pPr>
              <w:jc w:val="right"/>
              <w:ind w:right="36"/>
              <w:spacing w:after="0"/>
              <w:rPr>
                <w:sz w:val="20"/>
                <w:szCs w:val="20"/>
                <w:color w:val="auto"/>
              </w:rPr>
            </w:pPr>
            <w:r>
              <w:rPr>
                <w:rFonts w:ascii="Times New Roman" w:cs="Times New Roman" w:eastAsia="Times New Roman" w:hAnsi="Times New Roman"/>
                <w:sz w:val="18"/>
                <w:szCs w:val="18"/>
                <w:color w:val="auto"/>
                <w:w w:val="95"/>
              </w:rPr>
              <w:t>(8,324)</w:t>
            </w:r>
          </w:p>
        </w:tc>
        <w:tc>
          <w:tcPr>
            <w:tcW w:w="300" w:type="dxa"/>
            <w:vAlign w:val="bottom"/>
          </w:tcPr>
          <w:p>
            <w:pPr>
              <w:spacing w:after="0"/>
              <w:rPr>
                <w:sz w:val="20"/>
                <w:szCs w:val="20"/>
                <w:color w:val="auto"/>
              </w:rPr>
            </w:pPr>
          </w:p>
        </w:tc>
        <w:tc>
          <w:tcPr>
            <w:tcW w:w="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8,324</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right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(3,981,025)</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(3,981,025)</w:t>
            </w:r>
          </w:p>
        </w:tc>
        <w:tc>
          <w:tcPr>
            <w:tcW w:w="0" w:type="dxa"/>
            <w:vAlign w:val="bottom"/>
          </w:tcPr>
          <w:p>
            <w:pPr>
              <w:spacing w:after="0"/>
              <w:rPr>
                <w:sz w:val="1"/>
                <w:szCs w:val="1"/>
                <w:color w:val="auto"/>
              </w:rPr>
            </w:pPr>
          </w:p>
        </w:tc>
      </w:tr>
      <w:tr>
        <w:trPr>
          <w:trHeight w:val="209"/>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 March 31, 2022</w:t>
            </w: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3"/>
              </w:rPr>
              <w:t>25,000,000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$250,000,000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640,000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64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6,250,000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625</w:t>
            </w:r>
          </w:p>
        </w:tc>
        <w:tc>
          <w:tcPr>
            <w:tcW w:w="120" w:type="dxa"/>
            <w:vAlign w:val="bottom"/>
          </w:tcPr>
          <w:p>
            <w:pPr>
              <w:spacing w:after="0"/>
              <w:rPr>
                <w:sz w:val="18"/>
                <w:szCs w:val="18"/>
                <w:color w:val="auto"/>
              </w:rPr>
            </w:pPr>
          </w:p>
        </w:tc>
        <w:tc>
          <w:tcPr>
            <w:tcW w:w="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(12,361,009)</w:t>
            </w:r>
          </w:p>
        </w:tc>
        <w:tc>
          <w:tcPr>
            <w:tcW w:w="200" w:type="dxa"/>
            <w:vAlign w:val="bottom"/>
          </w:tcPr>
          <w:p>
            <w:pPr>
              <w:spacing w:after="0"/>
              <w:rPr>
                <w:sz w:val="18"/>
                <w:szCs w:val="18"/>
                <w:color w:val="auto"/>
              </w:rPr>
            </w:pPr>
          </w:p>
        </w:tc>
        <w:tc>
          <w:tcPr>
            <w:tcW w:w="9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$(12,360,320)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Remeasurement for Class A ordinary</w:t>
            </w: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to redemption amount</w:t>
            </w:r>
          </w:p>
        </w:tc>
        <w:tc>
          <w:tcPr>
            <w:tcW w:w="860" w:type="dxa"/>
            <w:vAlign w:val="bottom"/>
            <w:tcBorders>
              <w:right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371,095</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(371,095)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(371,095)</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(2,270,014)</w:t>
            </w:r>
          </w:p>
        </w:tc>
        <w:tc>
          <w:tcPr>
            <w:tcW w:w="10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(2,270,014)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2022</w:t>
            </w:r>
          </w:p>
        </w:tc>
        <w:tc>
          <w:tcPr>
            <w:tcW w:w="9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25,000,000</w:t>
            </w:r>
          </w:p>
        </w:tc>
        <w:tc>
          <w:tcPr>
            <w:tcW w:w="10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250,371,095</w:t>
            </w:r>
          </w:p>
        </w:tc>
        <w:tc>
          <w:tcPr>
            <w:tcW w:w="9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640,000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64</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6,250,000</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625</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080" w:type="dxa"/>
            <w:vAlign w:val="bottom"/>
            <w:tcBorders>
              <w:right w:val="single" w:sz="8" w:color="CCEEFF"/>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(15,002,118)</w:t>
            </w:r>
          </w:p>
        </w:tc>
        <w:tc>
          <w:tcPr>
            <w:tcW w:w="10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(15,001,429)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11020" w:type="dxa"/>
            <w:vAlign w:val="bottom"/>
            <w:gridSpan w:val="46"/>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2021 AND FOR THE PERIOD FROM FEBRUARY 25, 2021 (INCEPTION) THROUGH</w:t>
            </w: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Permanent</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760" w:type="dxa"/>
            <w:vAlign w:val="bottom"/>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64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4"/>
        </w:trPr>
        <w:tc>
          <w:tcPr>
            <w:tcW w:w="28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–February 25, 2021</w:t>
            </w:r>
          </w:p>
        </w:tc>
        <w:tc>
          <w:tcPr>
            <w:tcW w:w="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860" w:type="dxa"/>
            <w:vAlign w:val="bottom"/>
            <w:tcBorders>
              <w:right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 ordinary shares to</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6,325,000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6"/>
              </w:rPr>
              <w:t>633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24,367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right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2021</w:t>
            </w:r>
          </w:p>
        </w:tc>
        <w:tc>
          <w:tcPr>
            <w:tcW w:w="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6,325,000</w:t>
            </w:r>
          </w:p>
        </w:tc>
        <w:tc>
          <w:tcPr>
            <w:tcW w:w="8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633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w w:val="92"/>
              </w:rPr>
              <w:t>24,367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right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June 30, 2021</w:t>
            </w:r>
          </w:p>
        </w:tc>
        <w:tc>
          <w:tcPr>
            <w:tcW w:w="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6,325,000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633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w w:val="92"/>
              </w:rPr>
              <w:t>24,367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(5,325</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8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25, 2021</w:t>
            </w:r>
          </w:p>
        </w:tc>
        <w:tc>
          <w:tcPr>
            <w:tcW w:w="0" w:type="dxa"/>
            <w:vAlign w:val="bottom"/>
          </w:tcPr>
          <w:p>
            <w:pPr>
              <w:spacing w:after="0"/>
              <w:rPr>
                <w:sz w:val="1"/>
                <w:szCs w:val="1"/>
                <w:color w:val="auto"/>
              </w:rPr>
            </w:pPr>
          </w:p>
        </w:tc>
      </w:tr>
      <w:tr>
        <w:trPr>
          <w:trHeight w:val="148"/>
        </w:trPr>
        <w:tc>
          <w:tcPr>
            <w:tcW w:w="8140" w:type="dxa"/>
            <w:vAlign w:val="bottom"/>
          </w:tcPr>
          <w:p>
            <w:pPr>
              <w:spacing w:after="0"/>
              <w:rPr>
                <w:sz w:val="12"/>
                <w:szCs w:val="12"/>
                <w:color w:val="auto"/>
              </w:rPr>
            </w:pPr>
          </w:p>
        </w:tc>
        <w:tc>
          <w:tcPr>
            <w:tcW w:w="15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62"/>
        </w:trPr>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Through June 30,</w:t>
            </w:r>
          </w:p>
        </w:tc>
        <w:tc>
          <w:tcPr>
            <w:tcW w:w="0" w:type="dxa"/>
            <w:vAlign w:val="bottom"/>
          </w:tcPr>
          <w:p>
            <w:pPr>
              <w:spacing w:after="0"/>
              <w:rPr>
                <w:sz w:val="1"/>
                <w:szCs w:val="1"/>
                <w:color w:val="auto"/>
              </w:rPr>
            </w:pPr>
          </w:p>
        </w:tc>
      </w:tr>
      <w:tr>
        <w:trPr>
          <w:trHeight w:val="173"/>
        </w:trPr>
        <w:tc>
          <w:tcPr>
            <w:tcW w:w="8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(6,251,039)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(5,325)</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Formation costs paid by Sponsor in exchange for issuance of Founder Shares</w:t>
            </w:r>
          </w:p>
        </w:tc>
        <w:tc>
          <w:tcPr>
            <w:tcW w:w="12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(362,771)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226,939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(19,600)</w:t>
            </w:r>
          </w:p>
        </w:tc>
        <w:tc>
          <w:tcPr>
            <w:tcW w:w="0" w:type="dxa"/>
            <w:vAlign w:val="bottom"/>
          </w:tcPr>
          <w:p>
            <w:pPr>
              <w:spacing w:after="0"/>
              <w:rPr>
                <w:sz w:val="1"/>
                <w:szCs w:val="1"/>
                <w:color w:val="auto"/>
              </w:rPr>
            </w:pP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1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70,687</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accounts payable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5,733,242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814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(582,942)</w:t>
            </w: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12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25,643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(82,268)</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243,375</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(332,942)</w:t>
            </w: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440,488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107,546</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Offering costs paid by Sponsor in exchange for issuance of Founder Shares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Remeasurement of Class A ordinary shares subject to possible redemption</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362,771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accrued offering costs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vMerge w:val="continue"/>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AND GOING CONCERN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Social Capital Suvretta Holdings Corp. III (now known as ProKidney Corp.) (the “Company” or “SCS”) was a blank check company incorporated as a Cayman Islands exempted company on February 25, 2021. The Company was incorporated for the purpose of effecting a merger, share exchange, asset acquisition, share purchase, reorganization or similar business combination with one or more businesses (a “Business Combination”). The Company is an early stage and emerging growth company and, as such, the Company is subject to all of the risks associated with early stage and emerging growth companies.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On July 11, 2022 (the “Closing Date”), SCS consummated the previously announced business combination (the “Business Combination”) with ProKidney LP, a limited partnership registered under the laws of Ireland (“ProKidney”). In connection with the closing of the Business Combination, SCS changed its name from “Social Capital Suvretta Holdings Corp. III” to “ProKidney Corp.” (or “New ProKidney”).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Closing Date, the following transactions occurred (the “Transactions”):</w:t>
      </w:r>
    </w:p>
    <w:p>
      <w:pPr>
        <w:spacing w:after="0" w:line="131" w:lineRule="exact"/>
        <w:rPr>
          <w:sz w:val="20"/>
          <w:szCs w:val="20"/>
          <w:color w:val="auto"/>
        </w:rPr>
      </w:pPr>
    </w:p>
    <w:p>
      <w:pPr>
        <w:ind w:left="1080" w:right="160" w:hanging="532"/>
        <w:spacing w:after="0" w:line="253"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ProKidney issued to SCS a number of Post-Combination ProKidney Common Units equal to the number of fully diluted outstanding SCS ordinary shares as of immediately prior to the Closing (but after giving effect to all redemptions of SCS Class A ordinary shares and the purchase of SCS Class A ordinary shares and/or Post-Combination ProKidney Common Units pursuant to one or more subscription agreements (the “PIPE Placement”)), in exchange for (a) (x) New ProKidney Class B ordinary shares, which shares have no economic rights but entitle the holders thereof to vote on all matters on which shareholders of New ProKidney would be entitled to vote generally, and (y) restricted stock rights in respect of New ProKidney Class B ordinary shares (“New ProKidney Class B PMEL RSRs”), which restricted stock rights will convert into New ProKidney Class B ordinary shares upon the vesting of the associated PMEL RCUs, (b) an amount in cash equal to the aggregate proceeds obtained by SCS in the PIPE Placement and (c) an amount in cash equal to the aggregate proceeds available for release to SCS from SCS’s trust account (“Trust Account”) (after giving effect to all redemptions of SCS Class A ordinary shares and after payment of any deferred underwriting commissions being held in the Trust Account and payment of certain transaction expenses);</w:t>
      </w:r>
    </w:p>
    <w:p>
      <w:pPr>
        <w:spacing w:after="0" w:line="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Legacy GP resigned as the general partner of ProKidney and New GP was admitted as the general partner of ProKidney;</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ProKidney distributed to the Closing ProKidney Unitholders the New ProKidney Class B ordinary shares and New ProKidney Class B PMEL RSRs received pursuant to clause (i)(a) (x) and (y) above; and</w:t>
      </w:r>
    </w:p>
    <w:p>
      <w:pPr>
        <w:spacing w:after="0" w:line="67" w:lineRule="exact"/>
        <w:rPr>
          <w:rFonts w:ascii="Times New Roman" w:cs="Times New Roman" w:eastAsia="Times New Roman" w:hAnsi="Times New Roman"/>
          <w:sz w:val="18"/>
          <w:szCs w:val="18"/>
          <w:color w:val="auto"/>
        </w:rPr>
      </w:pPr>
    </w:p>
    <w:p>
      <w:pPr>
        <w:ind w:left="1080" w:right="260" w:hanging="532"/>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holders of Legacy ProKidney Class A Units received an aggregate of 17,500,000 Earnout RCUs and 17,500,000 Earnout RSRs (collectively, the “Earnout Rights”), which Earnout Rights vest in three equal tranches upon the achievement of certain New ProKidney share price milestones or certain change of control events. When vested, the Earnout RCUs will automatically convert into Post-Combination ProKidney Common Units and the associated Earnout RSRs will automatically convert into New ProKidney Class B ordinary shares, respectively.</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Holders of an aggregate of 22,829,769 Class A ordinary shares of SCS sold in its initial public offering (the “Public Shares”) properly exercised their right to have such shares redeemed for a full pro rata portion of the Trust Account, which was approximately $10.00 per share, or approximately $228.7 million in the aggregate, including interest.</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SCS and New ProKidney entered into subscription agreements (the “Subscription Agreements”) with investors (the “PIPE Investors”), pursuant to which, among other things, New ProKidney agreed to issue and sell in a private placement an aggregate of 52,480,000 shares of New ProKidney Class A ordinary shares and 5,000,000 Post-Combination ProKidney Common Units (together with a corresponding number of New ProKidney Class B ordinary shares) to the PIPE Investors for a purchase price of $10.00 per share or Post-Combination ProKidney Common Unit, as applicable, and an aggregate purchase price of $574.8 million.</w:t>
      </w:r>
    </w:p>
    <w:p>
      <w:pPr>
        <w:spacing w:after="0" w:line="183" w:lineRule="exact"/>
        <w:rPr>
          <w:sz w:val="20"/>
          <w:szCs w:val="20"/>
          <w:color w:val="auto"/>
        </w:rPr>
      </w:pPr>
    </w:p>
    <w:p>
      <w:pPr>
        <w:jc w:val="both"/>
        <w:ind w:left="120" w:right="140" w:firstLine="440"/>
        <w:spacing w:after="0" w:line="276" w:lineRule="auto"/>
        <w:rPr>
          <w:sz w:val="20"/>
          <w:szCs w:val="20"/>
          <w:color w:val="auto"/>
        </w:rPr>
      </w:pPr>
      <w:r>
        <w:rPr>
          <w:rFonts w:ascii="Times New Roman" w:cs="Times New Roman" w:eastAsia="Times New Roman" w:hAnsi="Times New Roman"/>
          <w:sz w:val="17"/>
          <w:szCs w:val="17"/>
          <w:color w:val="auto"/>
        </w:rPr>
        <w:t>Immediately after giving effect to the Business Combination, the following equity securities of New ProKidney were issued and outstanding: (i) 9,060,231 New ProKidney Class A ordinary shares issued to the holders of pre-Closing SCS Class A ordinary shares and SCS Class B ordinary shares,</w:t>
      </w:r>
    </w:p>
    <w:p>
      <w:pPr>
        <w:spacing w:after="0" w:line="1" w:lineRule="exact"/>
        <w:rPr>
          <w:sz w:val="20"/>
          <w:szCs w:val="20"/>
          <w:color w:val="auto"/>
        </w:rPr>
      </w:pPr>
    </w:p>
    <w:p>
      <w:pPr>
        <w:ind w:left="120" w:right="40" w:hanging="4"/>
        <w:spacing w:after="0" w:line="252" w:lineRule="auto"/>
        <w:tabs>
          <w:tab w:leader="none" w:pos="3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52,480,000 Class A ordinary shares issued in the PIPE Placement and (iii) 170,723,961 New ProKidney Class B ordinary shares, exclusive of 9,276,039 ProKidney Class B RSRs and 17,500,000 Earnout RSRs. As noted above, an aggregate of approximately $228.7 million was paid from the Trust Account to holders that properly exercised their right to have public shares redeemed, and the remaining balance immediately prior to the Closing of approximately $21.7 million remained in the Trust Account. The remaining amount in the Trust Account was used to fund expenses incurred by SCS and ProKidney in connection with the Business Combination and will be used for general corporate purposes of New ProKidney following the Business Combination.</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Prior to the Business Combination</w:t>
      </w:r>
    </w:p>
    <w:p>
      <w:pPr>
        <w:spacing w:after="0" w:line="22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Prior to the Business Combination, the Company had one wholly owned subsidiary, ProKidney Corp. GP Limited., which was incorporated in Dublin on June 3, 2022 (“Merger Sub”).</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All activity for the period from February 25, 2021 (inception) through June 30, 2022 relates to the Company’s formation, the initial public offering (the “Initial Public Offering”), described below, and, subsequent to the Initial Public Offering, identifying a target company for a business combination and consummating the acquisition of ProKidney.</w:t>
      </w:r>
    </w:p>
    <w:p>
      <w:pPr>
        <w:sectPr>
          <w:pgSz w:w="11900" w:h="16838" w:orient="portrait"/>
          <w:cols w:equalWidth="0" w:num="1">
            <w:col w:w="11120"/>
          </w:cols>
          <w:pgMar w:left="320" w:top="482" w:right="459" w:bottom="169" w:gutter="0" w:footer="0" w:header="0"/>
        </w:sectPr>
      </w:pPr>
    </w:p>
    <w:bookmarkStart w:id="8" w:name="page9"/>
    <w:bookmarkEnd w:id="8"/>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registration statements for the Company’s Initial Public Offering became effective on June 29, 2021 and June 30, 2021. On July 2, 2021, the Company consummated the Initial Public Offering of 25,000,000 Class A ordinary shares (the “Public Shares”), which includes the partial exercise by the underwriters of their over-allotment option in the amount of 3,000,000 Public Shares, at $10.00 per Public Share, generating gross proceeds of $250,000,000, which is described in Note 3. The fair value attributable to the unexercised portion of the over-allotment option was deemed to be immaterial to the condensed consolidated financial statements.</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Substantially concurrently with the closing of the Initial Public Offering, the Company consummated the sale of 640,000 Class A ordinary shares (the “Private Placement Shares”) at a price of $10.00 per Private Placement Share in a private placement to SCS Sponsor III LLC, a Cayman Islands limited liability company (the “Sponsor”), generating gross proceeds of $6,400,000, which is described in Note 4.</w:t>
      </w:r>
    </w:p>
    <w:p>
      <w:pPr>
        <w:spacing w:after="0" w:line="176"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Transaction costs amounted to $12,479,666, consisting of $4,400,000 of underwriting fees, $7,700,000 of deferred underwriting fees and $379,666 of other offering costs.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Initial Public Offering on July 2, 2021, an amount of $250,000,000 ($10.00 per Public Share) from the net proceeds of the sale of the Public Shares in the Initial Public Offering and the sale of the Private Placement Shares was placed in the Trust Account, and invested in U.S. government treasury bills with a maturity of 185 days or less or in money market funds investing solely in U.S. Treasuries and meeting certain conditions of Rule 2a-7 of the Investment Company Act of 1940, as amended (the “Investment Company Act”).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121"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80" w:firstLine="44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the pandemic could have a negative effect on the Company’s business, financial position, results of operations and/or the search for a target company, the specific impact was not readily determinable as of the date of these condensed consolidated financial statements. The condensed consolidated financial statements do not include any adjustments that might result from the outcome of this uncertainty.</w:t>
      </w: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As of June 30, 2022, the Company had $107,546 in its operating bank account and working capital deficit of $7,301,429.</w:t>
      </w:r>
    </w:p>
    <w:p>
      <w:pPr>
        <w:spacing w:after="0" w:line="225" w:lineRule="exact"/>
        <w:rPr>
          <w:sz w:val="20"/>
          <w:szCs w:val="20"/>
          <w:color w:val="auto"/>
        </w:rPr>
      </w:pPr>
    </w:p>
    <w:p>
      <w:pPr>
        <w:ind w:left="180" w:right="100" w:firstLine="440"/>
        <w:spacing w:after="0" w:line="261"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used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with ProKidney. The Company completed its Business Combination on July 11, 2022 with ProKidney, and has raised sufficient capital for its operations.</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260" w:top="482" w:right="5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prepared in conformity with accounting principles generally accepted in the United States of America (“GAAP”) for interim financial information and in accordance with the instructions to Form 10-Q and Article 8 of Regulation S-X promulgated by the Securities and Exchange Commission (the “SEC”). Certain information or footnote disclosures normally included in condensed consolidated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financial statements contained in the Company’s Annual Report on Form 10-K for the period ended December 31, 2021, filed with the SEC on March 24, 2022. The interim results for the three and six months ended June 30, 2022 are not necessarily indicative of the results to be expected for the year ending December 31, 2022 or for any future periods.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subsidiary. All significant intercompany balances and transactions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82"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180" w:right="44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149" w:lineRule="exact"/>
        <w:rPr>
          <w:sz w:val="20"/>
          <w:szCs w:val="20"/>
          <w:color w:val="auto"/>
        </w:rPr>
      </w:pPr>
    </w:p>
    <w:p>
      <w:pPr>
        <w:ind w:left="180" w:firstLine="440"/>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Significant accounting estimates include the determination of the fair value of Class A ordinary shares that were subject to possible redemption and the fair value of Founder Shares transferred to directors. Accordingly, the actual results could differ significantly from those estimates.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8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June 30, 2022 and December 31, 2021.</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Held in Trust Account</w:t>
      </w:r>
    </w:p>
    <w:p>
      <w:pPr>
        <w:spacing w:after="0" w:line="121" w:lineRule="exact"/>
        <w:rPr>
          <w:sz w:val="20"/>
          <w:szCs w:val="20"/>
          <w:color w:val="auto"/>
        </w:rPr>
      </w:pPr>
    </w:p>
    <w:p>
      <w:pPr>
        <w:ind w:left="180" w:right="320" w:firstLine="440"/>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substantially all of the assets held in the Trust Account were held in a money market fund which is invested primarily in U.S. Treasury securities.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 Subject to Possible Redemption</w:t>
      </w:r>
    </w:p>
    <w:p>
      <w:pPr>
        <w:spacing w:after="0" w:line="121" w:lineRule="exact"/>
        <w:rPr>
          <w:sz w:val="20"/>
          <w:szCs w:val="20"/>
          <w:color w:val="auto"/>
        </w:rPr>
      </w:pPr>
    </w:p>
    <w:p>
      <w:pPr>
        <w:ind w:left="18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the guidance in Financial Accounting Standards Board (“FASB”) Accounting Standards Codification (“ASC”) 480, “Distinguishing Liabilities from Equity.” Class A ordinary shares subject to mandatory redemption are classified as a liability instrument and are measured at redemption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permanent deficit.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permanent deficit section of the Company’s condensed consolidated balance sheets.</w:t>
      </w:r>
    </w:p>
    <w:p>
      <w:pPr>
        <w:spacing w:after="0" w:line="151" w:lineRule="exact"/>
        <w:rPr>
          <w:sz w:val="20"/>
          <w:szCs w:val="20"/>
          <w:color w:val="auto"/>
        </w:rPr>
      </w:pPr>
    </w:p>
    <w:p>
      <w:pPr>
        <w:ind w:left="18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ordinary shares to equal the redemption value at the end of each reporting period. Increases or decreases in the carrying value of redeemable ordinary shares are affected by charges against additional paid-in capital (to the extent available) and accumulated deficit.</w:t>
      </w:r>
    </w:p>
    <w:p>
      <w:pPr>
        <w:spacing w:after="0" w:line="135" w:lineRule="exact"/>
        <w:rPr>
          <w:sz w:val="20"/>
          <w:szCs w:val="20"/>
          <w:color w:val="auto"/>
        </w:rPr>
      </w:pPr>
    </w:p>
    <w:p>
      <w:pPr>
        <w:ind w:left="180" w:right="320" w:firstLine="440"/>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the Class A ordinary shares subject to possible redemption reflected in the condensed consolidated balance sheets are reconciled in the following table:</w:t>
      </w:r>
    </w:p>
    <w:p>
      <w:pPr>
        <w:spacing w:after="0" w:line="180"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$250,000,000</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ordinary shares issuance costs</w:t>
            </w: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(12,479,666)</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12,487,990</w:t>
            </w:r>
          </w:p>
        </w:tc>
        <w:tc>
          <w:tcPr>
            <w:tcW w:w="80" w:type="dxa"/>
            <w:vAlign w:val="bottom"/>
            <w:shd w:val="clear" w:color="auto" w:fill="CCEEFF"/>
          </w:tcPr>
          <w:p>
            <w:pPr>
              <w:spacing w:after="0"/>
              <w:rPr>
                <w:sz w:val="18"/>
                <w:szCs w:val="18"/>
                <w:color w:val="auto"/>
              </w:rPr>
            </w:pPr>
          </w:p>
        </w:tc>
      </w:tr>
      <w:tr>
        <w:trPr>
          <w:trHeight w:val="210"/>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December 31, 2021</w:t>
            </w:r>
          </w:p>
        </w:tc>
        <w:tc>
          <w:tcPr>
            <w:tcW w:w="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250,008,324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Remeasurement of carrying value to redemption value</w:t>
            </w: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(8,324)</w:t>
            </w: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March 31, 2022</w:t>
            </w:r>
          </w:p>
        </w:tc>
        <w:tc>
          <w:tcPr>
            <w:tcW w:w="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Remeasurement of carrying value to redemption value</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371,095</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June 30, 2022</w:t>
            </w: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250,371,095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121" w:lineRule="exact"/>
        <w:rPr>
          <w:sz w:val="20"/>
          <w:szCs w:val="20"/>
          <w:color w:val="auto"/>
        </w:rPr>
      </w:pPr>
    </w:p>
    <w:p>
      <w:pPr>
        <w:ind w:left="180" w:right="100" w:firstLine="440"/>
        <w:spacing w:after="0" w:line="255"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Offering costs consisted of legal, accounting, underwriting fees and other costs incurred through the Initial Public Offering that were directly related to the Initial Public Offering. The Company incurred offering costs amounting to $12,479,666 as a result of the Initial Public Offering, consisting of $4,400,000 of underwriting commissions, $7,700,000 of deferred underwriting commissions, and $379,666 of other offering costs. As the shares sold in the IPO are redeemable, the offering costs were charged to temporary equity and additional paid-in capital upon the completion of the Initial Public Offering. Immediately thereafter, temporary equity was remeasured, and an adjustment was recognized through additional paid in capital and accumulated deficit to adjust temporary equity to the redemption value.</w:t>
      </w:r>
    </w:p>
    <w:p>
      <w:pPr>
        <w:sectPr>
          <w:pgSz w:w="11900" w:h="16838" w:orient="portrait"/>
          <w:cols w:equalWidth="0" w:num="1">
            <w:col w:w="11120"/>
          </w:cols>
          <w:pgMar w:left="260" w:top="482" w:right="519" w:bottom="1440" w:gutter="0" w:footer="0" w:header="0"/>
        </w:sectPr>
      </w:pP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20"/>
          </w:cols>
          <w:pgMar w:left="260" w:top="482" w:right="5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Arrangements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accounts for stock awards in accordance with ASC 718, “Compensation—Stock Compensation,” which requires that all equity awards be accounted for at their “fair value.” Fair value is measured on the grant date and is equal to the underlying value of the stock.</w:t>
      </w:r>
    </w:p>
    <w:p>
      <w:pPr>
        <w:spacing w:after="0" w:line="13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Costs equal to these fair values are recognized ratably over the requisite service period based on the number of awards that are expected to vest, in the period of grant for awards that vest immediately and have no future service condition, or in the period the awards vest immediately after meeting a performance condition becomes probable (i.e., the occurrence of a Business Combination). For awards that vest over time, cumulative adjustments in later periods are recorded to the extent actual forfeitures differ from the Company’s initial estimates; previously recognized compensation cost is reversed if the service or performance conditions are not satisfied and the award is forfeited.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ASC 740 requires the recognition of deferred tax assets and liabilities for both the expected impact of differences between the condensed consolidated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3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condensed consolidated financial statements and prescribes a recognition threshold and measurement process for condensed consolidated financial statement recognition and measurement of a tax position taken or expected to be taken in a tax return. For those benefits to be recognized, a tax position must be more-likely-than-not to be sustained upon examination by taxing authorities. The Company’s management has determined that the Cayman Islands is the Company’s major tax jurisdiction. The Company recognizes accrued interest and penalties related to unrecognized tax benefits as income tax expense. There were no unrecognized tax benefits and no amounts accrued for interest and penalties as of June 30, 2022 and December 31, 2021. The Company is currently not aware of any issues under review that could result in significant payments, accruals or material deviation from its position. The Company has been subject to income tax examinations by major taxing authorities since inception.</w:t>
      </w:r>
    </w:p>
    <w:p>
      <w:pPr>
        <w:spacing w:after="0" w:line="84"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Company is considered to be an exempted Cayman Islands company and is presently not subject to income taxes or income tax filing requirements in the Cayman Islands or the United States. As such, the Company’s tax provision was zero for the periods presented.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Ordinary Share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Net loss per ordinary share is computed by dividing net loss by the weighted-average number of ordinary shares outstanding during the period. The Company has two classes of ordinary shares, which are referred to as Class A ordinary shares and Class B ordinary shares. Losses are shared pro rata between the two classes of shares. Charges associated with the redeemable Class A ordinary shares are excluded from net loss per ordinary share as the redemption value approximates fair value.</w:t>
      </w:r>
    </w:p>
    <w:p>
      <w:pPr>
        <w:spacing w:after="0" w:line="13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June 30, 2022 and 2021, the Company did not have any dilutive securities or other contracts that could, potentially, be exercised or converted into ordinary shares and then share in the earnings of the Company. As a result, diluted net loss per ordinary share is the same as basic net loss per ordinary share for the periods presented.</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net loss per ordinary share (in dollars, except per share amounts):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 January 20,</w:t>
            </w:r>
          </w:p>
        </w:tc>
      </w:tr>
      <w:tr>
        <w:trPr>
          <w:trHeight w:val="148"/>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3"/>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2021 (inception) through</w:t>
            </w:r>
          </w:p>
        </w:tc>
      </w:tr>
      <w:tr>
        <w:trPr>
          <w:trHeight w:val="187"/>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0"/>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gridSpan w:val="2"/>
          </w:tcPr>
          <w:p>
            <w:pPr>
              <w:jc w:val="center"/>
              <w:ind w:right="69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center"/>
              <w:ind w:left="9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960" w:type="dxa"/>
            <w:vAlign w:val="bottom"/>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2"/>
                <w:szCs w:val="12"/>
                <w:color w:val="auto"/>
              </w:rPr>
            </w:pPr>
          </w:p>
        </w:tc>
        <w:tc>
          <w:tcPr>
            <w:tcW w:w="7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2"/>
                <w:szCs w:val="12"/>
                <w:color w:val="auto"/>
              </w:rPr>
            </w:pPr>
          </w:p>
        </w:tc>
        <w:tc>
          <w:tcPr>
            <w:tcW w:w="90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500" w:type="dxa"/>
            <w:vAlign w:val="bottom"/>
          </w:tcPr>
          <w:p>
            <w:pPr>
              <w:spacing w:after="0"/>
              <w:rPr>
                <w:sz w:val="12"/>
                <w:szCs w:val="12"/>
                <w:color w:val="auto"/>
              </w:rPr>
            </w:pPr>
          </w:p>
        </w:tc>
        <w:tc>
          <w:tcPr>
            <w:tcW w:w="96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r>
      <w:tr>
        <w:trPr>
          <w:trHeight w:val="176"/>
        </w:trPr>
        <w:tc>
          <w:tcPr>
            <w:tcW w:w="290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Basic and diluted net loss per ordinary</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r>
      <w:tr>
        <w:trPr>
          <w:trHeight w:val="236"/>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share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 as adjusted</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(1,825,123)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(444,891)</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(5,025,922)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(1,225,117)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25,640,000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6,250,000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5,500,000</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98"/>
              </w:rPr>
              <w:t>25,640,000</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6,250,000</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5,500,000</w:t>
            </w: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loss per ordinary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Corporation coverage limit of $250,000. The Company has not experienced losses on these accounts.</w:t>
      </w:r>
    </w:p>
    <w:p>
      <w:pPr>
        <w:sectPr>
          <w:pgSz w:w="11900" w:h="16838" w:orient="portrait"/>
          <w:cols w:equalWidth="0" w:num="1">
            <w:col w:w="11140"/>
          </w:cols>
          <w:pgMar w:left="320" w:top="482" w:right="439" w:bottom="1078" w:gutter="0" w:footer="0" w:header="0"/>
        </w:sectPr>
      </w:pP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40"/>
          </w:cols>
          <w:pgMar w:left="320" w:top="482" w:right="439" w:bottom="1078"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80" w:right="8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(“ASC 820”), approximates the carrying amounts represented in the accompanying condensed consolidated balance sheets, primarily due to their short-term nature.</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21" w:lineRule="exact"/>
        <w:rPr>
          <w:sz w:val="20"/>
          <w:szCs w:val="20"/>
          <w:color w:val="auto"/>
        </w:rPr>
      </w:pPr>
    </w:p>
    <w:p>
      <w:pPr>
        <w:ind w:left="180" w:right="180" w:firstLine="440"/>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The Company adopted ASU 2020-06 effective as of January 1, 2021. The adoption of ASU 2020-06 did not have an impact on the Company’s condensed consolidated financial statements.</w:t>
      </w:r>
    </w:p>
    <w:p>
      <w:pPr>
        <w:spacing w:after="0" w:line="189" w:lineRule="exact"/>
        <w:rPr>
          <w:sz w:val="20"/>
          <w:szCs w:val="20"/>
          <w:color w:val="auto"/>
        </w:rPr>
      </w:pPr>
    </w:p>
    <w:p>
      <w:pPr>
        <w:ind w:left="180" w:right="320" w:firstLine="44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condensed consolidated financial statements.</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21" w:lineRule="exact"/>
        <w:rPr>
          <w:sz w:val="20"/>
          <w:szCs w:val="20"/>
          <w:color w:val="auto"/>
        </w:rPr>
      </w:pPr>
    </w:p>
    <w:p>
      <w:pPr>
        <w:ind w:left="180" w:right="280" w:firstLine="440"/>
        <w:spacing w:after="0" w:line="261" w:lineRule="auto"/>
        <w:rPr>
          <w:sz w:val="20"/>
          <w:szCs w:val="20"/>
          <w:color w:val="auto"/>
        </w:rPr>
      </w:pPr>
      <w:r>
        <w:rPr>
          <w:rFonts w:ascii="Times New Roman" w:cs="Times New Roman" w:eastAsia="Times New Roman" w:hAnsi="Times New Roman"/>
          <w:sz w:val="18"/>
          <w:szCs w:val="18"/>
          <w:color w:val="auto"/>
        </w:rPr>
        <w:t>At June 30, 2022, accrued expenses included $5,712,109 of legal expense, $665,684 of printing expense, $529,688 of due diligence expense, $124,950 of professional fee expense, $70,000 of regulatory fee expense and $500,606 of consulting expense, of which $5,500,000 of legal expense, $500,606 of consulting expense, $665,684 of printing expense, $118,450 of accounting fee and $529,688 due diligence expenses were incurred in connection with the Business Combination with ProKidney.</w:t>
      </w:r>
    </w:p>
    <w:p>
      <w:pPr>
        <w:spacing w:after="0" w:line="180" w:lineRule="exact"/>
        <w:rPr>
          <w:sz w:val="20"/>
          <w:szCs w:val="20"/>
          <w:color w:val="auto"/>
        </w:rPr>
      </w:pPr>
    </w:p>
    <w:p>
      <w:pPr>
        <w:ind w:left="180" w:right="180" w:firstLine="440"/>
        <w:spacing w:after="0" w:line="282" w:lineRule="auto"/>
        <w:rPr>
          <w:sz w:val="20"/>
          <w:szCs w:val="20"/>
          <w:color w:val="auto"/>
        </w:rPr>
      </w:pPr>
      <w:r>
        <w:rPr>
          <w:rFonts w:ascii="Times New Roman" w:cs="Times New Roman" w:eastAsia="Times New Roman" w:hAnsi="Times New Roman"/>
          <w:sz w:val="18"/>
          <w:szCs w:val="18"/>
          <w:color w:val="auto"/>
        </w:rPr>
        <w:t>At December 31, 2021, accrued expenses included $1,506,528 of legal expense, $5,000 of printing expense, $282,500 of due diligence expense, $70,000 of regulatory filing fee and $770 of accounting expense.</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21" w:lineRule="exact"/>
        <w:rPr>
          <w:sz w:val="20"/>
          <w:szCs w:val="20"/>
          <w:color w:val="auto"/>
        </w:rPr>
      </w:pPr>
    </w:p>
    <w:p>
      <w:pPr>
        <w:ind w:left="180" w:right="60" w:firstLine="440"/>
        <w:spacing w:after="0" w:line="258" w:lineRule="auto"/>
        <w:rPr>
          <w:sz w:val="20"/>
          <w:szCs w:val="20"/>
          <w:color w:val="auto"/>
        </w:rPr>
      </w:pPr>
      <w:r>
        <w:rPr>
          <w:rFonts w:ascii="Times New Roman" w:cs="Times New Roman" w:eastAsia="Times New Roman" w:hAnsi="Times New Roman"/>
          <w:sz w:val="18"/>
          <w:szCs w:val="18"/>
          <w:color w:val="auto"/>
        </w:rPr>
        <w:t>Pursuant to the Initial Public Offering, the Company sold 25,000,000 Public Shares, which included a partial exercise by the underwriters of their over-allotment option in the amount of 3,000,000 Public Shares, at a price of $10.00 per Public Share. Unlike some other initial public offerings of special purpose acquisition companies, investors in the Initial Public Offering did not receive any warrants (which would typically become exercisable following completion of the Business Combination). The fair value attributable to the unexercised portion of the over-allotment option was deemed to be immaterial to the condensed consolidated financial statements.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21" w:lineRule="exact"/>
        <w:rPr>
          <w:sz w:val="20"/>
          <w:szCs w:val="20"/>
          <w:color w:val="auto"/>
        </w:rPr>
      </w:pPr>
    </w:p>
    <w:p>
      <w:pPr>
        <w:ind w:left="180" w:right="60" w:firstLine="440"/>
        <w:spacing w:after="0" w:line="255" w:lineRule="auto"/>
        <w:rPr>
          <w:sz w:val="20"/>
          <w:szCs w:val="20"/>
          <w:color w:val="auto"/>
        </w:rPr>
      </w:pPr>
      <w:r>
        <w:rPr>
          <w:rFonts w:ascii="Times New Roman" w:cs="Times New Roman" w:eastAsia="Times New Roman" w:hAnsi="Times New Roman"/>
          <w:sz w:val="18"/>
          <w:szCs w:val="18"/>
          <w:color w:val="auto"/>
        </w:rPr>
        <w:t>Substantially concurrently with the closing of the Initial Public Offering, the Sponsor purchased 640,000 Private Placement Shares at a price of $10.00 per Private Placement Share, for an aggregate purchase price of $6,400,000. Each Private Placement Share was identical to the Class A ordinary shares sold in the Initial Public Offering, subject to certain limited exceptions as described in Note 7. A portion of the proceeds from the sale of the Private Placement Shares was added to the net proceeds from the Initial Public Offering held in the Trust Account. If the Company did not complete a Business Combination within the Combination Period or during any applicable extension period, the proceeds from the sale of the Private Placement Shares held in the Trust Account would be used to fund the redemption of the Public Shares (subject to the requirements of applicable law) and the Private Placement Shares would be worthless.</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80" w:firstLine="440"/>
        <w:spacing w:after="0" w:line="270" w:lineRule="auto"/>
        <w:rPr>
          <w:sz w:val="20"/>
          <w:szCs w:val="20"/>
          <w:color w:val="auto"/>
        </w:rPr>
      </w:pPr>
      <w:r>
        <w:rPr>
          <w:rFonts w:ascii="Times New Roman" w:cs="Times New Roman" w:eastAsia="Times New Roman" w:hAnsi="Times New Roman"/>
          <w:sz w:val="17"/>
          <w:szCs w:val="17"/>
          <w:color w:val="auto"/>
        </w:rPr>
        <w:t>On March 2, 2021, the Sponsor paid $25,000 to cover certain offering and formation costs of the Company in consideration for which the Sponsor received 5,750,000 Class B ordinary shares (the “Founder Shares”). On June 29, 2021, the Company effected a share capitalization with respect to its Class B ordinary shares of 575,000 shares thereof, resulting in the Company’s initial shareholders holding an aggregate of 6,325,000 Founder Shares. All share and per-share amounts have been retroactively restated to reflect the share capitalization. The Founder Shares included an aggregate of up</w:t>
      </w:r>
    </w:p>
    <w:p>
      <w:pPr>
        <w:spacing w:after="0" w:line="3" w:lineRule="exact"/>
        <w:rPr>
          <w:sz w:val="20"/>
          <w:szCs w:val="20"/>
          <w:color w:val="auto"/>
        </w:rPr>
      </w:pPr>
    </w:p>
    <w:p>
      <w:pPr>
        <w:ind w:left="180" w:right="120"/>
        <w:spacing w:after="0" w:line="255" w:lineRule="auto"/>
        <w:rPr>
          <w:sz w:val="20"/>
          <w:szCs w:val="20"/>
          <w:color w:val="auto"/>
        </w:rPr>
      </w:pPr>
      <w:r>
        <w:rPr>
          <w:rFonts w:ascii="Times New Roman" w:cs="Times New Roman" w:eastAsia="Times New Roman" w:hAnsi="Times New Roman"/>
          <w:sz w:val="18"/>
          <w:szCs w:val="18"/>
          <w:color w:val="auto"/>
        </w:rPr>
        <w:t>to 825,000 shares that were subject to forfeiture depending on the extent to which the underwriters’ over-allotment option was exercised. As a result of the underwriters’ election to partially exercise their over-allotment option, a total of 750,000 Founder Shares were no longer subject to forfeiture and 75,000 Founder Shares were forfeited, resulting in an aggregate of 6,250,000 Founder Shares outstanding.</w:t>
      </w:r>
    </w:p>
    <w:p>
      <w:pPr>
        <w:spacing w:after="0" w:line="186" w:lineRule="exact"/>
        <w:rPr>
          <w:sz w:val="20"/>
          <w:szCs w:val="20"/>
          <w:color w:val="auto"/>
        </w:rPr>
      </w:pPr>
    </w:p>
    <w:p>
      <w:pPr>
        <w:ind w:left="180" w:firstLine="440"/>
        <w:spacing w:after="0" w:line="272" w:lineRule="auto"/>
        <w:rPr>
          <w:sz w:val="20"/>
          <w:szCs w:val="20"/>
          <w:color w:val="auto"/>
        </w:rPr>
      </w:pPr>
      <w:r>
        <w:rPr>
          <w:rFonts w:ascii="Times New Roman" w:cs="Times New Roman" w:eastAsia="Times New Roman" w:hAnsi="Times New Roman"/>
          <w:sz w:val="17"/>
          <w:szCs w:val="17"/>
          <w:color w:val="auto"/>
        </w:rPr>
        <w:t>In June 2021, the Sponsor transferred 30,000 Founder Shares to Marc Semigran, an independent director of the Company. The sale of the Founder Shares to the Company’s director is in the scope of FASB ASC Topic 718, “Compensation-Stock Compensation” (“ASC 718”). Under ASC 718, stock-based compensation associated with equity-classified awards is measured at fair value upon the grant date. The fair value of the 30,000 shares granted to the Company’s director was $214,160 or approximately $7.14 per share. The Founder Shares were effectively sold subject to a performance condition (i.e., the occurrence of a Business Combination). Compensation expense related to the Founder Shares is recognized only when the performance condition is probable of occurrence under the applicable accounting literature in this circumstance. As of June 30, 2022, the Company determined that a Business Combination was not considered probable, and, therefore, no stock-based compensation expense has been recognized. Stock-based compensation would be recognized at the date a Business Combination would be considered probable (i.e., upon consummation of a Business</w:t>
      </w:r>
    </w:p>
    <w:p>
      <w:pPr>
        <w:sectPr>
          <w:pgSz w:w="11900" w:h="16838" w:orient="portrait"/>
          <w:cols w:equalWidth="0" w:num="1">
            <w:col w:w="11160"/>
          </w:cols>
          <w:pgMar w:left="260" w:top="482" w:right="479" w:bottom="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Combination) in an amount equal to the number of Founder Shares times the grant date fair value per share (unless subsequently modified) less the amount initially received for the purchase of the Founder Shares.</w:t>
      </w:r>
    </w:p>
    <w:p>
      <w:pPr>
        <w:spacing w:after="0" w:line="9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440" w:top="121" w:right="8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Sponsor and the Company’s directors and officers have agreed, subject to limited exceptions, not to transfer, assign or sell any of their Founder Shares until the earlier of: (A) one year after the completion of a Business Combination and (B) subsequent to a Business Combination, (x) if the last reported sale price of the Class A ordinary shares equals or exceeds $12.00 per share (as adjusted for share sub-divisions, share dividends, rights issuances, consolidations, reorganizations, recapitalizations and other similar transactions)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Public Shareholders having the right to exchange their Class A ordinary shares for cash, securities or other property.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entered into an agreement in which it would pay an affiliate of the Sponsor $10,000 per month, commencing on June 30, 2021, for office space, administrative and support services. For the three and six months ended June 30, 2022, the Company incurred $30,000 and $60,000, respectively, in fees for these services, of which is included in amounts due to related party in the accompanying condensed consolidated balance sheet. For the three months ended June 30, 2021 and for the period from February 25, 2021 (inception) through June 30, 2021, the Company did not incur any fees for these services. Upon completion of the Business Combination, the Company ceased paying these monthly fees.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Party</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2022, an affiliate of the Sponsor advanced the Company $37,064 and $70,687, respectively, for working capital purposes. No repayments of these amounts were made during the three and six months ended June 30, 2022. During the three and six months ended June 30, 2021, the affiliate of the Sponsor advanced the Company $25,643, of which such amount was repaid on July 7, 2021. As of June 30, 2022, and December 31, 2021, the outstanding balance under the advances amounted to $80,687 and $10,000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March 2, 2021, the Company issued an unsecured promissory note to the Sponsor (the “Pre-IPO Sponsor Promissory Note”), pursuant to which the Company could borrow up to an aggregate principal amount of $300,000. The Pre-IPO Sponsor Promissory Note was non-interest bearing and payable on the earlier of December 31, 2021 and the completion of the Initial Public Offering. The outstanding balance under the Pre-IPO Sponsor Promissory Note of $300,000 was repaid at the closing of the Initial Public Offering on July 2, 2021. Borrowings are no longer available under the Pre-IPO Sponsor Promissory Note.</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April 20, 2022, the Company issued an unsecured promissory note (the “Promissory Note”) to the Sponsor pursuant to which the Company could borrow up to an aggregate principal amount of $1,500,000. The Promissory Note was non-interest bearing, unsecured and payable upon the earlier of July 2, 2023 and the effective date of the Company’s Business Combination. The Promissory Note was subject to customary events of default which could, subject to certain conditions, cause the Promissory Notes to become immediately due and payable. On April 26, 2022, the Company</w:t>
      </w:r>
    </w:p>
    <w:p>
      <w:pPr>
        <w:spacing w:after="0" w:line="3"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drew $250,000 under the Promissory Note. As of June 30, 2022, there was $250,000 outstanding under the Promissory Note and the amount was paid off at the closing of the Business Combination.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was a party to agreements with certain vendors that provide for fees that are contingent upon the consummation of a Business Combination in an aggregate amount of approximately $13.4 million, excluding the deferred underwriting fee discussed below. The Company was also required to pay certain fees and expenses of such vendors regardless of whether or not a Business Combination is consummated.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June 29, 2021, the holders of the Founder Shares, Private Placement Shares and any Private Placement Shares that could be issued on conversion of any Class A ordinary shares issuable upon the conversion of the Founder Shares) were entitled to registration rights requiring the Company to register such securities for resale (in the case of the Founder Shares, only after conversion to the Class A ordinary shares). The holders of these securities would be entitled to make up to three demands, excluding short form registration demands, that the Company register such securities. In addition, the holders had certain “piggy-back” registration rights with respect to registration statements filed subsequent to the completion of a Business Combination and rights to require the Company to register for resale such securities pursuant to Rule 415 under the Securities Act. The Company would bear the expenses incurred in connection with the filing of any such registration statements. At the closing of the Business Combination, the Company entered into an Amended and Restated Registration Rights Agreement, with the Sponsor, the Company’s directors and the Closing ProKidney unitholders, which replaced the existing registration rights agreement.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Legal Matters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Certain purported shareholders of the Company sent demand letters (the “Demands”) alleging deficiencies and/or omissions in the preliminary proxy statement on Schedule 14A filed by the Company with the SEC on February 14, 2022. The Demands seek additional disclosures to remedy these purported deficiencies. The Company believes that the allegations in the Demands are meritless.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The underwriters were entitled to a deferred underwriting commission of $7,700,000 in the aggregate. The deferred fee was paid to the underwriters at the closing of the Business Combination on July 11, 2022.</w:t>
      </w:r>
    </w:p>
    <w:p>
      <w:pPr>
        <w:sectPr>
          <w:pgSz w:w="11900" w:h="16838" w:orient="portrait"/>
          <w:cols w:equalWidth="0" w:num="1">
            <w:col w:w="11120"/>
          </w:cols>
          <w:pgMar w:left="320" w:top="482" w:right="459"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September 2021, pursuant to a Director Restricted Stock Unit Award Agreement, dated September 24, 2021, between the Company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Uma Sinha, the Company agreed to grant 30,000 restricted stock units (“RSUs”) to Dr. Sinha, which grant was contingent on both the consummation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Business Combination and a shareholder approved equity plan. The RSUs were to vest upon the consummation of such Business Combination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 30,000 Class A ordinary shares of the Company that will settle on a date determined in the sole discretion of the Company that shall occur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the vesting date and March 15 of the year following the year in which vesting occurs.</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117"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left="180" w:right="20" w:firstLine="440"/>
        <w:spacing w:after="0" w:line="255" w:lineRule="auto"/>
        <w:rPr>
          <w:sz w:val="20"/>
          <w:szCs w:val="20"/>
          <w:color w:val="auto"/>
        </w:rPr>
      </w:pPr>
      <w:r>
        <w:rPr>
          <w:rFonts w:ascii="Times New Roman" w:cs="Times New Roman" w:eastAsia="Times New Roman" w:hAnsi="Times New Roman"/>
          <w:sz w:val="18"/>
          <w:szCs w:val="18"/>
          <w:color w:val="auto"/>
        </w:rPr>
        <w:t>The RSUs granted by the Company are in the scope of ASC 718. Under ASC 718, stock-based compensation associated with equity-classified awards is measured at fair value upon the grant date. The RSUs granted were subject to a performance condition (i.e., the occurrence of a Business Combination). Compensation expense related to the RSUs is recognized only when the performance condition is probable of occurrence under the applicable accounting literature in this circumstance. As of June 30, 2022, the Company did not have a shareholder approved equity plan and also determined that a Business Combination was not considered probable, and, therefore, no stock-based compensation expense has been recognized. Stock-based compensation was recognized at the date a Business Combination was considered probable (i.e., upon consummation of a Business Combination) in an amount equal to the number of RSUs times the grant date fair value per share (unless subsequently modified).</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7. TEMPORARY EQUITY AND PERMANENT DEFICIT</w:t>
      </w:r>
    </w:p>
    <w:p>
      <w:pPr>
        <w:spacing w:after="0" w:line="117" w:lineRule="exact"/>
        <w:rPr>
          <w:sz w:val="20"/>
          <w:szCs w:val="20"/>
          <w:color w:val="auto"/>
        </w:rPr>
      </w:pPr>
    </w:p>
    <w:p>
      <w:pPr>
        <w:ind w:left="1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Preference Shares</w:t>
      </w:r>
      <w:r>
        <w:rPr>
          <w:rFonts w:ascii="Times New Roman" w:cs="Times New Roman" w:eastAsia="Times New Roman" w:hAnsi="Times New Roman"/>
          <w:sz w:val="18"/>
          <w:szCs w:val="18"/>
          <w:color w:val="auto"/>
        </w:rPr>
        <w:t>—The Company is authorized to issue 5,000,000 preference shares, with a par value of $0.0001 per share.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will be authorized to fix the voting rights, if any, designations, powers, preferences, the relative, participating, optional or other special rights and any qualifications, limitations and restrictions thereof, applicable to the shares of each series. The Company’s board of directors will be able to, without shareholder approval, issue preference shares with voting and other rights that could adversely affect the voting power and other rights of the holders of the Company’s ordinary shares and could have anti-takeover effects. At June 30, 2022 and December 31, 2021, there were no preference shares issued or outstanding.</w:t>
      </w:r>
    </w:p>
    <w:p>
      <w:pPr>
        <w:spacing w:after="0" w:line="182" w:lineRule="exact"/>
        <w:rPr>
          <w:sz w:val="20"/>
          <w:szCs w:val="20"/>
          <w:color w:val="auto"/>
        </w:rPr>
      </w:pPr>
    </w:p>
    <w:p>
      <w:pPr>
        <w:ind w:left="180" w:right="2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—The Company is authorized to issue 500,000,000 Class A ordinary shares, with a par value of $0.0001 per share.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2022 and December 31, 2021, there were 640,000 Class A ordinary shares issued and outstanding, excluding 25,000,000 Class A ordinary shares subject to possible redemption which are presented as temporary equity.</w:t>
      </w:r>
    </w:p>
    <w:p>
      <w:pPr>
        <w:spacing w:after="0" w:line="171" w:lineRule="exact"/>
        <w:rPr>
          <w:sz w:val="20"/>
          <w:szCs w:val="20"/>
          <w:color w:val="auto"/>
        </w:rPr>
      </w:pPr>
    </w:p>
    <w:p>
      <w:pPr>
        <w:ind w:left="180"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—As of June 30, 2022, the Company was authorized to issue 50,000,000 Class B ordinary shares, with a par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$0.0001 per share. At June 30, 2022 and December 31, 2021, there were 6,250,000 Class B ordinary shares issued and outstanding.</w:t>
      </w:r>
    </w:p>
    <w:p>
      <w:pPr>
        <w:spacing w:after="0" w:line="159" w:lineRule="exact"/>
        <w:rPr>
          <w:sz w:val="20"/>
          <w:szCs w:val="20"/>
          <w:color w:val="auto"/>
        </w:rPr>
      </w:pPr>
    </w:p>
    <w:p>
      <w:pPr>
        <w:ind w:left="180" w:right="120" w:firstLine="440"/>
        <w:spacing w:after="0" w:line="261" w:lineRule="auto"/>
        <w:rPr>
          <w:sz w:val="20"/>
          <w:szCs w:val="20"/>
          <w:color w:val="auto"/>
        </w:rPr>
      </w:pPr>
      <w:r>
        <w:rPr>
          <w:rFonts w:ascii="Times New Roman" w:cs="Times New Roman" w:eastAsia="Times New Roman" w:hAnsi="Times New Roman"/>
          <w:sz w:val="18"/>
          <w:szCs w:val="18"/>
          <w:color w:val="auto"/>
        </w:rPr>
        <w:t>Holders of record of Class A ordinary shares and Class B ordinary shares are entitled to one vote for each share held on all matters to be voted on by shareholders and vote together as a single class, except as required by law; provided that prior to a Business Combination, holders of Class B ordinary shares had the right to appoint all of the Company’s directors and remove members of its board of directors for any reason, and holders of Class A ordinary shares were not entitled to vote on the appointment of directors during such time.</w:t>
      </w:r>
    </w:p>
    <w:p>
      <w:pPr>
        <w:spacing w:after="0" w:line="180" w:lineRule="exact"/>
        <w:rPr>
          <w:sz w:val="20"/>
          <w:szCs w:val="20"/>
          <w:color w:val="auto"/>
        </w:rPr>
      </w:pPr>
    </w:p>
    <w:p>
      <w:pPr>
        <w:ind w:left="180" w:right="20" w:firstLine="440"/>
        <w:spacing w:after="0" w:line="253" w:lineRule="auto"/>
        <w:rPr>
          <w:sz w:val="20"/>
          <w:szCs w:val="20"/>
          <w:color w:val="auto"/>
        </w:rPr>
      </w:pPr>
      <w:r>
        <w:rPr>
          <w:rFonts w:ascii="Times New Roman" w:cs="Times New Roman" w:eastAsia="Times New Roman" w:hAnsi="Times New Roman"/>
          <w:sz w:val="18"/>
          <w:szCs w:val="18"/>
          <w:color w:val="auto"/>
        </w:rPr>
        <w:t>The Class B ordinary shares automatically converted into Class A ordinary shares at the time of the Business Combination, or earlier at the option of the holder, on a one-for-one basis, subject to adjustment for share sub-divisions, share dividends, rights issuances, consolidations, reorganizations, recapitalizations and the like. Additionally, in the event that additional (in excess of the amounts issued in the Initial Public Offering) Class A ordinary shares, or equity-linked securities, were issued or deemed issued in connection with the closing of the Business Combination, the ratio at which the Class B ordinary shares would convert into Class A ordinary shares would be adjusted (unless the holders of a majority of the issued and outstanding Class B ordinary shares agreed to waive such anti-dilution adjustment with respect to any such issuance or deemed issuance) so that the number of Class A ordinary shares issuable upon conversion of all Class B ordinary shares would equal, in the aggregate, 20% of the sum of the total number of Class A ordinary shares outstanding after such conversion (after giving effect to any redemptions of Class A ordinary shares by Public Shareholders, and excluding the Private Placement Shares), including any Class A ordinary shares issued or deemed issued, or issuable upon the conversion or exercise of any equity-linked securities or rights issued or deemed issued, by the Company in connection with the Business Combination, excluding any Class A ordinary shares or equity-linked securities exercisable for or convertible into Class A ordinary shares issued, or to be issued, to any seller in the Business Combination and any private placement shares issued to the Sponsor or its affiliates upon conversion of Working Capital Loans; provided that such conversion of Class B ordinary shares would never occur on a less than one-for-one-basis.</w:t>
      </w:r>
    </w:p>
    <w:p>
      <w:pPr>
        <w:spacing w:after="0" w:line="116" w:lineRule="exact"/>
        <w:rPr>
          <w:sz w:val="20"/>
          <w:szCs w:val="20"/>
          <w:color w:val="auto"/>
        </w:rPr>
      </w:pPr>
    </w:p>
    <w:p>
      <w:pPr>
        <w:ind w:left="180" w:right="1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Private Placement Shares</w:t>
      </w:r>
      <w:r>
        <w:rPr>
          <w:rFonts w:ascii="Times New Roman" w:cs="Times New Roman" w:eastAsia="Times New Roman" w:hAnsi="Times New Roman"/>
          <w:sz w:val="18"/>
          <w:szCs w:val="18"/>
          <w:color w:val="auto"/>
        </w:rPr>
        <w:t>—The Private Placement Shares are not transferable, assignable, or salable until 30 days after the completion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(except, among other limited exceptions, to the Company’s directors and officers and other persons or entities affiliated with the Sponsor). Holders of the Private Placement Shares are entitled to certain registration rights. If the Company did not complete a Business Combination within the Combination Period or during any applicable extension period, the proceeds from the sale of the Private Placement Shares held in the Trust Account would be used to fund the redemption of the Public Shares (subject to the requirements of applicable law) and the Private Placement Shares would be worthless.</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121" w:lineRule="exact"/>
        <w:rPr>
          <w:sz w:val="20"/>
          <w:szCs w:val="20"/>
          <w:color w:val="auto"/>
        </w:rPr>
      </w:pPr>
    </w:p>
    <w:p>
      <w:pPr>
        <w:ind w:left="180"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follows the guidance in ASC Topic 820 for its financial assets and liabilities that arere-measured and reported at fair value at each reporting period, and non-financial assets and liabilities that are re-measured and reported at fair value at least annually.</w:t>
      </w:r>
    </w:p>
    <w:p>
      <w:pPr>
        <w:spacing w:after="0" w:line="94" w:lineRule="exact"/>
        <w:rPr>
          <w:sz w:val="20"/>
          <w:szCs w:val="20"/>
          <w:color w:val="auto"/>
        </w:rPr>
      </w:pPr>
    </w:p>
    <w:p>
      <w:pPr>
        <w:ind w:left="180" w:right="80" w:firstLine="440"/>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20" w:lineRule="exact"/>
        <w:rPr>
          <w:sz w:val="20"/>
          <w:szCs w:val="20"/>
          <w:color w:val="auto"/>
        </w:rPr>
      </w:pPr>
    </w:p>
    <w:p>
      <w:pPr>
        <w:ind w:left="960" w:right="20" w:hanging="782"/>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Level 1:</w:t>
        <w:tab/>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54" w:lineRule="exact"/>
        <w:rPr>
          <w:sz w:val="20"/>
          <w:szCs w:val="20"/>
          <w:color w:val="auto"/>
        </w:rPr>
      </w:pPr>
    </w:p>
    <w:p>
      <w:pPr>
        <w:ind w:left="960" w:right="700" w:hanging="782"/>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ectPr>
          <w:pgSz w:w="11900" w:h="16838" w:orient="portrait"/>
          <w:cols w:equalWidth="0" w:num="1">
            <w:col w:w="11200"/>
          </w:cols>
          <w:pgMar w:left="260" w:top="482" w:right="439" w:bottom="0" w:gutter="0" w:footer="0" w:header="0"/>
        </w:sectPr>
      </w:pPr>
    </w:p>
    <w:bookmarkStart w:id="18" w:name="page19"/>
    <w:bookmarkEnd w:id="18"/>
    <w:p>
      <w:pPr>
        <w:ind w:hanging="782"/>
        <w:spacing w:after="0" w:line="282" w:lineRule="auto"/>
        <w:rPr>
          <w:sz w:val="20"/>
          <w:szCs w:val="20"/>
          <w:color w:val="auto"/>
        </w:rPr>
      </w:pPr>
      <w:r>
        <w:rPr>
          <w:rFonts w:ascii="Times New Roman" w:cs="Times New Roman" w:eastAsia="Times New Roman" w:hAnsi="Times New Roman"/>
          <w:sz w:val="18"/>
          <w:szCs w:val="18"/>
          <w:color w:val="auto"/>
        </w:rPr>
        <w:t>Level 3:</w:t>
      </w:r>
      <w:r>
        <w:rPr>
          <w:sz w:val="20"/>
          <w:szCs w:val="20"/>
          <w:color w:val="auto"/>
        </w:rPr>
        <w:t xml:space="preserve"> </w:t>
      </w:r>
      <w:r>
        <w:rPr>
          <w:rFonts w:ascii="Times New Roman" w:cs="Times New Roman" w:eastAsia="Times New Roman" w:hAnsi="Times New Roman"/>
          <w:sz w:val="18"/>
          <w:szCs w:val="18"/>
          <w:color w:val="auto"/>
        </w:rPr>
        <w:t>Unobservable inputs based on the Company’s assessment of the assumptions that market participants would use in pricing the asset or liability.</w:t>
      </w:r>
    </w:p>
    <w:p>
      <w:pPr>
        <w:spacing w:after="0" w:line="9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640"/>
          </w:cols>
          <w:pgMar w:left="1220" w:top="135" w:right="10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 presents information about the Company’s assets that are measured at fair value on a recurring basis at June 30, 2022 and</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and indicates the fair value hierarchy of the valuation inputs the Company utilized to determine such fair value:</w:t>
      </w:r>
    </w:p>
    <w:p>
      <w:pPr>
        <w:spacing w:after="0" w:line="13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4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$250,371,095</w:t>
            </w: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250,008,324</w:t>
            </w:r>
          </w:p>
        </w:tc>
        <w:tc>
          <w:tcPr>
            <w:tcW w:w="60" w:type="dxa"/>
            <w:vAlign w:val="bottom"/>
          </w:tcPr>
          <w:p>
            <w:pPr>
              <w:spacing w:after="0"/>
              <w:rPr>
                <w:sz w:val="20"/>
                <w:szCs w:val="20"/>
                <w:color w:val="auto"/>
              </w:rPr>
            </w:pP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condensed consolidated financial statements were issued. Based upon this review, other than as described below, the Company did not identify any subsequent events that would have required adjustment or disclosure in the condensed consolidated financial statements.</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further described in Note 1, on July 11, 2022, the Company completed its Business Combination with ProKidney.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40"/>
          </w:cols>
          <w:pgMar w:left="320" w:top="482" w:right="8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80" w:right="20" w:firstLine="440"/>
        <w:spacing w:after="0" w:line="258" w:lineRule="auto"/>
        <w:rPr>
          <w:sz w:val="20"/>
          <w:szCs w:val="20"/>
          <w:color w:val="auto"/>
        </w:rPr>
      </w:pPr>
      <w:r>
        <w:rPr>
          <w:rFonts w:ascii="Times New Roman" w:cs="Times New Roman" w:eastAsia="Times New Roman" w:hAnsi="Times New Roman"/>
          <w:sz w:val="18"/>
          <w:szCs w:val="18"/>
          <w:color w:val="auto"/>
        </w:rPr>
        <w:t>References in this report (this “Quarterly Report”) to “we,” “us” or the “Company” refer to Social Capital Suvretta Holdings Corp. III. References to our “management” or our “management team” refer to our officers and directors, and references to the “Sponsor” refer to SCS Sponsor III LLC. The following discussion and analysis of the Company’s financial condition and results of operations should be read in conjunction with the condensed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left="180" w:firstLine="440"/>
        <w:spacing w:after="0" w:line="252" w:lineRule="auto"/>
        <w:rPr>
          <w:sz w:val="20"/>
          <w:szCs w:val="20"/>
          <w:color w:val="auto"/>
        </w:rPr>
      </w:pPr>
      <w:r>
        <w:rPr>
          <w:rFonts w:ascii="Times New Roman" w:cs="Times New Roman" w:eastAsia="Times New Roman" w:hAnsi="Times New Roman"/>
          <w:sz w:val="18"/>
          <w:szCs w:val="18"/>
          <w:color w:val="auto"/>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including with respect to our recently completed Business Combination (as defined below). Words such as “anticipate,” “believe,” “continue,” “could,” “estimate,” “expect,” “intends,” “may,” “might,” “plan,” “possible,” “potential,” “predict,” “project,” “seek,” “should,” “will,” “would”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filed with the SEC and the definitive proxy statement on Schedule 14A that we have filed with the SEC relating to the Business Combination (the “ProKidney Disclosure Statement”).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80" w:right="220" w:firstLine="440"/>
        <w:spacing w:after="0" w:line="261" w:lineRule="auto"/>
        <w:rPr>
          <w:sz w:val="20"/>
          <w:szCs w:val="20"/>
          <w:color w:val="auto"/>
        </w:rPr>
      </w:pPr>
      <w:r>
        <w:rPr>
          <w:rFonts w:ascii="Times New Roman" w:cs="Times New Roman" w:eastAsia="Times New Roman" w:hAnsi="Times New Roman"/>
          <w:sz w:val="18"/>
          <w:szCs w:val="18"/>
          <w:color w:val="auto"/>
        </w:rPr>
        <w:t>We were a blank check company incorporated in the Cayman Islands on February 25, 2021, formed for the purpose of effecting a merger, share exchange, asset acquisition, share purchase, reorganization or similar Business Combination. We effectuated our Business Combination using cash derived from the proceeds of the Initial Public Offering and the sale of the Private Placement Shares, our shares, debt or a combination of cash, shares and debt.</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On July 11, 2022, we completed our Business Combination with ProKidney LP (“ProKidney”).</w:t>
      </w: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80" w:right="180" w:firstLine="440"/>
        <w:spacing w:after="0" w:line="256" w:lineRule="auto"/>
        <w:rPr>
          <w:sz w:val="20"/>
          <w:szCs w:val="20"/>
          <w:color w:val="auto"/>
        </w:rPr>
      </w:pPr>
      <w:r>
        <w:rPr>
          <w:rFonts w:ascii="Times New Roman" w:cs="Times New Roman" w:eastAsia="Times New Roman" w:hAnsi="Times New Roman"/>
          <w:sz w:val="18"/>
          <w:szCs w:val="18"/>
          <w:color w:val="auto"/>
        </w:rPr>
        <w:t>All activity for the period from February 25, 2021 (inception) through June 30, 2022 related to our formation, the Initial Public Offering, described below, and, subsequent to the Initial Public Offering, identifying a target company for a Business Combination and consummating the acquisition of ProKidney. We did not expect to generate any operating revenues until after the completion of our Business Combination, at the earliest. We generate non-operating income in the form of interest income on investments held in the Trust Account. We have incurred expenses as a result of being a public company (for legal, financial reporting, accounting and auditing compliance), as well as for due diligence expenses in connection with searching for, and completing, a Business Combination.</w:t>
      </w:r>
    </w:p>
    <w:p>
      <w:pPr>
        <w:spacing w:after="0" w:line="187" w:lineRule="exact"/>
        <w:rPr>
          <w:sz w:val="20"/>
          <w:szCs w:val="20"/>
          <w:color w:val="auto"/>
        </w:rPr>
      </w:pPr>
    </w:p>
    <w:p>
      <w:pPr>
        <w:ind w:left="180" w:right="2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we had a net loss of $2,270,014, which consisted of operating and formation costs of $2,607,609, offset by interest earned on investments held in the Trust Account of $337,595.</w:t>
      </w:r>
    </w:p>
    <w:p>
      <w:pPr>
        <w:spacing w:after="0" w:line="162" w:lineRule="exact"/>
        <w:rPr>
          <w:sz w:val="20"/>
          <w:szCs w:val="20"/>
          <w:color w:val="auto"/>
        </w:rPr>
      </w:pPr>
    </w:p>
    <w:p>
      <w:pPr>
        <w:ind w:left="180" w:right="420" w:firstLine="44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we had a net loss of $6,251,039, which consisted of operating and formation costs of $6,613,810, of which $5,337,037 was associated with the business combination, offset by interest earned on marketable securities held in the Trust Account of $362,771.</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For the three months ended June 30, 2021, we had a net loss of $143, which consisted of operating and formation costs.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For the period from February 25, 2021 (inception) through June 30, 2021, we had a net loss of $5,325, which consisted of operating and formation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costs.</w:t>
      </w:r>
    </w:p>
    <w:p>
      <w:pPr>
        <w:spacing w:after="0" w:line="3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80" w:right="260" w:firstLine="44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the pandemic could have a negative effect on the Company’s business, financial position, results of operations and/or the search for a target company, the specific impact is not readily determinable as of the date of these condensed consolidated financial statements. The condensed consolidated financial statements do not include any adjustments that might result from the outcome of this uncertainty.</w:t>
      </w: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80" w:right="60" w:firstLine="440"/>
        <w:spacing w:after="0" w:line="312" w:lineRule="auto"/>
        <w:rPr>
          <w:sz w:val="20"/>
          <w:szCs w:val="20"/>
          <w:color w:val="auto"/>
        </w:rPr>
      </w:pPr>
      <w:r>
        <w:rPr>
          <w:rFonts w:ascii="Times New Roman" w:cs="Times New Roman" w:eastAsia="Times New Roman" w:hAnsi="Times New Roman"/>
          <w:sz w:val="17"/>
          <w:szCs w:val="17"/>
          <w:color w:val="auto"/>
        </w:rPr>
        <w:t>On July 2, 2021, we consummated the Initial Public Offering of 25,000,000 Public Shares, which included the partial exercise by the underwriters of their over-allotment option in the amount of 3,000,000 Public Shares, at $10.00 per Public Share, generating gross proceeds of $250,000,000.</w:t>
      </w:r>
    </w:p>
    <w:p>
      <w:pPr>
        <w:sectPr>
          <w:pgSz w:w="11900" w:h="16838" w:orient="portrait"/>
          <w:cols w:equalWidth="0" w:num="1">
            <w:col w:w="11200"/>
          </w:cols>
          <w:pgMar w:left="260" w:top="482" w:right="439" w:bottom="555" w:gutter="0" w:footer="0" w:header="0"/>
        </w:sectPr>
      </w:pPr>
    </w:p>
    <w:p>
      <w:pPr>
        <w:spacing w:after="0" w:line="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00"/>
          </w:cols>
          <w:pgMar w:left="260" w:top="482" w:right="439" w:bottom="555"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Substantially concurrently with the closing of the Initial Public Offering, we consummated the sale of 640,000 Private Placement Shares at a price of $10.00 per Private Placement Share in a private placement to the Sponsor, generating gross proceeds of $6,400,000.</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the Initial Public Offering, the partial exercise of the over-allotment option and the sale of the Private Placement Shares, a total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$250,000,000 was placed in the Trust Account. We incurred $12,479,666 in Initial Public Offering related costs, including $4,400,000 of underwriting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fees, $7,700,000 of deferred underwriting fees and $379,666 of other costs.</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cash used in operating activities was $582,942. Net loss of $6,251,039 was affected by interest earned on investments held in the Trust Account of $362,771. Changes in operating assets and liabilities provided $6,030,868 of cash from operating activities.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period from February 25, 2021 (inception) through June 30, 2021, cash used in operating activities was $19,837. Net loss of $5,325 was affected by formation costs paid by the Sponsor in exchange for the issuance of Founder Shares of $5,000 and changes in operating assets and liabilities used $19,512 of cash from operating activities.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Until the consummation of the Business Combination, we used the funds held in the Trust Account, including any amounts representing interest earned on the Trust Account, excluding deferred underwriting commissions, to complete our Business Combination.</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completed our Business Combination with ProKidney on July 11, 2022. We raised sufficient proceeds through the Business Combination transaction, in the form of funds from the Trust Account, net of redemptions and proceeds from the PIPE Placement, to fund operations and transaction expenses.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82"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We had no obligations, assets or liabilities, which would be considered off-balance sheet arrangements as of June 30, 2022.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of June 30, 2022, we did not have any long-term debt, capital lease obligations, operating lease obligations or long-term liabilities, other than an agreement to pay an affiliate of the Sponsor $10,000 per month for office space, administrative and support services. Upon completion of the Business Combination, the Company ceased paying these monthly fees.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are entitled to a deferred underwriting commission of $7,700,000 in the aggregate. The deferred fee was paid to the underwriters at the closing of the Business Combination on July 11,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consolidated financial statements, and income and expenses during the periods reported. Actual results could materially differ from those estimates. We have identified the following critical accounting policies: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A Ordinary Shares Subject to Possible Redemption</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account for our Class A ordinary shares subject to possible conversion in accordance with the guidance in ASC Topic 480, “Distinguishing Liabilities from Equity.” Ordinary shares subject to mandatory redemption are classified as a liability instrument and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Class A ordinary shares feature certain redemption rights that are considered to be outside of our control and subject to occurrence of uncertain future events. Accordingly, Class A ordinary shares subject to possible redemption are presented at redemption value as temporary equity, outside of the permanent equity (deficit) section of our condensed consolidated balance sheets.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 per Ordinary Share</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Net loss per ordinary share is computed by dividing net loss by the weighted average number of ordinary shares outstanding during the period. We have two classes of shares, which are referred to as Class A ordinary shares and Class B ordinary shares. Losses are shared pro rata between the two classes of shares. Accretion associated with the redeemable Class A ordinary shares is excluded from earnings per share as the redemption value approximates fair value.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We adopted ASU 2020-06 effective as of January 1, 2021. The adoption of ASU 2020-06 did not have an impact on our condensed consolidated financial statements.</w:t>
      </w:r>
    </w:p>
    <w:p>
      <w:pPr>
        <w:spacing w:after="0" w:line="18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our condensed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June 30, 2022. Based upon their evaluation, our Chief Executive Officer and Chief Financial Officer concluded that our disclosure controls and procedures (as defined in Rules 13a-15(e) and 15d-15(e) under the Exchange Act) were not effective, due to the material weakness in our internal control over financial reporting related to the Company’s accounting for complex financial instruments. As a result, we performed additional analysis as deemed necessary to ensure that our condensed consolidated financial statements were prepared in accordance with U.S. generally accepted accounting principles. Accordingly, management believes that the condensed consolidated financial statements included in this Quarterly Report on Form 10-Q present fairly in all material respects our financial position, results of operations, and cash flows for the periods presented.</w:t>
      </w:r>
    </w:p>
    <w:p>
      <w:pPr>
        <w:spacing w:after="0" w:line="192"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Management has implemented remediation steps to improve our disclosure controls and procedures and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There were no additional changes to our internal control over financial reporting (as such term is defined in Rules 13a-15(f) and 15d-15(f) of the Exchange Act) that occurred during the quarter ended June 30, 2022 that has materially affected, or is reasonably likely to materially affect, our internal control over financial reporting.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Certain purported shareholders of the Company sent demand letters (the “Demands”) alleging deficiencies and/or omissions in the ProKidney Disclosure Statement filed by the Company with the SEC on February 14, 2022. The Demands seek additional disclosures to remedy these purported deficiencies. We believe that the allegations in the Demands are meritless.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Factors that could cause our actual results to differ materially from those in this Quarterly Report include the risk factors described in our Annual Report on Form 10-K filed with the SEC on March 24, 2022 and our Quarterly Report on Form 10-Q for the quarter ended March 31, 2022 filed with the SEC on May 16, 2022. For risk factors related to the proposed Business Combination, see the “Risk Factors” section of the definitive proxy statement on Schedule 14A that we have filed with the SEC relating to the Business Combination. For the quarter ended June 30, 2022, there were no material changes in our risk factors since such filings.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320" w:top="482"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139"/>
          </w:cols>
          <w:pgMar w:left="320" w:top="482"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w:t>
      </w:r>
    </w:p>
    <w:p>
      <w:pPr>
        <w:spacing w:after="0" w:line="246"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4"/>
          <w:szCs w:val="14"/>
          <w:b w:val="1"/>
          <w:bCs w:val="1"/>
          <w:color w:val="auto"/>
        </w:rPr>
        <w:t>Description of</w:t>
      </w:r>
    </w:p>
    <w:p>
      <w:pPr>
        <w:spacing w:after="0" w:line="6" w:lineRule="exact"/>
        <w:rPr>
          <w:sz w:val="20"/>
          <w:szCs w:val="20"/>
          <w:color w:val="auto"/>
        </w:rPr>
      </w:pPr>
    </w:p>
    <w:p>
      <w:pPr>
        <w:ind w:left="9480"/>
        <w:spacing w:after="0"/>
        <w:tabs>
          <w:tab w:leader="none" w:pos="10400" w:val="left"/>
        </w:tabs>
        <w:rPr>
          <w:sz w:val="20"/>
          <w:szCs w:val="20"/>
          <w:color w:val="auto"/>
        </w:rPr>
      </w:pPr>
      <w:r>
        <w:rPr>
          <w:rFonts w:ascii="Times New Roman" w:cs="Times New Roman" w:eastAsia="Times New Roman" w:hAnsi="Times New Roman"/>
          <w:sz w:val="14"/>
          <w:szCs w:val="14"/>
          <w:b w:val="1"/>
          <w:bCs w:val="1"/>
          <w:u w:val="single" w:color="auto"/>
          <w:color w:val="auto"/>
        </w:rPr>
        <w:t>No.</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-3175</wp:posOffset>
            </wp:positionV>
            <wp:extent cx="557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6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Promissory Note, dated April 20, 2022, to SCS Sponsor III LLC</w:t>
              </w:r>
            </w:hyperlink>
          </w:p>
        </w:tc>
        <w:tc>
          <w:tcPr>
            <w:tcW w:w="2800" w:type="dxa"/>
            <w:vAlign w:val="bottom"/>
            <w:gridSpan w:val="5"/>
          </w:tcPr>
          <w:p>
            <w:pPr>
              <w:spacing w:after="0"/>
              <w:rPr>
                <w:sz w:val="17"/>
                <w:szCs w:val="17"/>
                <w:color w:val="auto"/>
              </w:rPr>
            </w:pP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4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 13a-14(a), as</w:t>
            </w:r>
          </w:p>
        </w:tc>
      </w:tr>
      <w:tr>
        <w:trPr>
          <w:trHeight w:val="196"/>
        </w:trPr>
        <w:tc>
          <w:tcPr>
            <w:tcW w:w="1240" w:type="dxa"/>
            <w:vAlign w:val="bottom"/>
          </w:tcPr>
          <w:p>
            <w:pPr>
              <w:spacing w:after="0"/>
              <w:rPr>
                <w:sz w:val="17"/>
                <w:szCs w:val="17"/>
                <w:color w:val="auto"/>
              </w:rPr>
            </w:pPr>
          </w:p>
        </w:tc>
        <w:tc>
          <w:tcPr>
            <w:tcW w:w="71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280" w:type="dxa"/>
            <w:vAlign w:val="bottom"/>
            <w:gridSpan w:val="2"/>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1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Securities Exchange Act Rule 13a-14(a), as</w:t>
            </w:r>
          </w:p>
        </w:tc>
        <w:tc>
          <w:tcPr>
            <w:tcW w:w="32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74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24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4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w:t>
            </w:r>
          </w:p>
        </w:tc>
      </w:tr>
      <w:tr>
        <w:trPr>
          <w:trHeight w:val="196"/>
        </w:trPr>
        <w:tc>
          <w:tcPr>
            <w:tcW w:w="1240" w:type="dxa"/>
            <w:vAlign w:val="bottom"/>
          </w:tcPr>
          <w:p>
            <w:pPr>
              <w:spacing w:after="0"/>
              <w:rPr>
                <w:sz w:val="17"/>
                <w:szCs w:val="17"/>
                <w:color w:val="auto"/>
              </w:rPr>
            </w:pPr>
          </w:p>
        </w:tc>
        <w:tc>
          <w:tcPr>
            <w:tcW w:w="34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4000" w:type="dxa"/>
            <w:vAlign w:val="bottom"/>
            <w:gridSpan w:val="6"/>
          </w:tcPr>
          <w:p>
            <w:pPr>
              <w:spacing w:after="0"/>
              <w:rPr>
                <w:sz w:val="17"/>
                <w:szCs w:val="17"/>
                <w:color w:val="auto"/>
              </w:rPr>
            </w:pP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4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w:t>
            </w:r>
          </w:p>
        </w:tc>
        <w:tc>
          <w:tcPr>
            <w:tcW w:w="4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4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020" w:type="dxa"/>
            <w:vAlign w:val="bottom"/>
            <w:gridSpan w:val="7"/>
          </w:tcPr>
          <w:p>
            <w:pPr>
              <w:spacing w:after="0"/>
              <w:rPr>
                <w:sz w:val="17"/>
                <w:szCs w:val="17"/>
                <w:color w:val="auto"/>
              </w:rPr>
            </w:pPr>
          </w:p>
        </w:tc>
      </w:tr>
      <w:tr>
        <w:trPr>
          <w:trHeight w:val="34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3" w:lineRule="exact"/>
        <w:rPr>
          <w:sz w:val="20"/>
          <w:szCs w:val="20"/>
          <w:color w:val="auto"/>
        </w:rPr>
      </w:pPr>
    </w:p>
    <w:p>
      <w:pPr>
        <w:ind w:left="120" w:right="780" w:hanging="4"/>
        <w:spacing w:after="0" w:line="282" w:lineRule="auto"/>
        <w:tabs>
          <w:tab w:leader="none" w:pos="5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Amendment No. 1 to the Registrant’s Current Report on Form 8-K filed on April 22, 2022. * Filed herewith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82"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PROKIDNEY CORP</w:t>
            </w:r>
            <w:r>
              <w:rPr>
                <w:rFonts w:ascii="Times New Roman" w:cs="Times New Roman" w:eastAsia="Times New Roman" w:hAnsi="Times New Roman"/>
                <w:sz w:val="18"/>
                <w:szCs w:val="18"/>
                <w:color w:val="auto"/>
              </w:rPr>
              <w:t>.</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2022</w:t>
            </w: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A. Bertram</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Timothy A. Bertram</w:t>
            </w:r>
          </w:p>
        </w:tc>
      </w:tr>
      <w:tr>
        <w:trPr>
          <w:trHeight w:val="216"/>
        </w:trPr>
        <w:tc>
          <w:tcPr>
            <w:tcW w:w="3520" w:type="dxa"/>
            <w:vAlign w:val="bottom"/>
          </w:tcPr>
          <w:p>
            <w:pPr>
              <w:spacing w:after="0"/>
              <w:rPr>
                <w:sz w:val="18"/>
                <w:szCs w:val="18"/>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2022</w:t>
            </w: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Coulston</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Coulston</w:t>
            </w:r>
          </w:p>
        </w:tc>
      </w:tr>
      <w:tr>
        <w:trPr>
          <w:trHeight w:val="216"/>
        </w:trPr>
        <w:tc>
          <w:tcPr>
            <w:tcW w:w="3520" w:type="dxa"/>
            <w:vAlign w:val="bottom"/>
          </w:tcPr>
          <w:p>
            <w:pPr>
              <w:spacing w:after="0"/>
              <w:rPr>
                <w:sz w:val="18"/>
                <w:szCs w:val="18"/>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07"/>
        </w:trPr>
        <w:tc>
          <w:tcPr>
            <w:tcW w:w="3520" w:type="dxa"/>
            <w:vAlign w:val="bottom"/>
          </w:tcPr>
          <w:p>
            <w:pPr>
              <w:spacing w:after="0"/>
              <w:rPr>
                <w:sz w:val="24"/>
                <w:szCs w:val="24"/>
                <w:color w:val="auto"/>
              </w:rPr>
            </w:pPr>
          </w:p>
        </w:tc>
        <w:tc>
          <w:tcPr>
            <w:tcW w:w="26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21</w:t>
            </w:r>
          </w:p>
        </w:tc>
        <w:tc>
          <w:tcPr>
            <w:tcW w:w="48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6"/>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Timothy A. Bertram, certify that:</w:t>
      </w:r>
    </w:p>
    <w:p>
      <w:pPr>
        <w:spacing w:after="0" w:line="131"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ProKidney Corp.;</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have:</w:t>
      </w:r>
    </w:p>
    <w:p>
      <w:pPr>
        <w:spacing w:after="0" w:line="112"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and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Timothy A. Bertram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Timothy A. Bertram</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4"/>
          </w:cols>
          <w:pgMar w:left="436" w:top="117" w:right="4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6"/>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James Coulston, certify that:</w:t>
      </w:r>
    </w:p>
    <w:p>
      <w:pPr>
        <w:spacing w:after="0" w:line="131"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ProKidney Corp.;</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have:</w:t>
      </w:r>
    </w:p>
    <w:p>
      <w:pPr>
        <w:spacing w:after="0" w:line="112"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and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James Coulston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James Coulston</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024"/>
          </w:cols>
          <w:pgMar w:left="436" w:top="117"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ProKidney Corp. (the “Company”) on Form 10-Q for the quarterly period ended June 30, 2022, as filed with the Securities and Exchange Commission (the “Report”), I, Timothy A. Bertram, Chief Executive Officer of the Company, certify, pursuant to 18 U.S.C. §1350, as adopted pursuant to §906 of the Sarbanes-Oxley Act of 2002, that, to the best of my knowledge:</w:t>
      </w:r>
    </w:p>
    <w:p>
      <w:pPr>
        <w:spacing w:after="0" w:line="81"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444" w:right="160" w:hanging="444"/>
        <w:spacing w:after="0" w:line="407" w:lineRule="auto"/>
        <w:tabs>
          <w:tab w:leader="none" w:pos="4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August 11, 2022</w:t>
      </w:r>
    </w:p>
    <w:p>
      <w:pPr>
        <w:spacing w:after="0" w:line="8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Timothy A. Bertram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Timothy A. Bertram</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4"/>
          </w:cols>
          <w:pgMar w:left="436" w:top="117" w:right="4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ProKidney Corp. (the “Company”) on Form 10-Q for the quarterly period ended June 30, 2022, as filed with the Securities and Exchange Commission (the “Report”), I, James Coulston, Chief Financial Officer of the Company, certify, pursuant to 18 U.S.C. §1350, as adopted pursuant to §906 of the Sarbanes-Oxley Act of 2002, that, to the best of my knowledge:</w:t>
      </w:r>
    </w:p>
    <w:p>
      <w:pPr>
        <w:spacing w:after="0" w:line="81" w:lineRule="exact"/>
        <w:rPr>
          <w:sz w:val="20"/>
          <w:szCs w:val="20"/>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11,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James Coulston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James Coulston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Roman"/>
      <w:start w:val="2"/>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0" Type="http://schemas.openxmlformats.org/officeDocument/2006/relationships/hyperlink" Target="http://www.sec.gov/Archives/edgar/data/1850270/000119312522115149/d30476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2022-08-13T10:07:31Z</dcterms:created>
  <dcterms:modified xsi:type="dcterms:W3CDTF">2022-08-13T10:07:31Z</dcterms:modified>
</cp:coreProperties>
</file>