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9189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18908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Palihapitiya Chamath</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SC MASTER HOLDINGS, LLC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506 SANTA CRUZ AVENUE, SUITE 300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MENLO PARK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PROKIDNEY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PROK</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40" w:type="dxa"/>
            <w:vAlign w:val="bottom"/>
            <w:tcBorders>
              <w:bottom w:val="single" w:sz="8" w:color="0000EE"/>
            </w:tcBorders>
          </w:tcPr>
          <w:p>
            <w:pPr>
              <w:spacing w:after="0"/>
              <w:rPr>
                <w:sz w:val="3"/>
                <w:szCs w:val="3"/>
                <w:color w:val="auto"/>
              </w:rPr>
            </w:pPr>
          </w:p>
        </w:tc>
        <w:tc>
          <w:tcPr>
            <w:tcW w:w="1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940" w:type="dxa"/>
            <w:vAlign w:val="bottom"/>
            <w:gridSpan w:val="3"/>
          </w:tcPr>
          <w:p>
            <w:pPr>
              <w:ind w:left="80"/>
              <w:spacing w:after="0"/>
              <w:rPr>
                <w:sz w:val="20"/>
                <w:szCs w:val="20"/>
                <w:color w:val="auto"/>
              </w:rPr>
            </w:pPr>
            <w:r>
              <w:rPr>
                <w:rFonts w:ascii="Arial" w:cs="Arial" w:eastAsia="Arial" w:hAnsi="Arial"/>
                <w:sz w:val="17"/>
                <w:szCs w:val="17"/>
                <w:color w:val="0000FF"/>
              </w:rPr>
              <w:t>09/19/2023</w:t>
            </w: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740" w:type="dxa"/>
            <w:vAlign w:val="bottom"/>
            <w:tcBorders>
              <w:bottom w:val="single" w:sz="8" w:color="2C2C2C"/>
            </w:tcBorders>
          </w:tcPr>
          <w:p>
            <w:pPr>
              <w:spacing w:after="0"/>
              <w:rPr>
                <w:sz w:val="9"/>
                <w:szCs w:val="9"/>
                <w:color w:val="auto"/>
              </w:rPr>
            </w:pPr>
          </w:p>
        </w:tc>
        <w:tc>
          <w:tcPr>
            <w:tcW w:w="18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9" w:lineRule="exact"/>
        <w:rPr>
          <w:sz w:val="24"/>
          <w:szCs w:val="24"/>
          <w:color w:val="auto"/>
        </w:rPr>
      </w:pPr>
    </w:p>
    <w:tbl>
      <w:tblPr>
        <w:tblLayout w:type="fixed"/>
        <w:tblInd w:w="41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ind w:left="44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ordinary shares</w:t>
            </w:r>
          </w:p>
        </w:tc>
        <w:tc>
          <w:tcPr>
            <w:tcW w:w="1500" w:type="dxa"/>
            <w:vAlign w:val="bottom"/>
            <w:gridSpan w:val="2"/>
            <w:vMerge w:val="restart"/>
          </w:tcPr>
          <w:p>
            <w:pPr>
              <w:ind w:left="540"/>
              <w:spacing w:after="0"/>
              <w:rPr>
                <w:sz w:val="20"/>
                <w:szCs w:val="20"/>
                <w:color w:val="auto"/>
              </w:rPr>
            </w:pPr>
            <w:r>
              <w:rPr>
                <w:rFonts w:ascii="Arial" w:cs="Arial" w:eastAsia="Arial" w:hAnsi="Arial"/>
                <w:sz w:val="17"/>
                <w:szCs w:val="17"/>
                <w:color w:val="0000FF"/>
              </w:rPr>
              <w:t>09/19/2023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800" w:type="dxa"/>
            <w:vAlign w:val="bottom"/>
            <w:vMerge w:val="restart"/>
          </w:tcPr>
          <w:p>
            <w:pPr>
              <w:ind w:left="60"/>
              <w:spacing w:after="0"/>
              <w:rPr>
                <w:sz w:val="20"/>
                <w:szCs w:val="20"/>
                <w:color w:val="auto"/>
              </w:rPr>
            </w:pPr>
            <w:r>
              <w:rPr>
                <w:rFonts w:ascii="Arial" w:cs="Arial" w:eastAsia="Arial" w:hAnsi="Arial"/>
                <w:sz w:val="17"/>
                <w:szCs w:val="17"/>
                <w:color w:val="0000FF"/>
                <w:w w:val="95"/>
              </w:rPr>
              <w:t>1,700,000</w:t>
            </w:r>
          </w:p>
        </w:tc>
        <w:tc>
          <w:tcPr>
            <w:tcW w:w="44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720" w:type="dxa"/>
            <w:vAlign w:val="bottom"/>
            <w:gridSpan w:val="3"/>
            <w:vMerge w:val="restart"/>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5.47</w:t>
            </w: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2,073,000</w:t>
            </w:r>
          </w:p>
        </w:tc>
        <w:tc>
          <w:tcPr>
            <w:tcW w:w="280" w:type="dxa"/>
            <w:vAlign w:val="bottom"/>
          </w:tcPr>
          <w:p>
            <w:pPr>
              <w:spacing w:after="0"/>
              <w:rPr>
                <w:sz w:val="22"/>
                <w:szCs w:val="22"/>
                <w:color w:val="auto"/>
              </w:rPr>
            </w:pPr>
          </w:p>
        </w:tc>
        <w:tc>
          <w:tcPr>
            <w:tcW w:w="640" w:type="dxa"/>
            <w:vAlign w:val="bottom"/>
            <w:vMerge w:val="restart"/>
          </w:tcPr>
          <w:p>
            <w:pPr>
              <w:ind w:left="4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(1)</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6"/>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ordinary shares</w:t>
            </w: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9,500,000</w:t>
            </w:r>
          </w:p>
        </w:tc>
        <w:tc>
          <w:tcPr>
            <w:tcW w:w="280" w:type="dxa"/>
            <w:vAlign w:val="bottom"/>
          </w:tcPr>
          <w:p>
            <w:pPr>
              <w:spacing w:after="0"/>
              <w:rPr>
                <w:sz w:val="22"/>
                <w:szCs w:val="22"/>
                <w:color w:val="auto"/>
              </w:rPr>
            </w:pPr>
          </w:p>
        </w:tc>
        <w:tc>
          <w:tcPr>
            <w:tcW w:w="640" w:type="dxa"/>
            <w:vAlign w:val="bottom"/>
            <w:vMerge w:val="restart"/>
          </w:tcPr>
          <w:p>
            <w:pPr>
              <w:ind w:left="4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(2)</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6"/>
            <w:vMerge w:val="continue"/>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ordinary shares</w:t>
            </w: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3,000,000</w:t>
            </w:r>
          </w:p>
        </w:tc>
        <w:tc>
          <w:tcPr>
            <w:tcW w:w="280" w:type="dxa"/>
            <w:vAlign w:val="bottom"/>
          </w:tcPr>
          <w:p>
            <w:pPr>
              <w:spacing w:after="0"/>
              <w:rPr>
                <w:sz w:val="22"/>
                <w:szCs w:val="22"/>
                <w:color w:val="auto"/>
              </w:rPr>
            </w:pPr>
          </w:p>
        </w:tc>
        <w:tc>
          <w:tcPr>
            <w:tcW w:w="640" w:type="dxa"/>
            <w:vAlign w:val="bottom"/>
            <w:vMerge w:val="restart"/>
          </w:tcPr>
          <w:p>
            <w:pPr>
              <w:ind w:left="4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(3)</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6"/>
            <w:vMerge w:val="continue"/>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60" w:type="dxa"/>
            <w:vAlign w:val="bottom"/>
            <w:gridSpan w:val="16"/>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60" w:type="dxa"/>
            <w:vAlign w:val="bottom"/>
            <w:gridSpan w:val="12"/>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Palihapitiya Chamath</w:t>
              </w:r>
            </w:hyperlink>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C/O SC MASTER HOLDINGS, LLC</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506 SANTA CRUZ AVENUE, SUITE 300</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MENLO PARK</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00" w:type="dxa"/>
            <w:vAlign w:val="bottom"/>
          </w:tcPr>
          <w:p>
            <w:pPr>
              <w:ind w:left="240"/>
              <w:spacing w:after="0"/>
              <w:rPr>
                <w:sz w:val="20"/>
                <w:szCs w:val="20"/>
                <w:color w:val="auto"/>
              </w:rPr>
            </w:pPr>
            <w:r>
              <w:rPr>
                <w:rFonts w:ascii="Arial" w:cs="Arial" w:eastAsia="Arial" w:hAnsi="Arial"/>
                <w:sz w:val="17"/>
                <w:szCs w:val="17"/>
                <w:color w:val="0000FF"/>
              </w:rPr>
              <w:t>94025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SC Master Holdings, LLC</w:t>
              </w:r>
            </w:hyperlink>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506 SANTA CRUZ AVENUE, SUITE 300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MENLO PARK</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00" w:type="dxa"/>
            <w:vAlign w:val="bottom"/>
          </w:tcPr>
          <w:p>
            <w:pPr>
              <w:ind w:left="240"/>
              <w:spacing w:after="0"/>
              <w:rPr>
                <w:sz w:val="20"/>
                <w:szCs w:val="20"/>
                <w:color w:val="auto"/>
              </w:rPr>
            </w:pPr>
            <w:r>
              <w:rPr>
                <w:rFonts w:ascii="Arial" w:cs="Arial" w:eastAsia="Arial" w:hAnsi="Arial"/>
                <w:sz w:val="17"/>
                <w:szCs w:val="17"/>
                <w:color w:val="0000FF"/>
              </w:rPr>
              <w:t>94025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-5182235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25" w:right="359" w:bottom="0" w:gutter="0" w:footer="0" w:header="0"/>
          <w:type w:val="continuous"/>
        </w:sectPr>
      </w:pPr>
    </w:p>
    <w:bookmarkStart w:id="1" w:name="page2"/>
    <w:bookmarkEnd w:id="1"/>
    <w:p>
      <w:pPr>
        <w:ind w:firstLine="7"/>
        <w:spacing w:after="0" w:line="266"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held by SC Master Holdings, LLC ("Master Holdings"). Master Holdings is controlled by Mr. Palihapitiya. Mr. Palihapitiya may be deemed to beneficially own shares held by Master Holdings by virtue of his indirect interests in Master Holdings or his control over Master Holdings, as the case may be.</w:t>
      </w:r>
    </w:p>
    <w:p>
      <w:pPr>
        <w:spacing w:after="0" w:line="15" w:lineRule="exact"/>
        <w:rPr>
          <w:rFonts w:ascii="Arial" w:cs="Arial" w:eastAsia="Arial" w:hAnsi="Arial"/>
          <w:sz w:val="13"/>
          <w:szCs w:val="13"/>
          <w:color w:val="008000"/>
        </w:rPr>
      </w:pPr>
    </w:p>
    <w:p>
      <w:pPr>
        <w:ind w:right="420" w:firstLine="7"/>
        <w:spacing w:after="0" w:line="266"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held by SC PIPE Holdings LLC ("PIPE Holdings"). PIPE Holdings is controlled by Mr. Palihapitiya. Mr. Palihapitiya may be deemed to beneficially own shares held by PIPE Holdings by virtue of his indirect interests in PIPE Holdings or his control over PIPE Holdings, as the case may be.</w:t>
      </w:r>
    </w:p>
    <w:p>
      <w:pPr>
        <w:spacing w:after="0" w:line="15"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held by a trust for the benefit of Mr. Palihapitiya's immediate family.</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Exhibit 24.1 - Powers of Attorney.</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SC Master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47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7"/>
          <w:szCs w:val="17"/>
          <w:color w:val="0000FF"/>
        </w:rPr>
        <w:t>/s/ Connor Nowinski, as</w:t>
      </w:r>
      <w:r>
        <w:rPr>
          <w:sz w:val="20"/>
          <w:szCs w:val="20"/>
          <w:color w:val="auto"/>
        </w:rPr>
        <w:tab/>
      </w:r>
      <w:r>
        <w:rPr>
          <w:rFonts w:ascii="Arial" w:cs="Arial" w:eastAsia="Arial" w:hAnsi="Arial"/>
          <w:sz w:val="15"/>
          <w:szCs w:val="15"/>
          <w:color w:val="0000FF"/>
        </w:rPr>
        <w:t>09/21/2023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Chamath Palihapitiya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8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7"/>
          <w:szCs w:val="17"/>
          <w:color w:val="0000FF"/>
        </w:rPr>
        <w:t>Connor Nowinski, as</w:t>
      </w:r>
      <w:r>
        <w:rPr>
          <w:sz w:val="20"/>
          <w:szCs w:val="20"/>
          <w:color w:val="auto"/>
        </w:rPr>
        <w:tab/>
      </w:r>
      <w:r>
        <w:rPr>
          <w:rFonts w:ascii="Arial" w:cs="Arial" w:eastAsia="Arial" w:hAnsi="Arial"/>
          <w:sz w:val="15"/>
          <w:szCs w:val="15"/>
          <w:color w:val="0000FF"/>
        </w:rPr>
        <w:t>09/21/2023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3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44"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60"/>
          </w:cols>
          <w:pgMar w:left="500" w:top="131" w:right="539" w:bottom="1440" w:gutter="0" w:footer="0" w:header="0"/>
        </w:sectPr>
      </w:pPr>
    </w:p>
    <w:bookmarkStart w:id="2" w:name="page3"/>
    <w:bookmarkEnd w:id="2"/>
    <w:p>
      <w:pPr>
        <w:ind w:left="9880"/>
        <w:spacing w:after="0"/>
        <w:rPr>
          <w:sz w:val="20"/>
          <w:szCs w:val="20"/>
          <w:color w:val="auto"/>
        </w:rPr>
      </w:pPr>
      <w:r>
        <w:rPr>
          <w:rFonts w:ascii="Arial" w:cs="Arial" w:eastAsia="Arial" w:hAnsi="Arial"/>
          <w:sz w:val="19"/>
          <w:szCs w:val="19"/>
          <w:b w:val="1"/>
          <w:bCs w:val="1"/>
          <w:color w:val="auto"/>
        </w:rPr>
        <w:t>Exhibit 24.1</w:t>
      </w:r>
    </w:p>
    <w:p>
      <w:pPr>
        <w:spacing w:after="0" w:line="276"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KNOW ALL BY THESE PRESENTS, that the undersigned hereby constitutes and appoints each of Connor Nowinski and Robert Goldstein, or either of them, each acting alone, his true and lawful attorney-in-fact to:</w:t>
      </w:r>
    </w:p>
    <w:p>
      <w:pPr>
        <w:spacing w:after="0" w:line="179" w:lineRule="exact"/>
        <w:rPr>
          <w:sz w:val="20"/>
          <w:szCs w:val="20"/>
          <w:color w:val="auto"/>
        </w:rPr>
      </w:pPr>
    </w:p>
    <w:p>
      <w:pPr>
        <w:ind w:left="640" w:right="940" w:firstLine="6"/>
        <w:spacing w:after="0" w:line="330" w:lineRule="auto"/>
        <w:tabs>
          <w:tab w:leader="none" w:pos="892" w:val="left"/>
        </w:tabs>
        <w:numPr>
          <w:ilvl w:val="0"/>
          <w:numId w:val="3"/>
        </w:numPr>
        <w:rPr>
          <w:rFonts w:ascii="Arial" w:cs="Arial" w:eastAsia="Arial" w:hAnsi="Arial"/>
          <w:sz w:val="16"/>
          <w:szCs w:val="16"/>
          <w:color w:val="auto"/>
        </w:rPr>
      </w:pPr>
      <w:r>
        <w:rPr>
          <w:rFonts w:ascii="Arial" w:cs="Arial" w:eastAsia="Arial" w:hAnsi="Arial"/>
          <w:sz w:val="16"/>
          <w:szCs w:val="16"/>
          <w:color w:val="auto"/>
        </w:rPr>
        <w:t>execute for and on behalf of the undersigned a Form 3, Form 4 or Form 5, or any amendment thereto, relating to the securities of PROKIDNEY CORP., in accordance with Section 16(a) of the Securities Exchange Act of 1934 and the rules thereunder;</w:t>
      </w:r>
    </w:p>
    <w:p>
      <w:pPr>
        <w:spacing w:after="0" w:line="133" w:lineRule="exact"/>
        <w:rPr>
          <w:rFonts w:ascii="Arial" w:cs="Arial" w:eastAsia="Arial" w:hAnsi="Arial"/>
          <w:sz w:val="16"/>
          <w:szCs w:val="16"/>
          <w:color w:val="auto"/>
        </w:rPr>
      </w:pPr>
    </w:p>
    <w:p>
      <w:pPr>
        <w:ind w:left="640" w:right="420" w:firstLine="6"/>
        <w:spacing w:after="0" w:line="257" w:lineRule="auto"/>
        <w:tabs>
          <w:tab w:leader="none" w:pos="892"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such Form 3, Form 4 or Form 5, or any amendment thereto, and the timely filing of such form with the United States Securities and Exchange Commission and any other authority; and</w:t>
      </w:r>
    </w:p>
    <w:p>
      <w:pPr>
        <w:spacing w:after="0" w:line="187" w:lineRule="exact"/>
        <w:rPr>
          <w:rFonts w:ascii="Arial" w:cs="Arial" w:eastAsia="Arial" w:hAnsi="Arial"/>
          <w:sz w:val="18"/>
          <w:szCs w:val="18"/>
          <w:color w:val="auto"/>
        </w:rPr>
      </w:pPr>
    </w:p>
    <w:p>
      <w:pPr>
        <w:ind w:left="640" w:right="240" w:firstLine="6"/>
        <w:spacing w:after="0" w:line="253" w:lineRule="auto"/>
        <w:tabs>
          <w:tab w:leader="none" w:pos="892"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any and every act and thing whatsoever requisite, necessary and proper to be done in the exercise of any of the rights and powers herein granted, as fully to all intents and purposes as such undersigned might or could do if personally present, hereby ratifying and confirming all that such attorney-in-fact shall lawfully do or cause to be done by virtue of this Power of Attorney and the rights and powers herein granted. The undersigned acknowledges that each of the foregoing attorneys-in-fact, in serving in such capacity at the request of the undersigned, is not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PROKIDNEY CORP. unless earlier revoked by the undersigned in a signed writing delivered to the foregoing attorneys-in-fact.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21st day of September 2023.</w:t>
      </w:r>
    </w:p>
    <w:p>
      <w:pPr>
        <w:spacing w:after="0" w:line="21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Chamath Palihapitiya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12065</wp:posOffset>
            </wp:positionV>
            <wp:extent cx="31902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Name:Chamath Palihapitiya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452120</wp:posOffset>
            </wp:positionV>
            <wp:extent cx="69640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35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2" Type="http://schemas.openxmlformats.org/officeDocument/2006/relationships/hyperlink" Target="http://www.sec.gov/cgi-bin/browse-edgar?action=getcompany&amp;CIK=0001715450" TargetMode="External"/><Relationship Id="rId13" Type="http://schemas.openxmlformats.org/officeDocument/2006/relationships/hyperlink" Target="http://www.sec.gov/cgi-bin/browse-edgar?action=getcompany&amp;CIK=0001850270" TargetMode="External"/><Relationship Id="rId14" Type="http://schemas.openxmlformats.org/officeDocument/2006/relationships/hyperlink" Target="http://www.sec.gov/cgi-bin/browse-edgar?action=getcompany&amp;CIK=00018510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2023-09-21T16:07:03Z</dcterms:created>
  <dcterms:modified xsi:type="dcterms:W3CDTF">2023-09-21T16:07:03Z</dcterms:modified>
</cp:coreProperties>
</file>