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prok-20221231.htm"/>
      <w:bookmarkStart w:id="1" w:name="ksprok20221231"/>
      <w:bookmarkEnd w:id="0"/>
      <w:bookmarkEnd w:id="1"/>
      <w:r>
        <w:rPr/>
        <w:t> </w:t>
      </w:r>
    </w:p>
    <w:p>
      <w:pPr>
        <w:pStyle w:val="TextBody"/>
        <w:pBdr>
          <w:top w:val="double" w:sz="6" w:space="1" w:color="000000"/>
        </w:pBdr>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32"/>
        </w:rPr>
        <w:t>UNITED STATES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32"/>
        </w:rPr>
        <w:t>SECURITIES AND EXCHANGE COMMISSION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Washington, D.C. 20549</w:t>
      </w:r>
      <w:r>
        <w:rPr>
          <w:rFonts w:ascii="Times New Roman" w:hAnsi="Times New Roman"/>
          <w:sz w:val="20"/>
        </w:rPr>
        <w:t xml:space="preserve"> </w:t>
      </w:r>
    </w:p>
    <w:p>
      <w:pPr>
        <w:pStyle w:val="TextBody"/>
        <w:pBdr>
          <w:bottom w:val="single" w:sz="8" w:space="1" w:color="000000"/>
        </w:pBdr>
        <w:spacing w:before="0" w:after="0"/>
        <w:jc w:val="center"/>
        <w:rPr/>
      </w:pPr>
      <w:r>
        <w:rPr/>
        <w:t> </w:t>
      </w:r>
    </w:p>
    <w:p>
      <w:pPr>
        <w:pStyle w:val="TextBody"/>
        <w:spacing w:before="60" w:after="0"/>
        <w:jc w:val="center"/>
        <w:rPr>
          <w:rFonts w:ascii="Times New Roman" w:hAnsi="Times New Roman"/>
          <w:sz w:val="20"/>
        </w:rPr>
      </w:pPr>
      <w:r>
        <w:rPr>
          <w:rFonts w:ascii="Times New Roman;serif" w:hAnsi="Times New Roman;serif"/>
          <w:b/>
          <w:sz w:val="36"/>
        </w:rPr>
        <w:t>FORM 10-K</w:t>
      </w:r>
      <w:r>
        <w:rPr>
          <w:rFonts w:ascii="Times New Roman" w:hAnsi="Times New Roman"/>
          <w:sz w:val="20"/>
        </w:rPr>
        <w:t xml:space="preserve"> </w:t>
      </w:r>
    </w:p>
    <w:p>
      <w:pPr>
        <w:pStyle w:val="TextBody"/>
        <w:pBdr>
          <w:bottom w:val="single" w:sz="8" w:space="1" w:color="000000"/>
        </w:pBdr>
        <w:spacing w:before="0" w:after="0"/>
        <w:jc w:val="center"/>
        <w:rPr/>
      </w:pPr>
      <w:r>
        <w:rPr/>
        <w:t> </w:t>
      </w:r>
    </w:p>
    <w:p>
      <w:pPr>
        <w:pStyle w:val="TextBody"/>
        <w:spacing w:before="60" w:after="0"/>
        <w:jc w:val="left"/>
        <w:rPr>
          <w:rFonts w:ascii="Times New Roman" w:hAnsi="Times New Roman"/>
          <w:sz w:val="20"/>
        </w:rPr>
      </w:pPr>
      <w:r>
        <w:rPr>
          <w:rFonts w:ascii="Times New Roman;serif" w:hAnsi="Times New Roman;serif"/>
          <w:b/>
          <w:sz w:val="16"/>
        </w:rPr>
        <w:t>(Mark One)</w:t>
      </w:r>
      <w:r>
        <w:rPr>
          <w:rFonts w:ascii="Times New Roman" w:hAnsi="Times New Roman"/>
          <w:sz w:val="20"/>
        </w:rPr>
        <w:t xml:space="preserve"> </w:t>
      </w:r>
    </w:p>
    <w:tbl>
      <w:tblPr>
        <w:tblW w:w="9962" w:type="dxa"/>
        <w:jc w:val="left"/>
        <w:tblInd w:w="0" w:type="dxa"/>
        <w:tblCellMar>
          <w:top w:w="28" w:type="dxa"/>
          <w:left w:w="28" w:type="dxa"/>
          <w:bottom w:w="28" w:type="dxa"/>
          <w:right w:w="28" w:type="dxa"/>
        </w:tblCellMar>
      </w:tblPr>
      <w:tblGrid>
        <w:gridCol w:w="331"/>
        <w:gridCol w:w="9631"/>
      </w:tblGrid>
      <w:tr>
        <w:trPr/>
        <w:tc>
          <w:tcPr>
            <w:tcW w:w="331" w:type="dxa"/>
            <w:tcBorders/>
            <w:shd w:fill="auto" w:val="clear"/>
            <w:vAlign w:val="center"/>
          </w:tcPr>
          <w:p>
            <w:pPr>
              <w:pStyle w:val="TableContents"/>
              <w:spacing w:before="0" w:after="283"/>
              <w:rPr>
                <w:sz w:val="4"/>
                <w:szCs w:val="4"/>
              </w:rPr>
            </w:pPr>
            <w:r>
              <w:rPr>
                <w:sz w:val="4"/>
                <w:szCs w:val="4"/>
              </w:rPr>
            </w:r>
          </w:p>
        </w:tc>
        <w:tc>
          <w:tcPr>
            <w:tcW w:w="963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96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ANNUAL REPORT PURSUANT TO SECTION 13 OR 15(d) OF THE SECURITIES EXCHANGE ACT OF 1934</w:t>
            </w:r>
            <w:r>
              <w:rPr>
                <w:rFonts w:ascii="Times New Roman" w:hAnsi="Times New Roman"/>
                <w:sz w:val="20"/>
              </w:rPr>
              <w:t xml:space="preserve"> </w:t>
            </w:r>
          </w:p>
        </w:tc>
      </w:tr>
    </w:tbl>
    <w:p>
      <w:pPr>
        <w:pStyle w:val="TextBody"/>
        <w:spacing w:before="60" w:after="0"/>
        <w:jc w:val="center"/>
        <w:rPr>
          <w:rFonts w:ascii="Times New Roman;serif" w:hAnsi="Times New Roman;serif"/>
          <w:b/>
          <w:sz w:val="20"/>
        </w:rPr>
      </w:pPr>
      <w:r>
        <w:rPr>
          <w:rFonts w:ascii="Times New Roman;serif" w:hAnsi="Times New Roman;serif"/>
          <w:b/>
          <w:sz w:val="20"/>
        </w:rPr>
        <w:t>For the fiscal year ended December 31, 2022</w:t>
      </w:r>
    </w:p>
    <w:p>
      <w:pPr>
        <w:pStyle w:val="TextBody"/>
        <w:spacing w:before="40" w:after="0"/>
        <w:jc w:val="center"/>
        <w:rPr>
          <w:rFonts w:ascii="Times New Roman" w:hAnsi="Times New Roman"/>
          <w:sz w:val="20"/>
        </w:rPr>
      </w:pPr>
      <w:r>
        <w:rPr>
          <w:rFonts w:ascii="Times New Roman;serif" w:hAnsi="Times New Roman;serif"/>
          <w:b/>
          <w:sz w:val="20"/>
        </w:rPr>
        <w:t>OR</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before="60" w:after="0"/>
              <w:ind w:left="0" w:right="0" w:hanging="0"/>
              <w:jc w:val="left"/>
              <w:rPr>
                <w:rFonts w:ascii="Times New Roman" w:hAnsi="Times New Roman"/>
                <w:sz w:val="20"/>
              </w:rPr>
            </w:pPr>
            <w:r>
              <w:rPr>
                <w:rFonts w:ascii="Times New Roman;serif" w:hAnsi="Times New Roman;serif"/>
                <w:b/>
                <w:sz w:val="20"/>
              </w:rPr>
              <w:t>TRANSITION REPORT PURSUANT TO SECTION 13 OR 15(d) OF THE SECURITIES EXCHANGE ACT OF 1934 FOR THE TRANSITION PERIOD FROM TO</w:t>
            </w:r>
            <w:r>
              <w:rPr>
                <w:rFonts w:ascii="Times New Roman" w:hAnsi="Times New Roman"/>
                <w:sz w:val="20"/>
              </w:rPr>
              <w:t xml:space="preserve"> </w:t>
            </w:r>
          </w:p>
        </w:tc>
      </w:tr>
    </w:tbl>
    <w:p>
      <w:pPr>
        <w:pStyle w:val="TextBody"/>
        <w:spacing w:before="40" w:after="0"/>
        <w:jc w:val="center"/>
        <w:rPr>
          <w:rFonts w:ascii="Times New Roman;serif" w:hAnsi="Times New Roman;serif"/>
          <w:b/>
          <w:sz w:val="20"/>
        </w:rPr>
      </w:pPr>
      <w:r>
        <w:rPr>
          <w:rFonts w:ascii="Times New Roman;serif" w:hAnsi="Times New Roman;serif"/>
          <w:b/>
          <w:sz w:val="20"/>
        </w:rPr>
        <w:t>Commission File Number 001-40560</w:t>
      </w:r>
    </w:p>
    <w:p>
      <w:pPr>
        <w:pStyle w:val="TextBody"/>
        <w:pBdr>
          <w:bottom w:val="single" w:sz="8" w:space="1" w:color="000000"/>
        </w:pBdr>
        <w:spacing w:before="0" w:after="0"/>
        <w:jc w:val="center"/>
        <w:rPr/>
      </w:pPr>
      <w:r>
        <w:rPr/>
        <w:t> </w:t>
      </w:r>
    </w:p>
    <w:p>
      <w:pPr>
        <w:pStyle w:val="TextBody"/>
        <w:spacing w:before="40" w:after="0"/>
        <w:jc w:val="center"/>
        <w:rPr>
          <w:rFonts w:ascii="Times New Roman;serif" w:hAnsi="Times New Roman;serif"/>
          <w:b/>
          <w:sz w:val="44"/>
        </w:rPr>
      </w:pPr>
      <w:r>
        <w:rPr>
          <w:rFonts w:ascii="Times New Roman;serif" w:hAnsi="Times New Roman;serif"/>
          <w:b/>
          <w:sz w:val="44"/>
        </w:rPr>
        <w:t>ProKidney Corp.</w:t>
      </w:r>
    </w:p>
    <w:p>
      <w:pPr>
        <w:pStyle w:val="TextBody"/>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p>
      <w:pPr>
        <w:pStyle w:val="TextBody"/>
        <w:pBdr>
          <w:bottom w:val="single" w:sz="8" w:space="1" w:color="000000"/>
        </w:pBdr>
        <w:spacing w:before="0" w:after="0"/>
        <w:jc w:val="center"/>
        <w:rPr/>
      </w:pPr>
      <w:r>
        <w:rPr/>
        <w:t> </w:t>
      </w:r>
    </w:p>
    <w:p>
      <w:pPr>
        <w:pStyle w:val="TextBody"/>
        <w:spacing w:before="0" w:after="0"/>
        <w:jc w:val="left"/>
        <w:rPr/>
      </w:pPr>
      <w:r>
        <w:rPr/>
        <w:t> </w:t>
      </w:r>
    </w:p>
    <w:tbl>
      <w:tblPr>
        <w:tblW w:w="4337" w:type="dxa"/>
        <w:jc w:val="left"/>
        <w:tblInd w:w="0" w:type="dxa"/>
        <w:tblCellMar>
          <w:top w:w="28" w:type="dxa"/>
          <w:left w:w="28" w:type="dxa"/>
          <w:bottom w:w="28" w:type="dxa"/>
          <w:right w:w="28" w:type="dxa"/>
        </w:tblCellMar>
      </w:tblPr>
      <w:tblGrid>
        <w:gridCol w:w="3091"/>
        <w:gridCol w:w="1246"/>
      </w:tblGrid>
      <w:tr>
        <w:trPr/>
        <w:tc>
          <w:tcPr>
            <w:tcW w:w="3091"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309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Cayman Islands</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98-1586514</w:t>
            </w:r>
          </w:p>
        </w:tc>
      </w:tr>
      <w:tr>
        <w:trPr/>
        <w:tc>
          <w:tcPr>
            <w:tcW w:w="309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(I.R.S. Employer</w:t>
            </w:r>
          </w:p>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Identification No.)</w:t>
            </w:r>
          </w:p>
        </w:tc>
      </w:tr>
      <w:tr>
        <w:trPr/>
        <w:tc>
          <w:tcPr>
            <w:tcW w:w="3091" w:type="dxa"/>
            <w:tcBorders/>
            <w:shd w:fill="auto" w:val="clear"/>
            <w:tcMar>
              <w:top w:w="0" w:type="dxa"/>
              <w:left w:w="0" w:type="dxa"/>
              <w:bottom w:w="0" w:type="dxa"/>
              <w:right w:w="0" w:type="dxa"/>
            </w:tcMar>
            <w:vAlign w:val="center"/>
          </w:tcPr>
          <w:p>
            <w:pPr>
              <w:pStyle w:val="TableContents"/>
              <w:spacing w:before="0" w:after="15"/>
              <w:ind w:left="0" w:right="0" w:hanging="0"/>
              <w:jc w:val="center"/>
              <w:rPr>
                <w:rFonts w:ascii="Times New Roman;serif" w:hAnsi="Times New Roman;serif"/>
                <w:b/>
                <w:sz w:val="20"/>
              </w:rPr>
            </w:pPr>
            <w:r>
              <w:rPr>
                <w:rFonts w:ascii="Times New Roman;serif" w:hAnsi="Times New Roman;serif"/>
                <w:b/>
                <w:sz w:val="20"/>
              </w:rPr>
              <w:t>2000 Frontis Plaza Blvd., Suite 250</w:t>
            </w:r>
          </w:p>
          <w:p>
            <w:pPr>
              <w:pStyle w:val="TableContents"/>
              <w:spacing w:before="0" w:after="15"/>
              <w:ind w:left="0" w:right="0" w:hanging="0"/>
              <w:jc w:val="center"/>
              <w:rPr>
                <w:rFonts w:ascii="Times New Roman;serif" w:hAnsi="Times New Roman;serif"/>
                <w:b/>
                <w:sz w:val="20"/>
              </w:rPr>
            </w:pPr>
            <w:r>
              <w:rPr>
                <w:rFonts w:ascii="Times New Roman;serif" w:hAnsi="Times New Roman;serif"/>
                <w:b/>
                <w:sz w:val="20"/>
              </w:rPr>
              <w:t>Winston-Salem, NC</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27103</w:t>
            </w:r>
          </w:p>
        </w:tc>
      </w:tr>
      <w:tr>
        <w:trPr/>
        <w:tc>
          <w:tcPr>
            <w:tcW w:w="309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spacing w:before="40" w:after="0"/>
        <w:jc w:val="center"/>
        <w:rPr>
          <w:rFonts w:ascii="Times New Roman;serif" w:hAnsi="Times New Roman;serif"/>
          <w:b/>
          <w:sz w:val="20"/>
        </w:rPr>
      </w:pPr>
      <w:r>
        <w:rPr>
          <w:rFonts w:ascii="Times New Roman;serif" w:hAnsi="Times New Roman;serif"/>
          <w:b/>
          <w:sz w:val="20"/>
        </w:rPr>
        <w:t>Registrant’s telephone number, including area code: (336) 999-7028</w:t>
      </w:r>
    </w:p>
    <w:p>
      <w:pPr>
        <w:pStyle w:val="TextBody"/>
        <w:pBdr>
          <w:bottom w:val="single" w:sz="8" w:space="1" w:color="000000"/>
        </w:pBdr>
        <w:spacing w:before="0" w:after="0"/>
        <w:jc w:val="center"/>
        <w:rPr/>
      </w:pPr>
      <w:r>
        <w:rPr/>
        <w:t> </w:t>
      </w:r>
    </w:p>
    <w:p>
      <w:pPr>
        <w:pStyle w:val="TextBody"/>
        <w:spacing w:before="40" w:after="0"/>
        <w:jc w:val="left"/>
        <w:rPr>
          <w:rFonts w:ascii="Times New Roman" w:hAnsi="Times New Roman"/>
          <w:sz w:val="20"/>
        </w:rPr>
      </w:pPr>
      <w:r>
        <w:rPr>
          <w:rFonts w:ascii="Times New Roman;serif" w:hAnsi="Times New Roman;serif"/>
          <w:b w:val="false"/>
          <w:sz w:val="17"/>
        </w:rPr>
        <w:t>Securities registered pursuant to Section 12(b) of the Act:</w:t>
      </w:r>
      <w:r>
        <w:rPr>
          <w:rFonts w:ascii="Times New Roman" w:hAnsi="Times New Roman"/>
          <w:sz w:val="20"/>
        </w:rPr>
        <w:t xml:space="preserve"> </w:t>
      </w:r>
    </w:p>
    <w:p>
      <w:pPr>
        <w:pStyle w:val="TextBody"/>
        <w:spacing w:before="0" w:after="0"/>
        <w:jc w:val="left"/>
        <w:rPr/>
      </w:pPr>
      <w:r>
        <w:rPr/>
        <w:t> </w:t>
      </w:r>
    </w:p>
    <w:tbl>
      <w:tblPr>
        <w:tblW w:w="8320" w:type="dxa"/>
        <w:jc w:val="left"/>
        <w:tblInd w:w="0" w:type="dxa"/>
        <w:tblCellMar>
          <w:top w:w="28" w:type="dxa"/>
          <w:left w:w="28" w:type="dxa"/>
          <w:bottom w:w="28" w:type="dxa"/>
          <w:right w:w="28" w:type="dxa"/>
        </w:tblCellMar>
      </w:tblPr>
      <w:tblGrid>
        <w:gridCol w:w="3886"/>
        <w:gridCol w:w="146"/>
        <w:gridCol w:w="826"/>
        <w:gridCol w:w="146"/>
        <w:gridCol w:w="3316"/>
      </w:tblGrid>
      <w:tr>
        <w:trPr/>
        <w:tc>
          <w:tcPr>
            <w:tcW w:w="38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Class A ordinary shares, $0.0001 par value per share</w:t>
            </w:r>
          </w:p>
        </w:tc>
        <w:tc>
          <w:tcPr>
            <w:tcW w:w="146" w:type="dxa"/>
            <w:tcBorders/>
            <w:shd w:fill="auto" w:val="clear"/>
            <w:vAlign w:val="center"/>
          </w:tcPr>
          <w:p>
            <w:pPr>
              <w:pStyle w:val="TableContents"/>
              <w:spacing w:before="0" w:after="0"/>
              <w:ind w:left="0" w:right="0" w:hanging="0"/>
              <w:jc w:val="center"/>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17"/>
              </w:rPr>
            </w:pPr>
            <w:r>
              <w:rPr>
                <w:rFonts w:ascii="Times New Roman;serif" w:hAnsi="Times New Roman;serif"/>
                <w:b w:val="false"/>
                <w:sz w:val="17"/>
              </w:rPr>
              <w:t>PROK</w:t>
            </w:r>
          </w:p>
        </w:tc>
        <w:tc>
          <w:tcPr>
            <w:tcW w:w="146" w:type="dxa"/>
            <w:tcBorders/>
            <w:shd w:fill="auto" w:val="clear"/>
            <w:vAlign w:val="center"/>
          </w:tcPr>
          <w:p>
            <w:pPr>
              <w:pStyle w:val="TableContents"/>
              <w:spacing w:before="0" w:after="0"/>
              <w:ind w:left="0" w:right="0" w:hanging="0"/>
              <w:jc w:val="center"/>
              <w:rPr/>
            </w:pPr>
            <w:r>
              <w:rPr/>
              <w:t> </w:t>
            </w:r>
          </w:p>
        </w:tc>
        <w:tc>
          <w:tcPr>
            <w:tcW w:w="3316"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18"/>
              </w:rPr>
              <w:t>The Nasdaq</w:t>
            </w:r>
            <w:r>
              <w:rPr>
                <w:rFonts w:ascii="Times New Roman" w:hAnsi="Times New Roman"/>
                <w:sz w:val="20"/>
              </w:rPr>
              <w:t> </w:t>
            </w:r>
            <w:r>
              <w:rPr>
                <w:rFonts w:ascii="Times New Roman;serif" w:hAnsi="Times New Roman;serif"/>
                <w:b w:val="false"/>
                <w:sz w:val="18"/>
              </w:rPr>
              <w:t>Stock Market</w:t>
            </w:r>
          </w:p>
        </w:tc>
      </w:tr>
    </w:tbl>
    <w:p>
      <w:pPr>
        <w:pStyle w:val="TextBody"/>
        <w:spacing w:before="60" w:after="0"/>
        <w:jc w:val="left"/>
        <w:rPr>
          <w:rFonts w:ascii="Times New Roman" w:hAnsi="Times New Roman"/>
          <w:sz w:val="20"/>
        </w:rPr>
      </w:pPr>
      <w:r>
        <w:rPr>
          <w:rFonts w:ascii="Times New Roman;serif" w:hAnsi="Times New Roman;serif"/>
          <w:b w:val="false"/>
          <w:sz w:val="16"/>
        </w:rPr>
        <w:t xml:space="preserve">Securities registered pursuant to Section 12(g) of the Act: </w:t>
      </w:r>
      <w:r>
        <w:rPr>
          <w:rFonts w:ascii="Times New Roman;serif" w:hAnsi="Times New Roman;serif"/>
          <w:b/>
          <w:sz w:val="16"/>
        </w:rPr>
        <w:t>None</w:t>
      </w:r>
      <w:r>
        <w:rPr>
          <w:rFonts w:ascii="Times New Roman" w:hAnsi="Times New Roman"/>
          <w:sz w:val="20"/>
        </w:rPr>
        <w:t xml:space="preserve"> </w:t>
      </w:r>
    </w:p>
    <w:p>
      <w:pPr>
        <w:pStyle w:val="TextBody"/>
        <w:spacing w:before="40" w:after="0"/>
        <w:jc w:val="left"/>
        <w:rPr>
          <w:rFonts w:ascii="Times New Roman" w:hAnsi="Times New Roman"/>
          <w:sz w:val="20"/>
        </w:rPr>
      </w:pPr>
      <w:r>
        <w:rPr>
          <w:rFonts w:ascii="Times New Roman;serif" w:hAnsi="Times New Roman;serif"/>
          <w:b w:val="false"/>
          <w:sz w:val="16"/>
        </w:rPr>
        <w:t xml:space="preserve">Indicate by check mark if the Registrant is a well-known seasoned issuer, as defined in Rule 405 of the Securities Act. Yes </w:t>
      </w:r>
      <w:r>
        <w:rPr>
          <w:rFonts w:ascii="Times New Roman" w:hAnsi="Times New Roman"/>
          <w:sz w:val="20"/>
        </w:rPr>
        <w:t xml:space="preserve">☐ </w:t>
      </w:r>
      <w:r>
        <w:rPr>
          <w:rFonts w:ascii="Times New Roman;serif" w:hAnsi="Times New Roman;serif"/>
          <w:b w:val="false"/>
          <w:sz w:val="16"/>
        </w:rPr>
        <w:t>No</w:t>
      </w:r>
      <w:r>
        <w:rPr>
          <w:rFonts w:ascii="Times New Roman" w:hAnsi="Times New Roman"/>
          <w:sz w:val="20"/>
        </w:rPr>
        <w:t xml:space="preserve"> ☒</w:t>
      </w:r>
    </w:p>
    <w:p>
      <w:pPr>
        <w:pStyle w:val="TextBody"/>
        <w:spacing w:before="40" w:after="0"/>
        <w:jc w:val="left"/>
        <w:rPr>
          <w:rFonts w:ascii="Times New Roman" w:hAnsi="Times New Roman"/>
          <w:sz w:val="20"/>
        </w:rPr>
      </w:pPr>
      <w:r>
        <w:rPr>
          <w:rFonts w:ascii="Times New Roman;serif" w:hAnsi="Times New Roman;serif"/>
          <w:b w:val="false"/>
          <w:sz w:val="16"/>
        </w:rPr>
        <w:t xml:space="preserve">Indicate by check mark if the Registrant is not required to file reports pursuant to Section 13 or 15(d) of the Act. Yes </w:t>
      </w:r>
      <w:r>
        <w:rPr>
          <w:rFonts w:ascii="Times New Roman" w:hAnsi="Times New Roman"/>
          <w:sz w:val="20"/>
        </w:rPr>
        <w:t xml:space="preserve">☐ </w:t>
      </w:r>
      <w:r>
        <w:rPr>
          <w:rFonts w:ascii="Times New Roman;serif" w:hAnsi="Times New Roman;serif"/>
          <w:b w:val="false"/>
          <w:sz w:val="16"/>
        </w:rPr>
        <w:t>No</w:t>
      </w:r>
      <w:r>
        <w:rPr>
          <w:rFonts w:ascii="Times New Roman" w:hAnsi="Times New Roman"/>
          <w:sz w:val="20"/>
        </w:rPr>
        <w:t xml:space="preserve"> ☒</w:t>
      </w:r>
    </w:p>
    <w:p>
      <w:pPr>
        <w:pStyle w:val="TextBody"/>
        <w:spacing w:before="40" w:after="0"/>
        <w:jc w:val="left"/>
        <w:rPr>
          <w:rFonts w:ascii="Times New Roman" w:hAnsi="Times New Roman"/>
          <w:sz w:val="20"/>
        </w:rPr>
      </w:pPr>
      <w:r>
        <w:rPr>
          <w:rFonts w:ascii="Times New Roman;serif" w:hAnsi="Times New Roman;serif"/>
          <w:b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6"/>
        </w:rPr>
        <w:t xml:space="preserve">No </w:t>
      </w:r>
      <w:r>
        <w:rPr>
          <w:rFonts w:ascii="Times New Roman" w:hAnsi="Times New Roman"/>
          <w:sz w:val="20"/>
        </w:rPr>
        <w:t>☐</w:t>
      </w:r>
    </w:p>
    <w:p>
      <w:pPr>
        <w:pStyle w:val="TextBody"/>
        <w:spacing w:before="40" w:after="0"/>
        <w:jc w:val="left"/>
        <w:rPr>
          <w:rFonts w:ascii="Times New Roman" w:hAnsi="Times New Roman"/>
          <w:sz w:val="20"/>
        </w:rPr>
      </w:pPr>
      <w:r>
        <w:rPr>
          <w:rFonts w:ascii="Times New Roman;serif" w:hAnsi="Times New Roman;serif"/>
          <w:b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6"/>
        </w:rPr>
        <w:t xml:space="preserve">No </w:t>
      </w:r>
      <w:r>
        <w:rPr>
          <w:rFonts w:ascii="Times New Roman" w:hAnsi="Times New Roman"/>
          <w:sz w:val="20"/>
        </w:rPr>
        <w:t>☐</w:t>
      </w:r>
    </w:p>
    <w:p>
      <w:pPr>
        <w:pStyle w:val="TextBody"/>
        <w:spacing w:before="40" w:after="0"/>
        <w:jc w:val="left"/>
        <w:rPr>
          <w:rFonts w:ascii="Times New Roman;serif" w:hAnsi="Times New Roman;serif"/>
          <w:b w:val="false"/>
          <w:sz w:val="16"/>
        </w:rPr>
      </w:pPr>
      <w:r>
        <w:rPr>
          <w:rFonts w:ascii="Times New Roman;serif" w:hAnsi="Times New Roman;serif"/>
          <w:b w:val="false"/>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5167" w:type="dxa"/>
        <w:jc w:val="left"/>
        <w:tblInd w:w="0" w:type="dxa"/>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Large accelerated filer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Accelerated filer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5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0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Non-accelerated filer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Smaller reporting company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Emerging growth company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40" w:after="0"/>
        <w:jc w:val="left"/>
        <w:rPr>
          <w:rFonts w:ascii="Times New Roman" w:hAnsi="Times New Roman"/>
          <w:sz w:val="20"/>
        </w:rPr>
      </w:pPr>
      <w:r>
        <w:rPr>
          <w:rFonts w:ascii="Times New Roman;serif" w:hAnsi="Times New Roman;serif"/>
          <w:b w:val="false"/>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sz w:val="20"/>
        </w:rPr>
        <w:t>☐</w:t>
      </w:r>
    </w:p>
    <w:p>
      <w:pPr>
        <w:pStyle w:val="TextBody"/>
        <w:spacing w:before="40" w:after="0"/>
        <w:jc w:val="left"/>
        <w:rPr>
          <w:rFonts w:ascii="Times New Roman" w:hAnsi="Times New Roman"/>
          <w:sz w:val="20"/>
        </w:rPr>
      </w:pPr>
      <w:r>
        <w:rPr>
          <w:rFonts w:ascii="Times New Roman;serif" w:hAnsi="Times New Roman;serif"/>
          <w:b w:val="false"/>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sz w:val="20"/>
        </w:rPr>
        <w:t>☐</w:t>
      </w:r>
    </w:p>
    <w:p>
      <w:pPr>
        <w:pStyle w:val="TextBody"/>
        <w:spacing w:before="40" w:after="0"/>
        <w:jc w:val="left"/>
        <w:rPr>
          <w:rFonts w:ascii="Times New Roman" w:hAnsi="Times New Roman"/>
          <w:sz w:val="20"/>
        </w:rPr>
      </w:pPr>
      <w:r>
        <w:rPr>
          <w:rFonts w:ascii="Times New Roman;serif" w:hAnsi="Times New Roman;serif"/>
          <w:b w:val="false"/>
          <w:sz w:val="16"/>
        </w:rPr>
        <w:t xml:space="preserve">Indicate by check mark whether any of those error corrections are restatements that required a recovery analysis of incentive-based compensation received by any of the registrant’s executive oﬃcers during the relevant recovery period pursuant to §240.10D-1(b). </w:t>
      </w:r>
      <w:r>
        <w:rPr>
          <w:rFonts w:ascii="Times New Roman" w:hAnsi="Times New Roman"/>
          <w:sz w:val="20"/>
        </w:rPr>
        <w:t>☐</w:t>
      </w:r>
    </w:p>
    <w:p>
      <w:pPr>
        <w:pStyle w:val="TextBody"/>
        <w:spacing w:before="40" w:after="0"/>
        <w:jc w:val="left"/>
        <w:rPr>
          <w:rFonts w:ascii="Times New Roman" w:hAnsi="Times New Roman"/>
          <w:sz w:val="20"/>
        </w:rPr>
      </w:pPr>
      <w:r>
        <w:rPr>
          <w:rFonts w:ascii="Times New Roman;serif" w:hAnsi="Times New Roman;serif"/>
          <w:b w:val="false"/>
          <w:sz w:val="16"/>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6"/>
        </w:rPr>
        <w:t xml:space="preserve">No </w:t>
      </w:r>
      <w:r>
        <w:rPr>
          <w:rFonts w:ascii="Times New Roman" w:hAnsi="Times New Roman"/>
          <w:sz w:val="20"/>
        </w:rPr>
        <w:t>☒</w:t>
      </w:r>
    </w:p>
    <w:p>
      <w:pPr>
        <w:pStyle w:val="TextBody"/>
        <w:spacing w:before="40" w:after="0"/>
        <w:jc w:val="left"/>
        <w:rPr>
          <w:rFonts w:ascii="Times New Roman" w:hAnsi="Times New Roman"/>
          <w:sz w:val="20"/>
        </w:rPr>
      </w:pPr>
      <w:r>
        <w:rPr>
          <w:rFonts w:ascii="Times New Roman;serif" w:hAnsi="Times New Roman;serif"/>
          <w:b w:val="false"/>
          <w:sz w:val="16"/>
        </w:rPr>
        <w:t>The aggregate market value of the voting and non-voting common equity held by non-affiliates of the Registrant, based on the closing price of the ordinary shares on The Nasdaq Stock Market on June 30, 2022, was $248,750,000.</w:t>
      </w:r>
      <w:r>
        <w:rPr>
          <w:rFonts w:ascii="Times New Roman" w:hAnsi="Times New Roman"/>
          <w:sz w:val="20"/>
        </w:rPr>
        <w:t xml:space="preserve"> </w:t>
      </w:r>
    </w:p>
    <w:p>
      <w:pPr>
        <w:pStyle w:val="TextBody"/>
        <w:spacing w:before="40" w:after="0"/>
        <w:jc w:val="left"/>
        <w:rPr>
          <w:rFonts w:ascii="Times New Roman" w:hAnsi="Times New Roman"/>
          <w:sz w:val="20"/>
        </w:rPr>
      </w:pPr>
      <w:r>
        <w:rPr>
          <w:rFonts w:ascii="Times New Roman;serif" w:hAnsi="Times New Roman;serif"/>
          <w:b w:val="false"/>
          <w:sz w:val="16"/>
        </w:rPr>
        <w:t>As of March 28, 2023, there were 61,540,231</w:t>
      </w:r>
      <w:r>
        <w:rPr>
          <w:rFonts w:ascii="Times New Roman" w:hAnsi="Times New Roman"/>
          <w:sz w:val="20"/>
        </w:rPr>
        <w:t xml:space="preserve"> </w:t>
      </w:r>
      <w:r>
        <w:rPr>
          <w:rFonts w:ascii="Times New Roman;serif" w:hAnsi="Times New Roman;serif"/>
          <w:b w:val="false"/>
          <w:sz w:val="16"/>
        </w:rPr>
        <w:t>Class A ordinary shares, par value $0.0001 per share and 173,381,731</w:t>
      </w:r>
      <w:r>
        <w:rPr>
          <w:rFonts w:ascii="Times New Roman" w:hAnsi="Times New Roman"/>
          <w:sz w:val="20"/>
        </w:rPr>
        <w:t xml:space="preserve"> </w:t>
      </w:r>
      <w:r>
        <w:rPr>
          <w:rFonts w:ascii="Times New Roman;serif" w:hAnsi="Times New Roman;serif"/>
          <w:b w:val="false"/>
          <w:sz w:val="16"/>
        </w:rPr>
        <w:t>Class B ordinary shares, par value $0.0001 per share, outstanding.</w:t>
      </w:r>
      <w:r>
        <w:rPr>
          <w:rFonts w:ascii="Times New Roman" w:hAnsi="Times New Roman"/>
          <w:sz w:val="20"/>
        </w:rPr>
        <w:t xml:space="preserve"> </w:t>
      </w:r>
    </w:p>
    <w:p>
      <w:pPr>
        <w:pStyle w:val="TextBody"/>
        <w:spacing w:before="40" w:after="0"/>
        <w:jc w:val="center"/>
        <w:rPr>
          <w:rFonts w:ascii="Times New Roman;serif" w:hAnsi="Times New Roman;serif"/>
          <w:b w:val="false"/>
          <w:sz w:val="16"/>
        </w:rPr>
      </w:pPr>
      <w:r>
        <w:rPr>
          <w:rFonts w:ascii="Times New Roman;serif" w:hAnsi="Times New Roman;serif"/>
          <w:b w:val="false"/>
          <w:sz w:val="16"/>
        </w:rPr>
        <w:t>DOCUMENTS INCORPORATED BY REFERENCE</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15"/>
        </w:rPr>
      </w:pPr>
      <w:r>
        <w:rPr>
          <w:rFonts w:ascii="Times New Roman;serif" w:hAnsi="Times New Roman;serif"/>
          <w:b w:val="false"/>
          <w:sz w:val="15"/>
        </w:rPr>
        <w:t>If the Registrant’s Definitive Proxy Statement relating to the 2023 Annual Meeting of Shareholders (the “Proxy Statement”) is filed with the Securities and Exchange Commission within 120 days after the end of the fiscal year covered by this Annual Report on Form 10-K, then portions of the Proxy Statement will be incorporated by reference into Part III of this Annual Report on Form 10-K. If the Proxy Statement is not filed within such 120-day period, then the Registrant will file an amendment to this Annual Report within such 120-day period that will contain the information required to be included or incorporated by reference into Part III of this Annual Report.</w:t>
      </w:r>
    </w:p>
    <w:p>
      <w:pPr>
        <w:pStyle w:val="TextBody"/>
        <w:spacing w:before="0" w:after="0"/>
        <w:jc w:val="left"/>
        <w:rPr/>
      </w:pPr>
      <w:r>
        <w:rPr/>
        <w:t> </w:t>
      </w:r>
    </w:p>
    <w:tbl>
      <w:tblPr>
        <w:tblW w:w="8406" w:type="dxa"/>
        <w:jc w:val="left"/>
        <w:tblInd w:w="0" w:type="dxa"/>
        <w:tblCellMar>
          <w:top w:w="28" w:type="dxa"/>
          <w:left w:w="28" w:type="dxa"/>
          <w:bottom w:w="28" w:type="dxa"/>
          <w:right w:w="28" w:type="dxa"/>
        </w:tblCellMar>
      </w:tblPr>
      <w:tblGrid>
        <w:gridCol w:w="1276"/>
        <w:gridCol w:w="286"/>
        <w:gridCol w:w="1186"/>
        <w:gridCol w:w="1516"/>
        <w:gridCol w:w="1351"/>
        <w:gridCol w:w="2791"/>
      </w:tblGrid>
      <w:tr>
        <w:trPr/>
        <w:tc>
          <w:tcPr>
            <w:tcW w:w="127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r>
      <w:tr>
        <w:trPr/>
        <w:tc>
          <w:tcPr>
            <w:tcW w:w="12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Auditor Firm Id:</w:t>
            </w:r>
          </w:p>
        </w:tc>
        <w:tc>
          <w:tcPr>
            <w:tcW w:w="2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42</w:t>
            </w:r>
          </w:p>
        </w:tc>
        <w:tc>
          <w:tcPr>
            <w:tcW w:w="11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Auditor Name:</w:t>
            </w:r>
            <w:r>
              <w:rPr>
                <w:rFonts w:ascii="Times New Roman" w:hAnsi="Times New Roman"/>
                <w:sz w:val="16"/>
              </w:rPr>
              <w:t xml:space="preserve"> </w:t>
            </w:r>
          </w:p>
        </w:tc>
        <w:tc>
          <w:tcPr>
            <w:tcW w:w="15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Ernst &amp; Young LLP</w:t>
            </w:r>
          </w:p>
        </w:tc>
        <w:tc>
          <w:tcPr>
            <w:tcW w:w="13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Auditor Location:</w:t>
            </w:r>
          </w:p>
        </w:tc>
        <w:tc>
          <w:tcPr>
            <w:tcW w:w="27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Raleigh, North Carolina, United States</w:t>
            </w:r>
          </w:p>
        </w:tc>
      </w:tr>
    </w:tbl>
    <w:p>
      <w:pPr>
        <w:pStyle w:val="TextBody"/>
        <w:pBdr>
          <w:bottom w:val="double" w:sz="6" w:space="1" w:color="000000"/>
        </w:pBdr>
        <w:spacing w:before="0" w:after="0"/>
        <w:jc w:val="left"/>
        <w:rPr/>
      </w:pPr>
      <w:r>
        <w:rPr/>
        <w:t> </w:t>
      </w:r>
    </w:p>
    <w:p>
      <w:pPr>
        <w:pStyle w:val="TextBody"/>
        <w:spacing w:before="0" w:after="0"/>
        <w:jc w:val="left"/>
        <w:rPr/>
      </w:pPr>
      <w:r>
        <w:rPr/>
        <w:t> </w:t>
      </w:r>
    </w:p>
    <w:p>
      <w:pPr>
        <w:pStyle w:val="TextBody"/>
        <w:spacing w:before="0" w:after="0"/>
        <w:jc w:val="center"/>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900"/>
        <w:gridCol w:w="8701"/>
        <w:gridCol w:w="604"/>
      </w:tblGrid>
      <w:tr>
        <w:trPr/>
        <w:tc>
          <w:tcPr>
            <w:tcW w:w="900" w:type="dxa"/>
            <w:tcBorders/>
            <w:shd w:fill="auto" w:val="clear"/>
            <w:vAlign w:val="center"/>
          </w:tcPr>
          <w:p>
            <w:pPr>
              <w:pStyle w:val="TableContents"/>
              <w:spacing w:before="0" w:after="283"/>
              <w:rPr>
                <w:sz w:val="4"/>
                <w:szCs w:val="4"/>
              </w:rPr>
            </w:pPr>
            <w:r>
              <w:rPr>
                <w:sz w:val="4"/>
                <w:szCs w:val="4"/>
              </w:rPr>
            </w:r>
          </w:p>
        </w:tc>
        <w:tc>
          <w:tcPr>
            <w:tcW w:w="8701"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r>
      <w:tr>
        <w:trPr/>
        <w:tc>
          <w:tcPr>
            <w:tcW w:w="9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4"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4" w:type="dxa"/>
            <w:tcBorders/>
            <w:shd w:fill="auto" w:val="clear"/>
            <w:tcMar>
              <w:top w:w="0" w:type="dxa"/>
              <w:left w:w="0" w:type="dxa"/>
              <w:bottom w:w="0" w:type="dxa"/>
              <w:right w:w="0" w:type="dxa"/>
            </w:tcMar>
            <w:vAlign w:val="center"/>
          </w:tcPr>
          <w:p>
            <w:pPr>
              <w:pStyle w:val="TableContents"/>
              <w:spacing w:before="0" w:after="0"/>
              <w:ind w:left="0" w:right="0" w:firstLine="137"/>
              <w:jc w:val="right"/>
              <w:rPr/>
            </w:pPr>
            <w:r>
              <w:rPr/>
              <w:t> </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1">
              <w:r>
                <w:rPr>
                  <w:rStyle w:val="InternetLink"/>
                  <w:rFonts w:ascii="Times New Roman;serif" w:hAnsi="Times New Roman;serif"/>
                  <w:b w:val="false"/>
                  <w:sz w:val="20"/>
                  <w:u w:val="single"/>
                </w:rPr>
                <w:t>Business</w:t>
              </w:r>
            </w:hyperlink>
          </w:p>
        </w:tc>
        <w:tc>
          <w:tcPr>
            <w:tcW w:w="604"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1A.</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1a">
              <w:r>
                <w:rPr>
                  <w:rStyle w:val="InternetLink"/>
                  <w:rFonts w:ascii="Times New Roman;serif" w:hAnsi="Times New Roman;serif"/>
                  <w:b w:val="false"/>
                  <w:sz w:val="20"/>
                  <w:u w:val="single"/>
                </w:rPr>
                <w:t>Risk Factors</w:t>
              </w:r>
            </w:hyperlink>
          </w:p>
        </w:tc>
        <w:tc>
          <w:tcPr>
            <w:tcW w:w="604"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39</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1B.</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1b">
              <w:r>
                <w:rPr>
                  <w:rStyle w:val="InternetLink"/>
                  <w:rFonts w:ascii="Times New Roman;serif" w:hAnsi="Times New Roman;serif"/>
                  <w:b w:val="false"/>
                  <w:sz w:val="20"/>
                  <w:u w:val="single"/>
                </w:rPr>
                <w:t>Unresolved Staff Comments</w:t>
              </w:r>
            </w:hyperlink>
          </w:p>
        </w:tc>
        <w:tc>
          <w:tcPr>
            <w:tcW w:w="604"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94</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2.</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2">
              <w:r>
                <w:rPr>
                  <w:rStyle w:val="InternetLink"/>
                  <w:rFonts w:ascii="Times New Roman;serif" w:hAnsi="Times New Roman;serif"/>
                  <w:b w:val="false"/>
                  <w:sz w:val="20"/>
                  <w:u w:val="single"/>
                </w:rPr>
                <w:t>Properties</w:t>
              </w:r>
            </w:hyperlink>
          </w:p>
        </w:tc>
        <w:tc>
          <w:tcPr>
            <w:tcW w:w="604"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94</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3.</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3">
              <w:r>
                <w:rPr>
                  <w:rStyle w:val="InternetLink"/>
                  <w:rFonts w:ascii="Times New Roman;serif" w:hAnsi="Times New Roman;serif"/>
                  <w:b w:val="false"/>
                  <w:sz w:val="20"/>
                  <w:u w:val="single"/>
                </w:rPr>
                <w:t>Legal Proceedings</w:t>
              </w:r>
            </w:hyperlink>
          </w:p>
        </w:tc>
        <w:tc>
          <w:tcPr>
            <w:tcW w:w="604"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94</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4.</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4">
              <w:r>
                <w:rPr>
                  <w:rStyle w:val="InternetLink"/>
                  <w:rFonts w:ascii="Times New Roman;serif" w:hAnsi="Times New Roman;serif"/>
                  <w:b w:val="false"/>
                  <w:sz w:val="20"/>
                  <w:u w:val="single"/>
                </w:rPr>
                <w:t>Mine Safety Disclosures</w:t>
              </w:r>
            </w:hyperlink>
          </w:p>
        </w:tc>
        <w:tc>
          <w:tcPr>
            <w:tcW w:w="60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4" w:type="dxa"/>
            <w:tcBorders/>
            <w:shd w:fill="auto" w:val="clear"/>
            <w:tcMar>
              <w:top w:w="0" w:type="dxa"/>
              <w:left w:w="0" w:type="dxa"/>
              <w:bottom w:w="0" w:type="dxa"/>
              <w:right w:w="0" w:type="dxa"/>
            </w:tcMar>
            <w:vAlign w:val="center"/>
          </w:tcPr>
          <w:p>
            <w:pPr>
              <w:pStyle w:val="TableContents"/>
              <w:spacing w:before="0" w:after="0"/>
              <w:ind w:left="0" w:right="0" w:firstLine="137"/>
              <w:jc w:val="right"/>
              <w:rPr/>
            </w:pPr>
            <w:r>
              <w:rPr/>
              <w:t> </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5.</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5">
              <w:r>
                <w:rPr>
                  <w:rStyle w:val="InternetLink"/>
                  <w:rFonts w:ascii="Times New Roman;serif" w:hAnsi="Times New Roman;serif"/>
                  <w:b w:val="false"/>
                  <w:sz w:val="20"/>
                  <w:u w:val="single"/>
                </w:rPr>
                <w:t>Market for Registrant’s Common Equity, Related Stockholder Matters and Issuer Purchases of Equity Securities</w:t>
              </w:r>
            </w:hyperlink>
          </w:p>
        </w:tc>
        <w:tc>
          <w:tcPr>
            <w:tcW w:w="604"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96</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6.</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6">
              <w:r>
                <w:rPr>
                  <w:rStyle w:val="InternetLink"/>
                  <w:rFonts w:ascii="Times New Roman;serif" w:hAnsi="Times New Roman;serif"/>
                  <w:b w:val="false"/>
                  <w:sz w:val="20"/>
                  <w:u w:val="single"/>
                </w:rPr>
                <w:t>Reserved</w:t>
              </w:r>
            </w:hyperlink>
          </w:p>
        </w:tc>
        <w:tc>
          <w:tcPr>
            <w:tcW w:w="604"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96</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7.</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7">
              <w:r>
                <w:rPr>
                  <w:rStyle w:val="InternetLink"/>
                  <w:rFonts w:ascii="Times New Roman;serif" w:hAnsi="Times New Roman;serif"/>
                  <w:b w:val="false"/>
                  <w:sz w:val="20"/>
                  <w:u w:val="single"/>
                </w:rPr>
                <w:t>Management’s Discussion and Analysis of Financial Condition and Results of Operations</w:t>
              </w:r>
            </w:hyperlink>
          </w:p>
        </w:tc>
        <w:tc>
          <w:tcPr>
            <w:tcW w:w="604"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96</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7A.</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7a">
              <w:r>
                <w:rPr>
                  <w:rStyle w:val="InternetLink"/>
                  <w:rFonts w:ascii="Times New Roman;serif" w:hAnsi="Times New Roman;serif"/>
                  <w:b w:val="false"/>
                  <w:sz w:val="20"/>
                  <w:u w:val="single"/>
                </w:rPr>
                <w:t>Quantitative and Qualitative Disclosures About Market Risk</w:t>
              </w:r>
            </w:hyperlink>
          </w:p>
        </w:tc>
        <w:tc>
          <w:tcPr>
            <w:tcW w:w="604"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104</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8.</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8">
              <w:r>
                <w:rPr>
                  <w:rStyle w:val="InternetLink"/>
                  <w:rFonts w:ascii="Times New Roman;serif" w:hAnsi="Times New Roman;serif"/>
                  <w:b w:val="false"/>
                  <w:sz w:val="20"/>
                  <w:u w:val="single"/>
                </w:rPr>
                <w:t>Financial Statements and Supplementary Data</w:t>
              </w:r>
            </w:hyperlink>
          </w:p>
        </w:tc>
        <w:tc>
          <w:tcPr>
            <w:tcW w:w="604"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104</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9.</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9">
              <w:r>
                <w:rPr>
                  <w:rStyle w:val="InternetLink"/>
                  <w:rFonts w:ascii="Times New Roman;serif" w:hAnsi="Times New Roman;serif"/>
                  <w:b w:val="false"/>
                  <w:sz w:val="20"/>
                  <w:u w:val="single"/>
                </w:rPr>
                <w:t>Changes in and Disagreements With Accountants on Accounting and Financial Disclosure</w:t>
              </w:r>
            </w:hyperlink>
          </w:p>
        </w:tc>
        <w:tc>
          <w:tcPr>
            <w:tcW w:w="604"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104</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9A.</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9a">
              <w:r>
                <w:rPr>
                  <w:rStyle w:val="InternetLink"/>
                  <w:rFonts w:ascii="Times New Roman;serif" w:hAnsi="Times New Roman;serif"/>
                  <w:b w:val="false"/>
                  <w:sz w:val="20"/>
                  <w:u w:val="single"/>
                </w:rPr>
                <w:t>Controls and Procedures</w:t>
              </w:r>
            </w:hyperlink>
          </w:p>
        </w:tc>
        <w:tc>
          <w:tcPr>
            <w:tcW w:w="604"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104</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9B.</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9b">
              <w:r>
                <w:rPr>
                  <w:rStyle w:val="InternetLink"/>
                  <w:rFonts w:ascii="Times New Roman;serif" w:hAnsi="Times New Roman;serif"/>
                  <w:b w:val="false"/>
                  <w:sz w:val="20"/>
                  <w:u w:val="single"/>
                </w:rPr>
                <w:t>Other Information</w:t>
              </w:r>
            </w:hyperlink>
          </w:p>
        </w:tc>
        <w:tc>
          <w:tcPr>
            <w:tcW w:w="604"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105</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9C.</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9c">
              <w:r>
                <w:rPr>
                  <w:rStyle w:val="InternetLink"/>
                  <w:rFonts w:ascii="Times New Roman;serif" w:hAnsi="Times New Roman;serif"/>
                  <w:b w:val="false"/>
                  <w:sz w:val="20"/>
                  <w:u w:val="single"/>
                </w:rPr>
                <w:t>Disclosure Regarding Foreign Jurisdictions That Prevent Inspections</w:t>
              </w:r>
            </w:hyperlink>
          </w:p>
        </w:tc>
        <w:tc>
          <w:tcPr>
            <w:tcW w:w="60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III</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4" w:type="dxa"/>
            <w:tcBorders/>
            <w:shd w:fill="auto" w:val="clear"/>
            <w:tcMar>
              <w:top w:w="0" w:type="dxa"/>
              <w:left w:w="0" w:type="dxa"/>
              <w:bottom w:w="0" w:type="dxa"/>
              <w:right w:w="0" w:type="dxa"/>
            </w:tcMar>
            <w:vAlign w:val="center"/>
          </w:tcPr>
          <w:p>
            <w:pPr>
              <w:pStyle w:val="TableContents"/>
              <w:spacing w:before="0" w:after="0"/>
              <w:ind w:left="0" w:right="0" w:firstLine="137"/>
              <w:jc w:val="right"/>
              <w:rPr/>
            </w:pPr>
            <w:r>
              <w:rPr/>
              <w:t> </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10.</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10">
              <w:r>
                <w:rPr>
                  <w:rStyle w:val="InternetLink"/>
                  <w:rFonts w:ascii="Times New Roman;serif" w:hAnsi="Times New Roman;serif"/>
                  <w:b w:val="false"/>
                  <w:sz w:val="20"/>
                  <w:u w:val="single"/>
                </w:rPr>
                <w:t>Directors, Executive Officers and Corporate Governance</w:t>
              </w:r>
            </w:hyperlink>
          </w:p>
        </w:tc>
        <w:tc>
          <w:tcPr>
            <w:tcW w:w="604"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106</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11.</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11">
              <w:r>
                <w:rPr>
                  <w:rStyle w:val="InternetLink"/>
                  <w:rFonts w:ascii="Times New Roman;serif" w:hAnsi="Times New Roman;serif"/>
                  <w:b w:val="false"/>
                  <w:sz w:val="20"/>
                  <w:u w:val="single"/>
                </w:rPr>
                <w:t>Executive Compensation</w:t>
              </w:r>
            </w:hyperlink>
          </w:p>
        </w:tc>
        <w:tc>
          <w:tcPr>
            <w:tcW w:w="604"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106</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12.</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12">
              <w:r>
                <w:rPr>
                  <w:rStyle w:val="InternetLink"/>
                  <w:rFonts w:ascii="Times New Roman;serif" w:hAnsi="Times New Roman;serif"/>
                  <w:b w:val="false"/>
                  <w:sz w:val="20"/>
                  <w:u w:val="single"/>
                </w:rPr>
                <w:t>Security Ownership of Certain Beneficial Owners and Management and Related Stockholder Matters</w:t>
              </w:r>
            </w:hyperlink>
          </w:p>
        </w:tc>
        <w:tc>
          <w:tcPr>
            <w:tcW w:w="604"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106</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13.</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13">
              <w:r>
                <w:rPr>
                  <w:rStyle w:val="InternetLink"/>
                  <w:rFonts w:ascii="Times New Roman;serif" w:hAnsi="Times New Roman;serif"/>
                  <w:b w:val="false"/>
                  <w:sz w:val="20"/>
                  <w:u w:val="single"/>
                </w:rPr>
                <w:t>Certain Relationships and Related Transactions, and Director Independence</w:t>
              </w:r>
            </w:hyperlink>
          </w:p>
        </w:tc>
        <w:tc>
          <w:tcPr>
            <w:tcW w:w="604"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106</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14.</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14">
              <w:r>
                <w:rPr>
                  <w:rStyle w:val="InternetLink"/>
                  <w:rFonts w:ascii="Times New Roman;serif" w:hAnsi="Times New Roman;serif"/>
                  <w:b w:val="false"/>
                  <w:sz w:val="20"/>
                  <w:u w:val="single"/>
                </w:rPr>
                <w:t>Principal Accounting Fees and Services</w:t>
              </w:r>
            </w:hyperlink>
          </w:p>
        </w:tc>
        <w:tc>
          <w:tcPr>
            <w:tcW w:w="60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IV</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4" w:type="dxa"/>
            <w:tcBorders/>
            <w:shd w:fill="auto" w:val="clear"/>
            <w:tcMar>
              <w:top w:w="0" w:type="dxa"/>
              <w:left w:w="0" w:type="dxa"/>
              <w:bottom w:w="0" w:type="dxa"/>
              <w:right w:w="0" w:type="dxa"/>
            </w:tcMar>
            <w:vAlign w:val="center"/>
          </w:tcPr>
          <w:p>
            <w:pPr>
              <w:pStyle w:val="TableContents"/>
              <w:spacing w:before="0" w:after="0"/>
              <w:ind w:left="0" w:right="0" w:firstLine="137"/>
              <w:jc w:val="right"/>
              <w:rPr/>
            </w:pPr>
            <w:r>
              <w:rPr/>
              <w:t> </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15.</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15">
              <w:r>
                <w:rPr>
                  <w:rStyle w:val="InternetLink"/>
                  <w:rFonts w:ascii="Times New Roman;serif" w:hAnsi="Times New Roman;serif"/>
                  <w:b w:val="false"/>
                  <w:sz w:val="20"/>
                  <w:u w:val="single"/>
                </w:rPr>
                <w:t>Exhibits and Financial Statement Schedules</w:t>
              </w:r>
            </w:hyperlink>
          </w:p>
        </w:tc>
        <w:tc>
          <w:tcPr>
            <w:tcW w:w="604"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108</w:t>
            </w:r>
          </w:p>
        </w:tc>
      </w:tr>
      <w:tr>
        <w:trPr/>
        <w:tc>
          <w:tcPr>
            <w:tcW w:w="900"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16</w:t>
            </w:r>
          </w:p>
        </w:tc>
        <w:tc>
          <w:tcPr>
            <w:tcW w:w="870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16">
              <w:r>
                <w:rPr>
                  <w:rStyle w:val="InternetLink"/>
                  <w:rFonts w:ascii="Times New Roman;serif" w:hAnsi="Times New Roman;serif"/>
                  <w:b w:val="false"/>
                  <w:sz w:val="20"/>
                  <w:u w:val="single"/>
                </w:rPr>
                <w:t>Form 10-K Summary</w:t>
              </w:r>
            </w:hyperlink>
          </w:p>
        </w:tc>
        <w:tc>
          <w:tcPr>
            <w:tcW w:w="60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this Annual Report on Form 10-K, the terms “we”, “us”, “our”, the “Company” and “ProKidney” mean ProKidney Corp. (formerly Social Capital Suvretta Holdings Corp. III) and our subsidiaries. On July 11, 2022 (the “Closing Date”), Social Capital Suvretta Holdings Corp. III, an exempted company registered under the laws of the Cayman Islands (“SCS” and after the Business Combination described herein, the “Company”), consummated a business combination (the “Business Combination”) pursuant to the terms of the Business Combination Agreement, dated as of January 18, 2022 (the “Business Combination Agreement”), by and between SCS and ProKidney LP, a limited partnership (“PKLP”). Pursuant to the Business Combination and the other transactions contemplated by the Business Combination Agreement (collectively, the “Transactions”, and such completion, the “Closing”), PKLP became a subsidiary of SCS, and SCS changed its name to ProKidney Corp.</w:t>
      </w:r>
    </w:p>
    <w:p>
      <w:pPr>
        <w:pStyle w:val="TextBody"/>
        <w:spacing w:before="0" w:after="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CAUTIONARY NOTE REGARDING FORWARD-LOOKING STATEMENTS</w:t>
      </w:r>
    </w:p>
    <w:p>
      <w:pPr>
        <w:pStyle w:val="TextBody"/>
        <w:spacing w:before="0" w:after="0"/>
        <w:jc w:val="left"/>
        <w:rPr>
          <w:rFonts w:ascii="Times New Roman" w:hAnsi="Times New Roman"/>
          <w:sz w:val="20"/>
        </w:rPr>
      </w:pPr>
      <w:r>
        <w:rPr>
          <w:rFonts w:ascii="Times New Roman;serif" w:hAnsi="Times New Roman;serif"/>
          <w:b/>
          <w:sz w:val="20"/>
        </w:rPr>
        <w:br/>
        <w:br/>
      </w:r>
      <w:r>
        <w:rPr>
          <w:rFonts w:ascii="Times New Roman;serif" w:hAnsi="Times New Roman;serif"/>
          <w:b w:val="false"/>
          <w:i/>
          <w:sz w:val="20"/>
        </w:rPr>
        <w:t>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r>
        <w:rPr>
          <w:rFonts w:ascii="Times New Roman;serif" w:hAnsi="Times New Roman;serif"/>
          <w:b/>
          <w:sz w:val="20"/>
        </w:rPr>
        <w:br/>
        <w:br/>
        <w:br/>
        <w:br/>
      </w:r>
      <w:r>
        <w:rPr>
          <w:rFonts w:ascii="Times New Roman" w:hAnsi="Times New Roman"/>
          <w:sz w:val="20"/>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Summary of Principal Risk Factors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business is subject to a number of risks, including risks that may prevent us from achieving our business objectives or may adversely affect our business, financial condition, results of operations, cash flows, and prospects. These risks are discussed more fully in “Part I – Item 1A, Risk Factors” below and include, but are not limited to, risks related to:</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Our Financial Position and Need for Additional Capital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achieve or maintain profitability;</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ability to generate revenue in the absence of any products approved for sale;</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need for additional capital to continue the development and commercialization of our drug candidates;</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the impact of raising additional capital to our stockholders and the rights of our drug candidates.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Development of Renal Autologous Cell Therapy (“REACT”) and Our Future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potential failure of our clinical trials or our inability to receive regulatory approval for our product candidates;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competition with other products;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COVID-19 on our clinical trials;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delays in the commencement, enrollment and completion of our clinical trials;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potential for preliminary results and the results of early stage trials to not be duplicated in later stage clinical trials;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identification of unacceptable serious adverse side effects which are determined to be treatment related;</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effect of public opinion and regulatory scrutiny of cell-based therapies;</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the impact of using our financial and human resources to pursue a particular research program for our product candidates and failing to capitalize on programs or product candidates that may be more profitable or for which there is a greater likelihood of success;</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Manufacturing of REACT and Our Future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manufacture REACT or other future product candidates to meet development or commercial needs;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ability to effectively maintain and expand our own production capabilities;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ability to secure commitments from third-party manufacturers;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manufacturing a personalized medicine that is patient-specific;</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delays in the regulatory approval of the manufacturing process;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ability to manage the highly complex supply chain process associated with a personalized cell-based therapy;</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dependence upon third parties to provide us with a sufficient supply of materials for use in our manufacturing process;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any changes made to the formulation or process used in the manufacturing of our products;</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our ability to maintain our manufacturing facility in a state of compliance with global quality standards;</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Commercialization of REACT and Our Future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acceptance of our product candidates in the market, if approved by the appropriate regulatory agencies;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ability to establish sales and marketing capabilities or enter into agreements with third parties to sell and market our product candidates;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assumptions of the addressable market for our product candidates may not be correct;</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ability to obtain approval to commercialize products within different jurisdictions;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off-label use of our product candidates;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competition with other products;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ability to obtain coverage or reimbursement for REACT or our other product candidates;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ability to obtain adequate pricing for our product candidates from patients and third-party private and public payors in amounts that are sufficient to allow us to achieve profitability;</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product liability lawsuits;</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our ability to comply with environmental, health, and safety laws and regulations;</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Our Reliance on Third Parties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professional conduct of third parties we rely on to conduct, supervise and monitor certain of our clinical trials;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reliance on third parties to provide materials for our research and development activities;</w:t>
      </w:r>
    </w:p>
    <w:p>
      <w:pPr>
        <w:pStyle w:val="TextBody"/>
        <w:spacing w:before="0" w:after="0"/>
        <w:jc w:val="left"/>
        <w:rPr/>
      </w:pPr>
      <w:r>
        <w:rPr/>
        <w:t>•</w:t>
      </w:r>
    </w:p>
    <w:p>
      <w:pPr>
        <w:pStyle w:val="TextBody"/>
        <w:jc w:val="left"/>
        <w:rPr/>
      </w:pPr>
      <w:r>
        <w:rPr>
          <w:rFonts w:ascii="Times New Roman;serif" w:hAnsi="Times New Roman;serif"/>
          <w:b w:val="false"/>
          <w:sz w:val="20"/>
        </w:rPr>
        <w:t>our ability to establish and maintain collaborative relationships to further the development of or commercialize our product candidates;</w:t>
        <w:br/>
      </w: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Legal and Regulatory Compliance Matters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impact of healthcare laws and regulations on our relationships with healthcare professionals, principal investigators, consultants, customers (actual and potential) and third-party payors;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ongoing obligations and continued regulatory review for our drug candidates post-commercialization;</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healthcare cost containment initiatives;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funding of the Food and Drug Administration (the “FDA”), the Securities and Exchange Commission (the “SEC”) and other government agencies;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marketing and reimbursement regulations in the European Union and other jurisdictions;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global data privacy laws and regulations;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legal, political and economic uncertainty relating to our planned international operations;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U.S. and foreign trade laws;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potential competitive pecuniary interests held by our executive officers, directors, security holders and their respective affiliates;</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the impact of our incorporation under the laws of the Cayman Islands;</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Our Intellectual Property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continue to protect proprietary rights to our intellectual property;</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obligations imposed by future license or collaboration arrangements;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unauthorized disclosure of our trade secrets or other confidential information;</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litigation for infringing intellectual property rights or the disclosure of trade secrets of third parties;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ability to obtain or maintain necessary intellectual property rights for our product candidates;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litigation to protect or enforce our patents or other intellectual property;</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changes to the patent laws in the United States and other jurisdictions;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ability to enforce our intellectual property rights throughout the world;</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our ability to obtain patent term extensions for our product candidates;</w:t>
      </w:r>
    </w:p>
    <w:p>
      <w:pPr>
        <w:pStyle w:val="TextBody"/>
        <w:spacing w:before="0" w:after="0"/>
        <w:jc w:val="left"/>
        <w:rPr/>
      </w:pPr>
      <w:r>
        <w:rPr/>
        <w:t> </w:t>
      </w:r>
    </w:p>
    <w:p>
      <w:pPr>
        <w:pStyle w:val="TextBody"/>
        <w:spacing w:before="0" w:after="120"/>
        <w:jc w:val="left"/>
        <w:rPr>
          <w:rFonts w:ascii="Times New Roman;serif" w:hAnsi="Times New Roman;serif"/>
          <w:b w:val="false"/>
          <w:i/>
          <w:sz w:val="20"/>
        </w:rPr>
      </w:pPr>
      <w:r>
        <w:rPr>
          <w:rFonts w:ascii="Times New Roman;serif" w:hAnsi="Times New Roman;serif"/>
          <w:b w:val="false"/>
          <w:i/>
          <w:sz w:val="20"/>
        </w:rPr>
        <w:t>Managing Our Business and Operations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expanding our operations and managing growth;</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ability to attract and retain key personnel;</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our employees, independent contractors, principal investigators, contract research organizations (“CROs”), contract manufacturing organization (“CMOs”), consultants and collaborators in the event that they engage in misconduct or other improper activities;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computer system failures, cyber-attacks or a deficiency in our cyber-security or that of our partners;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a failure to comply with health and data protection laws and regulations;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changes in tax law or policy;</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becoming subject to taxes in other jurisdictions;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being classified as a passive foreign investment company;</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adverse outcomes resulting from examination of our income or other tax returns;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our investors’ substantial influence over our business;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exemption from certain corporate governance requirements since we are a “controlled company”;</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existence of provisions in our governing documents or state law which may delay or prevent our acquisition by a third party;</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our reliance upon our “emerging growth company” and “smaller reporting company” statuses;</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Our Organizational Structure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maintain limited liability related to our investment in PKLP;</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intercompany transfer pricing policies or the impact of changes in laws which could increase our effective tax rate or otherwise harm our business;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obligation to make payments under the Tax Receivable Agreement (as defined and discussed further below);</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ability to make distributions from PKLP to satisfy our obligations;</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the impact of the rights of our shareholders as a Cayman Islands exempted company.</w:t>
      </w:r>
    </w:p>
    <w:p>
      <w:pPr>
        <w:pStyle w:val="TextBody"/>
        <w:spacing w:before="0" w:after="0"/>
        <w:jc w:val="center"/>
        <w:rPr/>
      </w:pPr>
      <w:r>
        <w:rPr/>
        <w:t> </w:t>
      </w:r>
    </w:p>
    <w:p>
      <w:pPr>
        <w:pStyle w:val="TextBody"/>
        <w:spacing w:before="0" w:after="0"/>
        <w:jc w:val="center"/>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 w:name="part_i"/>
      <w:bookmarkEnd w:id="2"/>
      <w:r>
        <w:rPr>
          <w:rFonts w:ascii="Times New Roman;serif" w:hAnsi="Times New Roman;serif"/>
          <w:b/>
          <w:sz w:val="20"/>
        </w:rPr>
        <w:t>PART I</w:t>
      </w:r>
    </w:p>
    <w:p>
      <w:pPr>
        <w:pStyle w:val="TextBody"/>
        <w:spacing w:before="360" w:after="0"/>
        <w:jc w:val="left"/>
        <w:rPr>
          <w:rFonts w:ascii="Times New Roman" w:hAnsi="Times New Roman"/>
          <w:sz w:val="20"/>
        </w:rPr>
      </w:pPr>
      <w:bookmarkStart w:id="3" w:name="item1"/>
      <w:bookmarkEnd w:id="3"/>
      <w:r>
        <w:rPr>
          <w:rFonts w:ascii="Times New Roman;serif" w:hAnsi="Times New Roman;serif"/>
          <w:b/>
          <w:sz w:val="20"/>
        </w:rPr>
        <w:t>Item 1. Business.</w:t>
      </w:r>
      <w:r>
        <w:rPr>
          <w:rFonts w:ascii="Times New Roman" w:hAnsi="Times New Roman"/>
          <w:sz w:val="20"/>
        </w:rPr>
        <w:t xml:space="preserve"> </w:t>
      </w:r>
    </w:p>
    <w:p>
      <w:pPr>
        <w:pStyle w:val="TextBody"/>
        <w:spacing w:before="324" w:after="0"/>
        <w:jc w:val="left"/>
        <w:rPr>
          <w:rFonts w:ascii="Times New Roman;serif" w:hAnsi="Times New Roman;serif"/>
          <w:b/>
          <w:sz w:val="20"/>
        </w:rPr>
      </w:pPr>
      <w:r>
        <w:rPr>
          <w:rFonts w:ascii="Times New Roman;serif" w:hAnsi="Times New Roman;serif"/>
          <w:b/>
          <w:sz w:val="20"/>
        </w:rPr>
        <w:t>Overview</w:t>
      </w:r>
    </w:p>
    <w:p>
      <w:pPr>
        <w:pStyle w:val="TextBody"/>
        <w:spacing w:before="120" w:after="0"/>
        <w:jc w:val="left"/>
        <w:rPr>
          <w:rFonts w:ascii="Times New Roman" w:hAnsi="Times New Roman"/>
          <w:sz w:val="20"/>
        </w:rPr>
      </w:pPr>
      <w:r>
        <w:rPr>
          <w:rFonts w:ascii="Times New Roman;serif" w:hAnsi="Times New Roman;serif"/>
          <w:b w:val="false"/>
          <w:sz w:val="20"/>
        </w:rPr>
        <w:t>Prior to July 11, 2022, we were a blank check company registered under the laws of the Cayman Islands and formed for the purpose of effecting a merger, capital stock exchange, asset acquisition, stock purchase, reorganization or similar business combination with one or more businesses. On July 11, 2022, we completed the Business Combination pursuant to the Business Combination Agreement dated January 18, 2022, that we entered into with PKLP. Upon the completion of the Business Combination, we changed our name to “ProKidney Corp.” and the business of PKLP became our business.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 clinical-stage biotechnology company with a transformative proprietary cell therapy platform capable of treating multiple chronic kidney diseases using a patient’s own cells isolated from the patient intended for treatment. Our approach seeks to redefine the treatment of chronic kidney disease (“CKD”), shifting the emphasis away from management of kidney failure to the restoration or improvement of kidney function to stop or delay progression of CKD. Our lead product candidate, which we refer to as REACT®, is designed to preserve kidney function in a CKD patient’s diseased kidneys. REACT is a product that includes autologous Selected Renal Cells (“SRCs”) prepared from a patient’s own (autologous) kidney cells. SRCs are formulated into a product for reinjection into the patient’s kidney using a minimally invasive outpatient procedure that might be repeatable, if necessary. Because REACT is a personalized treatment composed of cells prepared from a patient’s own kidney, there is no need for treatment with immunosuppressive therapies that are required during a patient’s lifetime when a patient receives a kidney transplant from another (allogeneic) donor.</w:t>
      </w:r>
    </w:p>
    <w:p>
      <w:pPr>
        <w:pStyle w:val="TextBody"/>
        <w:spacing w:before="120" w:after="0"/>
        <w:jc w:val="left"/>
        <w:rPr>
          <w:rFonts w:ascii="Times New Roman" w:hAnsi="Times New Roman"/>
          <w:sz w:val="20"/>
        </w:rPr>
      </w:pPr>
      <w:r>
        <w:rPr>
          <w:rFonts w:ascii="Times New Roman;serif" w:hAnsi="Times New Roman;serif"/>
          <w:b w:val="false"/>
          <w:sz w:val="20"/>
        </w:rPr>
        <w:t>Currently available therapies have limited ability to address the root causes of diabetic CKD, and patients continue to decline in kidney function even after receiving standard of care therapy.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currently conducting a global Phase 3 development program and multiple Phase 2 clinical trials for REACT in subjects with moderate to severe diabetic kidney disease. We are also conducting a Phase 1 clinical trial for REACT in subjects with congenital anomalies of the kidney and urinary tract (“CAKUT”) for which the last subject visit occurred in January 2023. REACT has been generally well tolerated by subjects with moderate to severe diabetic kidney disease in Phase 1 and 2 clinical testing to date. It has also been shown, based on measurements of iohexol renal clearance, to preserve kidney function in some study subjects. REACT has received Regenerative Medicine Advanced Therapy (“RMAT”) designation from the FDA.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patented technology includes multiple breakthroughs in the manufacturing and medical delivery of cellular therapy products. While it has long been accepted that the body contains cells with regenerative power, our technology enables the preparation of key progenitor cells, or SRCs, made by expanding a patient’s own kidney cells, that can be reinjected into the same patient in an attempt to restore kidney function lost due to chronic diseases. Our process begins when a small biopsy of a patient’s diseased kidney is sent to our current good manufacturing practices (“cGMP”) manufacturing facility. We are able to process cells taken from the biopsy and select specific cells with a regenerative capacity. These selected renal cells, SRCs, are formulated into a personalized product for reinjection into the damaged kidney(s). To date, clinical studies suggest that REACT has the capacity to, for a time, positively impact kidney function as reflected by stabilizing the estimated glomerular filtration rate (“eGFR”) or attenuating the rate of eGFR decline in patients with type 2 diabetic CKD. Other improvements observed with REACT treatment include increased kidney cortical thickness and improved hemoglobin levels; reduced hemoglobin levels are a marker of anemia.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initially pursuing the development of REACT for use in moderate to severe CKD patients in the United States with diabetes as the primary cause and may include hypertension as a potential label expansion indication. We estimate that approximately 38-39 million adults, representing approximately 15% of the U.S. adult population, currently suffer from CKD. Chronic Kidney Disease is segmented into five CKD stages, from mild (CKD 1) to severe (CKD5 or kidney failure). With respect to those patients with stage 3 and 4 CKD caused primarily by diabetes, we estimate that approximately 4-5 million patients could be eligible to be treated with REACT.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currently operate a manufacturing facility that has been designed to comply with FDA and European Medicines Agency (“EMA”) quality standards and to produce REACT treatments from biopsied material. This facility, based in Winston-Salem, North Carolina, in the United States, has a potential capacity sufficient to supply our global Phase 3 program as well as the first stage of a potential commercial launch, should REACT ever receive regulatory approval.</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Our Pipeline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leveraging our cell therapy technology to develop product candidates designed to stop or delay kidney failure in CKD from diabetes and CAKUT. The following table summarizes our current pipeline:</w:t>
      </w:r>
    </w:p>
    <w:p>
      <w:pPr>
        <w:pStyle w:val="TextBody"/>
        <w:spacing w:before="0" w:after="0"/>
        <w:jc w:val="left"/>
        <w:rPr/>
      </w:pPr>
      <w:r>
        <w:rPr/>
        <w:drawing>
          <wp:inline distT="0" distB="0" distL="0" distR="0">
            <wp:extent cx="6858000" cy="3105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105150"/>
                    </a:xfrm>
                    <a:prstGeom prst="rect">
                      <a:avLst/>
                    </a:prstGeom>
                  </pic:spPr>
                </pic:pic>
              </a:graphicData>
            </a:graphic>
          </wp:inline>
        </w:drawing>
      </w: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Renal Autologous Cell Therapy (REACT) injection is an investigational therapy that is a mixture of kidney cells prepared from the participant’s own kidney tissue. The initial kidney tissue is obtained from two small pieces of kidney tissue obtained by a standard kidney biopsy performed by a specially trained physician. From this tissue, certain kidney cells, which are thought to be important for healing the kidney, are grown and multiplied in a highly specialized laboratory facility. After several weeks, when sufficient cells are available, the REACT preparation of cells is sent back to the clinical trial site where it can be re-injected directly into the participant’s own kidneys. It is believed that these selected and prepared cells may help a diseased kidney stabilize or improve over time, and thereby potentially delay the need for dialysis or transplantation by preserving kidney function.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Clinical studies suggest that REACT can impact kidney function positively by stabilizing eGFR, or attenuating the rate of eGFR decline, in type 2 diabetic CKD patients. We have developed a cryopreserved version of REACT that allows for long-term product preservation to be used in our Phase 3 trials of REACT (called REGEN-006 and REGEN-016), our Phase 2 trial of REACT (called REGEN-007) and our Phase 1 trial of REACT (called REGEN-015), treating diabetes patients with CKD. In addition to the cryopreserved formulation of REACT, we used a gelatin-based hydrogel formulation in our Phase 2 trials (called RMCL-002 and REGEN-003) and Phase 1 trial in congenital anomalies of the kidney and urinary tract (“CAKUT”) (called REGEN-004). The cryopreserved version of REACT allows for preparation of 5-10 doses from a single biopsy sample. We have two preclinical programs (called REACT/Gen and REACT/Universal) where we plan to use genetically modified bioactive kidney cell populations to provide regenerative effects to a diseased kidney. The preclinical programs seek to obtain “universal donor” cell populations where gene editing is used to generate novel kidney cell populations that do not generate an immune response.</w:t>
      </w:r>
    </w:p>
    <w:p>
      <w:pPr>
        <w:pStyle w:val="TextBody"/>
        <w:spacing w:before="324" w:after="0"/>
        <w:jc w:val="left"/>
        <w:rPr>
          <w:rFonts w:ascii="Times New Roman;serif" w:hAnsi="Times New Roman;serif"/>
          <w:b/>
          <w:sz w:val="20"/>
        </w:rPr>
      </w:pPr>
      <w:r>
        <w:rPr>
          <w:rFonts w:ascii="Times New Roman;serif" w:hAnsi="Times New Roman;serif"/>
          <w:b/>
          <w:sz w:val="20"/>
        </w:rPr>
        <w:t>Our Team and Corporate History</w:t>
      </w:r>
    </w:p>
    <w:p>
      <w:pPr>
        <w:pStyle w:val="TextBody"/>
        <w:spacing w:before="120" w:after="0"/>
        <w:jc w:val="left"/>
        <w:rPr>
          <w:rFonts w:ascii="Times New Roman" w:hAnsi="Times New Roman"/>
          <w:sz w:val="20"/>
        </w:rPr>
      </w:pPr>
      <w:r>
        <w:rPr>
          <w:rFonts w:ascii="Times New Roman;serif" w:hAnsi="Times New Roman;serif"/>
          <w:b w:val="false"/>
          <w:sz w:val="20"/>
        </w:rPr>
        <w:t>We have an experienced internal research and development team focused on utilizing our deep understanding of kidney disease pathways to discover and develop novel cell-based therapies with a multi-modal mechanism targeting various pathways. Since our founding, we have expanded our team to incorporate additional expertise as needed to pursue our goal of becoming a fully integrated biopharmaceutical company. We have assembled key management team members with expertise in kidney disease, cell therapy, development, regulatory affairs, medical affairs, operations, quality, and manufacturing. Our Chief Executive Officer, Tim Bertram, has more than 38 years of pharmaceutical development expertise and has led innovations in cellular therapeutics for over 18 years. Our Chief Operating Officer, Deepak Jain, Ph.D., has over 36 years of experience in the development of biologics, tissue engineered and cell therapy products.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Chief Legal Officer and Corporate Secretary, Todd Girolamo, has more than 30 years’ experience in legal practice and public finance, including 12 years in cell therapy development and 12 years as a series 24, 7 and 63 licensed principal specializing in equity research, sales, and trading of biotechnology, pharmaceuticals and medical technology market sectors. Chief Financial Officer James Coulston has 15 years of biotech financial management experience.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technology is being developed based on work that has been conducted for the past 20 years at different institutions. Founder and CEO Tim Bertram noted when he was working on kidney disease therapies that healthy, young patients suffering from acute kidney injury demonstrated the ability to rejuvenate and repair their injured kidneys, while patients with chronic, diabetic CKD demonstrated continued decline in kidney function. Intrigued by this, Dr. Bertram and his team endeavored to isolate the cell types occurring naturally in the kidney that are responsible for repair of kidney function. This work continued through various institutions to become REACT at ProKidney today.</w:t>
      </w:r>
    </w:p>
    <w:p>
      <w:pPr>
        <w:pStyle w:val="TextBody"/>
        <w:spacing w:before="120" w:after="0"/>
        <w:jc w:val="left"/>
        <w:rPr>
          <w:rFonts w:ascii="Times New Roman" w:hAnsi="Times New Roman"/>
          <w:sz w:val="20"/>
        </w:rPr>
      </w:pPr>
      <w:r>
        <w:rPr>
          <w:rFonts w:ascii="Times New Roman;serif" w:hAnsi="Times New Roman;serif"/>
          <w:b w:val="false"/>
          <w:sz w:val="20"/>
        </w:rPr>
        <w:t>ProKidney LLC, formerly, a wholly owned subsidiary of PKLP (“ProKidney Bermuda”) was formed in December 2018 as a Bermuda limited liability company and was founded by a group of investors in the pharmaceutical industry.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ProKidney (formerly known as RegenMed (Cayman) Ltd. (d/b/a inRegen)) (“ProKidney-KY”) was duly incorporated under the Companies Act (as amended) of the Cayman Islands (the “Cayman Islands Companies Act”) on December 21, 2015, as an exempted company. In 2020, ProKidney-KY’s name was changed from RegenMed (Cayman) Ltd. to ProKidney. ProKidney, LLC (formerly known as Twin City Bio LLC) (“ProKidney-US”) changed its name from Twin City Bio LLC to ProKidney, LLC. ProKidney-US is a Delaware limited liability company formed on December 18, 2015. In January 2019, ProKidney Bermuda acquired all of the equity interests in ProKidney-KY and ProKidney-US.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ProKidney Bermuda acquired the equity interests in ProKidney-KY to develop its renal advanced cell therapy, which has the potential to preserve kidney function in patients with chronic kidney disease or delay or eliminate the need for dialysis and organ transplantation. ProKidney Bermuda acquired ProKidney-US to provide contractual development and manufacturing services to ProKidney-KY, which is ProKidney-US’s only customer.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August 5, 2021, PKLP was organized as a limited partnership under the Limited Partnerships Act, 1907 of Ireland (the “Irish LP Act”), and, as applicable, the Partnership Act 1890, of Ireland, with ProKidney Bermuda becoming a wholly owned subsidiary of PKLP. In September 2021, ProKidney Bermuda distributed its equity interests in ProKidney-KY and ProKidney-US</w:t>
        <w:br/>
        <w:br/>
        <w:t>to PKLP with the effect that ProKidney-KY and ProKidney-US became direct wholly-owned subsidiaries of PKLP. ProKidney</w:t>
        <w:br/>
        <w:br/>
        <w:t>Bermuda was dissolved in October of 2022.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References to “ProKidney” or the “Company” generally refer to PKLP after its reorganization and to ProKidney Corp. following the Closing.</w:t>
      </w:r>
    </w:p>
    <w:p>
      <w:pPr>
        <w:pStyle w:val="TextBody"/>
        <w:spacing w:before="324" w:after="0"/>
        <w:jc w:val="left"/>
        <w:rPr>
          <w:rFonts w:ascii="Times New Roman;serif" w:hAnsi="Times New Roman;serif"/>
          <w:b/>
          <w:sz w:val="20"/>
        </w:rPr>
      </w:pPr>
      <w:r>
        <w:rPr>
          <w:rFonts w:ascii="Times New Roman;serif" w:hAnsi="Times New Roman;serif"/>
          <w:b/>
          <w:sz w:val="20"/>
        </w:rPr>
        <w:t>Our Strategy</w:t>
      </w:r>
    </w:p>
    <w:p>
      <w:pPr>
        <w:pStyle w:val="TextBody"/>
        <w:spacing w:before="108" w:after="0"/>
        <w:jc w:val="left"/>
        <w:rPr>
          <w:rFonts w:ascii="Times New Roman;serif" w:hAnsi="Times New Roman;serif"/>
          <w:b w:val="false"/>
          <w:sz w:val="20"/>
        </w:rPr>
      </w:pPr>
      <w:r>
        <w:rPr>
          <w:rFonts w:ascii="Times New Roman;serif" w:hAnsi="Times New Roman;serif"/>
          <w:b w:val="false"/>
          <w:sz w:val="20"/>
        </w:rPr>
        <w:t>Our goal is to become a fully integrated biopharmaceutical company pioneering treatments for CKD. Key components of our business strategy include the following:</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 w:hAnsi="Times New Roman"/>
                <w:sz w:val="20"/>
              </w:rPr>
            </w:pPr>
            <w:r>
              <w:rPr>
                <w:rFonts w:ascii="Times New Roman;serif" w:hAnsi="Times New Roman;serif"/>
                <w:b/>
                <w:i/>
                <w:sz w:val="20"/>
              </w:rPr>
              <w:t xml:space="preserve">Obtain regulatory approval for, and successfully commercialize REACT, initially as a treatment for patients with chronic kidney disease caused by diabetes. </w:t>
            </w:r>
            <w:r>
              <w:rPr>
                <w:rFonts w:ascii="Times New Roman;serif" w:hAnsi="Times New Roman;serif"/>
                <w:b w:val="false"/>
                <w:sz w:val="20"/>
              </w:rPr>
              <w:t>We intend to continue to pursue the clinical development of REACT through a world-wide Phase 3 clinical development program that has been reviewed by both the EMA and the FDA. We activated the first site for our first Phase 3 clinical trial, REGEN-006 (which we also call “proact 1”), in the fourth quarter of 2021 with the first Informed Consent Form signed and the first subject randomized into the trial in the first quarter of 2022. Our second Phase 3 trial, REGEN-016 (which we also call “proact 2”), received regulatory allowance to begin enrollment of patients in Spain during the first quarter of 2023, with additional country allowances and site activations expected throughout 2023. Enrollment for REGEN-016 is anticipated to begin in the second quarter of 2023. A long-term follow-up trial, REGEN-008, is expected to launch in late 2023, for subjects who received REACT as part of our trials.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 w:hAnsi="Times New Roman"/>
                <w:sz w:val="20"/>
              </w:rPr>
            </w:pPr>
            <w:r>
              <w:rPr>
                <w:rFonts w:ascii="Times New Roman;serif" w:hAnsi="Times New Roman;serif"/>
                <w:b/>
                <w:i/>
                <w:sz w:val="20"/>
              </w:rPr>
              <w:t xml:space="preserve">Expand the clinical development of REACT for the treatment of additional indications, including CKD caused by Congenital Anomalies of the Kidney and Urinary Tract and hypertension. </w:t>
            </w:r>
            <w:r>
              <w:rPr>
                <w:rFonts w:ascii="Times New Roman;serif" w:hAnsi="Times New Roman;serif"/>
                <w:b w:val="false"/>
                <w:sz w:val="20"/>
              </w:rPr>
              <w:t>CAKUT is the cause of more than 50% of pediatric cases of kidney failure, with long-term complications of CKD which may progress into adulthood. REGEN-004 was a Phase 1 clinical trial that was designed to assess in five patients the ability of REACT to prevent, stop, or delay the negative effects of CAKUT. We completed the last visit for the last patient in January 2023 and expect to have a clinical study report by the end of the third quarter of 2023. Hypertension related CKD is the second most common cause of CKD in adults. Future trials may address CKD in CAKUT and hypertensive populations.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 w:hAnsi="Times New Roman"/>
                <w:sz w:val="20"/>
              </w:rPr>
            </w:pPr>
            <w:r>
              <w:rPr>
                <w:rFonts w:ascii="Times New Roman;serif" w:hAnsi="Times New Roman;serif"/>
                <w:b/>
                <w:i/>
                <w:sz w:val="20"/>
              </w:rPr>
              <w:t xml:space="preserve">Discover and develop additional product candidates for the treatment of kidney diseases utilizing our cell therapy approach. </w:t>
            </w:r>
            <w:r>
              <w:rPr>
                <w:rFonts w:ascii="Times New Roman;serif" w:hAnsi="Times New Roman;serif"/>
                <w:b w:val="false"/>
                <w:sz w:val="20"/>
              </w:rPr>
              <w:t>Our team has extensive experience in discovery research, deep expertise in kidney disease and a strong record of publication in high-impact peer reviewed journals. While executing on its primary mission to develop and commercialize REACT our team will investigate additional disease pathways associated with kidney disease, identify key targets for intervention and generate product candidates against these targets. We may also in-license from or collaborate with third parties to develop product candidates that we, based on our understanding of kidney diseases and pathways, believe are promising therapeutics.</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 w:hAnsi="Times New Roman"/>
                <w:sz w:val="20"/>
              </w:rPr>
            </w:pPr>
            <w:bookmarkStart w:id="4" w:name="bkmk_162"/>
            <w:bookmarkEnd w:id="4"/>
            <w:r>
              <w:rPr>
                <w:rFonts w:ascii="Times New Roman;serif" w:hAnsi="Times New Roman;serif"/>
                <w:b/>
                <w:i/>
                <w:sz w:val="20"/>
              </w:rPr>
              <w:t>Maintain and continually refine our sophisticated internal expertise in manufacturing our products</w:t>
            </w:r>
            <w:r>
              <w:rPr>
                <w:rFonts w:ascii="Times New Roman;serif" w:hAnsi="Times New Roman;serif"/>
                <w:b w:val="false"/>
                <w:sz w:val="20"/>
              </w:rPr>
              <w:t>. We have developed and built a cGMP manufacturing facility in which we manufacture REACT for clinical trials and intend to continue to develop for purposes of the eventual commercial manufacturing process, assuming receipt of necessary regulatory approvals. Our current cGMP manufacturing facility is capable of manufacturing product for our Phase 3 clinical trials and could serve as our commercial launch facility. We anticipate construction of automated manufacturing facilities to meet demand for REACT upon commercialization.</w:t>
            </w:r>
          </w:p>
        </w:tc>
      </w:tr>
    </w:tbl>
    <w:p>
      <w:pPr>
        <w:pStyle w:val="TextBody"/>
        <w:spacing w:before="360" w:after="0"/>
        <w:jc w:val="left"/>
        <w:rPr>
          <w:rFonts w:ascii="Times New Roman;serif" w:hAnsi="Times New Roman;serif"/>
          <w:b/>
          <w:sz w:val="20"/>
        </w:rPr>
      </w:pPr>
      <w:r>
        <w:rPr>
          <w:rFonts w:ascii="Times New Roman;serif" w:hAnsi="Times New Roman;serif"/>
          <w:b/>
          <w:sz w:val="20"/>
        </w:rPr>
        <w:t>Kidney Disease Overview</w:t>
      </w:r>
    </w:p>
    <w:p>
      <w:pPr>
        <w:pStyle w:val="TextBody"/>
        <w:spacing w:before="108" w:after="0"/>
        <w:jc w:val="left"/>
        <w:rPr>
          <w:rFonts w:ascii="Times New Roman;serif" w:hAnsi="Times New Roman;serif"/>
          <w:b w:val="false"/>
          <w:sz w:val="20"/>
        </w:rPr>
      </w:pPr>
      <w:r>
        <w:rPr>
          <w:rFonts w:ascii="Times New Roman;serif" w:hAnsi="Times New Roman;serif"/>
          <w:b w:val="false"/>
          <w:sz w:val="20"/>
        </w:rPr>
        <w:t>CKD is highly prevalent in the United States and European Union. Based on available U.S. data from the 2018 National Health and Nutritional Examination Survey, we expect the aggregate CKD population in the United States and European Union to reach approximately 74.4 million in 2020, approximately 82.2 million in 2030 and approximately 90.9 million in 2040. The most common causes of CKD among adults are diabetes, hypertension, and glomerular disease, and in the pediatric population, CAKUT. In the United States, it is believed that approximately 18 million patients per year suffer from stage 3 or 4 CKD.</w:t>
      </w:r>
    </w:p>
    <w:p>
      <w:pPr>
        <w:pStyle w:val="TextBody"/>
        <w:spacing w:before="360" w:after="0"/>
        <w:jc w:val="left"/>
        <w:rPr>
          <w:rFonts w:ascii="Times New Roman;serif" w:hAnsi="Times New Roman;serif"/>
          <w:b/>
          <w:sz w:val="20"/>
        </w:rPr>
      </w:pPr>
      <w:r>
        <w:rPr>
          <w:rFonts w:ascii="Times New Roman;serif" w:hAnsi="Times New Roman;serif"/>
          <w:b/>
          <w:sz w:val="20"/>
        </w:rPr>
        <w:t>Our Approach: Working to Restore Kidney Function through Autologous Cell Therapy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Autologous cell therapy refers to the prevention or treatment of human disease by the administration of a person’s own cells that have been selected, multiplied and formulated for delivery outside the body. We believe that our technology has the potential to restore kidney function by using a patient’s own SRCs to restore natural healing processes. By contrast, organ transplantation from other donors, or allogeneic transplants, can be associated with surgical complications, organ rejection and failure. Further, organ transplantation patients live with the adverse effects of immunosuppressive therapies and ongoing therapeutic maintenance that are required in order to reduce the risk of rejection of transplanted organs.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Preparing the personalized renal autologous cell therapy (REACT) begins when a small biopsy of the diseased kidney is sent to our laboratory. We are able to identify the patient’s own healthy progenitor cells and formulate them into a personalized product that can be re-injected into the damaged kidney for repair and restoration of function. Due to one severe bleed that occurred during an early REACT injection procedure, we changed to a noncutting needle design for the REACT procedure. Based on preclinical studies, when the manufactured REACT product is injected into the diseased kidney, the product’s progenitor cells rapidly distribute throughout the kidney and integrate into the damaged nephrons and interstitium. To date, clinical studies suggest that treatment with REACT in patients with type 2 diabetes and CKD may positively impact kidney function by stabilizing eGFR or attenuating the rate of eGFR decline. Other improvements observed with preclinical and clinical REACT treatment include metabolic, as well as filtration benefits, stabilization and/or reduction in UACR, increased kidney cortical thickness, and improved hemoglobin levels, improvements in calcium phosphate and vitamin D3.</w:t>
      </w:r>
    </w:p>
    <w:p>
      <w:pPr>
        <w:pStyle w:val="TextBody"/>
        <w:spacing w:before="120" w:after="0"/>
        <w:jc w:val="left"/>
        <w:rPr>
          <w:rFonts w:ascii="Times New Roman;serif" w:hAnsi="Times New Roman;serif"/>
          <w:b w:val="false"/>
          <w:sz w:val="20"/>
        </w:rPr>
      </w:pPr>
      <w:bookmarkStart w:id="5" w:name="bkmk_163"/>
      <w:bookmarkEnd w:id="5"/>
      <w:r>
        <w:rPr>
          <w:rFonts w:ascii="Times New Roman;serif" w:hAnsi="Times New Roman;serif"/>
          <w:b w:val="false"/>
          <w:sz w:val="20"/>
        </w:rPr>
        <w:t>REACT is an autologous homologous cell admixture made from expanded autologous SRCs, obtained from each individual subject’s kidney biopsy tissue. To manufacture REACT, biopsy tissue from each enrolled subject is sent to ProKidney’s facilities where the kidney cells are expanded and SRCs selected. SRCs are formulated into a cryopreserved product at a concentration of approximately 100 x 106 cells/mL and shipped frozen to the clinical site.</w:t>
      </w:r>
    </w:p>
    <w:p>
      <w:pPr>
        <w:pStyle w:val="TextBody"/>
        <w:spacing w:before="301" w:after="0"/>
        <w:jc w:val="center"/>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0" w:after="0"/>
        <w:jc w:val="center"/>
        <w:rPr/>
      </w:pPr>
      <w:r>
        <w:rPr/>
        <w:drawing>
          <wp:inline distT="0" distB="0" distL="0" distR="0">
            <wp:extent cx="5048250" cy="2933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048250" cy="2933700"/>
                    </a:xfrm>
                    <a:prstGeom prst="rect">
                      <a:avLst/>
                    </a:prstGeom>
                  </pic:spPr>
                </pic:pic>
              </a:graphicData>
            </a:graphic>
          </wp:inline>
        </w:drawing>
      </w:r>
      <w:r>
        <w:rPr/>
        <w:t> </w:t>
      </w:r>
    </w:p>
    <w:p>
      <w:pPr>
        <w:pStyle w:val="TextBody"/>
        <w:spacing w:before="360" w:after="0"/>
        <w:jc w:val="left"/>
        <w:rPr>
          <w:rFonts w:ascii="Times New Roman;serif" w:hAnsi="Times New Roman;serif"/>
          <w:b/>
          <w:sz w:val="20"/>
        </w:rPr>
      </w:pPr>
      <w:r>
        <w:rPr>
          <w:rFonts w:ascii="Times New Roman;serif" w:hAnsi="Times New Roman;serif"/>
          <w:b/>
          <w:sz w:val="20"/>
        </w:rPr>
        <w:t>Mechanism of Action of REACT</w:t>
      </w:r>
    </w:p>
    <w:p>
      <w:pPr>
        <w:pStyle w:val="TextBody"/>
        <w:spacing w:before="120" w:after="0"/>
        <w:jc w:val="left"/>
        <w:rPr>
          <w:rFonts w:ascii="Times New Roman" w:hAnsi="Times New Roman"/>
          <w:sz w:val="20"/>
        </w:rPr>
      </w:pPr>
      <w:r>
        <w:rPr>
          <w:rFonts w:ascii="Times New Roman;serif" w:hAnsi="Times New Roman;serif"/>
          <w:b w:val="false"/>
          <w:sz w:val="20"/>
        </w:rPr>
        <w:t>Engraftment of SRCs is believed to provide the molecular and mechanistic basis for activation of endogenous renal repair mechanisms that are still active in the chronically diseased kidney. Non-clinical studies in multiple animal models of CKD have demonstrated that SRCs injected directly into the kidney cortex were capable of effecting a regenerative response in multiple locations of the nephron through direct engraftment or tissue replacement and through a putative paracrine mechanism involving the effect of secreted factors. In animal models of CKD, treatment with SRCs preserved kidney function, reduced proteinuria and provided a significant survival benefit. Additionally, there is evidence both from preclinical models and early findings from clinical studies that demonstrate that injected SRCs may augment other important kidney functions related to bone and mineral metabolism and hematopoiesis. Observations supporting this include trends toward decreasing phosphorus and increasing hemoglobin levels. In animal models of CKD, SRCs have been shown to minimize the development of osteoclastic bone resorption, which is characteristically due to secondary hyperparathyroidism, and improve cellularity in marrow related to red blood cell production.</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Our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REACT is currently in a Phase 3 development program, as well as ongoing Phase 2 clinical trials, for the treatment of moderate to severe diabetic kidney disease and a Phase 1 clinical trial for REACT in patients with CAKUT. These trials are being, or will be conducted, at over 150 clinical sites throughout the United States, Europe, Asia and Latin America. REACT has been generally well tolerated in clinical trials to date involving patients with moderate to severe diabetic kidney disease. For example, in the RMCL-002 Phase 2 clinical trial, the interim analysis as of September 2021 demonstrates there is a statistically significant improvement in a measurement of kidney function, referred to as eGFR, between treatment arms in the trial, measured at six months after the second injection of REACT (p-value=0.03), nine months after the second injection of REACT (p-value=0.018), and 12 months after the second injection of REACT (p-value=0.02).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ongoing clinical development program utilizes a percutaneous injection method into the kidney that is conducted using conscious sedation in an outpatient same-day procedure. As of December 31, 2022, over 200 patients were enrolled in our clinical trials and had received a first injection of REACT with more than 120 patients having received a second injection. The procedure appears to be generally well tolerated with the most commonly observed procedure related events including nausea, vomiting, fever, and hematuria with biopsy. In the RMCL-002 trial, which used a different formulation of the REACT product and a different procedure than that presently used in our Phase 3 trials, one participant experienced serious adverse events that included scarring or fibrosis and a decrease in kidney function. A second participant experienced decreased kidney blood flow observed on contrast-enhanced computerized tomography (“CT”) imaging and a decrease in kidney function. Serious adverse events, including injection-related pain, kidney-related events such as hematoma, renal vascular events, eGFR decline and acute kidney injury, have also been reported. Other serious adverse events, including acute myocardial infarction, acute respiratory failure, end stage renal disease, and coronary artery disease have been reported and are generally associated with the co-morbidities of patients with Type 2 diabetes. We cannot assure that the improvements in eGFR that we have observed in the March 2022 interim analysis of our RMCL-002 Phase 2 clinical trial will be observed in any future clinical trials. Likewise, promising results in interim analyses or other preliminary analyses may not ensure that the clinical trial as a whole will be successful.</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Background and Unmet Need</w:t>
      </w:r>
    </w:p>
    <w:p>
      <w:pPr>
        <w:pStyle w:val="TextBody"/>
        <w:spacing w:before="108" w:after="0"/>
        <w:jc w:val="left"/>
        <w:rPr>
          <w:rFonts w:ascii="Times New Roman;serif" w:hAnsi="Times New Roman;serif"/>
          <w:b w:val="false"/>
          <w:i/>
          <w:sz w:val="20"/>
        </w:rPr>
      </w:pPr>
      <w:r>
        <w:rPr>
          <w:rFonts w:ascii="Times New Roman;serif" w:hAnsi="Times New Roman;serif"/>
          <w:b w:val="false"/>
          <w:i/>
          <w:sz w:val="20"/>
        </w:rPr>
        <w:t>Chronic Kidney Disease (CKD)</w:t>
      </w:r>
    </w:p>
    <w:p>
      <w:pPr>
        <w:pStyle w:val="TextBody"/>
        <w:spacing w:before="120" w:after="0"/>
        <w:jc w:val="left"/>
        <w:rPr>
          <w:rFonts w:ascii="Times New Roman" w:hAnsi="Times New Roman"/>
          <w:sz w:val="20"/>
        </w:rPr>
      </w:pPr>
      <w:bookmarkStart w:id="6" w:name="bkmk_164"/>
      <w:bookmarkEnd w:id="6"/>
      <w:r>
        <w:rPr>
          <w:rFonts w:ascii="Times New Roman;serif" w:hAnsi="Times New Roman;serif"/>
          <w:b w:val="false"/>
          <w:sz w:val="20"/>
        </w:rPr>
        <w:t>CKD is characterized by progressive disease that, without therapeutic intervention, will worsen until the subject reaches end-stage renal disease (“ESRD”). CKD patients suffer from reduced kidney function, demonstrated by decreased eGFR, or evidence of kidney damage, such as increased excretion of urinary albumin as shown in physician office laboratory testing. The global prevalence of CKD is estimated at 10% with ranges of 8-16% in various high populations. CKD is associated with considerable morbidity, such as diabetes mellitus, and is often accompanied by adverse outcomes due to underlying disease states and/or risk factors such as renovascular disease, hypertension and diabetes, causing an increased risk of mortality. Ninety-seven percent of patients with moderate to severe CKD have asymptomatic disease, but even this stage of CKD is associated with a</w:t>
      </w:r>
      <w:r>
        <w:rPr>
          <w:rFonts w:ascii="Times New Roman" w:hAnsi="Times New Roman"/>
          <w:sz w:val="20"/>
        </w:rPr>
        <w:t xml:space="preserve"> </w:t>
      </w:r>
      <w:r>
        <w:rPr>
          <w:rFonts w:ascii="Times New Roman;serif" w:hAnsi="Times New Roman;serif"/>
          <w:b w:val="false"/>
          <w:sz w:val="20"/>
        </w:rPr>
        <w:t>two-to four-fold rise in cardiovascular disease risk, along with a significant increase in all-cause mortality. Only a small proportion of CKD patients progress to ESRD (i.e., Stage 5 disease), but the increasing life expectancy of humans has led to growing numbers of patients with chronic diseases and end-stage organ failure. Even with costly treatments, subjects with ESRD experience substantial morbidity and mortality. To survive, ESRD subjects require renal replacement therapy with peritoneal dialysis, hemodialysis or kidney transplantation. Preventing or delaying the onset of adverse outcomes of CKD via early intervention is the primary strategy for CKD management. Nevertheless, early treatments have been less than optimal, resulting in a significant unmet medical need for improved interventional strategies to manage CKD and delay the regression to ESRD.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major causes of CKD in adults are diabetes and hypertension. Nearly half of all CKD cases arise from diabetes, with or without hypertension. The incidence of CKD continues to increase, primarily due to the increased worldwide incidence of type 2 diabetes and metabolic syndrome. Staging and grading of kidney function are most often quantified by estimated glomerular filtration rate (or eGFR), which is defined as the volume of plasma from which a given substance is completely cleared by glomerular filtration per unit time. KDIGO 2012 Clinical Practice Guideline for the Evaluation and Management of Chronic Kidney Disease provided guidelines intended to aid general practitioners and nephrologists in the evaluation, classification, and management of CKD in both adults and children. As set forth below, Figure 1 categorizes the risk of ESRD from “low” to “very high” based on both eGFR measurements, ranging from &gt;90 mL/min/1.73m2 to &lt;30 mL/min/1.73m2, and albuminuria classifications ranging from &lt;30 mg/g to &gt;300 mg/g. When the kidneys cease to function entirely, which constitutes ESRD, renal replacement therapy in the form of dialysis or transplantation is generally required.</w:t>
      </w:r>
    </w:p>
    <w:p>
      <w:pPr>
        <w:pStyle w:val="TextBody"/>
        <w:spacing w:before="324" w:after="0"/>
        <w:jc w:val="center"/>
        <w:rPr>
          <w:rFonts w:ascii="Times New Roman;serif" w:hAnsi="Times New Roman;serif"/>
          <w:b/>
          <w:sz w:val="20"/>
        </w:rPr>
      </w:pPr>
      <w:r>
        <w:rPr>
          <w:rFonts w:ascii="Times New Roman;serif" w:hAnsi="Times New Roman;serif"/>
          <w:b/>
          <w:sz w:val="20"/>
        </w:rPr>
        <w:t>Summary of Classification Estimates for CKD</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3914775" cy="3028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914775" cy="3028950"/>
                    </a:xfrm>
                    <a:prstGeom prst="rect">
                      <a:avLst/>
                    </a:prstGeom>
                  </pic:spPr>
                </pic:pic>
              </a:graphicData>
            </a:graphic>
          </wp:inline>
        </w:drawing>
      </w: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All-cause mortality rates were shown to increase progressively as GFR declined. Populations defined as having an eGFR &lt;60 mL/min/1.73m2 consistently exhibited a higher mortality rate than comparator groups where there was no evidence of CKD.</w:t>
      </w:r>
    </w:p>
    <w:p>
      <w:pPr>
        <w:pStyle w:val="TextBody"/>
        <w:spacing w:before="120" w:after="0"/>
        <w:jc w:val="left"/>
        <w:rPr>
          <w:rFonts w:ascii="Times New Roman;serif" w:hAnsi="Times New Roman;serif"/>
          <w:b w:val="false"/>
          <w:sz w:val="20"/>
        </w:rPr>
      </w:pPr>
      <w:bookmarkStart w:id="7" w:name="bkmk_165"/>
      <w:bookmarkEnd w:id="7"/>
      <w:r>
        <w:rPr>
          <w:rFonts w:ascii="Times New Roman;serif" w:hAnsi="Times New Roman;serif"/>
          <w:b w:val="false"/>
          <w:sz w:val="20"/>
        </w:rPr>
        <w:t>Treatment of patients with CKD is focused on slowing progression and preparing for kidney failure or replacement. For many patients, CKD occurs as part of a complex comorbidity cluster including cardiovascular disease and type 2 diabetes.</w:t>
      </w:r>
    </w:p>
    <w:p>
      <w:pPr>
        <w:pStyle w:val="TextBody"/>
        <w:spacing w:before="120" w:after="0"/>
        <w:jc w:val="left"/>
        <w:rPr>
          <w:rFonts w:ascii="Times New Roman" w:hAnsi="Times New Roman"/>
          <w:sz w:val="20"/>
        </w:rPr>
      </w:pPr>
      <w:r>
        <w:rPr>
          <w:rFonts w:ascii="Times New Roman;serif" w:hAnsi="Times New Roman;serif"/>
          <w:b w:val="false"/>
          <w:sz w:val="20"/>
        </w:rPr>
        <w:t>Increased risk of cardiovascular disease can be a complication of CKD or an independent comorbidity associated with type 2 diabetes. The goals in the treatment of CKD are to lower cardiovascular risk and prevent or slow the progression of kidney failure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via administration of angiotensin converting enzyme inhibitors and/or angiotensin receptor blockers to decrease proteinuria and control hypertension, insulin and anti-diabetic agents for glycemic control (e.g., reduced serum hemoglobin A1c), and statin therapy to counter dyslipidemia.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When a patient reaches ESRD, renal replacement therapy in the form of kidney dialysis or transplantation is generally required. The vast majority of Stage 5 CKD patients in the United States and certain other developed countries receive hemodialysis. Dialysis replaces about 5-15% of kidney function, depending on the intensity and frequency of use; dialysis also helps to restore fluid and electrolyte balance when kidneys fail. However, the life expectancy of an ESRD patient initiating hemodialysis is &lt; 10 years. Additionally, hemodialysis has been associated with multiple, serious complications as well as interference with quality of life, due to the need for frequent dialysis and vascular access maintenance. Although kidney transplantation remains the most effective form of therapy for CKD currently, there is a chronic shortage of organs. If a patient can secure a kidney for transplantation, long-term immunosuppressive therapy is required to prevent rejection. Use of these regimens results in a higher incidence of infection and, over the long term, some types of cancer. And while xenotransplantation might be a promising alternative approach in the future to bridge the gap between the supply and demand of human organs, tissues, and cells, immunological barriers are limiting factors in clinical xenotransplantation at the current time.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While patients continue to lose kidney function on existing therapies, the cost of CKD treatment is high and the rates of CKD and ESRD, along with the associated expenditures, are expected to continue to rise. As a major source of healthcare expenditure in the United States, the Medicare spend on beneficiaries with CKD is approximately $80 billion. Medicare spend on beneficiaries with ESRD can reach an additional $50 billion, with an estimated $93,000 Medicare annual cost per patient for dialysis. Additionally, the estimated ESRD cost per patient with commercial insurance, assuming a five-year dialysis period, is up to $2 million.</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4276725" cy="3409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276725" cy="3409950"/>
                    </a:xfrm>
                    <a:prstGeom prst="rect">
                      <a:avLst/>
                    </a:prstGeom>
                  </pic:spPr>
                </pic:pic>
              </a:graphicData>
            </a:graphic>
          </wp:inline>
        </w:drawing>
      </w:r>
      <w:r>
        <w:rPr/>
        <w:t> </w:t>
      </w:r>
    </w:p>
    <w:p>
      <w:pPr>
        <w:pStyle w:val="TextBody"/>
        <w:spacing w:before="0" w:after="0"/>
        <w:jc w:val="left"/>
        <w:rPr/>
      </w:pPr>
      <w:r>
        <w:rPr/>
        <w:t> </w:t>
      </w:r>
    </w:p>
    <w:tbl>
      <w:tblPr>
        <w:tblW w:w="4999" w:type="dxa"/>
        <w:jc w:val="left"/>
        <w:tblInd w:w="0" w:type="dxa"/>
        <w:tblCellMar>
          <w:top w:w="28" w:type="dxa"/>
          <w:left w:w="28" w:type="dxa"/>
          <w:bottom w:w="28" w:type="dxa"/>
          <w:right w:w="28" w:type="dxa"/>
        </w:tblCellMar>
      </w:tblPr>
      <w:tblGrid>
        <w:gridCol w:w="242"/>
        <w:gridCol w:w="4757"/>
      </w:tblGrid>
      <w:tr>
        <w:trPr/>
        <w:tc>
          <w:tcPr>
            <w:tcW w:w="242" w:type="dxa"/>
            <w:tcBorders/>
            <w:shd w:fill="auto" w:val="clear"/>
            <w:vAlign w:val="center"/>
          </w:tcPr>
          <w:p>
            <w:pPr>
              <w:pStyle w:val="TableContents"/>
              <w:spacing w:before="0" w:after="283"/>
              <w:rPr>
                <w:sz w:val="4"/>
                <w:szCs w:val="4"/>
              </w:rPr>
            </w:pPr>
            <w:r>
              <w:rPr>
                <w:sz w:val="4"/>
                <w:szCs w:val="4"/>
              </w:rPr>
            </w:r>
          </w:p>
        </w:tc>
        <w:tc>
          <w:tcPr>
            <w:tcW w:w="4757" w:type="dxa"/>
            <w:tcBorders/>
            <w:shd w:fill="auto" w:val="clear"/>
            <w:vAlign w:val="center"/>
          </w:tcPr>
          <w:p>
            <w:pPr>
              <w:pStyle w:val="TableContents"/>
              <w:spacing w:before="0" w:after="283"/>
              <w:rPr>
                <w:sz w:val="4"/>
                <w:szCs w:val="4"/>
              </w:rPr>
            </w:pPr>
            <w:r>
              <w:rPr>
                <w:sz w:val="4"/>
                <w:szCs w:val="4"/>
              </w:rPr>
            </w:r>
          </w:p>
        </w:tc>
      </w:tr>
      <w:tr>
        <w:trPr/>
        <w:tc>
          <w:tcPr>
            <w:tcW w:w="242" w:type="dxa"/>
            <w:tcBorders/>
            <w:shd w:fill="auto" w:val="clear"/>
            <w:vAlign w:val="center"/>
          </w:tcPr>
          <w:p>
            <w:pPr>
              <w:pStyle w:val="TableContents"/>
              <w:spacing w:before="0" w:after="0"/>
              <w:ind w:left="0" w:right="16" w:hanging="0"/>
              <w:jc w:val="left"/>
              <w:rPr>
                <w:rFonts w:ascii="Times New Roman;serif" w:hAnsi="Times New Roman;serif"/>
                <w:b w:val="false"/>
                <w:sz w:val="20"/>
              </w:rPr>
            </w:pPr>
            <w:bookmarkStart w:id="8" w:name="bkmk_166"/>
            <w:bookmarkEnd w:id="8"/>
            <w:r>
              <w:rPr>
                <w:rFonts w:ascii="Times New Roman;serif" w:hAnsi="Times New Roman;serif"/>
                <w:b w:val="false"/>
                <w:sz w:val="20"/>
              </w:rPr>
              <w:t>*</w:t>
            </w:r>
          </w:p>
        </w:tc>
        <w:tc>
          <w:tcPr>
            <w:tcW w:w="475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Based on ProKidney management estimates and analysis</w:t>
            </w:r>
          </w:p>
        </w:tc>
      </w:tr>
    </w:tbl>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Clinical Development</w:t>
      </w:r>
    </w:p>
    <w:p>
      <w:pPr>
        <w:pStyle w:val="TextBody"/>
        <w:spacing w:before="108" w:after="0"/>
        <w:jc w:val="left"/>
        <w:rPr>
          <w:rFonts w:ascii="Times New Roman;serif" w:hAnsi="Times New Roman;serif"/>
          <w:b w:val="false"/>
          <w:sz w:val="20"/>
        </w:rPr>
      </w:pPr>
      <w:r>
        <w:rPr>
          <w:rFonts w:ascii="Times New Roman;serif" w:hAnsi="Times New Roman;serif"/>
          <w:b w:val="false"/>
          <w:sz w:val="20"/>
        </w:rPr>
        <w:t>Our completed clinical trials and currently ongoing clinical trials of REACT are summarized below; the name of the product candidate tested in the trials was changed from Neo-Kidney Augment (“NKA”) to REACT after completion of some of the trials.</w:t>
      </w:r>
    </w:p>
    <w:p>
      <w:pPr>
        <w:pStyle w:val="TextBody"/>
        <w:spacing w:before="108" w:after="0"/>
        <w:jc w:val="left"/>
        <w:rPr>
          <w:rFonts w:ascii="Times New Roman" w:hAnsi="Times New Roman"/>
          <w:sz w:val="20"/>
        </w:rPr>
      </w:pPr>
      <w:r>
        <w:rPr>
          <w:rFonts w:ascii="Times New Roman;serif" w:hAnsi="Times New Roman;serif"/>
          <w:b w:val="false"/>
          <w:sz w:val="20"/>
        </w:rPr>
        <w:t>The summary below also includes interim results which are based on a preliminary analysis of then- available data, and the results and related findings and conclusions are subject to change following a more comprehensive review of the data related to the particular trial. In particular, we have announced interim results from our ongoing RMCL-002 Phase 2 clinical trial. We expect that final results from our completed REGEN-003 Phase 2 clinical trial and REGEN-004 Phase 1 clinical trial will be available in late 2023. We also plan to evaluate interim results from our ongoing REGEN-006 Phase 3 clinical trial in early 2025 and REGEN-016 Phase 3 clinical trial in late 2025. Interim results from clinical trials that we may complete are not necessarily indicative of</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108" w:after="0"/>
        <w:jc w:val="left"/>
        <w:rPr>
          <w:rFonts w:ascii="Times New Roman;serif" w:hAnsi="Times New Roman;serif"/>
          <w:b w:val="false"/>
          <w:sz w:val="20"/>
        </w:rPr>
      </w:pPr>
      <w:r>
        <w:rPr>
          <w:rFonts w:ascii="Times New Roman;serif" w:hAnsi="Times New Roman;serif"/>
          <w:b w:val="false"/>
          <w:sz w:val="20"/>
        </w:rPr>
        <w:t>results from future data and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w:t>
      </w:r>
    </w:p>
    <w:p>
      <w:pPr>
        <w:pStyle w:val="TextBody"/>
        <w:spacing w:before="360" w:after="0"/>
        <w:jc w:val="left"/>
        <w:rPr>
          <w:rFonts w:ascii="Times New Roman;serif" w:hAnsi="Times New Roman;serif"/>
          <w:b/>
          <w:i/>
          <w:sz w:val="20"/>
        </w:rPr>
      </w:pPr>
      <w:r>
        <w:rPr>
          <w:rFonts w:ascii="Times New Roman;serif" w:hAnsi="Times New Roman;serif"/>
          <w:b/>
          <w:i/>
          <w:sz w:val="20"/>
        </w:rPr>
        <w:t>Diabetic Kidney Disease (DKD)</w:t>
      </w:r>
    </w:p>
    <w:p>
      <w:pPr>
        <w:pStyle w:val="TextBody"/>
        <w:spacing w:before="120" w:after="0"/>
        <w:jc w:val="left"/>
        <w:rPr>
          <w:rFonts w:ascii="Times New Roman;serif" w:hAnsi="Times New Roman;serif"/>
          <w:b/>
          <w:sz w:val="20"/>
        </w:rPr>
      </w:pPr>
      <w:r>
        <w:rPr>
          <w:rFonts w:ascii="Times New Roman;serif" w:hAnsi="Times New Roman;serif"/>
          <w:b/>
          <w:sz w:val="20"/>
        </w:rPr>
        <w:t>Phase 1 Clinical Development (TNG-CL010 and TNG-CL011)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TNG-CL010 was an open-label safety and delivery optimization study of REACT (formerly known as NKA) in subjects with CKD conducted in Sweden.TNG-CL010 commenced in April 2013 and completed in December 2014. TNG-CL011 was also an open-label safety and delivery optimization study of REACT in subjects with type 2 diabetes and CKD conducted in the United States. TNG-CL011 commenced with first subject enrolled in February 2014 and completed in December 2014.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primary objective of these trials was to assess the safety and delivery of REACT injected into one kidney. Six subjects from Sweden (TNG-CL010) and one from the United States with Diabetes Type 2 CKD, ranging in age from 53-70 years, eGFR levels between 19-34 (average 25 +/- 2, Cystatin C) and iohexol clearance of 15-39, average 26 +/- 3, were enrolled. One subject with Type 2 DKD was enrolled in TNG-CL011.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results from the Phase 1 trials indicated that REACT was well tolerated when administered to the kidney, with no adverse events from the autologous SRCs. When the decline of kidney function pre-and post- injection were compared, the subjects receiving REACT in this Phase 1 trial had an imputed delay in dialysis of approximately 1.5 years beyond the standard of care due to a reduced rate of reduction in eGFR from pre-injection baseline. Cortical thickness increased in the injected kidney from an average of 14 mm at time of injection to approximately 16 mm after one year. Kidney function was preserved following the REACT injection by iohexol clearance and based on the subjects’ ACRs. Subjects with a baseline anemia (n = 3 of 7) showed improved hemoglobin levels after REACT injection, and the remaining subjects maintained normal levels during the study. Antihypertensive medication was reduced in three of six subjects during the first six months following injection with REACT.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data from TNG-CL011 were accepted by FDA as part of a clinical data package submitted to progress to Phase 2.</w:t>
      </w:r>
    </w:p>
    <w:p>
      <w:pPr>
        <w:pStyle w:val="TextBody"/>
        <w:spacing w:before="360" w:after="0"/>
        <w:jc w:val="left"/>
        <w:rPr>
          <w:rFonts w:ascii="Times New Roman" w:hAnsi="Times New Roman"/>
          <w:sz w:val="20"/>
        </w:rPr>
      </w:pPr>
      <w:r>
        <w:rPr>
          <w:rFonts w:ascii="Times New Roman;serif" w:hAnsi="Times New Roman;serif"/>
          <w:b/>
          <w:sz w:val="20"/>
        </w:rPr>
        <w:t>Phase 2 Clinical Development (RMCL-001, RMCL-002, REGEN-003, and REGEN-007)</w:t>
      </w:r>
      <w:r>
        <w:rPr>
          <w:rFonts w:ascii="Times New Roman" w:hAnsi="Times New Roman"/>
          <w:sz w:val="20"/>
        </w:rPr>
        <w:t xml:space="preserve"> </w:t>
      </w:r>
    </w:p>
    <w:p>
      <w:pPr>
        <w:pStyle w:val="TextBody"/>
        <w:spacing w:before="120" w:after="0"/>
        <w:jc w:val="left"/>
        <w:rPr>
          <w:rFonts w:ascii="Times New Roman;serif" w:hAnsi="Times New Roman;serif"/>
          <w:b/>
          <w:sz w:val="20"/>
        </w:rPr>
      </w:pPr>
      <w:r>
        <w:rPr>
          <w:rFonts w:ascii="Times New Roman;serif" w:hAnsi="Times New Roman;serif"/>
          <w:b/>
          <w:sz w:val="20"/>
        </w:rPr>
        <w:t>RMCL-001: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RMCL-001 was a Phase 2, open-label safety and efficacy study of REACT in subjects with type 2 diabetes and CKD. The study commenced in May 2016 and was ended in May 2017.</w:t>
      </w:r>
    </w:p>
    <w:p>
      <w:pPr>
        <w:pStyle w:val="TextBody"/>
        <w:spacing w:before="120" w:after="0"/>
        <w:jc w:val="left"/>
        <w:rPr>
          <w:rFonts w:ascii="Times New Roman;serif" w:hAnsi="Times New Roman;serif"/>
          <w:b w:val="false"/>
          <w:sz w:val="20"/>
        </w:rPr>
      </w:pPr>
      <w:bookmarkStart w:id="9" w:name="bkmk_168"/>
      <w:bookmarkEnd w:id="9"/>
      <w:r>
        <w:rPr>
          <w:rFonts w:ascii="Times New Roman;serif" w:hAnsi="Times New Roman;serif"/>
          <w:b w:val="false"/>
          <w:sz w:val="20"/>
        </w:rPr>
        <w:t>The primary objective of this study was to assess the safety and efficacy of a second REACT injection using a minimally invasive percutaneous procedure that was done under conscious sedation as a same-day outpatient procedure. A single subject with an eGFR of 14ml/min/1.73m2 was enrolled from the Phase 1 study (TNG-CL011) described above. The second dose of REACT was manufactured from cryopreserved kidney cells obtained from the Phase 1 kidney biopsy. The subject was administered a dose of 3x106 cells/g-KWest. The subject’s eGFR increased to approximately 20 ml/min/1.73m2 for a period of eight months, after which the subject experienced a precipitous drop in kidney function and began hemodialysis. The study was terminated by the sponsor of the clinical trial after this subject went onto dialysis and resources diverted to study RMCL-002.</w:t>
      </w:r>
    </w:p>
    <w:p>
      <w:pPr>
        <w:pStyle w:val="TextBody"/>
        <w:spacing w:before="360" w:after="0"/>
        <w:jc w:val="left"/>
        <w:rPr>
          <w:rFonts w:ascii="Times New Roman;serif" w:hAnsi="Times New Roman;serif"/>
          <w:b/>
          <w:sz w:val="20"/>
        </w:rPr>
      </w:pPr>
      <w:r>
        <w:rPr>
          <w:rFonts w:ascii="Times New Roman;serif" w:hAnsi="Times New Roman;serif"/>
          <w:b/>
          <w:sz w:val="20"/>
        </w:rPr>
        <w:t>RMCL-002: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RMCL-002 is an ongoing Phase 2, prospective, randomized, double-arm, deferred treatment, open-label, repeat dose, safety and efficacy study of REACT in subjects with type 2 diabetes and CKD. The first subject was enrolled in this study in February 2017, and subjects are now undergoing follow-up.</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primary objective of this study is to assess the safety and efficacy of up to two REACT injections given six months (up to four weeks after target date) apart in Type 2 Diabetic Disease patients with eGFRs between 20 and 50 ml/min/1.73m2, with both doses delivered into the biopsied kidney using an outpatient, minimally invasive, percutaneous approach under conscious sedation in less than 90 minutes. Patients received two doses of REACT of 3x106 cells/g-KWest.</w:t>
      </w:r>
    </w:p>
    <w:p>
      <w:pPr>
        <w:pStyle w:val="TextBody"/>
        <w:spacing w:before="120" w:after="0"/>
        <w:jc w:val="left"/>
        <w:rPr>
          <w:rFonts w:ascii="Times New Roman" w:hAnsi="Times New Roman"/>
          <w:sz w:val="20"/>
        </w:rPr>
      </w:pPr>
      <w:r>
        <w:rPr>
          <w:rFonts w:ascii="Times New Roman;serif" w:hAnsi="Times New Roman;serif"/>
          <w:b w:val="false"/>
          <w:sz w:val="20"/>
        </w:rPr>
        <w:t>Patients were randomized (1:1) to the active treatment group and the deferred treatment group (i.e., the control group) following kidney biopsy. Subjects in the active treatment group receive their first REACT injection as soon as the REACT product is manufactured and shipped to the clinical site. After six months (up to four weeks after target date), a second injection was given, as appropriate. In contrast, subjects in the deferred treatment group will undergo a 12-month period of observation after kidney biopsy. The deferred treatment group allows assessment of the rate of change in kidney function and co-morbidities in a nonexposed group compared to the active treated arm. During this time, they received contemporaneous, standard-of-care therapy for CKD while undergoing follow-up evaluations every three months, similar to subjects in the active treatment group. After 12 months, subjects from the deferred treatment group received a series of up to two REACT injections given six months (+/- four</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weeks of the target date) apart, as appropriate. Consequently, the study design includes a randomized control group receiving standard-of-care treatment for the first 12 months and a randomized, active treatment group receiving up to two REACT injections and follow-up evaluations during the same period of time. In addition, each subject’s baseline rate of kidney decline, based on adequate historical and clinical data obtained 18 months prior to REACT injection, will serve as a comparator for monitoring the rate of progression of kidney insufficiency over time.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aggregate number of subjects enrolled for the Phase 2 clinical trial was 83. Upon withdrawal and/or replacement of 2 subjects, 81 subjects were enrolled as of December 2020, of which 41 subjects were enrolled into the active treatment group and 42 subjects were enrolled into the deferred treatment group. As of December 31, 2022, 39 subjects enrolled in the active group had received their first injection, and 34 received their second. No further injections will occur in the active group. Thirty-four subjects in the deferred group have crossed over into the active group, with 34 subjects having received their first injection and 26 having received their second injection as of December 31, 2022.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rate of progression of kidney function for the active treatment group, assessed via pre-randomized serial measurements of eGFR over 24 months after the last REACT injection, will be compared against that of the deferred treatment group. In addition, each subject’s baseline rate of eGFR decline, derived from historical and clinical data, will be compared against the individual subject’s rate of eGFR decline through 24 months following the final REACT injection. The rate of progression of kidney function of subjects, if any, who received a single REACT injection may be compared against that of subjects who received two REACT injections. Patients will be followed for 24 months after their last REACT injection in part 1 of the trial. An open label extension portion of the study (part 2) was added in February 2021 to follow all subjects for an additional 3 years. Visits will be conducted at 3-month intervals to give a total of 5 years (part 1 + part 2) of follow-up after the last REACT injection.</w:t>
      </w:r>
    </w:p>
    <w:p>
      <w:pPr>
        <w:pStyle w:val="TextBody"/>
        <w:spacing w:before="120" w:after="0"/>
        <w:jc w:val="left"/>
        <w:rPr>
          <w:rFonts w:ascii="Times New Roman" w:hAnsi="Times New Roman"/>
          <w:sz w:val="20"/>
        </w:rPr>
      </w:pPr>
      <w:bookmarkStart w:id="10" w:name="bkmk_169"/>
      <w:bookmarkEnd w:id="10"/>
      <w:r>
        <w:rPr>
          <w:rFonts w:ascii="Times New Roman;serif" w:hAnsi="Times New Roman;serif"/>
          <w:b w:val="false"/>
          <w:sz w:val="20"/>
        </w:rPr>
        <w:t>Subjects in this trial will complete the Kidney Disease Quality of Life (“KDQOL”) survey, which is a subjective kidney-specific measure of health-related quality of life, and the EQ-5D-5L survey, which is a health- related quality of life questionnaire. Scores from the active treatment group will be compared against scores from the deferred treatment group. Subjects from the deferred treatment group will comprise the control group for the analysis of KDQOL scores. In addition, each subject’s baseline score will be compared against his or her</w:t>
      </w:r>
      <w:r>
        <w:rPr>
          <w:rFonts w:ascii="Times New Roman" w:hAnsi="Times New Roman"/>
          <w:sz w:val="20"/>
        </w:rPr>
        <w:t xml:space="preserve"> </w:t>
      </w:r>
      <w:r>
        <w:rPr>
          <w:rFonts w:ascii="Times New Roman;serif" w:hAnsi="Times New Roman;serif"/>
          <w:b w:val="false"/>
          <w:sz w:val="20"/>
        </w:rPr>
        <w:t>KDQOL scores obtained over the 24-month period after the last REACT injection. KDQOL scores from subjects who received a single REACT injection may be compared against scores from subjects who received two injections.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Results as of the March 2022 interim analysis demonstrate that kidney function has been preserved in the subjects who have received a full course (2 injections) of REACT and has steadily declined in the deferred treatment group. The overall mean total slope for the active treatment group is a positive (+5.0 ml/ min/1.73m2/year), whereas the overall mean total slope for the deferred treatment group is a decline (-3.9ml/ min/1.73m2/year). This shows an effect difference of +8.9 ml/min/1.73m2/year in annualized change in kidney function between the active treatment group and the deferred treatment group. Each slope is calculated using a simple linear regression between the average eGFR measurements on the first injection day and three, six, nine and 12 months following the last injection day, where the averages are assumed to be equally spaced.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interim analysis as of March 2022 demonstrates there is a statistically significant difference in the average eGFR between treatment arms (subjects who received a full course of REACT compared to the standard of care) at six months post 2nd injection (p-value=0.032), nine months post second injection (p-value=0.02) and 12 months post second injection (p-value=0.02).The kidney biopsy and REACT injections are conducted as outpatient procedures and have been generally well tolerated by patients. In the RMCL-002 trial, which used a different formulation of the REACT product and a different procedure than that presently used in our Phase 3 trials, one participant experienced serious adverse events that included scarring or fibrosis and a decrease in kidney function. A second participant experienced decreased kidney blood flow observed on contract-enhanced computerized tomography (“CT”) imaging and a decrease in kidney function. As of March 2023, serious renal-linked adverse events were observed in 4 of 83 participants in the RMCL-002 trial and included hematoma, acute kidney injury, blood transfusion, CKD progression, renal vascular event, cortical scarring, and pain. Other adverse events reported have been commonly associated with the co-morbidities of Type 2 diabetes and similar to those seen in other small molecule CKD trials.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dosed all deferred subjects in 2022 and are on track to obtain additional interim data and complete all follow-up visits for all active subjects in the fourth quarter of 2023. We also plan to complete all follow-up visits for deferred subjects by early 2024 and deliver the clinical study report by early 2025. Results from interim data may not be indicative of results from future data.</w:t>
      </w:r>
    </w:p>
    <w:p>
      <w:pPr>
        <w:pStyle w:val="TextBody"/>
        <w:spacing w:before="360" w:after="0"/>
        <w:jc w:val="left"/>
        <w:rPr>
          <w:rFonts w:ascii="Times New Roman;serif" w:hAnsi="Times New Roman;serif"/>
          <w:b/>
          <w:sz w:val="20"/>
        </w:rPr>
      </w:pPr>
      <w:r>
        <w:rPr>
          <w:rFonts w:ascii="Times New Roman;serif" w:hAnsi="Times New Roman;serif"/>
          <w:b/>
          <w:sz w:val="20"/>
        </w:rPr>
        <w:t>REGEN-003:</w:t>
      </w:r>
    </w:p>
    <w:p>
      <w:pPr>
        <w:pStyle w:val="TextBody"/>
        <w:spacing w:before="120" w:after="0"/>
        <w:jc w:val="left"/>
        <w:rPr>
          <w:rFonts w:ascii="Times New Roman" w:hAnsi="Times New Roman"/>
          <w:sz w:val="20"/>
        </w:rPr>
      </w:pPr>
      <w:r>
        <w:rPr>
          <w:rFonts w:ascii="Times New Roman;serif" w:hAnsi="Times New Roman;serif"/>
          <w:b w:val="false"/>
          <w:sz w:val="20"/>
        </w:rPr>
        <w:t xml:space="preserve">REGEN-003 is a Phase 2, prospective open-label, single-arm, safety and tolerability study of REACT in subjects with type 2 diabetes and CKD, specifically those with high-risk late Stage 4 DKD. This study commenced in March 2018, at which time the first subject was enrolled. The early results were published online in January 2023 in the </w:t>
      </w:r>
      <w:r>
        <w:rPr>
          <w:rFonts w:ascii="Times New Roman;serif" w:hAnsi="Times New Roman;serif"/>
          <w:b w:val="false"/>
          <w:i/>
          <w:sz w:val="20"/>
        </w:rPr>
        <w:t xml:space="preserve">Journal of Blood Purification </w:t>
      </w:r>
      <w:r>
        <w:rPr>
          <w:rFonts w:ascii="Times New Roman;serif" w:hAnsi="Times New Roman;serif"/>
          <w:b w:val="false"/>
          <w:sz w:val="20"/>
        </w:rPr>
        <w:t>in a manuscript entitled, “Renal Autologous Cell Therapy (REACT) in Type 2 Diabetes with Late Stage 4 Diabetes-Related Chronic Kidney Disease: Trial Design and Early Analysis” (DOI: doi.org/10.1159/000527582).</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primary objective of this study is to assess the safety and efficacy of up to two REACT injections given six months (up to four weeks after target date) apart in Type 2 Diabetic Kidney Disease patients with eGFRs between 14 and 20 ml/min/1.73m2 and delivered into the biopsied kidney using a minimally invasive percutaneous approach that can be delivered under conscious sedation in less than 90 minutes. Subjects have an eGFR of between 14—20 ml/min/1.73m2. Subjects receive up to two doses of REACT of 3x106 cells/g-KWest.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This study enrolled a total of ten adults (5 men and 5 women) with CKD resulting from type 2 DKD (kidney function measured by eGFR of 14-20 ml/min/1.73 m²). Following a percutaneous kidney biopsy and ex vivo expansion of Selected Renal Cells (SRCs) that form REACT, the REACT product was injected into the cortex of the biopsied kidney with CT image guidance. Nine participants received two doses of the REACT product at 6-month intervals; one participant received only one injection. A 6-month observation pre-trial was required to establish patients’ “own” baseline and rate of DKD progression. As of March 2023, there were no cell product-related serious adverse events reported. Serious renal-linked adverse events related to the REACT procedure were reported in three participants, including acute kidney injury, CKD progression, renal arteriovenous fistula and hematomas which required observation without transfusion or angiographic interventions. At the time of this analysis, dialysis was delayed a mean of 16 months (range 6-28 months). At 15 months, two patients (20%) had preservation of their kidney function and had not advanced to renal replacement therapy. One patient died due to complications related to COVID, and an additional subject died due to a myocardial infarction approximately 18 months after enrollment. The results from this study suggest that REACT has the potential to delay dialysis in high-risk Stage 4 and Stage 5 DKD patients.</w:t>
      </w:r>
    </w:p>
    <w:p>
      <w:pPr>
        <w:pStyle w:val="TextBody"/>
        <w:spacing w:before="360" w:after="0"/>
        <w:jc w:val="left"/>
        <w:rPr>
          <w:rFonts w:ascii="Times New Roman;serif" w:hAnsi="Times New Roman;serif"/>
          <w:b/>
          <w:sz w:val="20"/>
        </w:rPr>
      </w:pPr>
      <w:r>
        <w:rPr>
          <w:rFonts w:ascii="Times New Roman;serif" w:hAnsi="Times New Roman;serif"/>
          <w:b/>
          <w:sz w:val="20"/>
        </w:rPr>
        <w:t>REGEN-007:</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REGEN-007 is an ongoing Phase 2, prospective, randomized, open-label, repeat dose, double-arm, controlled safety and efficacy study of REACT in subjects with type 1 or 2 diabetes and CKD.</w:t>
      </w:r>
    </w:p>
    <w:p>
      <w:pPr>
        <w:pStyle w:val="TextBody"/>
        <w:spacing w:before="120" w:after="0"/>
        <w:jc w:val="left"/>
        <w:rPr>
          <w:rFonts w:ascii="Times New Roman;serif" w:hAnsi="Times New Roman;serif"/>
          <w:b w:val="false"/>
          <w:sz w:val="20"/>
        </w:rPr>
      </w:pPr>
      <w:bookmarkStart w:id="11" w:name="bkmk_170"/>
      <w:bookmarkEnd w:id="11"/>
      <w:r>
        <w:rPr>
          <w:rFonts w:ascii="Times New Roman;serif" w:hAnsi="Times New Roman;serif"/>
          <w:b w:val="false"/>
          <w:sz w:val="20"/>
        </w:rPr>
        <w:t>The primary objective of this study is to assess the safety and efficacy of up to two REACT injections given three months apart (up to 60 days after target date) in Type 1 and 2 Diabetic Kidney Disease with eGFRs between 20 and 50 ml/min/1.73m2) and delivered into biopsied and non-biopsied contralateral kidneys using a minimally invasive percutaneous approach, as compared to a single REACT injection followed by monitoring and a potential second injection delivered into the non-biopsied contralateral kidney using a minimally invasive percutaneous approach triggered by a 20% decrease in eGFR and/or a 30% increase in urinary albumin-to-creatinine ratio (“UACR”), that is delivered within 60 days of trigger being met. In previous Phase 2 studies, we injected REACT into the same kidney twice. Based on a generally favorable safety profile observed in previous studies, we are now proceeding with the injection of REACT into both kidneys in REGEN-007, which we expect will result in increased therapeutic effect as compared to injecting a single kidney, as the systemic effects of Type-2 diabetes mellitus impact both kidneys. By injecting both kidneys, patients have maximal exposure to REACT cells, with the potential to impact a greater proportion of kidney mass. Further, the number of glomeruli (the filtering units of the kidney) that are amenable to regenerative therapy is effectively doubled when injecting both kidneys, thereby allowing both kidneys to initiate healing and repair to improve function. The main goal of REGEN-007 is to evaluate whether REACT injections in both kidneys as opposed to two injections in the same kidney will: (a) increase the improvement of kidney function over and above the mean eGFR improvement observed in REGEN-002, or (b) increase the number of patients in which kidney function is preserved as compared to the number of patients in which this was observed in REGEN-002.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Subjects will receive up to two doses of REACT of 3x106 cells/g-KWest. The study will enroll subjects between the ages of 30 and 80 with an eGFR &gt;20 and ≤50 mL/min/1.73m2. Subjects will be randomized (1:1) before kidney biopsy into two cohorts. Cohort 1 will receive the two REACT injections three months apart. Cohort 2 will receive the first REACT injection, and a trigger, as described below, must be met to qualify for the second REACT injection more than three months after the first dose. This will allow a comparison of the effects of a specified amount of time between dosing, as compared to a biologic trigger between dosing.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Each of the subjects in cohort 1 will receive the first REACT injection as soon as the REACT product is manufactured and shipped to the clinical site. After three months, subjects will receive a second injection, as appropriate. Subjects in cohort 2 will also receive one REACT injection as soon as the REACT product is manufactured and shipped to the clinical site. For cohort 2, a second REACT injection will only be administered if a subject meets one or more clinical surrogate marker criteria. The second REACT injection will be administered to subjects in cohort 2 no less than three months after the first injection, within 30 days (up to four weeks after target date) of meeting the re-dose trigger. The re-dose triggers include (1) a 30-day sustained decline in eGFR by at least 20% from baseline and (2) an increase in the baseline UACR of at least 30% greater than 30mg/gram, measured 30 days after the baseline measurement is taken. For all subjects who receive a second injection, the second injection will be administered in the non-biopsied contralateral kidney.</w:t>
      </w:r>
    </w:p>
    <w:p>
      <w:pPr>
        <w:pStyle w:val="TextBody"/>
        <w:spacing w:before="120" w:after="0"/>
        <w:jc w:val="left"/>
        <w:rPr>
          <w:rFonts w:ascii="Times New Roman" w:hAnsi="Times New Roman"/>
          <w:sz w:val="20"/>
        </w:rPr>
      </w:pPr>
      <w:r>
        <w:rPr>
          <w:rFonts w:ascii="Times New Roman;serif" w:hAnsi="Times New Roman;serif"/>
          <w:b w:val="false"/>
          <w:sz w:val="20"/>
        </w:rPr>
        <w:t>During this time, subjects in cohort 2 will receive contemporaneous, standard-of-care therapy for CKD while undergoing follow-up evaluations at one, 14 (up to 7 days after target date) and 28 days (up to 7 days after target date) following the first injection, and then at three months (up to 10 days after target date) following the first injection, similar to subjects in cohort 1. All subjects will continue with long-term follow-up visits at three- month intervals for a period of 18 months following the last injection. In addition, each subject’s baseline rate of kidney decline, based on adequate historical, clinical data obtained 24 months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prior to the first REACT injection, will serve as a comparator for monitoring the rate of progression of renal insufficiency over time. The primary efficacy endpoint of REGEN-007 is improvement in the rate of kidney function decline as indicated by the change from pre-injection baseline value in total (acute + chronic) slope of eGFR over 18 months. The primary safety endpoint is treatment-emergent adverse events through 18 months following the last REACT injection. REGEN-007 is an unblinded study in which cohort 1 patients will receive the same treatment regimen as the patients in our Phase 3 program that are randomized to the active arms.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believe that REGEN-007 may provide some insights regarding the magnitude of clinical benefit that could be observed in our Phase 3 program.</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commenced enrollment for REGEN-007 in the third quarter of 2021 and expanded target enrollment from 30 to up to 50 subjects as a result of strong investigator interest. As of December 31, 2022, 35 subjects were enrolled with 18 subjects randomized to cohort 1 and 17 subjects randomized to cohort 2. As of that date, 13 subjects in cohort 1 had received their first dose of REACT, seven of whom received a second dose into the contralateral kidney, and 12 subjects in cohort 2 received their first dose of REACT, with one subject having met a re-dose trigger receiving a second injection in the contralateral kidney. As of March 2023, serious renal-linked adverse events related to the REACT procedure were observed in 4 out of 39 participants, including hematomas, transfusion, acute kidney injury, and hematuria with the biopsy.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anticipate reporting interim data from this study from a limited number of patients in the second half of 2023.</w:t>
      </w:r>
    </w:p>
    <w:p>
      <w:pPr>
        <w:pStyle w:val="TextBody"/>
        <w:spacing w:before="360" w:after="0"/>
        <w:jc w:val="left"/>
        <w:rPr>
          <w:rFonts w:ascii="Times New Roman;serif" w:hAnsi="Times New Roman;serif"/>
          <w:b/>
          <w:sz w:val="20"/>
        </w:rPr>
      </w:pPr>
      <w:r>
        <w:rPr>
          <w:rFonts w:ascii="Times New Roman;serif" w:hAnsi="Times New Roman;serif"/>
          <w:b/>
          <w:sz w:val="20"/>
        </w:rPr>
        <w:t>Phase 3 Clinical Development: proact 1 and proact 2 (REGEN-006 and REGEN-016):</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applied for RMAT designation for REACT, which was granted by the FDA on October 28, 2021. As contemplated by the RMAT designation and as directed by the FDA, we requested a comprehensive, multidisciplinary Type B meeting with the FDA to review the status of preclinical and clinical development and manufacturing of REACT, and to discuss the planned clinical program intended to support approval of the product candidate. The FDA provided detailed written responses to our questions included in the meeting request, and the Type B meeting was held in March 2022. As a result of that meeting, we made some modifications to the Phase 3 trial designs and endpoints, including the following:</w:t>
      </w:r>
    </w:p>
    <w:p>
      <w:pPr>
        <w:pStyle w:val="TextBody"/>
        <w:spacing w:before="0" w:after="0"/>
        <w:jc w:val="left"/>
        <w:rPr/>
      </w:pPr>
      <w:r>
        <w:rPr/>
        <w:t> </w:t>
      </w:r>
    </w:p>
    <w:tbl>
      <w:tblPr>
        <w:tblW w:w="8743" w:type="dxa"/>
        <w:jc w:val="left"/>
        <w:tblInd w:w="0" w:type="dxa"/>
        <w:tblCellMar>
          <w:top w:w="28" w:type="dxa"/>
          <w:left w:w="28" w:type="dxa"/>
          <w:bottom w:w="28" w:type="dxa"/>
          <w:right w:w="28" w:type="dxa"/>
        </w:tblCellMar>
      </w:tblPr>
      <w:tblGrid>
        <w:gridCol w:w="177"/>
        <w:gridCol w:w="272"/>
        <w:gridCol w:w="162"/>
        <w:gridCol w:w="813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13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813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increased the planned sample size from 500 to 600 subjects in both REGEN-006 and REGEN-016;</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 w:hAnsi="Times New Roman"/>
                <w:sz w:val="20"/>
              </w:rPr>
            </w:pPr>
            <w:r>
              <w:rPr>
                <w:rFonts w:ascii="Times New Roman;serif" w:hAnsi="Times New Roman;serif"/>
                <w:b w:val="false"/>
                <w:sz w:val="20"/>
              </w:rPr>
              <w:t>removed the increase in UACR of at least 30% and of at least 30 mg/g, using the random urine microalbumin/urine creatinine ratio sustained for 90 days, from the primary composite endpoint for both REGEN-006 and REGEN-016;</w:t>
            </w:r>
            <w:r>
              <w:rPr>
                <w:rFonts w:ascii="Times New Roman" w:hAnsi="Times New Roman"/>
                <w:sz w:val="20"/>
              </w:rPr>
              <w:t xml:space="preserve"> </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added a sham control arm and single blind component to the design of REGEN-016 and composite time-to-event composed of:</w:t>
            </w:r>
          </w:p>
        </w:tc>
      </w:tr>
    </w:tbl>
    <w:p>
      <w:pPr>
        <w:pStyle w:val="TextBody"/>
        <w:spacing w:before="0" w:after="0"/>
        <w:jc w:val="left"/>
        <w:rPr/>
      </w:pPr>
      <w:r>
        <w:rPr/>
        <w:t> </w:t>
      </w:r>
    </w:p>
    <w:tbl>
      <w:tblPr>
        <w:tblW w:w="9418" w:type="dxa"/>
        <w:jc w:val="left"/>
        <w:tblInd w:w="0" w:type="dxa"/>
        <w:tblCellMar>
          <w:top w:w="28" w:type="dxa"/>
          <w:left w:w="28" w:type="dxa"/>
          <w:bottom w:w="28" w:type="dxa"/>
          <w:right w:w="28" w:type="dxa"/>
        </w:tblCellMar>
      </w:tblPr>
      <w:tblGrid>
        <w:gridCol w:w="177"/>
        <w:gridCol w:w="272"/>
        <w:gridCol w:w="162"/>
        <w:gridCol w:w="880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80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880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at least 40% reduction in eGFR, using the 2009 CKD-EPI serum creatinine equation, sustained for 30 days;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eGFR &lt;15 mL/min/1.73m² using the 2009 CKD-EPI serum creatinine equation, sustained for 30 days and/or chronic dialysis, and/or renal transplant; or</w:t>
            </w:r>
          </w:p>
        </w:tc>
      </w:tr>
    </w:tbl>
    <w:p>
      <w:pPr>
        <w:pStyle w:val="TextBody"/>
        <w:spacing w:before="0" w:after="0"/>
        <w:jc w:val="left"/>
        <w:rPr/>
      </w:pPr>
      <w:r>
        <w:rPr/>
        <w:t> </w:t>
      </w:r>
    </w:p>
    <w:tbl>
      <w:tblPr>
        <w:tblW w:w="3163" w:type="dxa"/>
        <w:jc w:val="left"/>
        <w:tblInd w:w="0" w:type="dxa"/>
        <w:tblCellMar>
          <w:top w:w="28" w:type="dxa"/>
          <w:left w:w="28" w:type="dxa"/>
          <w:bottom w:w="28" w:type="dxa"/>
          <w:right w:w="28" w:type="dxa"/>
        </w:tblCellMar>
      </w:tblPr>
      <w:tblGrid>
        <w:gridCol w:w="177"/>
        <w:gridCol w:w="272"/>
        <w:gridCol w:w="162"/>
        <w:gridCol w:w="255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55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255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renal or cardiovascular death.</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We will continue to advance the USA clinical development program with the benefit of enhanced clarity as to the FDA’s expectations and requirements for a registrational program, including the design of the trials needed for approval, manufacturing assays, and comparability studies, as set forth below.</w:t>
      </w:r>
    </w:p>
    <w:p>
      <w:pPr>
        <w:pStyle w:val="TextBody"/>
        <w:spacing w:before="360" w:after="0"/>
        <w:jc w:val="left"/>
        <w:rPr>
          <w:rFonts w:ascii="Times New Roman;serif" w:hAnsi="Times New Roman;serif"/>
          <w:b/>
          <w:sz w:val="20"/>
        </w:rPr>
      </w:pPr>
      <w:r>
        <w:rPr>
          <w:rFonts w:ascii="Times New Roman;serif" w:hAnsi="Times New Roman;serif"/>
          <w:b/>
          <w:sz w:val="20"/>
        </w:rPr>
        <w:t>REGEN-006/proact 1 trial: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REGEN-006 (proact 1) is a Phase 3, randomized, single-blinded, bi-lateral kidney dose, sham control arm, controlled efficacy study of REACT in subjects with type 2 diabetes and CKD Stages 3a-4 with moderate to severe albuminuria. Albuminuria refers to the presence of an excess of the protein albumin in urine, which is a sign of kidney disease. This study will be conducted in clinical centers in the United States, Canada, Australia, Israel, Mexico, Taiwan and the United Kingdom.</w:t>
      </w:r>
    </w:p>
    <w:p>
      <w:pPr>
        <w:pStyle w:val="TextBody"/>
        <w:spacing w:before="120" w:after="0"/>
        <w:jc w:val="left"/>
        <w:rPr>
          <w:rFonts w:ascii="Times New Roman" w:hAnsi="Times New Roman"/>
          <w:sz w:val="20"/>
        </w:rPr>
      </w:pPr>
      <w:r>
        <w:rPr>
          <w:rFonts w:ascii="Times New Roman;serif" w:hAnsi="Times New Roman;serif"/>
          <w:b w:val="false"/>
          <w:sz w:val="20"/>
        </w:rPr>
        <w:t>The primary objective of this study is to assess the efficacy of up to two REACT injections given three months apart and delivered into biopsied and non-biopsied contralateral kidneys using a minimally invasive percutaneous approach. The total planned enrollment is 600 subjects. Subjects in the treatment group will receive two doses of REACT of 3x106 cells/g-KWest. The study will enroll subjects between the ages of 30 and 80 years of age with an eGFR</w:t>
      </w:r>
      <w:r>
        <w:rPr>
          <w:rFonts w:ascii="Times New Roman;serif" w:hAnsi="Times New Roman;serif"/>
          <w:b w:val="false"/>
          <w:sz w:val="20"/>
          <w:u w:val="single"/>
        </w:rPr>
        <w:t>&gt;2</w:t>
      </w:r>
      <w:r>
        <w:rPr>
          <w:rFonts w:ascii="Times New Roman;serif" w:hAnsi="Times New Roman;serif"/>
          <w:b w:val="false"/>
          <w:sz w:val="20"/>
        </w:rPr>
        <w:t xml:space="preserve">0 and </w:t>
      </w:r>
      <w:r>
        <w:rPr>
          <w:rFonts w:ascii="Times New Roman;serif" w:hAnsi="Times New Roman;serif"/>
          <w:b w:val="false"/>
          <w:sz w:val="20"/>
          <w:u w:val="single"/>
        </w:rPr>
        <w:t>&lt;5</w:t>
      </w:r>
      <w:r>
        <w:rPr>
          <w:rFonts w:ascii="Times New Roman;serif" w:hAnsi="Times New Roman;serif"/>
          <w:b w:val="false"/>
          <w:sz w:val="20"/>
        </w:rPr>
        <w:t>0 mL/min/1.73m2.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primary composite endpoint is the time from first injection to the earliest of:</w:t>
      </w:r>
    </w:p>
    <w:p>
      <w:pPr>
        <w:pStyle w:val="TextBody"/>
        <w:spacing w:before="0" w:after="0"/>
        <w:jc w:val="left"/>
        <w:rPr/>
      </w:pPr>
      <w:r>
        <w:rPr/>
        <w:t> </w:t>
      </w:r>
    </w:p>
    <w:tbl>
      <w:tblPr>
        <w:tblW w:w="9418" w:type="dxa"/>
        <w:jc w:val="left"/>
        <w:tblInd w:w="0" w:type="dxa"/>
        <w:tblCellMar>
          <w:top w:w="28" w:type="dxa"/>
          <w:left w:w="28" w:type="dxa"/>
          <w:bottom w:w="28" w:type="dxa"/>
          <w:right w:w="28" w:type="dxa"/>
        </w:tblCellMar>
      </w:tblPr>
      <w:tblGrid>
        <w:gridCol w:w="177"/>
        <w:gridCol w:w="272"/>
        <w:gridCol w:w="162"/>
        <w:gridCol w:w="880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80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880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at least 40% reduction in eGFR, using the 2009 CKD-EPI serum creatinine equation, sustained for 30 days;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eGFR &lt;15 mL/min/1.73m² using the 2009 CKD-EPI serum creatinine equation, sustained for 30 days and/or chronic dialysis, and/or renal transplant; or</w:t>
            </w:r>
          </w:p>
        </w:tc>
      </w:tr>
    </w:tbl>
    <w:p>
      <w:pPr>
        <w:pStyle w:val="TextBody"/>
        <w:spacing w:before="0" w:after="0"/>
        <w:jc w:val="left"/>
        <w:rPr/>
      </w:pPr>
      <w:r>
        <w:rPr/>
        <w:t> </w:t>
      </w:r>
    </w:p>
    <w:tbl>
      <w:tblPr>
        <w:tblW w:w="3163" w:type="dxa"/>
        <w:jc w:val="left"/>
        <w:tblInd w:w="0" w:type="dxa"/>
        <w:tblCellMar>
          <w:top w:w="28" w:type="dxa"/>
          <w:left w:w="28" w:type="dxa"/>
          <w:bottom w:w="28" w:type="dxa"/>
          <w:right w:w="28" w:type="dxa"/>
        </w:tblCellMar>
      </w:tblPr>
      <w:tblGrid>
        <w:gridCol w:w="177"/>
        <w:gridCol w:w="272"/>
        <w:gridCol w:w="162"/>
        <w:gridCol w:w="255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55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255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renal or cardiovascular death.</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bookmarkStart w:id="12" w:name="bkmk_172"/>
      <w:bookmarkEnd w:id="12"/>
      <w:r>
        <w:rPr>
          <w:rFonts w:ascii="Times New Roman;serif" w:hAnsi="Times New Roman;serif"/>
          <w:b w:val="false"/>
          <w:sz w:val="20"/>
        </w:rPr>
        <w:t>Subjects will be randomized (1:1) to the treatment group and the “masked” sham control group prior to kidney biopsy.</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Each of the subjects in the treatment group will receive the first REACT injection 12 weeks following kidney biopsy. After three months, a second injection will be given, as appropriate, into the contralateral kidney. In contrast, subjects in the control group will receive two sham injections, the first of which will be administered 12 weeks following sham biopsy, and the second of which will be administered three months after the first sham injection. During this time, subjects in the control (sham) group will receive contemporaneous, standard-of-care therapy for CKD while undergoing follow-up evaluations at one, 14 and 28 days (+7 days) following the first injection, and then at three months (+10 days) following the first injection, similar to subjects in the treatment group. All subjects will continue in the study until the global trial end date is announced and an end of study visit is completed.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Subjects will complete the KDQOL and EQ-5D-5L surveys. Scores from the treatment group will be compared against scores from the control group. In addition, each subject’s baseline score will be compared against his or her KDQOL scores obtained over the 24-month period after the last REACT injection. Additionally, KDQOL scores from subjects who received a single REACT injection may be compared against scores from subjects who received two injections.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This study began enrollment in the first quarter of 2022. As of December 31, 2022, 88 subjects had signed informed consent forms, with 38 subjects randomized in the US and Canada. Enrollment in Australia, Mexico, the UK and Taiwan is expected to begin in 2023.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Initial interim data is expected at the end of 2024. Results from interim data may not be indicative of results from future data.</w:t>
      </w:r>
    </w:p>
    <w:p>
      <w:pPr>
        <w:pStyle w:val="TextBody"/>
        <w:spacing w:before="360" w:after="0"/>
        <w:jc w:val="left"/>
        <w:rPr>
          <w:rFonts w:ascii="Times New Roman;serif" w:hAnsi="Times New Roman;serif"/>
          <w:b/>
          <w:sz w:val="20"/>
        </w:rPr>
      </w:pPr>
      <w:r>
        <w:rPr>
          <w:rFonts w:ascii="Times New Roman;serif" w:hAnsi="Times New Roman;serif"/>
          <w:b/>
          <w:sz w:val="20"/>
        </w:rPr>
        <w:t>REGEN-016/proact 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REGEN-016 (proact 2) is a planned Phase 3, randomized, single-blinded, sham control arm, bi-lateral kidney dose, controlled efficacy study of REACT in subjects with type 2 diabetes and CKD Stages 3a-4 with moderate to severe albuminuria. This study will be implemented in clinical centers in Europe, Latin America, and Asia-Pacific and some United States centers.</w:t>
      </w:r>
    </w:p>
    <w:p>
      <w:pPr>
        <w:pStyle w:val="TextBody"/>
        <w:spacing w:before="120" w:after="0"/>
        <w:jc w:val="left"/>
        <w:rPr>
          <w:rFonts w:ascii="Times New Roman" w:hAnsi="Times New Roman"/>
          <w:sz w:val="20"/>
        </w:rPr>
      </w:pPr>
      <w:r>
        <w:rPr>
          <w:rFonts w:ascii="Times New Roman;serif" w:hAnsi="Times New Roman;serif"/>
          <w:b w:val="false"/>
          <w:sz w:val="20"/>
        </w:rPr>
        <w:t>The primary objective of this study is to assess the efficacy of up to two REACT injections given three months apart and delivered into biopsied and non-biopsied contralateral kidneys using a minimally invasive percutaneous approach. The total planned enrollment is 600 subjects. Subjects in the treatment group will receive two doses of REACT of 3x106 cells/g-KWest. The study will enroll subjects between the ages of 30 and 80 years of age with an eGFR</w:t>
      </w:r>
      <w:r>
        <w:rPr>
          <w:rFonts w:ascii="Times New Roman;serif" w:hAnsi="Times New Roman;serif"/>
          <w:b w:val="false"/>
          <w:sz w:val="20"/>
          <w:u w:val="single"/>
        </w:rPr>
        <w:t>&gt;2</w:t>
      </w:r>
      <w:r>
        <w:rPr>
          <w:rFonts w:ascii="Times New Roman;serif" w:hAnsi="Times New Roman;serif"/>
          <w:b w:val="false"/>
          <w:sz w:val="20"/>
        </w:rPr>
        <w:t>0 and</w:t>
      </w:r>
      <w:r>
        <w:rPr>
          <w:rFonts w:ascii="Times New Roman;serif" w:hAnsi="Times New Roman;serif"/>
          <w:b w:val="false"/>
          <w:sz w:val="20"/>
          <w:u w:val="single"/>
        </w:rPr>
        <w:t>&lt;5</w:t>
      </w:r>
      <w:r>
        <w:rPr>
          <w:rFonts w:ascii="Times New Roman;serif" w:hAnsi="Times New Roman;serif"/>
          <w:b w:val="false"/>
          <w:sz w:val="20"/>
        </w:rPr>
        <w:t>0 mL/min/1.73m2.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Subjects will be randomized (1:1) to the treatment group and the “masked” sham control group prior to kidney biopsy.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Each of the subjects in the treatment group will receive the first REACT injection 12 weeks following kidney biopsy. After three months, a second injection will be given, as appropriate, into the contralateral kidney. In contrast, subjects in the control group will receive two sham injections, the first of which will be administered 12 weeks following sham biopsy, and the second of which will be administered three months after the first sham injection. During this time, subjects in the control group will receive contemporaneous, standard-of-care therapy for CKD while undergoing follow-up evaluations at the same time intervals as subjects in the treatment group. All subjects will continue in the study until the global trial end date is announced and an end of study visit is completed.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primary composite endpoint is the time from first injection to the earliest of:</w:t>
      </w:r>
    </w:p>
    <w:p>
      <w:pPr>
        <w:pStyle w:val="TextBody"/>
        <w:spacing w:before="0" w:after="0"/>
        <w:jc w:val="left"/>
        <w:rPr/>
      </w:pPr>
      <w:r>
        <w:rPr/>
        <w:t> </w:t>
      </w:r>
    </w:p>
    <w:tbl>
      <w:tblPr>
        <w:tblW w:w="9418" w:type="dxa"/>
        <w:jc w:val="left"/>
        <w:tblInd w:w="0" w:type="dxa"/>
        <w:tblCellMar>
          <w:top w:w="28" w:type="dxa"/>
          <w:left w:w="28" w:type="dxa"/>
          <w:bottom w:w="28" w:type="dxa"/>
          <w:right w:w="28" w:type="dxa"/>
        </w:tblCellMar>
      </w:tblPr>
      <w:tblGrid>
        <w:gridCol w:w="177"/>
        <w:gridCol w:w="272"/>
        <w:gridCol w:w="162"/>
        <w:gridCol w:w="880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80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880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at least 40% reduction in eGFR, using the 2009 CKD-EPI serum creatinine equation, sustained for 30 days;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eGFR &lt;15 mL/min/1.73m² using the 2009 CKD-EPI serum creatinine equation, sustained for 30 days and/or chronic dialysis, and/or renal transplant; or</w:t>
            </w:r>
          </w:p>
        </w:tc>
      </w:tr>
    </w:tbl>
    <w:p>
      <w:pPr>
        <w:pStyle w:val="TextBody"/>
        <w:spacing w:before="0" w:after="0"/>
        <w:jc w:val="left"/>
        <w:rPr/>
      </w:pPr>
      <w:r>
        <w:rPr/>
        <w:t> </w:t>
      </w:r>
    </w:p>
    <w:tbl>
      <w:tblPr>
        <w:tblW w:w="3163" w:type="dxa"/>
        <w:jc w:val="left"/>
        <w:tblInd w:w="0" w:type="dxa"/>
        <w:tblCellMar>
          <w:top w:w="28" w:type="dxa"/>
          <w:left w:w="28" w:type="dxa"/>
          <w:bottom w:w="28" w:type="dxa"/>
          <w:right w:w="28" w:type="dxa"/>
        </w:tblCellMar>
      </w:tblPr>
      <w:tblGrid>
        <w:gridCol w:w="177"/>
        <w:gridCol w:w="272"/>
        <w:gridCol w:w="162"/>
        <w:gridCol w:w="255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55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255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renal or cardiovascular death.</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Subjects will complete the KDQOL and EQ-5D-5L surveys. Scores from the treatment group will be compared against scores from the control group. In addition, each subject’s baseline score will be compared against his or her KDQOL scores obtained over the period after the last REACT injection. Additionally, KDQOL scores from subjects who received a single REACT injection may be compared against scores from subjects who received two injections.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Enrollment in this study is expected to begin in the second quarter of 2023.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plan to evaluate interim data for REGEN-016 in mid-2025, with the potential for conditional FDA approval anticipated in 2026.</w:t>
      </w:r>
    </w:p>
    <w:p>
      <w:pPr>
        <w:pStyle w:val="TextBody"/>
        <w:spacing w:before="360" w:after="0"/>
        <w:jc w:val="left"/>
        <w:rPr>
          <w:rFonts w:ascii="Times New Roman;serif" w:hAnsi="Times New Roman;serif"/>
          <w:b/>
          <w:i/>
          <w:sz w:val="20"/>
        </w:rPr>
      </w:pPr>
      <w:r>
        <w:rPr>
          <w:rFonts w:ascii="Times New Roman;serif" w:hAnsi="Times New Roman;serif"/>
          <w:b/>
          <w:i/>
          <w:sz w:val="20"/>
        </w:rPr>
        <w:t>Congenital Anomalies of the Kidney and Urinary Tract (CAKUT)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CAKUT is a group of abnormalities affecting the kidneys or other structures of the urinary tract. CAKUT results from abnormal development of the urinary tract system and is present at birth (i.e., it is congenital), although the abnormality may not become apparent until later in life. CAKUT is the most common kind of congenital birth defect, affecting roughly 1 in 500 babies born.</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Individuals with CAKUT have one or more kidney or urinary tract abnormalities. The parts of the urinary tract that may be affected include the bladder, the tubes that carry urine from each kidney to the bladder (the ureters), and the tube that carries urine from the bladder out of the body (the urethra). For paired structures, like the kidneys and ureters, one or both may be affected.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are various types of CAKUT. Many different developmental abnormalities are classified as CAKUT, including underdevelopment or absence of a kidney and nephrons, a kidney formed of fluid-filled sacs called cysts, buildup of urine in the kidneys, an extra ureter leading to the kidney, a blockage in a ureter where it joins the kidney, an abnormally wide ureter, backflow of urine from the bladder into the ureter, and an abnormal membrane in the prostatic urethra that blocks the flow of urine out of the bladder.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causes of CAKUT are complex, and much remains to be uncovered about the genetic and environmental regulators of kidney and outflow tract development. It is likely that a combination of genetic and environmental factors contribute to the formation of kidney and urinary tract abnormalities. The genetic factors involved in most cases of CAKUT are unknown. Syndromic CAKUT is caused by changes in the genes associated with the particular syndrome. Variations in these same genes can also underlie some cases of isolated CAKUT. In addition, environmental factors may influence development of CAKUT. The risk of CAKUT is higher in babies whose mothers had diabetes, took certain medications that are harmful to the kidneys, such as some anti-seizure medicines, or lacked certain vitamins and minerals, such as folate and iron, during pregnancy.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Most cases of CAKUT are diagnosed from antenatal ultrasound imaging, and the remaining cases of CAKUT are usually only diagnosed after an infant or child develops a urinary tract infection, prompting ultrasound and/or other imaging studies to examine the kidneys and outflow tracts.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CAKUT is often one of several features of a condition that affects multiple body systems, and it varies in severity. The abnormalities can result in recurrent urinary tract infections or a buildup of urine in the urinary tract, which may damage the kidneys or other structures. Severe CAKUT can lead to life-threatening kidney failure and ESRD. Children with severe CAKUT may require dialysis and transplantation as infants, and they may experience long-term effects on their ability to lead independent lives as adults.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is currently a need for greater understanding of the pathogenesis of CAKUT, as well as an unmet need for means for providing proper treatment of those affected by this condition.</w:t>
      </w:r>
    </w:p>
    <w:p>
      <w:pPr>
        <w:pStyle w:val="TextBody"/>
        <w:spacing w:before="360" w:after="0"/>
        <w:jc w:val="left"/>
        <w:rPr>
          <w:rFonts w:ascii="Times New Roman;serif" w:hAnsi="Times New Roman;serif"/>
          <w:b/>
          <w:sz w:val="20"/>
        </w:rPr>
      </w:pPr>
      <w:r>
        <w:rPr>
          <w:rFonts w:ascii="Times New Roman;serif" w:hAnsi="Times New Roman;serif"/>
          <w:b/>
          <w:sz w:val="20"/>
        </w:rPr>
        <w:t>Phase 1 (REGEN-004):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REGEN-004 is a Phase 1, prospective, open-label, single-arm, safety, tolerability, and early efficacy study of REACT in subjects with CKD from CAKUT.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primary objective of this study is to assess the safety and efficacy of up to two REACT injections given six months (up to four weeks after target date) apart and delivered into the biopsied kidney using a minimally invasive percutaneous approach that can be delivered under conscious sedation in less than 90 minutes in patients with Chronic Kidney Disease with eGFRs between 14 and 50 ml/min/1.73m2 due to CAKUT. Five subjects were enrolled in this trial. Subjects received two doses of REACT of 3x106 cells/g-KWest.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December 31, 2022, all five subjects had received their first injection, and four subjects had received both injections. The trial concluded in January 2023 with the last patient, last visit.</w:t>
      </w:r>
    </w:p>
    <w:p>
      <w:pPr>
        <w:pStyle w:val="TextBody"/>
        <w:spacing w:before="120" w:after="0"/>
        <w:jc w:val="left"/>
        <w:rPr>
          <w:rFonts w:ascii="Times New Roman" w:hAnsi="Times New Roman"/>
          <w:sz w:val="20"/>
        </w:rPr>
      </w:pPr>
      <w:r>
        <w:rPr>
          <w:rFonts w:ascii="Times New Roman;serif" w:hAnsi="Times New Roman;serif"/>
          <w:b w:val="false"/>
          <w:sz w:val="20"/>
        </w:rPr>
        <w:t>Early interim results as of August 2021 demonstrated that in three of the five subjects currently enrolled, kidney function had improved to an annualized eGFR slope of 3.38 ml/min/1.73m2/year compared to their pre-dose slope of negative-4.19ml/min/1.73m2/year. As of January 2023, there have been no adverse events reported to be associated with REACT and no reported procedure-related renal related serious adverse events in this trail.</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final clinical study report is anticipated in the third quarter of 2023.</w:t>
      </w:r>
    </w:p>
    <w:p>
      <w:pPr>
        <w:pStyle w:val="TextBody"/>
        <w:spacing w:before="360" w:after="0"/>
        <w:jc w:val="left"/>
        <w:rPr>
          <w:rFonts w:ascii="Times New Roman;serif" w:hAnsi="Times New Roman;serif"/>
          <w:b/>
          <w:sz w:val="20"/>
        </w:rPr>
      </w:pPr>
      <w:r>
        <w:rPr>
          <w:rFonts w:ascii="Times New Roman;serif" w:hAnsi="Times New Roman;serif"/>
          <w:b/>
          <w:sz w:val="20"/>
        </w:rPr>
        <w:t>Planned Studies</w:t>
      </w:r>
    </w:p>
    <w:p>
      <w:pPr>
        <w:pStyle w:val="TextBody"/>
        <w:spacing w:before="120" w:after="0"/>
        <w:jc w:val="left"/>
        <w:rPr>
          <w:rFonts w:ascii="Times New Roman;serif" w:hAnsi="Times New Roman;serif"/>
          <w:b/>
          <w:sz w:val="20"/>
        </w:rPr>
      </w:pPr>
      <w:r>
        <w:rPr>
          <w:rFonts w:ascii="Times New Roman;serif" w:hAnsi="Times New Roman;serif"/>
          <w:b/>
          <w:sz w:val="20"/>
        </w:rPr>
        <w:t>Phase 2 (REGEN-015 Multi-dose study)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REGEN-015 is a planned Phase 2 open-label study of REACT in subjects with type 1 or type 2 diabetes and CKD. The purpose of this study is to evaluate the safety of supplemental REACT injections in participants who have previously received REACT treatment. In this study, up to 10 participants will enroll in the trial after parent REACT protocol end of study visit is completed. Participants may undergo a biopsy to manufacture REACT if additional biopsy tissue is required. Participants will receive two supplemental REACT injections. All participants will be followed for 12 months post their last supplemental REACT injection.</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Phase 4 Clinical Development (REGEN-008)</w:t>
      </w:r>
    </w:p>
    <w:p>
      <w:pPr>
        <w:pStyle w:val="TextBody"/>
        <w:spacing w:before="120" w:after="0"/>
        <w:jc w:val="left"/>
        <w:rPr>
          <w:rFonts w:ascii="Times New Roman;serif" w:hAnsi="Times New Roman;serif"/>
          <w:b w:val="false"/>
          <w:sz w:val="20"/>
        </w:rPr>
      </w:pPr>
      <w:bookmarkStart w:id="13" w:name="bkmk_174"/>
      <w:bookmarkEnd w:id="13"/>
      <w:r>
        <w:rPr>
          <w:rFonts w:ascii="Times New Roman;serif" w:hAnsi="Times New Roman;serif"/>
          <w:b w:val="false"/>
          <w:sz w:val="20"/>
        </w:rPr>
        <w:t>REGEN-008 is a Phase 4, prospective, open-label, observational master protocol study of REACT in subjects with diabetes and CKD who were previously enrolled and treated with REACT. Additional sub-study protocols will be created to capture subjects from parent protocols.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primary objective of this study is to evaluate the long-term safety of up to two REACT injections given three-six months apart on kidney function in participants with diabetes and CKD.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Subjects with exposure to REACT will continue for long-term follow-up observation visits which will occur every 3 months for the first 2 years and then every 6 months for years 3, 4, and 5, alternating in-person and telephone visits, for a total of 15 planned visits for the duration of the study.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plan to continue REGEN-008 long-term follow-up to 2030.</w:t>
      </w:r>
    </w:p>
    <w:p>
      <w:pPr>
        <w:pStyle w:val="TextBody"/>
        <w:spacing w:before="360" w:after="0"/>
        <w:jc w:val="left"/>
        <w:rPr>
          <w:rFonts w:ascii="Times New Roman;serif" w:hAnsi="Times New Roman;serif"/>
          <w:b/>
          <w:sz w:val="20"/>
        </w:rPr>
      </w:pPr>
      <w:r>
        <w:rPr>
          <w:rFonts w:ascii="Times New Roman;serif" w:hAnsi="Times New Roman;serif"/>
          <w:b/>
          <w:sz w:val="20"/>
        </w:rPr>
        <w:t>Competition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biotechnology and pharmaceutical industries are characterized by rapid technological advancement, significant competition, and an emphasis on intellectual property. We face potential competition from many different sources, including major and specialty pharmaceutical and biotechnology companies, including developers of tubular and glomerular cell drug modulators, e.g., SGLT2 inhibitors, antifibrosis medications, e.g., Mineralocorticoid Receptor Antagonists (“MRAs”), induced pluripotent cells, other autologous mesenchymal stem cells and mechanical renal assist devices such as implantable and wearable renal dialysis machines, and advances in peritoneal dialysis and home dialysis. Cell-based clinical trials by other companies are underway globally with umbilical, adipose and bone marrow derived mesenchymal stem cells for CKD. Early-phase human induced pluripotent stem cell therapies for kidney diseases are ongoing in Japan.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product candidates that we successfully develop and commercialize will compete with current therapies and new therapies that may become available in the future. We believe that the key competitive factors affecting the success of any of our product candidates will include efficacy, safety profile, dosing, cost, effectiveness of promotional support and intellectual property protection. With respect specifically to REACT, we expect the key competitive factors affecting its success, if approved, will include the intended patient population, the relative convenience of dosing and administration, and efficacy.</w:t>
      </w:r>
    </w:p>
    <w:p>
      <w:pPr>
        <w:pStyle w:val="TextBody"/>
        <w:spacing w:before="120" w:after="0"/>
        <w:jc w:val="left"/>
        <w:rPr>
          <w:rFonts w:ascii="Times New Roman" w:hAnsi="Times New Roman"/>
          <w:sz w:val="20"/>
        </w:rPr>
      </w:pPr>
      <w:bookmarkStart w:id="14" w:name="bkmk_176"/>
      <w:bookmarkEnd w:id="14"/>
      <w:r>
        <w:rPr>
          <w:rFonts w:ascii="Times New Roman;serif" w:hAnsi="Times New Roman;serif"/>
          <w:b w:val="false"/>
          <w:sz w:val="20"/>
        </w:rPr>
        <w:t>Many other companies working on medications for controlling chronic kidney disease, either alone or with their collaboration partners, have significantly greater financial resources and expertise in research and</w:t>
      </w:r>
      <w:r>
        <w:rPr>
          <w:rFonts w:ascii="Times New Roman" w:hAnsi="Times New Roman"/>
          <w:sz w:val="20"/>
        </w:rPr>
        <w:t xml:space="preserve"> </w:t>
      </w:r>
      <w:r>
        <w:rPr>
          <w:rFonts w:ascii="Times New Roman;serif" w:hAnsi="Times New Roman;serif"/>
          <w:b w:val="false"/>
          <w:sz w:val="20"/>
        </w:rPr>
        <w:t>development, pre-clinical testing, clinical trials, manufacturing, and marketing than we do. We believe that our principal competitors include developers of SGLT2 inhibitors, including canagliflozin (marketed as Invokana® by companies including Janssen Pharmaceuticals, Inc.), dapagliflozin (marketed under the brand names Farxiga® and Forxiga® by companies including AstraZeneca plc and Bristol-Myers Squibb Company), empagliflozin (marketed as Jardiance® by companies including Boehringer Ingelheim and Eli Lilly and Company) and finerenone (marketed as Kerendia® by companies including Bayer AG), and MRAs, which are small-molecule therapies recently approved to lower risks of CKD progression. Future collaborations, mergers and acquisitions may result in further resource concentration among a smaller number of competitors.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These competitors may also vie for a similar pool of qualified scientific and management talent, sites and patient populations for clinical trials, as well as for technologies complementary to, or necessary for, our programs.</w:t>
      </w:r>
    </w:p>
    <w:p>
      <w:pPr>
        <w:pStyle w:val="TextBody"/>
        <w:spacing w:before="360" w:after="0"/>
        <w:jc w:val="left"/>
        <w:rPr>
          <w:rFonts w:ascii="Times New Roman;serif" w:hAnsi="Times New Roman;serif"/>
          <w:b/>
          <w:sz w:val="20"/>
        </w:rPr>
      </w:pPr>
      <w:r>
        <w:rPr>
          <w:rFonts w:ascii="Times New Roman;serif" w:hAnsi="Times New Roman;serif"/>
          <w:b/>
          <w:sz w:val="20"/>
        </w:rPr>
        <w:t>Supply and Manufacturing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believe that over the last 20 years we have optimized our manufacturing technology for chemistry, manufacturing, and controls (“CMC”). In doing so, we have established a considerable intellectual property estate, combined with extensive manufacturing know-how, to enable us to manufacture REACT with consistent quality.</w:t>
      </w:r>
    </w:p>
    <w:p>
      <w:pPr>
        <w:pStyle w:val="TextBody"/>
        <w:spacing w:before="120" w:after="0"/>
        <w:jc w:val="left"/>
        <w:rPr>
          <w:rFonts w:ascii="Times New Roman" w:hAnsi="Times New Roman"/>
          <w:sz w:val="20"/>
        </w:rPr>
      </w:pPr>
      <w:r>
        <w:rPr>
          <w:rFonts w:ascii="Times New Roman;serif" w:hAnsi="Times New Roman;serif"/>
          <w:b w:val="false"/>
          <w:sz w:val="20"/>
        </w:rPr>
        <w:t>With support from high level manufacturing and regulatory expertise, our internal manufacturing capabilities have enabled us to progress rapidly through our clinical trials. We believe that our current manufacturing capacities enable us to provide sufficient quantities of clinical trial material to supply our clinical trials. As we continue to develop our product candidates, we may need to expand our manufacturing capacities. The manufacturing facilities located in Winston-Salem, North Carolina and the quality systems are intended to be compliant with global quality standards. It usually takes approximately 12 weeks to produce the clinical REACT products. As of the date hereof, our manufacturing team, facilities, and bioprocess capacity have produced over 200 cell therapies.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facility design and quality systems have been audited by European Qualified Persons (QP) and certified as compliant with EU cGMP requirements for phase 2/3 manufacturing. Our bioprocesses have been reviewed by the FDA and EMA and validation activities are ongoing in anticipation of being commercial-ready for the potential launch of REACT. We plan to build additional manufacturing capacity to meet the expanding demand.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commercial strategy focuses on process automation to scale up to meet the projected market for REACT, if we obtain the necessary regulatory approvals. We are collaborating with engineering companies such as DEKA Research &amp; Development Corp. to develop automated manufacturing processes for the potential commercial production of REACT, including a REACT launch facility after we complete the Phase 3 patient enrollment and dosing in 2026, and two commercial manufacturing facilities after we launch REACT.</w:t>
      </w:r>
    </w:p>
    <w:p>
      <w:pPr>
        <w:pStyle w:val="TextBody"/>
        <w:spacing w:before="120" w:after="0"/>
        <w:jc w:val="left"/>
        <w:rPr>
          <w:rFonts w:ascii="Times New Roman" w:hAnsi="Times New Roman"/>
          <w:sz w:val="20"/>
        </w:rPr>
      </w:pPr>
      <w:bookmarkStart w:id="15" w:name="bkmk_177"/>
      <w:bookmarkEnd w:id="15"/>
      <w:r>
        <w:rPr>
          <w:rFonts w:ascii="Times New Roman;serif" w:hAnsi="Times New Roman;serif"/>
          <w:b w:val="false"/>
          <w:sz w:val="20"/>
        </w:rPr>
        <w:t>We expect to utilize automation in all aspects of manufacturing ranging from tissue processing, cell expansion and renal cell selection to formulation and filling of the final product. We will also extend automation to other manufacturing activities, including warehouse operations and supply chain. In addition, we intend to improve bioprocess development to further reduce manufacturing costs of the commercial REACT product, assuming receipt of necessary regulatory approvals. Culture media represents the highest cost in REACT processing, and we are exploring reduced culture media usage via bioprocess and automation improvements. Further, our final commercial REACT product is</w:t>
      </w:r>
      <w:r>
        <w:rPr>
          <w:rFonts w:ascii="Times New Roman" w:hAnsi="Times New Roman"/>
          <w:sz w:val="20"/>
        </w:rPr>
        <w:t xml:space="preserve"> </w:t>
      </w:r>
      <w:r>
        <w:rPr>
          <w:rFonts w:ascii="Times New Roman;serif" w:hAnsi="Times New Roman;serif"/>
          <w:b w:val="false"/>
          <w:sz w:val="20"/>
        </w:rPr>
        <w:t>planned to be a cryopreserved formulation, which we expect to reduce manufacturing costs compared to our fresh REACT formulation. We expect to leverage bulk purchasing to actively negotiate pricing of materials to further drive cost reductions. However, there can be no assurance that the manufacturing costs for our Phase 3 trials when we manufacture REACT at commercial scale will actually be lower than for our ongoing Phase 2 RMCL-002 study. A number of factors may contribute to an inability to achieve these cost reductions, including any failures to achieve the automation efficiencies that we anticipate, cost overruns or inefficiencies in the supply chain and any failure to improve the formulation or bioprocessing of REACT in a manner that results in lower costs.</w:t>
      </w:r>
    </w:p>
    <w:p>
      <w:pPr>
        <w:pStyle w:val="TextBody"/>
        <w:spacing w:before="360" w:after="0"/>
        <w:jc w:val="left"/>
        <w:rPr>
          <w:rFonts w:ascii="Times New Roman;serif" w:hAnsi="Times New Roman;serif"/>
          <w:b/>
          <w:sz w:val="20"/>
        </w:rPr>
      </w:pPr>
      <w:r>
        <w:rPr>
          <w:rFonts w:ascii="Times New Roman;serif" w:hAnsi="Times New Roman;serif"/>
          <w:b/>
          <w:sz w:val="20"/>
        </w:rPr>
        <w:t>Key Agreements</w:t>
      </w:r>
    </w:p>
    <w:p>
      <w:pPr>
        <w:pStyle w:val="TextBody"/>
        <w:spacing w:before="120" w:after="0"/>
        <w:jc w:val="left"/>
        <w:rPr>
          <w:rFonts w:ascii="Times New Roman;serif" w:hAnsi="Times New Roman;serif"/>
          <w:b/>
          <w:i/>
          <w:sz w:val="20"/>
        </w:rPr>
      </w:pPr>
      <w:r>
        <w:rPr>
          <w:rFonts w:ascii="Times New Roman;serif" w:hAnsi="Times New Roman;serif"/>
          <w:b/>
          <w:i/>
          <w:sz w:val="20"/>
        </w:rPr>
        <w:t>Master Services Agreement, dated February 15, 2021, by and between George Clinical PTY Limited and ProKidney-KY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ProKidney-KY entered into a Master Services Agreement dated February 15, 2021 (the “George Clinical MSA”) with George Clinical PTY Limited (“George Clinical”), upon which George Clinical agreed to provide ProKidney-KY with certain clinical research services pursuant to work orders, including the setup and management of an Endpoint Adjudication Committee for the REGEN-006 trial and verification process for the REGEN-007 trial, as well as a Data Safety Monitoring Board and a Steering Board Committee for ProKidney-KY’s development programs.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ProKidney-KY and George Clinical agreed to indemnify each other against certain third-party claims. The George Clinical MSA will continue until February 15, 2026, unless terminated earlier by either party. ProKidney-KY may terminate the George Clinical MSA upon 30 days’ prior written notice to George Clinical for any reason. Either party may terminate the George Clinical MSA (i) for material breach by the other party if, upon 30 days’ prior written notice by the non-breaching party, the breach has not been cured, or (ii) upon the insolvency or declaration of bankruptcy of the other party. ProKidney-KY may terminate any work order immediately if (i) the relevant study is terminated, or (ii) George Clinical breaches a material term of the George Clinical MSA or does not perform the services to ProKidney-KY’s reasonable satisfaction and does not remedy the breach or perform satisfactorily within 30 days of receiving a notice from ProKidney-KY specifying the nature of the breach or non-performance. George Clinical may terminate any work order upon written notice if it believes on reasonable grounds that continued performance of the services poses an unacceptable risk to patient safety or may violate regulatory or scientific standards.</w:t>
      </w:r>
    </w:p>
    <w:p>
      <w:pPr>
        <w:pStyle w:val="TextBody"/>
        <w:spacing w:before="360" w:after="0"/>
        <w:jc w:val="left"/>
        <w:rPr>
          <w:rFonts w:ascii="Times New Roman;serif" w:hAnsi="Times New Roman;serif"/>
          <w:b/>
          <w:i/>
          <w:sz w:val="20"/>
        </w:rPr>
      </w:pPr>
      <w:r>
        <w:rPr>
          <w:rFonts w:ascii="Times New Roman;serif" w:hAnsi="Times New Roman;serif"/>
          <w:b/>
          <w:i/>
          <w:sz w:val="20"/>
        </w:rPr>
        <w:t>Research, Development, Engineering Services and License Memorandum and Agreement, dated January 16, 2022, by and between ProKidney-KY and DEKA Products Limited Partnership</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ProKidney-KY entered into a Research, Development, Engineering Services and License Memorandum and Agreement dated January 16, 2022 (the “RDELA”) with DEKA Products Limited Partnership and its general partner DEKA Research &amp; Development Corp. (collectively, “DEKA”) under which DEKA will work with ProKidney-KY to develop certain technology to enhance the Company’s manufacturing and delivery capabilities for REACT. Under the RDELA, ProKidney-KY pays DEKA for its work on these research and development projects on a cost-plus model. DEKA owns the resulting IP and grants ProKidney-KY an exclusive, royalty-free, world-wide license to the resulting IP for purposes related to the provisions of cell therapy for the treatment of renal insufficiency.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Under the terms of the RDELA, ProKidney-KY agrees to indemnify DEKA for claims arising out of the use of the technology licensed to ProKidney-KY (including losses related to IP infringement claims and personal injury or products liability claims) and DEKA agrees to indemnify ProKidney-KY for claims arising out of the use of the technologies developed and licensed to third parties.</w:t>
      </w:r>
    </w:p>
    <w:p>
      <w:pPr>
        <w:pStyle w:val="TextBody"/>
        <w:spacing w:before="120" w:after="0"/>
        <w:jc w:val="left"/>
        <w:rPr>
          <w:rFonts w:ascii="Times New Roman;serif" w:hAnsi="Times New Roman;serif"/>
          <w:b w:val="false"/>
          <w:sz w:val="20"/>
        </w:rPr>
      </w:pPr>
      <w:bookmarkStart w:id="16" w:name="bkmk_178"/>
      <w:bookmarkEnd w:id="16"/>
      <w:r>
        <w:rPr>
          <w:rFonts w:ascii="Times New Roman;serif" w:hAnsi="Times New Roman;serif"/>
          <w:b w:val="false"/>
          <w:sz w:val="20"/>
        </w:rPr>
        <w:t>The term of the RDELA extends through the commercial life of any licensed technology developed thereunder subject to termination for breach and for ProKidney-KY’s convenience.</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initial payment for DEKA’s work under the RDELA was made through the issuance of 2,750,000 Class B-1 Units of ProKidney Management Equity LLC. All subsequent payments have been and will be made by ProKidney-KY in cash.</w:t>
      </w:r>
    </w:p>
    <w:p>
      <w:pPr>
        <w:pStyle w:val="TextBody"/>
        <w:spacing w:before="360" w:after="0"/>
        <w:jc w:val="left"/>
        <w:rPr>
          <w:rFonts w:ascii="Times New Roman;serif" w:hAnsi="Times New Roman;serif"/>
          <w:b/>
          <w:i/>
          <w:sz w:val="20"/>
        </w:rPr>
      </w:pPr>
      <w:r>
        <w:rPr>
          <w:rFonts w:ascii="Times New Roman;serif" w:hAnsi="Times New Roman;serif"/>
          <w:b/>
          <w:i/>
          <w:sz w:val="20"/>
        </w:rPr>
        <w:t>Master Agreement for Clinical Trials Services, dated April 2, 2020, by and between ProKidney-KY and Frenova, LLC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ProKidney-KY entered into a Master Agreement for Clinical Trials Services, dated April 2, 2020 (the “Frenova MSA”) with Frenova, LLC d/b/a Frenova Renal Research (“Frenova”), under which Frenova agreed to provide ProKidney-KY with certain services related to the implementation and management of clinical development programs pursuant to statements of work (“SOWs”) encompassing such services for ProKidney-KY’s protocols RMCL-002, REGEN-006 and REGEN-007.</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Frenova MSA has an initial term of five years, or until terminated by either party, and will automatically renew each year for one-year periods, unless either party notifies the other party in writing at least 60 days prior to the renewal date that the notifying party wishes to terminate the Frenova MSA. ProKidney-KY may terminate the Frenova MSA or any SOW thereunder upon 60 days’ prior written notice to Frenova for any reason. Frenova may terminate the Frenova MSA for material breach under the Frenova MSA by ProKidney-KY if, upon 60 days’ prior written notice, the breach has not been cured. Additionally, Frenova may terminate any SOW upon 30 days’ prior written notice if (i) ProKidney-KY cancels or materially delays the requested services; (ii) unanticipated material changes to the project assumptions cannot be addressed to both parties’ satisfaction; (iii) changes to the study protocol cause enrollment targets to become commercially unreasonable; or (iv) ProKidney-KY is unable to make timely payments to Frenova resulting in Frenova lacking funds to process payments to the trial sites. Either party may terminate the Frenova MSA or any SOW thereunder (i) upon the insolvency or declaration of bankruptcy of the other party, (ii) if the other party is excluded, suspended, sanctioned or otherwise restricted from participating in federal health care programs, or (iii) the performance of the service would constitute a potential or actual violation of legal, regulatory, scientific, or ethical standards. ProKidney-KY and Frenova also agreed to indemnify each other against certain third-party claims.</w:t>
      </w:r>
    </w:p>
    <w:p>
      <w:pPr>
        <w:pStyle w:val="TextBody"/>
        <w:spacing w:before="360" w:after="0"/>
        <w:jc w:val="left"/>
        <w:rPr>
          <w:rFonts w:ascii="Times New Roman;serif" w:hAnsi="Times New Roman;serif"/>
          <w:b/>
          <w:i/>
          <w:sz w:val="20"/>
        </w:rPr>
      </w:pPr>
      <w:r>
        <w:rPr>
          <w:rFonts w:ascii="Times New Roman;serif" w:hAnsi="Times New Roman;serif"/>
          <w:b/>
          <w:i/>
          <w:sz w:val="20"/>
        </w:rPr>
        <w:t>Master Services Agreement, dated May 1, 2019, by and between PPD Development, LP and ProKidney-KY</w:t>
      </w:r>
    </w:p>
    <w:p>
      <w:pPr>
        <w:pStyle w:val="TextBody"/>
        <w:spacing w:before="120" w:after="0"/>
        <w:jc w:val="left"/>
        <w:rPr>
          <w:rFonts w:ascii="Times New Roman" w:hAnsi="Times New Roman"/>
          <w:sz w:val="20"/>
        </w:rPr>
      </w:pPr>
      <w:bookmarkStart w:id="17" w:name="bkmk_179"/>
      <w:bookmarkEnd w:id="17"/>
      <w:r>
        <w:rPr>
          <w:rFonts w:ascii="Times New Roman;serif" w:hAnsi="Times New Roman;serif"/>
          <w:b w:val="false"/>
          <w:sz w:val="20"/>
        </w:rPr>
        <w:t>ProKidney-KY entered into a Master Services Agreement dated May 1, 2019 (the “PPD MSA”) with PPD Development, L.P. (“PPD”), under which PPD agreed to perform clinical development services in connection</w:t>
      </w:r>
      <w:r>
        <w:rPr>
          <w:rFonts w:ascii="Times New Roman" w:hAnsi="Times New Roman"/>
          <w:sz w:val="20"/>
        </w:rPr>
        <w:t xml:space="preserve"> </w:t>
      </w:r>
      <w:r>
        <w:rPr>
          <w:rFonts w:ascii="Times New Roman;serif" w:hAnsi="Times New Roman;serif"/>
          <w:b w:val="false"/>
          <w:sz w:val="20"/>
        </w:rPr>
        <w:t>with ProKidney-KY’s clinical research programs, and ProKidney-KY agreed to pay PPD in accordance with rates for such services, as set forth in the project addenda.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PPD MSA has an initial term of five years and may be extended by mutual written agreement of the parties. ProKidney-KY may terminate any project addendum under the PPD MSA without cause upon 30 days’ prior written notice. Either party may terminate any project addendum under the PPD MSA upon the other party’s breach of the PPD MSA or project addendum upon 30 days’ prior written notice, provided that the breach is not cured within such 30-day period. Either party may terminate the PPD MSA or any project addendum thereunder upon the occurrence of certain insolvency events. ProKidney-KY and PPD also agreed to indemnify each other against certain third-party claims.</w:t>
      </w:r>
    </w:p>
    <w:p>
      <w:pPr>
        <w:pStyle w:val="TextBody"/>
        <w:spacing w:before="360" w:after="0"/>
        <w:jc w:val="left"/>
        <w:rPr>
          <w:rFonts w:ascii="Times New Roman;serif" w:hAnsi="Times New Roman;serif"/>
          <w:b/>
          <w:i/>
          <w:sz w:val="20"/>
        </w:rPr>
      </w:pPr>
      <w:r>
        <w:rPr>
          <w:rFonts w:ascii="Times New Roman;serif" w:hAnsi="Times New Roman;serif"/>
          <w:b/>
          <w:i/>
          <w:sz w:val="20"/>
        </w:rPr>
        <w:t>Master Services Agreement, dated August 14, 2015, by and between CTI Clinical Trial Services Inc. and RegenMedTX, LLC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RegenMedTX, LLC (“RegenMedTX”), then a subsidiary of ProKidney-KY, entered into a Master Services Agreement dated August 14, 2015 (the “CTI MSA”) with CTI Clinical Trial Services, Inc. &amp; CTI Clinical Consulting Services, Inc. (“CTI”), under which CTI agreed to provide RegenMedTX with certain clinical research or design and development services in connection with ProKidney-KY’s clinical trials pursuant to work orders.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RegenMedTX will own all materials, documents and information obtained by, developed by or provided to CTI by or on behalf of RegenMedTX as a part of CTI’s services or any work order thereunder. The CTI MSA will continue unless terminated by the parties. Either party may terminate the CTI MSA or a work order for any reason upon 90 days’ prior written notice to the other party or for material breach by the other party upon 30 days’ written notice, provided that the material breach has not been cured within the 30-day period. RegenMedTX may immediately terminate the CTI MSA, or a work order thereunder, if (i) the FDA withdraws authorization and approval to conduct a study or (ii) RegenMedTX reasonably determines that for medical, clinical or patient safety reasons, a study should terminate immediately.</w:t>
      </w:r>
    </w:p>
    <w:p>
      <w:pPr>
        <w:pStyle w:val="TextBody"/>
        <w:spacing w:before="360" w:after="0"/>
        <w:jc w:val="left"/>
        <w:rPr>
          <w:rFonts w:ascii="Times New Roman;serif" w:hAnsi="Times New Roman;serif"/>
          <w:b/>
          <w:i/>
          <w:sz w:val="20"/>
        </w:rPr>
      </w:pPr>
      <w:r>
        <w:rPr>
          <w:rFonts w:ascii="Times New Roman;serif" w:hAnsi="Times New Roman;serif"/>
          <w:b/>
          <w:i/>
          <w:sz w:val="20"/>
        </w:rPr>
        <w:t>Laboratory Service Agreements with LabCorp</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Laboratory Service Agreement, dated August 16, 2016, by and among Covance Central Laboratory Services LP, Covance Central Laboratory Services SA` RL and ProKidney-KY</w:t>
      </w:r>
    </w:p>
    <w:p>
      <w:pPr>
        <w:pStyle w:val="TextBody"/>
        <w:spacing w:before="108" w:after="0"/>
        <w:jc w:val="left"/>
        <w:rPr>
          <w:rFonts w:ascii="Times New Roman;serif" w:hAnsi="Times New Roman;serif"/>
          <w:b w:val="false"/>
          <w:sz w:val="20"/>
        </w:rPr>
      </w:pPr>
      <w:r>
        <w:rPr>
          <w:rFonts w:ascii="Times New Roman;serif" w:hAnsi="Times New Roman;serif"/>
          <w:b w:val="false"/>
          <w:sz w:val="20"/>
        </w:rPr>
        <w:t>In August 2016, ProKidney-KY entered into a Laboratory Service Agreement with Covance Central Laboratory Services LP and Covance Central Laboratory Services SA` RL (now known as Labcorp, as described further below) (the “2016 LSA”), under which Labcorp agreed to perform certain services for ProKidney-KY’s protocol RMCL-002.</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bookmarkStart w:id="18" w:name="bkmk_180"/>
      <w:bookmarkEnd w:id="18"/>
      <w:r>
        <w:rPr>
          <w:rFonts w:ascii="Times New Roman;serif" w:hAnsi="Times New Roman;serif"/>
          <w:b w:val="false"/>
          <w:sz w:val="20"/>
        </w:rPr>
        <w:t>The initial term of the 2016 LSA was 42 months, subject to automatic renewal for successive one-year periods unless a party provides the other party with written notice of its intention to not renew at least 60 days prior to the commencement of a renewal term. Either party may terminate the 2016 LSA upon written notice to the other party, effective immediately, if (i) the other party commits a material breach of any term of the 2016 LSA and fails to remedy such breach within a 30-day period, (ii) the other party repeatedly breaches any term of the 2016 LSA, (iii) anyone commences bankruptcy proceedings against the other party, which proceedings are not dismissed within 60 days, (iv) a court of competent jurisdiction appoints a custodian for the other party or substantially all of its assets, (v) the other party fails to pay its debts as they fall due, or (vi) any event occurs or proceeding is initiated having a similar effect to the events mentioned above. ProKidney-KY may terminate the 2016 LSA for any reason upon 90 days’ prior written notice to Labcorp. ProKidney-KY granted Labcorp an unrestricted, royalty-free license to aggregate and use any system data produced by or for Labcorp as part of the services with other system data owned or licensed by Labcorp provided Labcorp does not identify such data as belonging to ProKidney-KY.</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Laboratory Service Agreement, dated August 1, 2017, by and among Covance Central Laboratory Services LP, Covance Central Laboratory Services SA` RL and ProKidney-KY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August 2017, ProKidney-KY entered into a Laboratory Service Agreement with Labcorp (the “2017 LSA”). Under the terms of the 2017 LSA, Labcorp agreed to perform certain services for ProKidney’s protocol REGEN-003. The 2017 LSA has substantially similar terms and termination provisions to the 2016 LSA.</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Laboratory Service Agreement, dated June 21, 2019, by and among Covance Central Laboratory Services LP, Covance Central Laboratory Services SA` RL and ProKidney-KY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June 2019, ProKidney-KY entered into a Laboratory Service Agreement with Labcorp (the “2019 LSA”). Under the terms of the 2019 LSA, Labcorp agreed to perform certain services for ProKidney-KY’s protocol REGEN-004. The 2019 LSA has an initial term of 50 months and will renew automatically for successive one-year periods unless a party provides the other party with written notice of its intention to not renew at least 60 days prior to the commencement of a renewal term. The parties may terminate the 2019 LSA under terms that are substantially similar to the termination provisions of the 2016 LSA and 2017 LSA.</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Laboratory Service Agreement, dated September 16, 2021, by and among Labcorp Central Laboratory Services LP, Labcorp Central Laboratory Services SA` RL and ProKidney-KY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ProKidney-KY and Labcorp Central Laboratory Services LP (formerly known as Covance Central Laboratory Services LP) and Labcorp Central Laboratory Services SA` RL (formerly known as Covance Central Laboratory Services SA` RL) (Collectively, “Labcorp”) entered into a Laboratory Service Agreement dated September 16, 2021 (the “Labcorp LSA”), under which Labcorp agreed to perform certain services for ProKidney-KY’s protocol REGEN-006.</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term of the Labcorp LSA will continue until the conclusion of the REGEN-006 study. Either party may terminate the Labcorp LSA under terms that are substantially similar to the termination provisions of the 2016 LSA, the 2017 LSA and the 2019 LSA, as well as pursuant to certain insolvency events. ProKidney-KY and Labcorp also agreed to indemnify each other against certain third-party claims. ProKidney-KY granted Labcorp an unrestricted, royalty-free license to aggregate and use any system data produced by or for Labcorp as part of the services with other system data owned or licensed by Labcorp provided Labcorp does not identify such data as belonging to ProKidney-KY.</w:t>
      </w:r>
    </w:p>
    <w:p>
      <w:pPr>
        <w:pStyle w:val="TextBody"/>
        <w:spacing w:before="360" w:after="0"/>
        <w:jc w:val="left"/>
        <w:rPr>
          <w:rFonts w:ascii="Times New Roman;serif" w:hAnsi="Times New Roman;serif"/>
          <w:b/>
          <w:sz w:val="20"/>
        </w:rPr>
      </w:pPr>
      <w:r>
        <w:rPr>
          <w:rFonts w:ascii="Times New Roman;serif" w:hAnsi="Times New Roman;serif"/>
          <w:b/>
          <w:sz w:val="20"/>
        </w:rPr>
        <w:t>Intellectual Property</w:t>
      </w:r>
    </w:p>
    <w:p>
      <w:pPr>
        <w:pStyle w:val="TextBody"/>
        <w:spacing w:before="108" w:after="0"/>
        <w:jc w:val="left"/>
        <w:rPr>
          <w:rFonts w:ascii="Times New Roman;serif" w:hAnsi="Times New Roman;serif"/>
          <w:b w:val="false"/>
          <w:sz w:val="20"/>
        </w:rPr>
      </w:pPr>
      <w:r>
        <w:rPr>
          <w:rFonts w:ascii="Times New Roman;serif" w:hAnsi="Times New Roman;serif"/>
          <w:b w:val="false"/>
          <w:sz w:val="20"/>
        </w:rPr>
        <w:t>Our success depends in part on our ability to obtain and maintain proprietary protection for our product candidates, technology and know-how, to operate without infringing the proprietary rights of others and to prevent others from infringing our proprietary rights. Our policy is to seek to protect our proprietary position by, among other methods, pursuing and obtaining patent protection in the United States and in jurisdictions outside of the United States related to our proprietary technology, inventions, improvements, and product candidates that are important to the development and implementation of our business. For example, we have or are pursuing patents covering the composition of matter for each of our product candidates and we generally pursue patent protection covering methods-of-use for each clinical trial. We also rely on trade secrets, know-how, continuing technological innovation and potential in-licensing opportunities to develop and maintain our proprietary position. Additionally, we expect to benefit, where appropriate, from statutory frameworks in the United States, Europe and other countries that provide a period of clinical data exclusivity to compensate for the time required for regulatory approval of our products.</w:t>
      </w:r>
    </w:p>
    <w:p>
      <w:pPr>
        <w:pStyle w:val="TextBody"/>
        <w:spacing w:before="216" w:after="0"/>
        <w:jc w:val="left"/>
        <w:rPr>
          <w:rFonts w:ascii="Times New Roman;serif" w:hAnsi="Times New Roman;serif"/>
          <w:b w:val="false"/>
          <w:sz w:val="20"/>
        </w:rPr>
      </w:pPr>
      <w:r>
        <w:rPr>
          <w:rFonts w:ascii="Times New Roman;serif" w:hAnsi="Times New Roman;serif"/>
          <w:b w:val="false"/>
          <w:sz w:val="20"/>
        </w:rPr>
        <w:t>We continually assess and refine our intellectual property strategy as we develop new technologies and product candidates. We plan to file additional patent applications based on our intellectual property strategies where appropriate, including where we seek to adapt to competition or to improve business opportunities. Further, we plan to file patent applications, as we consider appropriate under the circumstances, to protect new technologies that we develop.</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216" w:after="0"/>
        <w:jc w:val="left"/>
        <w:rPr>
          <w:rFonts w:ascii="Times New Roman;serif" w:hAnsi="Times New Roman;serif"/>
          <w:b w:val="false"/>
          <w:sz w:val="20"/>
        </w:rPr>
      </w:pPr>
      <w:r>
        <w:rPr>
          <w:rFonts w:ascii="Times New Roman;serif" w:hAnsi="Times New Roman;serif"/>
          <w:b w:val="false"/>
          <w:sz w:val="20"/>
        </w:rPr>
        <w:t>To cover our proprietary technologies, proprietary cell-based REACT product and related methods, such as methods of use, we have filed patent applications representing 15 patent families. As of December 31, 2022, our patent estate, which is solely owned, included 286 total issued patents or pending patent applications with nine issued U.S. patents, nine pending U.S. non-provisional patent applications, two pending U.S. provisional patent applications, two pending Patent Cooperation Treaty (PCT) applications, 160 issued foreign patents and 104 pending foreign patent applications in various foreign jurisdictions.</w:t>
      </w:r>
    </w:p>
    <w:p>
      <w:pPr>
        <w:pStyle w:val="TextBody"/>
        <w:spacing w:before="216" w:after="0"/>
        <w:jc w:val="left"/>
        <w:rPr>
          <w:rFonts w:ascii="Times New Roman;serif" w:hAnsi="Times New Roman;serif"/>
          <w:b w:val="false"/>
          <w:sz w:val="20"/>
        </w:rPr>
      </w:pPr>
      <w:r>
        <w:rPr>
          <w:rFonts w:ascii="Times New Roman;serif" w:hAnsi="Times New Roman;serif"/>
          <w:b w:val="false"/>
          <w:sz w:val="20"/>
        </w:rPr>
        <w:t>Specifically, our patent family with claims directed to cells formulated in REACT, implantable constructs, and methods of using the same to, for example, improve kidney function or treat kidney disease, includes 31 issued patents and nine pending patent applications. Patents in this family have been issued in nine jurisdictions, including the United States (three issued patents), Europe (two issued patents, each separately validated in seven countries), China, Japan, and South Korea. Issued patents and any further patents that may be issued from this family’s nine pending applications are expected to expire in 2029 absent any patent term adjustments or extensions.</w:t>
      </w:r>
    </w:p>
    <w:p>
      <w:pPr>
        <w:pStyle w:val="TextBody"/>
        <w:spacing w:before="216" w:after="0"/>
        <w:jc w:val="left"/>
        <w:rPr>
          <w:rFonts w:ascii="Times New Roman;serif" w:hAnsi="Times New Roman;serif"/>
          <w:b w:val="false"/>
          <w:sz w:val="20"/>
        </w:rPr>
      </w:pPr>
      <w:r>
        <w:rPr>
          <w:rFonts w:ascii="Times New Roman;serif" w:hAnsi="Times New Roman;serif"/>
          <w:b w:val="false"/>
          <w:sz w:val="20"/>
        </w:rPr>
        <w:t>We also own two patent families directed to our REACT formulations and methods of preparing the formulations. Across these families, we have 16 issued patents in multiple jurisdictions, including the United States, China, Japan, South Korea, and Canada. We also have 13 patent applications that are pending in multiple jurisdictions, including Europe, China, Canada, Mexico, and Australia. Patents across these two patent families, including any patents that may be issued from the pending applications, are expected to expire between 2031 and 2038, depending upon their respective filing dates and absent any patent term adjustments or extensions.</w:t>
      </w:r>
    </w:p>
    <w:p>
      <w:pPr>
        <w:pStyle w:val="TextBody"/>
        <w:spacing w:before="216" w:after="0"/>
        <w:jc w:val="left"/>
        <w:rPr>
          <w:rFonts w:ascii="Times New Roman;serif" w:hAnsi="Times New Roman;serif"/>
          <w:b w:val="false"/>
          <w:sz w:val="20"/>
        </w:rPr>
      </w:pPr>
      <w:r>
        <w:rPr>
          <w:rFonts w:ascii="Times New Roman;serif" w:hAnsi="Times New Roman;serif"/>
          <w:b w:val="false"/>
          <w:sz w:val="20"/>
        </w:rPr>
        <w:t>Additionally, we own two patent families with claims directed to quality control methods for ensuring that renal cells for formulation in REACT, prepared by our proprietary methods, have phenotypic and functional profiles indicative of therapeutic activity. Within the first patent family, we have 58 issued patents in various jurisdictions, including the United States (two issued patents), Europe (two issued patents, one of which has been validated in 21 countries and the other has been validated in 20 countries), China, Japan (two issued patents), South Korea (two issued patents), Hong Kong, Australia (two issued patents), and New Zealand (two issued patents) and are expected to expire in 2033 absent any patent term adjustments or extensions. We also have nine patent applications that are pending in multiple jurisdictions, including the United States, Europe, Australia, China, and South Korea, and are expected to expire in 2033 absent any patent term adjustments or extensions. Our second patent family includes a PCT stage application. Any patents that issue from a national or regional stage application filed from this PCT application are expected to expire in 2041 absent any patent term adjustments or extensions.</w:t>
      </w:r>
    </w:p>
    <w:p>
      <w:pPr>
        <w:pStyle w:val="TextBody"/>
        <w:spacing w:before="216" w:after="0"/>
        <w:jc w:val="left"/>
        <w:rPr>
          <w:rFonts w:ascii="Times New Roman;serif" w:hAnsi="Times New Roman;serif"/>
          <w:b w:val="false"/>
          <w:sz w:val="20"/>
        </w:rPr>
      </w:pPr>
      <w:r>
        <w:rPr>
          <w:rFonts w:ascii="Times New Roman;serif" w:hAnsi="Times New Roman;serif"/>
          <w:b w:val="false"/>
          <w:sz w:val="20"/>
        </w:rPr>
        <w:t>We further own three patent families directed to methods of improving kidney function and/or in treating kidney disease, e.g., diabetic kidney disease or kidney disease resulting from a congenital anomaly. Across these families, we have three issued patents, including one U.S. patent and 30 pending patent applications filed in 15 jurisdictions, including the United States, Europe, Hong Kong, China, Korea, Japan, Australia, Brazil, Mexico, Israel, Canada, and Mexico. Our issued U.S. patent is expected to expire in 2037 absent any patent term adjustments or extensions. Patents across all three patent families, if issued, are expected to expire between 2036 and 2042, depending upon their respective filing dates and absent any patent term adjustments or extensions.</w:t>
      </w:r>
    </w:p>
    <w:p>
      <w:pPr>
        <w:pStyle w:val="TextBody"/>
        <w:spacing w:before="216" w:after="0"/>
        <w:jc w:val="left"/>
        <w:rPr>
          <w:rFonts w:ascii="Times New Roman;serif" w:hAnsi="Times New Roman;serif"/>
          <w:b w:val="false"/>
          <w:sz w:val="20"/>
        </w:rPr>
      </w:pPr>
      <w:r>
        <w:rPr>
          <w:rFonts w:ascii="Times New Roman;serif" w:hAnsi="Times New Roman;serif"/>
          <w:b w:val="false"/>
          <w:sz w:val="20"/>
        </w:rPr>
        <w:t>In addition, we plan to file additional applications on aspects of our innovations that may have patent terms that extend beyond these dates.</w:t>
      </w:r>
    </w:p>
    <w:p>
      <w:pPr>
        <w:pStyle w:val="TextBody"/>
        <w:spacing w:before="216" w:after="0"/>
        <w:jc w:val="left"/>
        <w:rPr>
          <w:rFonts w:ascii="Times New Roman" w:hAnsi="Times New Roman"/>
          <w:sz w:val="20"/>
        </w:rPr>
      </w:pPr>
      <w:bookmarkStart w:id="19" w:name="bkmk_182"/>
      <w:bookmarkEnd w:id="19"/>
      <w:r>
        <w:rPr>
          <w:rFonts w:ascii="Times New Roman;serif" w:hAnsi="Times New Roman;serif"/>
          <w:b w:val="false"/>
          <w:sz w:val="20"/>
        </w:rPr>
        <w:t>The term of individual patents depends upon the laws of the countries in which they are obtained. In the countries in which we currently file, the patent term is 20 years from the earliest date of filing of a non-provisional patent application, which serves as a priority application. However, the term of a U.S. patent may be extended to compensate for the time required to obtain regulatory approval to sell a medicine (a patent term extension) or by delays encountered during patent prosecution that are caused by the United States Patent and Trademark Office (the “USPTO”) (referred to as</w:t>
      </w:r>
      <w:r>
        <w:rPr>
          <w:rFonts w:ascii="Times New Roman" w:hAnsi="Times New Roman"/>
          <w:sz w:val="20"/>
        </w:rPr>
        <w:t xml:space="preserve"> </w:t>
      </w:r>
      <w:r>
        <w:rPr>
          <w:rFonts w:ascii="Times New Roman;serif" w:hAnsi="Times New Roman;serif"/>
          <w:b w:val="false"/>
          <w:sz w:val="20"/>
        </w:rPr>
        <w:t>patent term adjustment). For example, the Hatch-Waxman Act permits a patent term extension for FDA-approved medicines of up to five years beyond the expiration of the patent. The length of the patent term extension is related to the length of time the medicine is under regulatory review and diligence during the review process. Patent term extensions cannot extend the remaining term of a patent beyond a total of 14 years from the date of product approval and only one patent covering an approved medicine or its method of use may be extended. A similar kind of patent extension, referred to as a Supplementary Protection Certificate, is available in Europe. Legal frameworks are also available in certain other jurisdictions to extend the term of a patent. We currently intend to seek patent term extensions on any of our issued patents in any jurisdiction where we have a qualifying patent and the extension is available; however there is no guarantee that the applicable regulatory authorities, including the FDA in the United States, will agree with our assessment of whether such extensions should be granted, and even if granted, the length of such extensions. Further, even if our patent is extended, the patent, including the extended portion of the patent, may be held invalid or unenforceable by a court of final jurisdiction in the United States or a foreign country.</w:t>
      </w:r>
    </w:p>
    <w:p>
      <w:pPr>
        <w:pStyle w:val="TextBody"/>
        <w:spacing w:before="216" w:after="0"/>
        <w:jc w:val="left"/>
        <w:rPr>
          <w:rFonts w:ascii="Times New Roman" w:hAnsi="Times New Roman"/>
          <w:sz w:val="20"/>
        </w:rPr>
      </w:pPr>
      <w:r>
        <w:rPr>
          <w:rFonts w:ascii="Times New Roman;serif" w:hAnsi="Times New Roman;serif"/>
          <w:b w:val="false"/>
          <w:sz w:val="20"/>
        </w:rPr>
        <w:t>As with other biotechnology and pharmaceutical companies, our ability to obtain and maintain a proprietary position on our product candidates and technologies will depend on our success in obtaining effective patent claims on these pending patents and enforcing those claims if granted. However, our pending patent applications, and any patent applications that we may in the future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216" w:after="0"/>
        <w:jc w:val="left"/>
        <w:rPr>
          <w:rFonts w:ascii="Times New Roman;serif" w:hAnsi="Times New Roman;serif"/>
          <w:b w:val="false"/>
          <w:sz w:val="20"/>
        </w:rPr>
      </w:pPr>
      <w:r>
        <w:rPr>
          <w:rFonts w:ascii="Times New Roman;serif" w:hAnsi="Times New Roman;serif"/>
          <w:b w:val="false"/>
          <w:sz w:val="20"/>
        </w:rPr>
        <w:t>file or license from third parties, may not result in the issuance of patents. We also cannot predict the breadth of claims that may be allowed or enforced in our patents. Furthermore, our competitors may be able to independently develop and commercialize products with similar mechanisms of action and duplicate our methods of treatments or strategies without infringing our patents. Because of the extensive time required for clinical development and regulatory review of a therapeutic product we may develop, it is possible that, before any of our products can be commercialized, any related patent may expire or remain in force for only a short period following commercialization, thereby reducing any advantage of any such patent. Moreover, even our issued patents do not guarantee us the right to practice our technology in relation to the commercialization of our clinical candidates. The area of patent and other intellectual property rights in pharmaceuticals is an evolving one with many risks and uncertainties, and third parties may have blocking patents that could be used to prevent us from commercializing our clinical candidates.</w:t>
      </w:r>
    </w:p>
    <w:p>
      <w:pPr>
        <w:pStyle w:val="TextBody"/>
        <w:spacing w:before="216" w:after="0"/>
        <w:jc w:val="left"/>
        <w:rPr>
          <w:rFonts w:ascii="Times New Roman;serif" w:hAnsi="Times New Roman;serif"/>
          <w:b w:val="false"/>
          <w:sz w:val="20"/>
        </w:rPr>
      </w:pPr>
      <w:r>
        <w:rPr>
          <w:rFonts w:ascii="Times New Roman;serif" w:hAnsi="Times New Roman;serif"/>
          <w:b w:val="false"/>
          <w:sz w:val="20"/>
        </w:rPr>
        <w:t>The biotechnology and pharmaceutical industries are characterized by extensive litigation regarding patents and other intellectual property rights. Our ability to obtain and maintain our proprietary position for our product candidates and technology will depend on our success in enforcing the claims that have been granted or may grant. However, any of our patents, including patents that we may rely on to protect our market for approved therapeutics, may be held invalid or unenforceable by a court of final jurisdiction. Alternatively, we may decide that it is in our interest to settle a litigation in a manner that affects the term or enforceability of our patent. Changes in either the patent laws or in interpretations of patent laws in the United States and other countries may diminish our ability to protect our inventions and enforce our intellectual property rights. Accordingly, we cannot predict the breadth or enforceability of claims that have been or may be granted in our patents or in third-party patents.</w:t>
      </w:r>
    </w:p>
    <w:p>
      <w:pPr>
        <w:pStyle w:val="TextBody"/>
        <w:spacing w:before="360" w:after="0"/>
        <w:jc w:val="left"/>
        <w:rPr>
          <w:rFonts w:ascii="Times New Roman;serif" w:hAnsi="Times New Roman;serif"/>
          <w:b/>
          <w:i/>
          <w:sz w:val="20"/>
        </w:rPr>
      </w:pPr>
      <w:r>
        <w:rPr>
          <w:rFonts w:ascii="Times New Roman;serif" w:hAnsi="Times New Roman;serif"/>
          <w:b/>
          <w:i/>
          <w:sz w:val="20"/>
        </w:rPr>
        <w:t>Trade secrets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to patents, we rely upon unpatented trade secrets and know-how and continuing technological innovation to develop and maintain our competitive position. We seek to protect our proprietary information, in part, using confidentiality agreements with our commercial partners, collaborators, employees, and consultants, and invention assignment agreements with our employees.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w:t>
      </w:r>
    </w:p>
    <w:p>
      <w:pPr>
        <w:pStyle w:val="TextBody"/>
        <w:spacing w:before="360" w:after="0"/>
        <w:jc w:val="left"/>
        <w:rPr>
          <w:rFonts w:ascii="Times New Roman;serif" w:hAnsi="Times New Roman;serif"/>
          <w:b/>
          <w:sz w:val="20"/>
        </w:rPr>
      </w:pPr>
      <w:r>
        <w:rPr>
          <w:rFonts w:ascii="Times New Roman;serif" w:hAnsi="Times New Roman;serif"/>
          <w:b/>
          <w:sz w:val="20"/>
        </w:rPr>
        <w:t>Government regulation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United States, biological products, including cell-based regenerative therapy products, are subject to regulation under the Federal Food, Drug, and Cosmetic Act (the “FD&amp;C Act”), the Public Health Service Act (the “PHS Act”) and other federal, state, local and foreign statutes and regulations. Both the FD&amp;C Act and the PHS Act and their corresponding regulations govern, among other things, the research, development, clinical trial, testing, manufacturing, safety, efficacy, labeling, packaging, storage, record keeping, distribution, reporting, advertising and other promotional practices involving biological products. Each clinical trial protocol for a cell-based therapy product must be reviewed by the FDA. FDA approval must be obtained before the marketing of any biological product. The process of obtaining regulatory approvals and the subsequent compliance with appropriate federal, state, local and foreign statutes and regulations requires the expenditure of substantial time and financial resources and we may not be able to obtain the required regulatory approvals.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Ethical, social and legal concerns about gene or cell-based therapies, genetic testing and genetic research could result in additional laws and regulations restricting or prohibiting the processes we may use. Federal and state legislatures, agencies, congressional committees and foreign governments have expressed interest in further regulating biotechnology. More restrictive laws and regulations or interpretations of existing laws or regulations, or claims that our product candidates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pStyle w:val="TextBody"/>
        <w:spacing w:before="360" w:after="0"/>
        <w:jc w:val="left"/>
        <w:rPr>
          <w:rFonts w:ascii="Times New Roman;serif" w:hAnsi="Times New Roman;serif"/>
          <w:b/>
          <w:i/>
          <w:sz w:val="20"/>
        </w:rPr>
      </w:pPr>
      <w:r>
        <w:rPr>
          <w:rFonts w:ascii="Times New Roman;serif" w:hAnsi="Times New Roman;serif"/>
          <w:b/>
          <w:i/>
          <w:sz w:val="20"/>
        </w:rPr>
        <w:t>U.S. biological products development process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process required by the FDA before a biological product may be marketed in the United States generally involves the following:</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completion of nonclinical laboratory tests and animal studies according to Good Laboratory Practices (“GLP”), and applicable requirements for the humane use of laboratory animals or other applicable regulations;</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submission to the FDA of an application for an investigational new drug (“IND”) application which must become effective before human clinical trials may begin;</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approval of the protocol and related documentation by an investigational review board (“IRB”) or ethics committee at each clinical trial site before each clinical trial may be initiated;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performance of adequate and well-controlled human clinical trials according to applicable IND regulations, good clinical practices, or Good Clinical Practices (“GCPs”) and other clinical-trial related regulation, to evaluate the safety and efficacy of the investigational biological product for each proposed indication;</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submission to the FDA of a Biologics License Application (“BLA”) for marketing approval that includes sufficient evidence of establishing the safety, purity, and potency of the proposed biological product for each proposed indication, including from results of nonclinical testing and clinical trials;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satisfactory completion of an FDA inspection of the manufacturing facility or facilities where the biological product is produced to assess compliance with cGMP to assure that the facilities, methods and controls are adequate to preserve the biological product’s identity, strength, quality and purity and, if applicable, compliance with the FDA’s current Good Tissue Practices (“cGTPs”) for the use of human cellular and tissue products;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potential FDA audit of the nonclinical study and clinical trial sites to assure compliance with GLP and GCP and the integrity of the clinical data submitted in support of the BLA;</w:t>
            </w:r>
          </w:p>
        </w:tc>
      </w:tr>
    </w:tbl>
    <w:p>
      <w:pPr>
        <w:pStyle w:val="TextBody"/>
        <w:spacing w:before="0" w:after="0"/>
        <w:jc w:val="left"/>
        <w:rPr/>
      </w:pPr>
      <w:r>
        <w:rPr/>
        <w:t> </w:t>
      </w:r>
    </w:p>
    <w:tbl>
      <w:tblPr>
        <w:tblW w:w="8788" w:type="dxa"/>
        <w:jc w:val="left"/>
        <w:tblInd w:w="0" w:type="dxa"/>
        <w:tblCellMar>
          <w:top w:w="28" w:type="dxa"/>
          <w:left w:w="28" w:type="dxa"/>
          <w:bottom w:w="28" w:type="dxa"/>
          <w:right w:w="28" w:type="dxa"/>
        </w:tblCellMar>
      </w:tblPr>
      <w:tblGrid>
        <w:gridCol w:w="177"/>
        <w:gridCol w:w="272"/>
        <w:gridCol w:w="162"/>
        <w:gridCol w:w="817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17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817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review of the product candidate by an FDA advisory committee, where appropriate or if applicable;</w:t>
            </w:r>
          </w:p>
        </w:tc>
      </w:tr>
    </w:tbl>
    <w:p>
      <w:pPr>
        <w:pStyle w:val="TextBody"/>
        <w:spacing w:before="0" w:after="0"/>
        <w:jc w:val="left"/>
        <w:rPr/>
      </w:pPr>
      <w:r>
        <w:rPr/>
        <w:t> </w:t>
      </w:r>
    </w:p>
    <w:tbl>
      <w:tblPr>
        <w:tblW w:w="7363" w:type="dxa"/>
        <w:jc w:val="left"/>
        <w:tblInd w:w="0" w:type="dxa"/>
        <w:tblCellMar>
          <w:top w:w="28" w:type="dxa"/>
          <w:left w:w="28" w:type="dxa"/>
          <w:bottom w:w="28" w:type="dxa"/>
          <w:right w:w="28" w:type="dxa"/>
        </w:tblCellMar>
      </w:tblPr>
      <w:tblGrid>
        <w:gridCol w:w="177"/>
        <w:gridCol w:w="272"/>
        <w:gridCol w:w="162"/>
        <w:gridCol w:w="675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75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675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payment of user fees for FDA review of the BLA (unless a fee waiver applies); and</w:t>
            </w:r>
          </w:p>
        </w:tc>
      </w:tr>
    </w:tbl>
    <w:p>
      <w:pPr>
        <w:pStyle w:val="TextBody"/>
        <w:spacing w:before="0" w:after="0"/>
        <w:jc w:val="left"/>
        <w:rPr/>
      </w:pPr>
      <w:r>
        <w:rPr/>
        <w:t> </w:t>
      </w:r>
    </w:p>
    <w:tbl>
      <w:tblPr>
        <w:tblW w:w="4918" w:type="dxa"/>
        <w:jc w:val="left"/>
        <w:tblInd w:w="0" w:type="dxa"/>
        <w:tblCellMar>
          <w:top w:w="28" w:type="dxa"/>
          <w:left w:w="28" w:type="dxa"/>
          <w:bottom w:w="28" w:type="dxa"/>
          <w:right w:w="28" w:type="dxa"/>
        </w:tblCellMar>
      </w:tblPr>
      <w:tblGrid>
        <w:gridCol w:w="177"/>
        <w:gridCol w:w="272"/>
        <w:gridCol w:w="162"/>
        <w:gridCol w:w="430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430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430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FDA review and approval, or licensure, of the BLA.</w:t>
            </w:r>
          </w:p>
        </w:tc>
      </w:tr>
    </w:tbl>
    <w:p>
      <w:pPr>
        <w:pStyle w:val="TextBody"/>
        <w:spacing w:before="0" w:after="0"/>
        <w:jc w:val="left"/>
        <w:rPr/>
      </w:pPr>
      <w:r>
        <w:rPr/>
        <w:t> </w:t>
      </w:r>
    </w:p>
    <w:p>
      <w:pPr>
        <w:pStyle w:val="TextBody"/>
        <w:spacing w:before="360" w:after="0"/>
        <w:jc w:val="left"/>
        <w:rPr>
          <w:rFonts w:ascii="Times New Roman;serif" w:hAnsi="Times New Roman;serif"/>
          <w:b w:val="false"/>
          <w:i/>
          <w:sz w:val="20"/>
        </w:rPr>
      </w:pPr>
      <w:bookmarkStart w:id="20" w:name="bkmk_184"/>
      <w:bookmarkEnd w:id="20"/>
      <w:r>
        <w:rPr>
          <w:rFonts w:ascii="Times New Roman;serif" w:hAnsi="Times New Roman;serif"/>
          <w:b w:val="false"/>
          <w:i/>
          <w:sz w:val="20"/>
        </w:rPr>
        <w:t>Preclinical Testing</w:t>
      </w:r>
    </w:p>
    <w:p>
      <w:pPr>
        <w:pStyle w:val="TextBody"/>
        <w:spacing w:before="120" w:after="0"/>
        <w:jc w:val="left"/>
        <w:rPr>
          <w:rFonts w:ascii="Times New Roman" w:hAnsi="Times New Roman"/>
          <w:sz w:val="20"/>
        </w:rPr>
      </w:pPr>
      <w:r>
        <w:rPr>
          <w:rFonts w:ascii="Times New Roman;serif" w:hAnsi="Times New Roman;serif"/>
          <w:b w:val="false"/>
          <w:sz w:val="20"/>
        </w:rPr>
        <w:t xml:space="preserve">Before testing any biological product candidate, including a cell-based regenerative therapy product, in humans, the product candidate enters the preclinical testing stage. Preclinical tests, also referred to as nonclinical studies, include laboratory evaluations of a product candidate’s biological characteristics, chemistry, toxicity, stability and formulation, as well as animal studies to assess the potential safety and activity of the product candidate.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 The Consolidated Appropriations Act for 2023, signed into law on December 29, 2022, (P.L. 117-328) amended the Federal Food, Drug, and Cosmetic Act (the “FDCA”) and the Public Health Service Act to specify that nonclinical testing for drugs and biologics may, but is not required to, include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 xml:space="preserve">animal testing. According to the amended language, a sponsor may fulfill nonclinical testing requirements by completing various </w:t>
      </w:r>
      <w:r>
        <w:rPr>
          <w:rFonts w:ascii="Times New Roman;serif" w:hAnsi="Times New Roman;serif"/>
          <w:b w:val="false"/>
          <w:i/>
          <w:sz w:val="20"/>
        </w:rPr>
        <w:t>in vitro</w:t>
      </w:r>
      <w:r>
        <w:rPr>
          <w:rFonts w:ascii="Times New Roman" w:hAnsi="Times New Roman"/>
          <w:sz w:val="20"/>
        </w:rPr>
        <w:t xml:space="preserve"> </w:t>
      </w:r>
      <w:r>
        <w:rPr>
          <w:rFonts w:ascii="Times New Roman;serif" w:hAnsi="Times New Roman;serif"/>
          <w:b w:val="false"/>
          <w:sz w:val="20"/>
        </w:rPr>
        <w:t xml:space="preserve">assays (e.g., cell-based assays, organ chips, or microphysiological systems), </w:t>
      </w:r>
      <w:r>
        <w:rPr>
          <w:rFonts w:ascii="Times New Roman;serif" w:hAnsi="Times New Roman;serif"/>
          <w:b w:val="false"/>
          <w:i/>
          <w:sz w:val="20"/>
        </w:rPr>
        <w:t>in silico</w:t>
      </w:r>
      <w:r>
        <w:rPr>
          <w:rFonts w:ascii="Times New Roman" w:hAnsi="Times New Roman"/>
          <w:sz w:val="20"/>
        </w:rPr>
        <w:t xml:space="preserve"> </w:t>
      </w:r>
      <w:r>
        <w:rPr>
          <w:rFonts w:ascii="Times New Roman;serif" w:hAnsi="Times New Roman;serif"/>
          <w:b w:val="false"/>
          <w:sz w:val="20"/>
        </w:rPr>
        <w:t xml:space="preserve">studies (i.e., computer modeling), other human or nonhuman biology-based tests (e.g., bioprinting), or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animal tests.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conduct of the preclinical tests must comply with federal regulations and requirements including GLP. Some long-term preclinical testing, such as animal tests of reproductive adverse events and carcinogenicity, may continue after an IND for an investigational drug candidate is submitted to the FDA and human clinical trials have been initiated.</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Human clinical trials in support of a BLA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Clinical trials involve the administration of the product candidate to human subjects under the supervision of qualified investigators and in accordance with GCP requirements and protocols detailing the objectives of the study, the parameters to be used in monitoring the safety and effectiveness criteria to be evaluated. Each protocol must be submitted to the FDA as part of the IND. Study subjects must sign an informed consent form before participating in a clinical trial. There are also requirements governing the reporting of on-going clinical trials and clinical trial results to public registries.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IND provides an exemption from the FD&amp;C Act that allows an unapproved product candidate to be shipped in interstate commerce for use in an investigational clinical trial and is also a request for FDA authorization to administer such investigational product to humans. Such authorization must be secured prior to interstate shipment and administration of any biologic product candidate that is not the subject of an approved BLA. In support of a request for an IND, an applicant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must be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An IND automatically becomes effective 30 days after receipt by the FDA, unless before that time the FDA issues a notice expressly authorizing the proposed trial to proceed or raises concerns or questions related to one or more proposed clinical trials and places the clinical trial on a clinical hold. If FDA raises concerns or places the trial on clinical hold, the IND sponsor and the agency must resolve any outstanding concerns before the proposed trials can begin.</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a result, submission of an IND may not result in the FDA allowing clinical trials to commence.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Following commencement of a clinical trial,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w:t>
      </w:r>
    </w:p>
    <w:p>
      <w:pPr>
        <w:pStyle w:val="TextBody"/>
        <w:spacing w:before="120" w:after="0"/>
        <w:jc w:val="left"/>
        <w:rPr>
          <w:rFonts w:ascii="Times New Roman" w:hAnsi="Times New Roman"/>
          <w:sz w:val="20"/>
        </w:rPr>
      </w:pPr>
      <w:bookmarkStart w:id="21" w:name="bkmk_185"/>
      <w:bookmarkEnd w:id="21"/>
      <w:r>
        <w:rPr>
          <w:rFonts w:ascii="Times New Roman;serif" w:hAnsi="Times New Roman;serif"/>
          <w:b w:val="false"/>
          <w:sz w:val="20"/>
        </w:rPr>
        <w:t>A sponsor may choose, but is not required, to conduct a foreign clinical trial under an IND. When a foreign clinical trial is conducted under an IND, all FDA IND requirements must be met unless waived. When a foreign clinical trial is not conducted under an IND, the sponsor must ensure that the study complies with certain</w:t>
      </w:r>
      <w:r>
        <w:rPr>
          <w:rFonts w:ascii="Times New Roman" w:hAnsi="Times New Roman"/>
          <w:sz w:val="20"/>
        </w:rPr>
        <w:t xml:space="preserve"> </w:t>
      </w:r>
      <w:r>
        <w:rPr>
          <w:rFonts w:ascii="Times New Roman;serif" w:hAnsi="Times New Roman;serif"/>
          <w:b w:val="false"/>
          <w:sz w:val="20"/>
        </w:rPr>
        <w:t>regulatory requirements of the FDA in order to use the study as support for an IND or application for marketing approval or licensing. In particular, such studies must be conducted in accordance with GCP, including review and approval by an independent ethics committee (an “IEC”) and informed consent from subjects and must meet other clinical trial requirements, such as sufficient patient population size and statistical powering. The FDA must be able to validate the data through an onsite inspection, if deemed necessary by the FDA.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Some trials are overseen by an independent group of qualified experts organized by the trial sponsor, known as a Data Safety Monitoring Board (“DSMB”). This group provides authorization as to whether or not a trial may move forward at designated check points based on access that only the group maintains to available data from the study.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Information about certain clinical trials, including details of the protocol and eventually study results, also must be submitted within specific timeframes to the National Institutes of Health for public dissemination on the ClinicalTrials.gov data registry. Information related to the product, patient population, phase of investigation, study sites and investigators and other aspects of the clinical trial is made public as part of the registration of the clinical trial. Sponsors are also obligated to disclose the results of their clinical trials after completion. Disclosure of the results of these trials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The National Institutes of Health’s (“NIH’s”) Final Rule on ClinicalTrials.gov registration and reporting requirements became effective in 2017, and both NIH and FDA have brought enforcement actions against non-compliant clinical trial sponsors.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Clinical trials typically are conducted in three sequential phases that may overlap or be combined:</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 w:hAnsi="Times New Roman"/>
                <w:sz w:val="20"/>
              </w:rPr>
            </w:pPr>
            <w:r>
              <w:rPr>
                <w:rFonts w:ascii="Times New Roman;serif" w:hAnsi="Times New Roman;serif"/>
                <w:b w:val="false"/>
                <w:i/>
                <w:sz w:val="20"/>
              </w:rPr>
              <w:t>Phase 1</w:t>
            </w:r>
            <w:r>
              <w:rPr>
                <w:rFonts w:ascii="Times New Roman;serif" w:hAnsi="Times New Roman;serif"/>
                <w:b w:val="false"/>
                <w:sz w:val="20"/>
              </w:rPr>
              <w:t>. The product candidate is initially introduced into healthy human subjects and tested for safety, dosage tolerance, absorption, metabolism, distribution and excretion. In the case of some product candidates for severe or life-threatening diseases, especially when the product candidate may be too inherently toxic to ethically administer to healthy volunteers, the initial human testing is often conducted in patients.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 w:hAnsi="Times New Roman"/>
                <w:sz w:val="20"/>
              </w:rPr>
            </w:pPr>
            <w:r>
              <w:rPr>
                <w:rFonts w:ascii="Times New Roman;serif" w:hAnsi="Times New Roman;serif"/>
                <w:b w:val="false"/>
                <w:i/>
                <w:sz w:val="20"/>
              </w:rPr>
              <w:t>Phase 2</w:t>
            </w:r>
            <w:r>
              <w:rPr>
                <w:rFonts w:ascii="Times New Roman;serif" w:hAnsi="Times New Roman;serif"/>
                <w:b w:val="false"/>
                <w:sz w:val="20"/>
              </w:rPr>
              <w:t>. The product candidate is evaluated in a limited patient population to identify possible adverse effects and safety risks, to preliminarily evaluate the efficacy of the product candidate for specific targeted diseases and to determine dosage tolerance, optimal dosage and dosing schedule.</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 w:hAnsi="Times New Roman"/>
                <w:sz w:val="20"/>
              </w:rPr>
            </w:pPr>
            <w:r>
              <w:rPr>
                <w:rFonts w:ascii="Times New Roman;serif" w:hAnsi="Times New Roman;serif"/>
                <w:b w:val="false"/>
                <w:i/>
                <w:sz w:val="20"/>
              </w:rPr>
              <w:t>Phase 3</w:t>
            </w:r>
            <w:r>
              <w:rPr>
                <w:rFonts w:ascii="Times New Roman;serif" w:hAnsi="Times New Roman;serif"/>
                <w:b w:val="false"/>
                <w:sz w:val="20"/>
              </w:rPr>
              <w:t>. Clinical trials are undertaken to further evaluate dosage, clinical efficacy, potency, and safety in an expanded patient population at geographically dispersed clinical trial sites. These clinical trials are intended to establish the overall risk/benefit ratio of the product candidate and provide, if appropriate, an adequate basis for approval and product labeling. These trials may include comparisons with placebo and/or other comparator treatments. The duration of treatment is often extended to mimic the actual use of a product during marketing.</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bookmarkStart w:id="22" w:name="bkmk_186"/>
      <w:bookmarkEnd w:id="22"/>
      <w:r>
        <w:rPr>
          <w:rFonts w:ascii="Times New Roman;serif" w:hAnsi="Times New Roman;serif"/>
          <w:b w:val="false"/>
          <w:sz w:val="20"/>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 In certain instances, the FDA may mandate the performance of Phase 4 clinical trials as a condition of approval of a BLA.</w:t>
      </w:r>
    </w:p>
    <w:p>
      <w:pPr>
        <w:pStyle w:val="TextBody"/>
        <w:spacing w:before="120" w:after="0"/>
        <w:jc w:val="left"/>
        <w:rPr>
          <w:rFonts w:ascii="Times New Roman" w:hAnsi="Times New Roman"/>
          <w:sz w:val="20"/>
        </w:rPr>
      </w:pPr>
      <w:r>
        <w:rPr>
          <w:rFonts w:ascii="Times New Roman;serif" w:hAnsi="Times New Roman;serif"/>
          <w:b w:val="false"/>
          <w:sz w:val="20"/>
        </w:rPr>
        <w:t>In the Consolidated Appropriations Act for 2023, Congress amended the FDCA to require sponsors of a Phase 3 clinical trial, or other “pivotal study” of a new drug to support marketing authorization, to submit a diversity action plan for such clinical trial. The action plan must include the sponsor’s diversity goals for enrollment, as well as a rationale for the goals and a description of how the sponsor will meet them. A sponsor must submit a diversity action plan to FDA by the time the sponsor submits the trial protocol to the agency for review. The FDA may grant a waiver for some or all of the requirements for a diversity action plan. It is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unknown at this time how the diversity action plan may affect Phase 3 trial planning and timing or what specific information FDA will expect in such plans, but if FDA objects to a sponsor’s diversity action plan and requires the sponsor to amend the plan or take other actions, it may delay trial initiation.</w:t>
      </w:r>
    </w:p>
    <w:p>
      <w:pPr>
        <w:pStyle w:val="TextBody"/>
        <w:spacing w:before="120" w:after="0"/>
        <w:jc w:val="left"/>
        <w:rPr>
          <w:rFonts w:ascii="Times New Roman" w:hAnsi="Times New Roman"/>
          <w:sz w:val="20"/>
        </w:rPr>
      </w:pPr>
      <w:r>
        <w:rPr>
          <w:rFonts w:ascii="Times New Roman;serif" w:hAnsi="Times New Roman;serif"/>
          <w:b w:val="false"/>
          <w:sz w:val="20"/>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the responsible IRBs and the investigators for serious and unexpected adverse events, any findings from other studies, tests in laboratory animals or </w:t>
      </w:r>
      <w:r>
        <w:rPr>
          <w:rFonts w:ascii="Times New Roman;serif" w:hAnsi="Times New Roman;serif"/>
          <w:b w:val="false"/>
          <w:i/>
          <w:sz w:val="20"/>
        </w:rPr>
        <w:t xml:space="preserve">in vitro </w:t>
      </w:r>
      <w:r>
        <w:rPr>
          <w:rFonts w:ascii="Times New Roman;serif" w:hAnsi="Times New Roman;serif"/>
          <w:b w:val="false"/>
          <w:sz w:val="20"/>
        </w:rPr>
        <w:t>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such information. Phase 1, Phase 2 and Phase 3 clinical trials may not be completed successfully within any specified period, if at all.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Human cell-based products administered directly into kidney tissue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purity and potency of human cell-based therapy products, or that the data generated in these studies will be acceptable to the FDA to support marketing approval.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Concurrent with clinical trials, companies usually complete additional animal studies and also must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pStyle w:val="TextBody"/>
        <w:spacing w:before="360" w:after="0"/>
        <w:jc w:val="left"/>
        <w:rPr>
          <w:rFonts w:ascii="Times New Roman;serif" w:hAnsi="Times New Roman;serif"/>
          <w:b/>
          <w:i/>
          <w:sz w:val="20"/>
        </w:rPr>
      </w:pPr>
      <w:r>
        <w:rPr>
          <w:rFonts w:ascii="Times New Roman;serif" w:hAnsi="Times New Roman;serif"/>
          <w:b/>
          <w:i/>
          <w:sz w:val="20"/>
        </w:rPr>
        <w:t>U.S. review and approval processes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After the completion of clinical trials of a biological product candidate,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To support marketing approval, the data submitted must be sufficient in quality and quantity to establish the safety, purity, potency and efficacy of the investigational product for its proposed indication or indications to the satisfaction of the FDA. The testing and approval processes require substantial time and effort and there can be no assurance that the FDA will accept the BLA for filing and, even if filed, that any approval will be granted on a timely basis, if at all.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Under the Prescription Drug User Fee Act, as amended (the “PDUFA”), each BLA must be accompanied by a significant user fee. The FDA adjusts the PDUFA user fees on an annual basis. PDUFA also imposes an annual program fee for registered biologic product manufacturers. Fee waivers or reductions are available in certain circumstances, including a waiver of the application fee for the first application filed by a small business.</w:t>
      </w:r>
    </w:p>
    <w:p>
      <w:pPr>
        <w:pStyle w:val="TextBody"/>
        <w:spacing w:before="120" w:after="0"/>
        <w:jc w:val="left"/>
        <w:rPr>
          <w:rFonts w:ascii="Times New Roman" w:hAnsi="Times New Roman"/>
          <w:sz w:val="20"/>
        </w:rPr>
      </w:pPr>
      <w:bookmarkStart w:id="23" w:name="bkmk_187"/>
      <w:bookmarkEnd w:id="23"/>
      <w:r>
        <w:rPr>
          <w:rFonts w:ascii="Times New Roman;serif" w:hAnsi="Times New Roman;serif"/>
          <w:b w:val="false"/>
          <w:sz w:val="20"/>
        </w:rPr>
        <w:t>Within 60 days following submission of the application, the FDA reviews a BLA submitted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w:t>
      </w:r>
      <w:r>
        <w:rPr>
          <w:rFonts w:ascii="Times New Roman" w:hAnsi="Times New Roman"/>
          <w:sz w:val="20"/>
        </w:rPr>
        <w:t xml:space="preserve"> </w:t>
      </w:r>
      <w:r>
        <w:rPr>
          <w:rFonts w:ascii="Times New Roman;serif" w:hAnsi="Times New Roman;serif"/>
          <w:b w:val="false"/>
          <w:sz w:val="20"/>
        </w:rPr>
        <w:t>an in-depth substantive review of the BLA. The FDA reviews the BLA to determine, among other things, whether the proposed product is safe, pure, potent and effective for its proposed indication or indications and whether the product is being manufactured in accordance with cGMP to ensure the continued safety, purity and potency of such product.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Under the performance goals and policies implemented by the FDA under PDUFA, for original BLAs, the FDA targets 10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due to FDA requests for additional information or clarification. The review process and the PDUFA goal date may be extended by the FDA for three additional months to consider new information or in the case of a clarification provided by the applicant to address an outstanding deficiency identified by the FDA following the original submission.</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cell-based therapy product, the FDA also will not approve the product if the manufacturer is not in compliance with the cGTPs. These are FDA regulations that govern the methods used in, and the facilities and controls used for, the manufacture of human cells, tissues, and cellular and tissue-based products (“HCT/ Ps”), which are human cells or tissue intended for implantation, transplant, infusion, or transfer into a human recipient. The primary intent of the cGTP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appropriate screening and testing. Additionally, before approving a BLA, the FDA will typically inspect one or more clinical sites to assure that the clinical trials were conducted in compliance with IND study requirements and GCP requirements. To assure cGMP, cGTP and GCP compliance, an applicant must incur significant expenditure of time, money and effort in the areas of training, record keeping, production and quality control.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the FDA may refer any BLA, including applications for novel biologic candidates which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considers such recommendations when making final decisions on approval. The FDA likely will re-analyze the clinical trial data, which could result in extensive discussions between the FDA and the applicant during the review process. The FDA also may require submission of a Risk Evaluation and Mitigation Strategy (“REMS”) if it determines that a REMS is necessary to ensure that the benefits of the medicine outweigh its risks and to assure the safe use of the medicine or biological product. The REMS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is needed, the sponsor of the BLA must submit a proposed REMS. The FDA will not approve a BLA without a REMS, if required.</w:t>
      </w:r>
    </w:p>
    <w:p>
      <w:pPr>
        <w:pStyle w:val="TextBody"/>
        <w:spacing w:before="120" w:after="0"/>
        <w:jc w:val="left"/>
        <w:rPr>
          <w:rFonts w:ascii="Times New Roman;serif" w:hAnsi="Times New Roman;serif"/>
          <w:b w:val="false"/>
          <w:sz w:val="20"/>
        </w:rPr>
      </w:pPr>
      <w:bookmarkStart w:id="24" w:name="bkmk_188"/>
      <w:bookmarkEnd w:id="24"/>
      <w:r>
        <w:rPr>
          <w:rFonts w:ascii="Times New Roman;serif" w:hAnsi="Times New Roman;serif"/>
          <w:b w:val="false"/>
          <w:sz w:val="20"/>
        </w:rPr>
        <w:t>Under the Pediatric Research Equity Act (“PREA”), a BLA or supplement to a BLA for a novel product (e.g., new active ingredient, new indication, etc.)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FDA may grant deferrals for submission of data or full or partial waivers. The PREA requires a sponsor who is planning to submit a marketing application for a product that includes a new active ingredient, new indication, new dosage form, new dosing regimen or new route of administration to submit an initial Pediatric Study Plan (“PSP”), within 60 days of an end-of-Phase 2 meeting or, if there is no such meeting, as early as practicable before the initiation of the Phase 3 or Phase 2/3 clinical trial. The initial PSP must include an outline of the pediatric study or studies that the sponsor plans to conduct, including trial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 upon initial PSP at any time if changes to the pediatric plan need to be considered based on data collected from pre-clinical studies, early phase clinical trials or other clinical development programs.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FDA reviews a BLA to determine, among other things whether the product is safe, pure and potent and the facility in which it is manufactured, processed, packed or held meets standards designed to assure the product’s continued safety, purity and potency. The approval process is lengthy and often difficult, and the FDA may refuse to approve a BLA if the applicable regulatory criteria are not satisfied or may require additional clinical or other data and information. On the basis of the FDA’s evaluation of the BLA and accompanying information, including the results of the inspection of the manufacturing facilities, the FDA may issue either an approval letter or a Complete Response Letter (“CRL”). An approval letter authorizes commercial marketing of the product with specific prescribing information for specific indications. 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The CRL may require additional clinical or other data, additional pivotal Phase 3 clinical trial(s) and/or other significant and time-consuming requirements related to clinical trials, preclinical studies or manufacturing. If a CRL is issued, the applicant may choose to either resubmit the BLA addressing all of the deficiencies identified in the letter, or withdraw the application. If and when those deficiencies have been addressed to the FDA’s satisfaction in a resubmission of the BLA, the FDA will issue an approval letter. The FDA has committed to reviewing such resubmissions in response to an issued CRL in either two or six months depending on the type of information included. Even with the submission of this additional information, however, the FDA ultimately may decide that the application does not satisfy the regulatory criteria for approval.</w:t>
      </w:r>
    </w:p>
    <w:p>
      <w:pPr>
        <w:pStyle w:val="TextBody"/>
        <w:spacing w:before="120" w:after="0"/>
        <w:jc w:val="left"/>
        <w:rPr>
          <w:rFonts w:ascii="Times New Roman" w:hAnsi="Times New Roman"/>
          <w:sz w:val="20"/>
        </w:rPr>
      </w:pPr>
      <w:r>
        <w:rPr>
          <w:rFonts w:ascii="Times New Roman;serif" w:hAnsi="Times New Roman;serif"/>
          <w:b w:val="false"/>
          <w:sz w:val="20"/>
        </w:rPr>
        <w:t>If a product receives regulatory approval from the FDA, the approval is limited to the conditions of use (e.g., patient population, indication) described in the application. Further, depending on the specific risk(s) to be addressed, the FDA may require that contraindications, warnings or precautions be included in the product labeling, require that post-approval trials,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trials or surveillance programs. After approval, some types of changes to the approved product, such as adding new indications, manufacturing changes and additional labeling claims, are subject to further testing requirements and FDA review and approval.</w:t>
      </w:r>
    </w:p>
    <w:p>
      <w:pPr>
        <w:pStyle w:val="TextBody"/>
        <w:spacing w:before="360" w:after="0"/>
        <w:jc w:val="left"/>
        <w:rPr>
          <w:rFonts w:ascii="Times New Roman;serif" w:hAnsi="Times New Roman;serif"/>
          <w:b/>
          <w:i/>
          <w:sz w:val="20"/>
        </w:rPr>
      </w:pPr>
      <w:r>
        <w:rPr>
          <w:rFonts w:ascii="Times New Roman;serif" w:hAnsi="Times New Roman;serif"/>
          <w:b/>
          <w:i/>
          <w:sz w:val="20"/>
        </w:rPr>
        <w:t>Fast Track, RMAT and Priority Review Designations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FDA has various programs, including Fast Track designation, RMAT designation and priority review, that are intended to expedite or simplify the process for the development or FDA review of medicines and biologics that are intended for the treatment of serious or life-threatening diseases or conditions. These programs do not change the standards for approval but may help expedite the development or approval process.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 be eligible for fast-track designation, the FDA must determine, based on the request of a sponsor, that a new medicine or biological product is intended to treat a serious or life-threatening condition and demonstrates the potential to address an unmet medical need by providing a therapy where none exists or a therapy that may be potentially superior to existing therapy based on efficacy or safety factors. Fast track designation provides opportunities for more frequent interactions with the FDA review team to expedite development and review of the product. The FDA may also review sections of the NDA or BLA for a fast track product on a rolling basis before the complete application is submitted, if the sponsor and the FDA agree on a schedule for the submission of the application sections and the sponsor pays any required user fees upon submission of the first section of the NDA or BLA. In addition, fast track designation may be withdrawn by the sponsor or rescinded by the FDA if the designation is no longer supported by data emerging from the clinical trial process.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part of the 21st Century Cures Act (the “Cures Act”), enacted in December 2016, Congress amended the FD&amp;C Act to facilitate an efficient development program for, and expedite review of regenerative medicine advanced therapies, or RMATs, which include cell and gene therapies, therapeutic tissue engineered products, human cell and tissue products, and combination products using any such therapies or products. REACT has received RMAT designation from the FDA. RMAT designation does not include HCT/Ps regulated solely under section 361 of the PHS Act and 21 Code of Federal Regulations Part 1271. This program is intended to facilitate efficient development and expedite review of regenerative medicine therapies that are intended to treat, modify, reverse, or cure a serious or life-threatening disease or condition. A sponsor may request that FDA designate a medicine as a RMAT concurrently with or at any time after submission of an IND. The FDA has 60 calendar days to determine whether the medicine meets the criteria, including whether there is preliminary clinical evidence indicating that the medicine has the potential to address unmet medical needs for a serious or life- threatening disease or condition. A BLA for a regenerative medicine therapy that has received RMAT designation may be eligible for priority review or accelerated approval through use of surrogate or intermediate endpoints reasonably likely to predict long-term clinical benefit, or reliance upon data obtained from a meaningful number of sites. Benefits of RMAT designation also include early interactions with FDA to discuss any potential surrogate or intermediate endpoint to be used to support accelerated approval. A regenerative medicine therapy with RMAT designation that is granted accelerated approval and is subject to post-approval requirements may fulfill such requirements through the submission of clinical evidence from clinical trials, patient registries, or other sources of real-world evidence, such as electronic health records; the collection of larger confirmatory data sets; or post-approval monitoring of all patients treated with such therapy prior to its approval.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Finally, the FDA may designate a product for priority review if it is a medicine or biologic that treats a serious condition and, if approved, would provide a significant improvement in safety or effectiveness. The FDA determines at the time that the marketing application is submitted, on a case-by-case basis, whether the proposed medicine represents a significant improvement in treatment, prevention or diagnosis of disease when compared with other available therapies. Significant improvement may be illustrated by evidence of increased effectiveness in the treatment of a condition, elimination or substantial reduction of a treatment-limiting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10 months to six months for an original BLA or for a New Molecular Entity NDA from the date of filing.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Even if a product qualifies for one or more of these programs, the FDA may later decide that the product no longer meets the conditions for qualification or decide that the time period for FDA review or approval will not be shortened. Furthermore, fast track designation, RMAT therapy designation and priority review do not change the standards for approval and may not ultimately expedite the development or approval process.</w:t>
      </w:r>
    </w:p>
    <w:p>
      <w:pPr>
        <w:pStyle w:val="TextBody"/>
        <w:spacing w:before="360" w:after="0"/>
        <w:jc w:val="left"/>
        <w:rPr>
          <w:rFonts w:ascii="Times New Roman;serif" w:hAnsi="Times New Roman;serif"/>
          <w:b/>
          <w:i/>
          <w:sz w:val="20"/>
        </w:rPr>
      </w:pPr>
      <w:r>
        <w:rPr>
          <w:rFonts w:ascii="Times New Roman;serif" w:hAnsi="Times New Roman;serif"/>
          <w:b/>
          <w:i/>
          <w:sz w:val="20"/>
        </w:rPr>
        <w:t>Accelerated approval pathway</w:t>
      </w:r>
    </w:p>
    <w:p>
      <w:pPr>
        <w:pStyle w:val="TextBody"/>
        <w:spacing w:before="120" w:after="0"/>
        <w:jc w:val="left"/>
        <w:rPr>
          <w:rFonts w:ascii="Times New Roman" w:hAnsi="Times New Roman"/>
          <w:sz w:val="20"/>
        </w:rPr>
      </w:pPr>
      <w:r>
        <w:rPr>
          <w:rFonts w:ascii="Times New Roman;serif" w:hAnsi="Times New Roman;serif"/>
          <w:b w:val="false"/>
          <w:sz w:val="20"/>
        </w:rPr>
        <w:t>In addition, products studied for their safety and effectiveness in treating serious or life-threatening illnesses and that provide meaningful therapeutic benefit over existing treatments may receive accelerated approval from the FDA and may be approved on</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basis of adequate and well-controlled clinical trials establishing that the product has an effect on a surrogate endpoint that is reasonably likely to predict clinical benefit. The FDA may also grant accelerated approval for such a medicine or biologic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As a condition of approval, the FDA may require that a sponsor of a medicine receiving accelerated approval perform post- marketing clinical trials to verify and describe the predicted effect on IMM or other clinical endpoint, and the product may be subject to expedited withdrawal procedures. Drugs and biologics granted accelerated approval must meet the same statutory standards for safety and effectiveness as those granted traditional approval.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medicine, such as an effect on IMM. The FDA has limited experience with accelerated approvals based on intermediate clinical endpoints but has indicated that such endpoints generally may support accelerated approval when the therapeutic effect measured by the endpoint is not itself a clinical benefit and basis for traditional approval, if there is a basis for concluding that the therapeutic effect is reasonably likely to predict the ultimate long-term clinical benefit of a medicine.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accelerated approval pathway is most often used in settings in which the course of a disease is long and an extended period of time is required to measure the intended clinical benefit of a medicine, even if the effect on the surrogate or intermediate clinical endpoint occurs rapidly. For example, accelerated approval has been used extensively in the development and approval of medicines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accelerated approval pathway is usually contingent on a sponsor’s agreement to conduct, in a diligent manner, additional post-approval confirmatory studies to verify and describe the medicine’s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the predicted clinical benefit of the product during post-marketing studies, would allow the FDA to withdraw approval of the medicine. As part of the Consolidated Appropriations Act for 2023, Congress provided FDA additional statutory authority to mitigate potential risks to patients from continued marketing of ineffective drugs previously granted accelerated approval. Under the act’s amendments to the FDCA, FDA may require the sponsor of a product granted accelerated approval to have a confirmatory trial underway prior to approval. The sponsor must also submit progress reports on a confirmatory trial every six months until the trial is complete, and such reports are published on FDA’s website. The amendments also give FDA the option of using expedited procedures to withdraw product approval if the sponsor’s confirmatory trial fails to verify the claimed clinical benefits of the product.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promotional materials for product candidates being considered and approved under the accelerated approval program are subject to prior review by the FDA.</w:t>
      </w:r>
    </w:p>
    <w:p>
      <w:pPr>
        <w:pStyle w:val="TextBody"/>
        <w:spacing w:before="360" w:after="0"/>
        <w:jc w:val="left"/>
        <w:rPr>
          <w:rFonts w:ascii="Times New Roman;serif" w:hAnsi="Times New Roman;serif"/>
          <w:b/>
          <w:i/>
          <w:sz w:val="20"/>
        </w:rPr>
      </w:pPr>
      <w:r>
        <w:rPr>
          <w:rFonts w:ascii="Times New Roman;serif" w:hAnsi="Times New Roman;serif"/>
          <w:b/>
          <w:i/>
          <w:sz w:val="20"/>
        </w:rPr>
        <w:t>Post-approval requirements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Maintaining substantial compliance with applicable federal, state, and local statutes and regulations requires the expenditure of substantial time and financial resources. Following approval of a new product, the manufacturer and the approved product are subject to pervasive and continuing regulation by the FDA, including, among other things, monitoring and recordkeeping activities, reporting of adverse experiences with the product, product sampling and distribution restrictions, complying with promotion and advertising requirements.</w:t>
      </w:r>
    </w:p>
    <w:p>
      <w:pPr>
        <w:pStyle w:val="TextBody"/>
        <w:spacing w:before="120" w:after="0"/>
        <w:jc w:val="left"/>
        <w:rPr>
          <w:rFonts w:ascii="Times New Roman" w:hAnsi="Times New Roman"/>
          <w:sz w:val="20"/>
        </w:rPr>
      </w:pPr>
      <w:r>
        <w:rPr>
          <w:rFonts w:ascii="Times New Roman;serif" w:hAnsi="Times New Roman;serif"/>
          <w:b w:val="false"/>
          <w:sz w:val="20"/>
        </w:rPr>
        <w:t>FDA regulations require that products be manufactured in specific approved facilities and in accordance with cGMP. The cGMP regulations include requirements relating to organization of personnel, buildings and facilities, equipment, control of components and product containers and closures, production and process controls, packaging and labeling controls, holding and distribution, laboratory controls, records and reports and returned or salvaged products. We must comply with applicable requirements in the cGMP and cGTP regulations, including quality control and quality assurance and maintenance of records and documentation. Entities involved in the manufacture and distribution of approved biologics and HCT/Ps are required to register their establishments with the FDA and certain state agencies, as well as applicable foreign counterparts, and are subject to periodic unannounced inspections by such governmental authorities for compliance with cGMP, cGTP and other laws. Accordingly, we must continue to expend time, money and effort in the area of production and quality control to maintain cGMP compliance. Future inspections by governmental authorities may identify compliance issues at our facilities that may disrupt production or distribution or require substantial resources to correct. In addition, the discovery of conditions that violate these rules, including failure to conform to cGMP or cGTP, could result in enforcement actions, and the discovery of problems with a product after approval may</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result in restrictions on a product, manufacturer or holder of an approved BLA, including voluntary recall and regulatory sanctions as described below.</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also must comply with the FDA’s advertising and promotion requirements, such as those related to direct-to-consumer advertising, industry-sponsored scientific and educational activities, and promotional activities involving the internet, as well as the prohibition on promoting products for uses or in patient populations that are not described in the product’s approved labeling (known as “off-label use”).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there are any modifications to the product, including changes in indications, labeling or manufacturing processes or facilities, the applicant may be required to submit and obtain FDA approval of a new BLA or a BLA supplement, which may require the applicant to develop additional data or conduct additional pre-clinical studies and clinical trials. The FDA may also place other conditions on approvals including the requirement for a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Once an approval or clearance of a medicine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or clinical trials to assess new safety risks, or imposition of distribution or other restrictions under a REMS program. Other potential consequences include, among other things: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restrictions on the marketing or manufacturing of the product, complete withdrawal of the product from the market or product recalls;</w:t>
            </w:r>
          </w:p>
        </w:tc>
      </w:tr>
    </w:tbl>
    <w:p>
      <w:pPr>
        <w:pStyle w:val="TextBody"/>
        <w:spacing w:before="0" w:after="0"/>
        <w:jc w:val="left"/>
        <w:rPr/>
      </w:pPr>
      <w:r>
        <w:rPr/>
        <w:t> </w:t>
      </w:r>
    </w:p>
    <w:tbl>
      <w:tblPr>
        <w:tblW w:w="9298" w:type="dxa"/>
        <w:jc w:val="left"/>
        <w:tblInd w:w="0" w:type="dxa"/>
        <w:tblCellMar>
          <w:top w:w="28" w:type="dxa"/>
          <w:left w:w="28" w:type="dxa"/>
          <w:bottom w:w="28" w:type="dxa"/>
          <w:right w:w="28" w:type="dxa"/>
        </w:tblCellMar>
      </w:tblPr>
      <w:tblGrid>
        <w:gridCol w:w="177"/>
        <w:gridCol w:w="272"/>
        <w:gridCol w:w="162"/>
        <w:gridCol w:w="868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68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868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fines, warning letters or other enforcement-related letters or clinical holds on post-approval clinical trials;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bookmarkStart w:id="25" w:name="bkmk_192"/>
            <w:bookmarkEnd w:id="25"/>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refusal of the FDA to approve pending NDAs/BLAs or supplements to approved NDAs/BLAs, or suspension or revocation of product approvals;</w:t>
            </w:r>
          </w:p>
        </w:tc>
      </w:tr>
    </w:tbl>
    <w:p>
      <w:pPr>
        <w:pStyle w:val="TextBody"/>
        <w:spacing w:before="0" w:after="0"/>
        <w:jc w:val="left"/>
        <w:rPr/>
      </w:pPr>
      <w:r>
        <w:rPr/>
        <w:t> </w:t>
      </w:r>
    </w:p>
    <w:tbl>
      <w:tblPr>
        <w:tblW w:w="7363" w:type="dxa"/>
        <w:jc w:val="left"/>
        <w:tblInd w:w="0" w:type="dxa"/>
        <w:tblCellMar>
          <w:top w:w="28" w:type="dxa"/>
          <w:left w:w="28" w:type="dxa"/>
          <w:bottom w:w="28" w:type="dxa"/>
          <w:right w:w="28" w:type="dxa"/>
        </w:tblCellMar>
      </w:tblPr>
      <w:tblGrid>
        <w:gridCol w:w="177"/>
        <w:gridCol w:w="272"/>
        <w:gridCol w:w="162"/>
        <w:gridCol w:w="675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75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675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product seizure or detention, or refusal to permit the import or export of products;</w:t>
            </w:r>
          </w:p>
        </w:tc>
      </w:tr>
    </w:tbl>
    <w:p>
      <w:pPr>
        <w:pStyle w:val="TextBody"/>
        <w:spacing w:before="0" w:after="0"/>
        <w:jc w:val="left"/>
        <w:rPr/>
      </w:pPr>
      <w:r>
        <w:rPr/>
        <w:t> </w:t>
      </w:r>
    </w:p>
    <w:tbl>
      <w:tblPr>
        <w:tblW w:w="5893" w:type="dxa"/>
        <w:jc w:val="left"/>
        <w:tblInd w:w="0" w:type="dxa"/>
        <w:tblCellMar>
          <w:top w:w="28" w:type="dxa"/>
          <w:left w:w="28" w:type="dxa"/>
          <w:bottom w:w="28" w:type="dxa"/>
          <w:right w:w="28" w:type="dxa"/>
        </w:tblCellMar>
      </w:tblPr>
      <w:tblGrid>
        <w:gridCol w:w="177"/>
        <w:gridCol w:w="272"/>
        <w:gridCol w:w="162"/>
        <w:gridCol w:w="528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28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528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injunctions or the imposition of civil or criminal penalties; and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consent decrees, corporate integrity agreements, debarment, or exclusion from federal health care programs; or mandated modification of promotional materials and labeling and the issuance of corrective information.</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the distribution of prescription pharmaceutical products is subject to the Prescription Drug Marketing Act, which sets minimum standards for the registration and regulation of pharmaceutical distributors by the states. Furthermore, the Drug Supply Chain Security Act (the “DSCSA”) was enacted with the aim of building an electronic system to identify and trace certain prescription medicines distributed in the United States, including most biological products. The DSCSA mandates phased-in and resource-intensive obligations for pharmaceutical manufacturers, wholesale distributors, and dispensers over a 10-year period that is expected to culminate in November 2023. From time to time, new legislation and regulations may be implemented that could significantly change the statutory provisions governing the approval, manufacturing and marketing of products regulated by the FDA. It is impossible to predict whether further legislative or regulatory changes will be enacted, or FDA regulations, guidance or interpretations changed or what the impact of such changes, if any, may be.</w:t>
      </w:r>
    </w:p>
    <w:p>
      <w:pPr>
        <w:pStyle w:val="TextBody"/>
        <w:spacing w:before="360" w:after="0"/>
        <w:jc w:val="left"/>
        <w:rPr>
          <w:rFonts w:ascii="Times New Roman;serif" w:hAnsi="Times New Roman;serif"/>
          <w:b/>
          <w:i/>
          <w:sz w:val="20"/>
        </w:rPr>
      </w:pPr>
      <w:r>
        <w:rPr>
          <w:rFonts w:ascii="Times New Roman;serif" w:hAnsi="Times New Roman;serif"/>
          <w:b/>
          <w:i/>
          <w:sz w:val="20"/>
        </w:rPr>
        <w:t>U.S. patent term restoration and marketing exclusivity</w:t>
      </w:r>
    </w:p>
    <w:p>
      <w:pPr>
        <w:pStyle w:val="TextBody"/>
        <w:spacing w:before="120" w:after="0"/>
        <w:jc w:val="left"/>
        <w:rPr>
          <w:rFonts w:ascii="Times New Roman" w:hAnsi="Times New Roman"/>
          <w:sz w:val="20"/>
        </w:rPr>
      </w:pPr>
      <w:r>
        <w:rPr>
          <w:rFonts w:ascii="Times New Roman;serif" w:hAnsi="Times New Roman;serif"/>
          <w:b w:val="false"/>
          <w:sz w:val="20"/>
        </w:rPr>
        <w:t>Depending upon the timing, duration and specifics of the FDA approval of the use of our product candidates, some of our U.S. patents may be eligible for limited patent term extension under the Hatch-Waxman Amendments. The Hatch-Waxman Amendments permit a patent restoration term of up to five years as compensation for patent term lost during product development</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USPTO,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trials and other factors involved in the filing of the relevant BLA.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biological product may also obtain pediatric market exclusivity in the United States. Pediatric exclusivity is a type of non-patent marketing exclusivity available in the United States and, if granted, it provides for the attachment of an additional six months of marketing protection to the term of any existing regulatory exclusivity or listed patents.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The issuance of a Written Request does not require the sponsor to undertake the described studies.</w:t>
      </w:r>
    </w:p>
    <w:p>
      <w:pPr>
        <w:pStyle w:val="TextBody"/>
        <w:spacing w:before="360" w:after="0"/>
        <w:jc w:val="left"/>
        <w:rPr>
          <w:rFonts w:ascii="Times New Roman;serif" w:hAnsi="Times New Roman;serif"/>
          <w:b/>
          <w:i/>
          <w:sz w:val="20"/>
        </w:rPr>
      </w:pPr>
      <w:r>
        <w:rPr>
          <w:rFonts w:ascii="Times New Roman;serif" w:hAnsi="Times New Roman;serif"/>
          <w:b/>
          <w:i/>
          <w:sz w:val="20"/>
        </w:rPr>
        <w:t>Reference product exclusivity for biological products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March 2010, the Patient Protection and Affordable Care Act (the “ACA”) was enacted in the United States and included the Biologics Price Competition and Innovation Act (the “BPCIA”). The BPCIA amended the Public Health Service Act (the “PHSA”) to create an abbreviated approval pathway for biological products that are biosimilar to or interchangeable with an FDA-licensed reference biological product. To date, the FDA has approved a number of biosimilars, and numerous biosimilars have been approved in Europe. The FDA has also issued several guidance documents outlining its approach to reviewing and approving biosimilars and interchangeable biosimilars.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biosimilar product is defined as one that is highly similar to a reference product notwithstanding minor differences in clinically inactive components and for which there are no clinically meaningful differences between the biological product and the reference product in terms of the safety, purity and potency of the product. An interchangeable product is a biosimilar product that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Upon licensure by the FDA, an interchangeable biosimilar may be substituted for the reference product without the intervention of the health care provider who prescribed the reference product. The FDA approved the first interchangeable biosimilars, including an interchangeable monoclonal antibody biosimilar, in 2021.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biosimilar applicant must demonstrate that the product is biosimilar based on data from (1) analytical studies showing that the biosimilar product is highly similar to the reference product; (2) animal studies (including toxicity); and (3) one or more clinical studies to demonstrate safety, purity and potency in one or more appropriate conditions of use for which the reference product is approved. In addition, the applicant must show that the biosimilar and reference products have the same mechanism of action for the conditions of use on the label, route of administration, dosage and strength, and the production facility must meet standards designed to assure product safety, purity and potency.</w:t>
      </w:r>
    </w:p>
    <w:p>
      <w:pPr>
        <w:pStyle w:val="TextBody"/>
        <w:spacing w:before="120" w:after="0"/>
        <w:jc w:val="left"/>
        <w:rPr>
          <w:rFonts w:ascii="Times New Roman" w:hAnsi="Times New Roman"/>
          <w:sz w:val="20"/>
        </w:rPr>
      </w:pPr>
      <w:r>
        <w:rPr>
          <w:rFonts w:ascii="Times New Roman;serif" w:hAnsi="Times New Roman;serif"/>
          <w:b w:val="false"/>
          <w:sz w:val="20"/>
        </w:rPr>
        <w:t>A reference biological product is granted 12 years of data exclusivity from the time of first licensure of the product, and the first approved interchangeable biologic product will be granted an exclusivity period of up to one year after it is first commercially marketed. As part of the Consolidated Appropriations Act for 2023, Congress amended the PHSA in order to permit multiple interchangeable products approved on the same day to receive and benefit from this one-year exclusivity period. If pediatric studies are performed and accepted by the FDA as responsive to a Written Request, the 12-year exclusivity period will be extended for an additional six months. In addition,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supplement for the reference product for a subsequent application filed by the same sponsor or manufacturer of the reference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subsequent application, if approved, warrants exclusivity as the “first licensure” of a biological product is determined on a case-by-case basis with data submitted by the sponsor.</w:t>
      </w:r>
    </w:p>
    <w:p>
      <w:pPr>
        <w:pStyle w:val="TextBody"/>
        <w:spacing w:before="120" w:after="0"/>
        <w:jc w:val="left"/>
        <w:rPr>
          <w:rFonts w:ascii="Times New Roman;serif" w:hAnsi="Times New Roman;serif"/>
          <w:b w:val="false"/>
          <w:sz w:val="20"/>
        </w:rPr>
      </w:pPr>
      <w:bookmarkStart w:id="26" w:name="bkmk_194"/>
      <w:bookmarkEnd w:id="26"/>
      <w:r>
        <w:rPr>
          <w:rFonts w:ascii="Times New Roman;serif" w:hAnsi="Times New Roman;serif"/>
          <w:b w:val="false"/>
          <w:sz w:val="20"/>
        </w:rPr>
        <w:t>The BPCIA is complex and is still being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pStyle w:val="TextBody"/>
        <w:spacing w:before="360" w:after="0"/>
        <w:jc w:val="left"/>
        <w:rPr>
          <w:rFonts w:ascii="Times New Roman;serif" w:hAnsi="Times New Roman;serif"/>
          <w:b/>
          <w:i/>
          <w:sz w:val="20"/>
        </w:rPr>
      </w:pPr>
      <w:r>
        <w:rPr>
          <w:rFonts w:ascii="Times New Roman;serif" w:hAnsi="Times New Roman;serif"/>
          <w:b/>
          <w:i/>
          <w:sz w:val="20"/>
        </w:rPr>
        <w:t>Additional regulation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Furthermore, some countries have enacted or are considering enacting legal restrictions on the import or export of human genetic materials, cells or tissues. For example, in China, the Ministry of Science and Technology (“MOST”) and the former Ministry of Health in June 1998 jointly established the Interim Measures for the Administration of Human Genetic Resources in China. In July 2015, the MOST issued the Service Guide for the Examination and Approval of Sampling, Collecting, Trading, Exporting Human Genetic Resources, which provides that foreign entities that collect and use patients’ human genetic resources in clinical trials shall be required to file for an advance approval with the Human Genetic Resources Administration Office (“HGRAO”) through its online system.</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October 2017, the MOST issued the Circular on Optimizing the Administrative Examination and Approval of Human Genetic Resources, which simplified the approval process for collecting and using human genetic resources for the purpose of seeking marketing authorization of medicines in China.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May 2019, the State Council of China issued the Regulation on the Administration of Human Genetic Resources (the “HGR Regulation”), which stipulates the approval requirements pertinent to research collaborations between Chinese and foreign-owned entities. Pursuant to this new rule, a new filing system (as opposed to the advance approval approach originally in place) is put in place for international clinical trials using Chinese patients’ biospecimens at clinical study sites without involving the export of such biospecimens outside of China. A notification filing that specifies the type, quantity and usage of the biospecimens, among others, with the HGRAO is required before conducting such clinical trials. The collection, use, and outbound transfer of Chinese patients’ biospecimens in international collaboration for basic scientific research involving export are still subject to the advance approval of the HGRAO.</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October 2020, the Standing Committee of the National People’s Congress promulgated the China Biosecurity Law, which became effective on April 15, 2021. The China Biosecurity Law reaffirms the regulatory requirements stipulated by the HGR Regulation while potentially increasing the administrative fines significantly in cases in which foreign entities are alleged to have collected, preserved or exported Chinese human genetic resources.</w:t>
      </w:r>
    </w:p>
    <w:p>
      <w:pPr>
        <w:pStyle w:val="TextBody"/>
        <w:spacing w:before="360" w:after="0"/>
        <w:jc w:val="left"/>
        <w:rPr>
          <w:rFonts w:ascii="Times New Roman;serif" w:hAnsi="Times New Roman;serif"/>
          <w:b/>
          <w:i/>
          <w:sz w:val="20"/>
        </w:rPr>
      </w:pPr>
      <w:r>
        <w:rPr>
          <w:rFonts w:ascii="Times New Roman;serif" w:hAnsi="Times New Roman;serif"/>
          <w:b/>
          <w:i/>
          <w:sz w:val="20"/>
        </w:rPr>
        <w:t>U.S. Foreign Corrupt Practices Act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U.S. Foreign Corrupt Practices Act (the “FCPA”),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w:t>
      </w:r>
    </w:p>
    <w:p>
      <w:pPr>
        <w:pStyle w:val="TextBody"/>
        <w:spacing w:before="360" w:after="0"/>
        <w:jc w:val="left"/>
        <w:rPr>
          <w:rFonts w:ascii="Times New Roman;serif" w:hAnsi="Times New Roman;serif"/>
          <w:b/>
          <w:i/>
          <w:sz w:val="20"/>
        </w:rPr>
      </w:pPr>
      <w:r>
        <w:rPr>
          <w:rFonts w:ascii="Times New Roman;serif" w:hAnsi="Times New Roman;serif"/>
          <w:b/>
          <w:i/>
          <w:sz w:val="20"/>
        </w:rPr>
        <w:t>Government regulation outside of the United States</w:t>
      </w:r>
    </w:p>
    <w:p>
      <w:pPr>
        <w:pStyle w:val="TextBody"/>
        <w:spacing w:before="120" w:after="0"/>
        <w:jc w:val="left"/>
        <w:rPr>
          <w:rFonts w:ascii="Times New Roman" w:hAnsi="Times New Roman"/>
          <w:sz w:val="20"/>
        </w:rPr>
      </w:pPr>
      <w:bookmarkStart w:id="27" w:name="bkmk_195"/>
      <w:bookmarkEnd w:id="27"/>
      <w:r>
        <w:rPr>
          <w:rFonts w:ascii="Times New Roman;serif" w:hAnsi="Times New Roman;serif"/>
          <w:b w:val="false"/>
          <w:sz w:val="20"/>
        </w:rPr>
        <w:t>In addition to regulations in the United States, we are subject to a variety of regulations in other jurisdictions governing, among other things, research and development, clinical trials, testing, manufacturing, safety, efficacy,</w:t>
      </w:r>
      <w:r>
        <w:rPr>
          <w:rFonts w:ascii="Times New Roman" w:hAnsi="Times New Roman"/>
          <w:sz w:val="20"/>
        </w:rPr>
        <w:t xml:space="preserve"> </w:t>
      </w:r>
      <w:r>
        <w:rPr>
          <w:rFonts w:ascii="Times New Roman;serif" w:hAnsi="Times New Roman;serif"/>
          <w:b w:val="false"/>
          <w:sz w:val="20"/>
        </w:rPr>
        <w:t>labeling, packaging, storage, record keeping, distribution, reporting, advertising and other promotional practices involving biological products as well as authorization and approval of our products. Because biologically sourced raw materials are subject to unique contamination risks, their use may be restricted in some countries.</w:t>
      </w:r>
    </w:p>
    <w:p>
      <w:pPr>
        <w:pStyle w:val="TextBody"/>
        <w:spacing w:before="120" w:after="0"/>
        <w:jc w:val="left"/>
        <w:rPr>
          <w:rFonts w:ascii="Times New Roman" w:hAnsi="Times New Roman"/>
          <w:sz w:val="20"/>
        </w:rPr>
      </w:pPr>
      <w:r>
        <w:rPr>
          <w:rFonts w:ascii="Times New Roman;serif" w:hAnsi="Times New Roman;serif"/>
          <w:b w:val="false"/>
          <w:sz w:val="20"/>
        </w:rPr>
        <w:t>The requirements and process governing the conduct of clinical trials, product licensing, pricing and reimbursement vary from country to country. In all cases, the clinical trials must be conducted in accordance with GCP and the applicable regulatory requirements and the ethical principles that have their origin in the Declaration of Helsinki. If we fail to comply with applicable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foreign regulatory requirements, we may be subject to, among other things, fines, suspension of clinical trials, suspension or withdrawal of regulatory approvals, product recalls, seizure of products, operating restrictions and criminal prosecution.</w:t>
      </w:r>
    </w:p>
    <w:p>
      <w:pPr>
        <w:pStyle w:val="TextBody"/>
        <w:spacing w:before="360" w:after="0"/>
        <w:jc w:val="left"/>
        <w:rPr>
          <w:rFonts w:ascii="Times New Roman;serif" w:hAnsi="Times New Roman;serif"/>
          <w:b/>
          <w:i/>
          <w:sz w:val="20"/>
        </w:rPr>
      </w:pPr>
      <w:r>
        <w:rPr>
          <w:rFonts w:ascii="Times New Roman;serif" w:hAnsi="Times New Roman;serif"/>
          <w:b/>
          <w:i/>
          <w:sz w:val="20"/>
        </w:rPr>
        <w:t>European Union clinical trials regulation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(“CTA”) must be submitted for each clinical trial to each country’s National Competent Authority (“NCA”) and at least one IEC, much like the FDA and an IRB, respectively. Once the CTA is approved in accordance with a country’s requirements, the corresponding clinical trial may proceed. Under the current regime (the EU Clinical Trials Directive 2001/20/EC and corresponding national laws) all suspected unexpected serious adverse reactions to the investigated medicine that occur during the clinical trial have to be reported to the NCA and ECs of the Member State where they occurred.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Under the Clinical Trials Regulation (EU) No 536/2014, which came into effect on January 31, 2022, there is a centralized application procedure where one EU Member State’s competent authority takes the lead in reviewing part I of the application, which contains scientific and medicinal product documentation, and the other national authorities only have limited involvement. Part II, which contains the national and patient-level documentation, is assessed individually by each EU Member State. Any substantial changes to the trial protocol or other information submitted with the CTA must be notified to or approved by the relevant competent authorities and ethics committees. Medicines used in clinical trials must be manufactured in accordance with good manufacturing practices. Other national and EU-wide regulatory requirements may also apply.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Currently, the extent to which clinical trials will be governed by the Clinical Trials Regulation will depend on when the clinical trial is initiated or on the duration of an ongoing trial. As of January 2023, all new clinical trials must comply with the Clinical Trials Regulation. In addition, any clinical trial that was already under way as of January 1, 2023 and continues for more than 3 years from the day on which the Clinical Trials Regulation becomes applicable (i.e., January 31, 2025), the Clinical Trials Regulation will at that time begin to apply to the clinical trial.</w:t>
      </w:r>
    </w:p>
    <w:p>
      <w:pPr>
        <w:pStyle w:val="TextBody"/>
        <w:spacing w:before="360" w:after="0"/>
        <w:jc w:val="left"/>
        <w:rPr>
          <w:rFonts w:ascii="Times New Roman;serif" w:hAnsi="Times New Roman;serif"/>
          <w:b/>
          <w:i/>
          <w:sz w:val="20"/>
        </w:rPr>
      </w:pPr>
      <w:r>
        <w:rPr>
          <w:rFonts w:ascii="Times New Roman;serif" w:hAnsi="Times New Roman;serif"/>
          <w:b/>
          <w:i/>
          <w:sz w:val="20"/>
        </w:rPr>
        <w:t>Medicinal product review and approval in the EEA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European Economic Area (the “EEA”) (comprised of the EU Member States plus Norway, Iceland and Liechtenstein), medicinal products, including advanced therapy medicinal products (“ATMPs”), are subject to extensive pre-and post-market regulation by regulatory authorities at both the EEA and national levels. Regulated in accordance with Regulation (EC) No 1394/2007 (the “ATMP Regulation”), ATMPs comprise gene therapy products, somatic cell therapy products and tissue engineered products. The CAT (as defined below) designated REACT as a tissue engineered product. Gene therapy products deliver genes into the body that lead to a therapeutic, prophylactic or diagnostic effect. We anticipate that REACT will be regulated as an ATMP in the EEA.</w:t>
      </w:r>
    </w:p>
    <w:p>
      <w:pPr>
        <w:pStyle w:val="TextBody"/>
        <w:spacing w:before="120" w:after="0"/>
        <w:jc w:val="left"/>
        <w:rPr>
          <w:rFonts w:ascii="Times New Roman" w:hAnsi="Times New Roman"/>
          <w:sz w:val="20"/>
        </w:rPr>
      </w:pPr>
      <w:bookmarkStart w:id="28" w:name="bkmk_196"/>
      <w:bookmarkEnd w:id="28"/>
      <w:r>
        <w:rPr>
          <w:rFonts w:ascii="Times New Roman;serif" w:hAnsi="Times New Roman;serif"/>
          <w:b w:val="false"/>
          <w:sz w:val="20"/>
        </w:rPr>
        <w:t>To obtain regulatory approval of an ATMP under EEA regulatory systems, we must submit a marketing authorization application (“MAA”) under the centralized procedure administered by the EMA. The application used to submit the BLA in the United States is similar to the required application process in the European Union, with the exception of, among other things, certain specific requirements set out in the ATMP Regulation, for example certain additional product characteristic information that must be included in the MAA. The centralized procedure provides for the grant of a single marketing authorization by the European Commission that is valid across all of the EEA. As provided for in the ATMP Regulation, the scientific evaluation of MAAs for ATMPs is primarily performed by a specialized scientific committee called the Committee for Advanced Therapies (the “CAT”). The CAT prepares a draft opinion on the quality, safety and efficacy of the ATMP which is the subject</w:t>
      </w:r>
      <w:r>
        <w:rPr>
          <w:rFonts w:ascii="Times New Roman" w:hAnsi="Times New Roman"/>
          <w:sz w:val="20"/>
        </w:rPr>
        <w:t xml:space="preserve"> </w:t>
      </w:r>
      <w:r>
        <w:rPr>
          <w:rFonts w:ascii="Times New Roman;serif" w:hAnsi="Times New Roman;serif"/>
          <w:b w:val="false"/>
          <w:sz w:val="20"/>
        </w:rPr>
        <w:t>of the MAA, which is sent for final approval to the Committee for Medicinal Products for Human Use (the “CHMP”). The CHMP recommendation is then sent to the European Commission, which adopts a decision binding in all EEA Member States. The maximum timeframe for the evaluation of a MAA for an ATMP is 210 days from receipt of a valid MAA, excluding clock stops when additional information or written or oral explanation is to be provided by the applicant in response to questions of the CAT and/or CHMP. Clock stops may extend the timeframe of evaluation of a MAA considerably beyond 210 days. Where the CHMP gives a positive opinion, the EMA provides the opinion together with supporting documentation to the European Commission, which makes and issues the final decision to grant a marketing authorization within 67 days of receipt of the EMA’s recommendation. Accelerated assessment may be granted by the CHMP in exceptional cases, when a medicinal product is of major interest from the point of view of public health and, in particular, from the viewpoint of therapeutic innovation. If the CHMP accepts such a request, the timeframe of 210 days for assessment will be reduced to 150 days (excluding clock stops), but it is possible that the CHMP may revert to the standard time limit for the centralized procedure if it determines that the application is no longer appropriate to conduct an accelerated assessment.</w:t>
      </w:r>
    </w:p>
    <w:p>
      <w:pPr>
        <w:pStyle w:val="TextBody"/>
        <w:spacing w:before="120" w:after="0"/>
        <w:jc w:val="left"/>
        <w:rPr>
          <w:rFonts w:ascii="Times New Roman" w:hAnsi="Times New Roman"/>
          <w:sz w:val="20"/>
        </w:rPr>
      </w:pPr>
      <w:r>
        <w:rPr>
          <w:rFonts w:ascii="Times New Roman;serif" w:hAnsi="Times New Roman;serif"/>
          <w:b w:val="false"/>
          <w:sz w:val="20"/>
        </w:rPr>
        <w:t>Because the United Kingdom (which comprises Great Britain and Northern Ireland) left the European Union, Great Britain will no longer be covered by centralized marketing authorizations (under the Northern Ireland Protocol, centralized marketing</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authorizations will continue to be recognized in Northern Ireland). All medicinal products with a current centralized marketing authorization were automatically converted to Great Britain marketing authorizations on January, 1 2021. For a period of two years from January 1, 2021, the Medicines and Healthcare products Regulatory Agency (the “MHRA”), the UK medicines regulator, may rely on a decision taken by the European Commission on the approval of a new marketing authorization in the centralized procedure, in order to more quickly grant a new Great Britain marketing authorization. A separate application will, however, still be required.</w:t>
      </w:r>
    </w:p>
    <w:p>
      <w:pPr>
        <w:pStyle w:val="TextBody"/>
        <w:spacing w:before="360" w:after="0"/>
        <w:jc w:val="left"/>
        <w:rPr>
          <w:rFonts w:ascii="Times New Roman;serif" w:hAnsi="Times New Roman;serif"/>
          <w:b/>
          <w:i/>
          <w:sz w:val="20"/>
        </w:rPr>
      </w:pPr>
      <w:r>
        <w:rPr>
          <w:rFonts w:ascii="Times New Roman;serif" w:hAnsi="Times New Roman;serif"/>
          <w:b/>
          <w:i/>
          <w:sz w:val="20"/>
        </w:rPr>
        <w:t>Data and marketing exclusivity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EEA also provides opportunities for market exclusivity. Upon receiving marketing authorization in the EEA, innovative medicinal products generally receive eight years of data exclusivity and an additional two years of market exclusivity. If granted, data exclusivity prevents generic or biosimilar applicants from referencing the innovator’s preclinical and clinical trial data contained in the dossier of the reference product when applying for a generic or biosimilar marketing authorization during a period of eight years from the date on which the reference product was first authorized in the EEA. During the additional two-year period of market exclusivity, a generic or biosimilar marketing authorization can be submitted, and the innovator’s data may be referenced, but no generic or biosimilar product can be marketed until the expiration of the market exclusivity period.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Even if an innovative medicinal product gains the prescribed period of data exclusivity, another company may market another version of the product if such company obtained marketing authorization based on a MAA with a complete independent data package of pharmaceutical tests, preclinical tests and clinical trials. There is, however, no guarantee that a product will be considered by the European Union’s regulatory authorities to be an innovative medicinal product, and products may therefore not qualify for data exclusivity.</w:t>
      </w:r>
    </w:p>
    <w:p>
      <w:pPr>
        <w:pStyle w:val="TextBody"/>
        <w:spacing w:before="360" w:after="0"/>
        <w:jc w:val="left"/>
        <w:rPr>
          <w:rFonts w:ascii="Times New Roman;serif" w:hAnsi="Times New Roman;serif"/>
          <w:b/>
          <w:i/>
          <w:sz w:val="20"/>
        </w:rPr>
      </w:pPr>
      <w:r>
        <w:rPr>
          <w:rFonts w:ascii="Times New Roman;serif" w:hAnsi="Times New Roman;serif"/>
          <w:b/>
          <w:i/>
          <w:sz w:val="20"/>
        </w:rPr>
        <w:t>Post-approval controls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Following approval, the holder of the marketing authorization is required to comply with a range of requirements applicable to the manufacturing, marketing, promotion and sale of the medicinal product. These include the following:</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holder of a marketing authorization must establish and maintain a pharmacovigilance system and appoint an individual qualified person for pharmacovigilance, who is responsible for oversight of that</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10028"/>
      </w:tblGrid>
      <w:tr>
        <w:trPr/>
        <w:tc>
          <w:tcPr>
            <w:tcW w:w="177" w:type="dxa"/>
            <w:tcBorders/>
            <w:shd w:fill="auto" w:val="clear"/>
            <w:vAlign w:val="center"/>
          </w:tcPr>
          <w:p>
            <w:pPr>
              <w:pStyle w:val="TableContents"/>
              <w:spacing w:before="0" w:after="283"/>
              <w:rPr>
                <w:sz w:val="4"/>
                <w:szCs w:val="4"/>
              </w:rPr>
            </w:pPr>
            <w:r>
              <w:rPr>
                <w:sz w:val="4"/>
                <w:szCs w:val="4"/>
              </w:rPr>
            </w:r>
          </w:p>
        </w:tc>
        <w:tc>
          <w:tcPr>
            <w:tcW w:w="10028"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bookmarkStart w:id="29" w:name="bkmk_197"/>
            <w:bookmarkEnd w:id="29"/>
            <w:r>
              <w:rPr/>
              <w:t> </w:t>
            </w:r>
          </w:p>
        </w:tc>
        <w:tc>
          <w:tcPr>
            <w:tcW w:w="10028"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system. Key obligations include expedited reporting of suspected serious adverse reactions and submission of periodic safety update reports (“PSURs”).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All new MAAs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All advertising and promotional activities for the product must be consistent with the approved Summary of Product Characteristics (“SmPC”), and therefore all off-label promotion is prohibited. Direct-to-consumer advertising of prescription medicines is also prohibited in the European Union. Although general requirements for advertising and promotion of medicinal products are established under EU directives, the details are governed by regulations in each EU Member State and can differ from one country to another.</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Failure to comply with European Union and EU Member State laws that apply to the conduct of clinical trials, manufacturing approval, marketing authorization of medicinal products and marketing of such products (both before and after grant of the marketing authorization), manufacturing of pharmaceutical products, statutory health insurance, bribery and anti-corruption or with other applicable regulatory requirements may result in administrative, civil or criminal penalties. Such penalties could include delays or refusal to authorize the conduct of clinical trials or to grant the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w:t>
      </w:r>
    </w:p>
    <w:p>
      <w:pPr>
        <w:pStyle w:val="TextBody"/>
        <w:spacing w:before="360" w:after="0"/>
        <w:jc w:val="left"/>
        <w:rPr>
          <w:rFonts w:ascii="Times New Roman;serif" w:hAnsi="Times New Roman;serif"/>
          <w:b/>
          <w:i/>
          <w:sz w:val="20"/>
        </w:rPr>
      </w:pPr>
      <w:r>
        <w:rPr>
          <w:rFonts w:ascii="Times New Roman;serif" w:hAnsi="Times New Roman;serif"/>
          <w:b/>
          <w:i/>
          <w:sz w:val="20"/>
        </w:rPr>
        <w:t>Brexit and the Regulatory Framework in the United Kingdom</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January 1, 2021, EU law no longer directly applies in the United Kingdom. The United Kingdom has adopted existing EU medicines regulation as standalone UK legislation with some amendments to reflect procedural and other requirements with respect to marketing authorizations and other regulatory provisions.</w:t>
      </w:r>
    </w:p>
    <w:p>
      <w:pPr>
        <w:pStyle w:val="TextBody"/>
        <w:spacing w:before="120" w:after="0"/>
        <w:jc w:val="left"/>
        <w:rPr>
          <w:rFonts w:ascii="Times New Roman" w:hAnsi="Times New Roman"/>
          <w:sz w:val="20"/>
        </w:rPr>
      </w:pPr>
      <w:r>
        <w:rPr>
          <w:rFonts w:ascii="Times New Roman;serif" w:hAnsi="Times New Roman;serif"/>
          <w:b w:val="false"/>
          <w:sz w:val="20"/>
        </w:rPr>
        <w:t>In order to market medicines in the United Kingdom, manufacturers must hold a UK authorization. On January 1, 2021, all EU marketing authorizations were converted to UK marketing authorizations subject to a manufacturer opt-out. UK medicines legislation</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is subject to future regulatory change under the Medicines and Medical Devices Act 2021, which sets out a framework for the adoption of medicines regulation. Guidance issued by the Medicines and Healthcare products Regulatory Agency, or MHRA, states that the United Kingdom will have the power to take into account marketing authorizations made under the EU decentralized and mutual recognition procedures. In addition, the MHRA’s guidance has been updated to refer to new national licensing procedures including new routes of evaluation for novel and biotechnological products.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Different rules will apply in Northern Ireland following implementation of the Northern Ireland Protocol. In Northern Ireland, EU central marketing applications will continue to apply.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Trade and Cooperation Agreement between the European Union and the United Kingdom contains an Annex in relation to medicinal products with the objective of facilitating availability of medicines, promotion of public health and consumer protection in respect of medicinal products. The Annex provides for mutual recognition of good manufacturing practice (GMP) inspections and certificates, meaning that manufacturing facilities do not need to undergo duplicate inspections for the two markets. The Annex establishes a Working Group on Medicinal Products to deal with matters under the Trade and Cooperation Agreement, facilitate co-operation and for the carrying out of technical discussions. It is expected that further bilateral discussions will continue with respect to regulatory areas not the subject of the Trade and Cooperation Agreement, including pharmacovigilance. The Trade and Cooperation Agreement also does not include reciprocal arrangements for the recognition of batch testing certification. However, the United Kingdom has listed approved countries, including the EEA which will enable UK importers and wholesales to recognize certain certification and regulatory standards. The European Commission has not adopted such recognition procedures.</w:t>
      </w:r>
    </w:p>
    <w:p>
      <w:pPr>
        <w:pStyle w:val="TextBody"/>
        <w:spacing w:before="120" w:after="0"/>
        <w:jc w:val="left"/>
        <w:rPr>
          <w:rFonts w:ascii="Times New Roman" w:hAnsi="Times New Roman"/>
          <w:sz w:val="20"/>
        </w:rPr>
      </w:pPr>
      <w:r>
        <w:rPr>
          <w:rFonts w:ascii="Times New Roman;serif" w:hAnsi="Times New Roman;serif"/>
          <w:b w:val="false"/>
          <w:sz w:val="20"/>
        </w:rPr>
        <w:t>Relatedly, following the United Kingdom’s withdrawal from the EU, the General Data Protection Regulation (“GDPR”) has been implemented in the United Kingdom (as the UK GDPR). The UK GDPR sits alongside the UK Data Protection Act 2018 which implements certain derogations in the EU GDPR into United Kingdom law. Under the UK GDPR, companies not established in the United Kingdom but who process personal data in relation to the offering of goods or services to individuals in the United Kingdom, or to monitor their behavior will be subject to the UK GDPR – the requirements of which are (at this time) largely aligned with those under the EU GDPR and as such, may lead to similar compliance and operational costs with potential fines of up to £17.5 million or 4% of global turnover. On June 28, 2021, the European Commission issued a decision that the United Kingdom ensures an adequate level of protection for personal data transferred under the EU GDPR from the European Union to the United Kingdom. In 2022, the UK government proposed and debated the Data Protection and Digital Information Bill to harmonize the 2018 Data Protection Act, UK GDPR, and the Privacy and Electronic Communications Regulations under one legislative framework. However, progress on the bill stalled as the government continues to assess the most optimal approach to data protection reform.</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Other health care laws and compliance requirements</w:t>
      </w:r>
    </w:p>
    <w:p>
      <w:pPr>
        <w:pStyle w:val="TextBody"/>
        <w:spacing w:before="120" w:after="0"/>
        <w:jc w:val="left"/>
        <w:rPr>
          <w:rFonts w:ascii="Times New Roman" w:hAnsi="Times New Roman"/>
          <w:sz w:val="20"/>
        </w:rPr>
      </w:pPr>
      <w:bookmarkStart w:id="30" w:name="bkmk_198"/>
      <w:bookmarkEnd w:id="30"/>
      <w:r>
        <w:rPr>
          <w:rFonts w:ascii="Times New Roman;serif" w:hAnsi="Times New Roman;serif"/>
          <w:b w:val="false"/>
          <w:sz w:val="20"/>
        </w:rPr>
        <w:t>If our product candidates are approved in the United States, we will have to comply with various U.S. federal and state laws, rules and regulations pertaining to health care fraud and abuse, including anti-kickback laws and false claims laws, rules and regulations. Violations of the fraud and abuse laws are punishable by</w:t>
      </w:r>
      <w:r>
        <w:rPr>
          <w:rFonts w:ascii="Times New Roman" w:hAnsi="Times New Roman"/>
          <w:sz w:val="20"/>
        </w:rPr>
        <w:t xml:space="preserve"> </w:t>
      </w:r>
      <w:r>
        <w:rPr>
          <w:rFonts w:ascii="Times New Roman;serif" w:hAnsi="Times New Roman;serif"/>
          <w:b w:val="false"/>
          <w:sz w:val="20"/>
        </w:rPr>
        <w:t>criminal and civil sanctions, including, in some instances, exclusion from participation in federal and state health care programs, including Medicare and Medicaid. These laws include:</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federal Anti-Kickback Statute (the “AKS”),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arrangement or recommendation of any good, facility, item or service for which payment may be made, in whole or in part, under a federal health care program, such as the Medicare and Medicaid programs; a person or entity does not need to have actual knowledge of the AKS or specific intent to violate it to have committed a violation. In addition, the government may assert that a claim including items or services resulting from a violation of the AKS constitutes a false or fraudulent claim for purposes of the federal False Claims Act (the “FCA”) or federal civil money penalties statute;</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 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payers if they are deemed to “cause” the submission of false or fraudulent claims. The FCA also permits a private individual acting as a “whistleblower” to bring actions on behalf of the federal government alleging violations of the FCA and to share in any monetary recovery;</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Civil Monetary Penalties Law (beneficiary 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Health Insurance Portability and Accountability Act of 1996 (“HIPAA”), which created new federal criminal statutes that prohibit knowingly and willfully executing, or attempting to execute, a scheme to defraud any health care benefit program or obtain, by means of false or fraudulent pretenses, representations, or promises, any of the money or property owned by, or under the custody or control of, any health 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 care benefits, items or services relating to health care matters; similar to the AKS, a person or entity does not need to have actual knowledge of the statute or specific intent to violate it in order to have committed a violation;</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federal transparency requirements under the ACA, including the provision commonly referred to as the Physician Payments Sunshine Act, and its implementing regulations, which requires applicable manufacturers of medicines, devices, biologics and medical supplies for which payment is available under the Medicare, Medicaid or the Children’s Health Insurance Program to report annually to the U.S. Department of Health and Human Services (“DHHS”) information related to payments or other transfers of value made to physicians (defined to include doctors, dentists, optometrists, podiatrists and chiropractors), physician assistants, nurse practitioners, clinical nurse specialists, certified registered nurse anesthetists, anesthesiologist assistants, certified nurse midwives and teaching hospitals, as well as ownership and investment interests held by physicians and their immediate family; and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FCPA and other anti-corruption laws and regulations pertaining to our financial relationships and interactions with foreign government officials, which prohibit U.S. companies and their employees, officers, and representatives from paying, offering to pay, promising, or authorizing the payment of anything of value to any foreign government official (including, potentially, healthcare professionals in countries in which we operate or may sell our products), government staff member, political party, or political candidate to obtain or retain business or to otherwise seek favorable treatment.</w:t>
            </w:r>
          </w:p>
        </w:tc>
      </w:tr>
    </w:tbl>
    <w:p>
      <w:pPr>
        <w:pStyle w:val="TextBody"/>
        <w:spacing w:before="0" w:after="0"/>
        <w:jc w:val="left"/>
        <w:rPr/>
      </w:pPr>
      <w:r>
        <w:rPr/>
        <w:t> </w:t>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we are subject to state and foreign equivalents of each of the health care laws and regulations described above, among others, some of which may be broader in scope and may apply regardless of the payor. Many U.S. states have adopted laws similar to the AKS and FCA, and may apply to our business practices, including, but not limited to, research, distribution, sales or marketing arrangements and claims involving health 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 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Because of the breadth of these laws and the narrowness of the statutory exceptions and safe harbors available, it is possible that some of our business activities could be subject to challenge under one or more of such laws.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Violations of fraud and abuse laws may be punishable by criminal and/or civil sanctions, including penalties, fines, imprisonment and/or exclusion or suspension from federal and state health care programs such as Medicare and Medicaid and debarment from contracting with the U.S. government. In addition, private individuals have the ability to bring actions on behalf of the U.S. government under the FCA as well as under the false claims laws of several states.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Law enforcement authorities are increasingly focused on enforcing health care fraud and abuse laws, and it is possible that some of our practices may be challenged under these laws. Efforts to ensure that our current and future business arrangements with third parties, and our business generally, will comply with applicable health care laws and regulations will involve substantial costs. If our operations, including our arrangements with physicians and other health care providers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 care programs (such as Medicare and Medicaid), and imprisonment, any of which could adversely affect our ability to operate our business and our financial results. The approval and commercialization of any of our product candidates outside the United States will also subject us to foreign equivalents of the health care laws mentioned above, among other foreign laws.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any of the physicians or other health care providers or entities with whom we expect to do business are found to be not in compliance with applicable laws, they may be subject to criminal, civil or administrative sanctions, including exclusions from government-funded health care programs, which may also adversely affect our business.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bookmarkStart w:id="31" w:name="bkmk_200"/>
      <w:bookmarkEnd w:id="31"/>
      <w:r>
        <w:rPr>
          <w:rFonts w:ascii="Times New Roman;serif" w:hAnsi="Times New Roman;serif"/>
          <w:b w:val="false"/>
          <w:sz w:val="20"/>
        </w:rPr>
        <w:t>The risk of our being found in violation of these laws is increased by the fact that many of these laws have not been fully interpreted by the regulatory authorities or the courts, and their provisions are open to a variety of interpretations. Any action against us for violation of these laws, even if we successfully defend against it, could</w:t>
      </w:r>
      <w:r>
        <w:rPr>
          <w:rFonts w:ascii="Times New Roman" w:hAnsi="Times New Roman"/>
          <w:sz w:val="20"/>
        </w:rPr>
        <w:t xml:space="preserve"> </w:t>
      </w:r>
      <w:r>
        <w:rPr>
          <w:rFonts w:ascii="Times New Roman;serif" w:hAnsi="Times New Roman;serif"/>
          <w:b w:val="false"/>
          <w:sz w:val="20"/>
        </w:rPr>
        <w:t>cause us to incur significant legal expenses and divert our management’s attention from the operation of our business. The shifting compliance environment and the need to build and maintain a robust system to comply with multiple jurisdictions with different compliance and reporting requirements increases the possibility that a health care company may violate one or more of the requirements. Efforts to ensure that our business arrangements with third parties will comply with applicable health care laws and regulations will involve substantial cost.</w:t>
      </w:r>
    </w:p>
    <w:p>
      <w:pPr>
        <w:pStyle w:val="TextBody"/>
        <w:spacing w:before="360" w:after="0"/>
        <w:jc w:val="left"/>
        <w:rPr>
          <w:rFonts w:ascii="Times New Roman;serif" w:hAnsi="Times New Roman;serif"/>
          <w:b/>
          <w:i/>
          <w:sz w:val="20"/>
        </w:rPr>
      </w:pPr>
      <w:r>
        <w:rPr>
          <w:rFonts w:ascii="Times New Roman;serif" w:hAnsi="Times New Roman;serif"/>
          <w:b/>
          <w:i/>
          <w:sz w:val="20"/>
        </w:rPr>
        <w:t>Data Privacy and Security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are federal, state and foreign laws governing the privacy and security of health information and personal information, many of which differ from each other in significant ways and apply simultaneously, thus complicating compliance efforts.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HIPAA, as amended by the Health Information Technology for Economic and Clinical Health (“HITECH”), and its implementing regulations, strengthens and expands requirements relating to the privacy, security, and transmission of individually identifiable health information; and requires notification to affected individuals and regulatory authorities of certain breaches of security of individually identifiable health 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HITECH strengthened and expanded HIPAA and increased penalties for violations. Under HITECH, regulated entities are subject to enforcement by the federal government and by state Attorneys General, who were given authority to enforce HIPAA under HITECH. Some state laws impose privacy protections more stringent than HIPAA and data security requirements applicable to information beyond health care information (for example, the California Consumer Privacy Act of 2018 (the “CCPA”)). These state laws create an additional level of enforcement and may require additional reporting in the event of breach. Most of the health care providers in the United States with whom we collaborate to develop and test our products must comply with HIPAA and applicable state law. We may not be directly subject to these laws, however, we must structure our activities in compliance with these laws to ensure that we can access and use health information to support our research, development and other activities. Our failure to comply with these privacy and security laws or a breach of health information or personal data could prompt enforcement against our health care provider partners, create third party liability for our company and/or cause significant financial or reputational harm to our company.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also be subject to additional privacy restrictions. The collection, use, storage, disclosure, transfer, or other processing of personal data regarding individuals in the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explicit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and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pStyle w:val="TextBody"/>
        <w:spacing w:before="360" w:after="0"/>
        <w:jc w:val="left"/>
        <w:rPr>
          <w:rFonts w:ascii="Times New Roman;serif" w:hAnsi="Times New Roman;serif"/>
          <w:b/>
          <w:i/>
          <w:sz w:val="20"/>
        </w:rPr>
      </w:pPr>
      <w:r>
        <w:rPr>
          <w:rFonts w:ascii="Times New Roman;serif" w:hAnsi="Times New Roman;serif"/>
          <w:b/>
          <w:i/>
          <w:sz w:val="20"/>
        </w:rPr>
        <w:t>Health care reform</w:t>
      </w:r>
    </w:p>
    <w:p>
      <w:pPr>
        <w:pStyle w:val="TextBody"/>
        <w:spacing w:before="120" w:after="0"/>
        <w:jc w:val="left"/>
        <w:rPr>
          <w:rFonts w:ascii="Times New Roman;serif" w:hAnsi="Times New Roman;serif"/>
          <w:b w:val="false"/>
          <w:sz w:val="20"/>
        </w:rPr>
      </w:pPr>
      <w:bookmarkStart w:id="32" w:name="bkmk_201"/>
      <w:bookmarkEnd w:id="32"/>
      <w:r>
        <w:rPr>
          <w:rFonts w:ascii="Times New Roman;serif" w:hAnsi="Times New Roman;serif"/>
          <w:b w:val="false"/>
          <w:sz w:val="20"/>
        </w:rPr>
        <w:t>In the United States and some foreign jurisdictions, there have been, and continue to be, several legislative and regulatory changes and proposed changes regarding the health care system that could prevent or delay marketing approval of product and therapeutic candidates, restrict or regulate post-approval activities, and affect the ability to profitably sell product and therapeutic candidates that obtain marketing approval. The FDA’s and other regulatory authorities’ policies may change and additional government regulations may be enacted that could prevent, limit or delay regulatory approval of our product and therapeutic candidates.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w:t>
      </w:r>
    </w:p>
    <w:p>
      <w:pPr>
        <w:pStyle w:val="TextBody"/>
        <w:spacing w:before="120" w:after="0"/>
        <w:jc w:val="left"/>
        <w:rPr>
          <w:rFonts w:ascii="Times New Roman" w:hAnsi="Times New Roman"/>
          <w:sz w:val="20"/>
        </w:rPr>
      </w:pPr>
      <w:r>
        <w:rPr>
          <w:rFonts w:ascii="Times New Roman;serif" w:hAnsi="Times New Roman;serif"/>
          <w:b w:val="false"/>
          <w:sz w:val="20"/>
        </w:rPr>
        <w:t>In addition, the containment of healthcare costs has become a priority of federal and state governments and the prices of therapeutics have been a focus in this effort. The U.S.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and biosimilar products for branded</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prescription medicines and biologics, respectively. In recent years, the U.S. Congress has considered reductions in Medicare reimbursement levels for medicines and biologics administered by physicians. CMS, the agency that administers the Medicare and Medicaid programs, also has authority to revise reimbursement rates and to implement coverage restrictions for some drugs and biologics. Cost reduction initiatives and changes in coverage implemented through legislation or regulation could decrease utilization of and reimbursement for any approved products we may market in the future. While Medicare regulations apply only to pharmaceutical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ACA, as amended by the Health Care and Education Affordability Reconciliation Act, was enacted in 2010 and substantially changed the way health care is financed by both governmental and private insurers in the United States, and significantly impacted the pharmaceutical industry. The ACA was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manufacturers, and impose additional health policy reforms. With regard to biopharmaceutical products, the ACA, among other things, addressed a new methodology by which rebates owed by manufacturers under the Medicaid Drug Rebate Program are calculated for therapeutics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on manufacturers of certain branded prescription medicines, created a new Medicare Part D coverage gap discount program, and expanded the 340B drug discount program. As another example, the 2021 Consolidated Appropriations Act signed into law on December 27, 2020 incorporated extensive health care provisions and amendments to existing laws, including a requirement that all manufacturers of medicines and biological products covered under Medicare Part B report the product’s average sales price, to the DHHS beginning on January 1, 2022, subject to enforcement via civil money penalties.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have been executive, judicial and Congressional challenges to certain aspects of the ACA since its enactment, and it is possible that there will be additional challenges and amendments to the ACA in the future.</w:t>
      </w:r>
    </w:p>
    <w:p>
      <w:pPr>
        <w:pStyle w:val="TextBody"/>
        <w:spacing w:before="120" w:after="0"/>
        <w:jc w:val="left"/>
        <w:rPr>
          <w:rFonts w:ascii="Times New Roman;serif" w:hAnsi="Times New Roman;serif"/>
          <w:b w:val="false"/>
          <w:sz w:val="20"/>
        </w:rPr>
      </w:pPr>
      <w:bookmarkStart w:id="33" w:name="bkmk_202"/>
      <w:bookmarkEnd w:id="33"/>
      <w:r>
        <w:rPr>
          <w:rFonts w:ascii="Times New Roman;serif" w:hAnsi="Times New Roman;serif"/>
          <w:b w:val="false"/>
          <w:sz w:val="20"/>
        </w:rPr>
        <w:t>Other legislative changes have been proposed and adopted since passage of the ACA that affect health care expenditures. These changes include aggregate reductions to Medicare payments to providers of up to 2% per fiscal year pursuant to the Budget Control Act of 2011, which began in 2013 and was extended by the Consolidated Appropriations Act for 2023,and will remain in effect through 2032 unless additional Congressional action is taken. Further legislative and regulatory changes under the ACA remain possible, but it is unknown what form any such changes or any law would take, and how or whether it may affect the biopharmaceutical industry as a whole or our business in the future. We expect that changes or additions to the ACA, the Medicare and Medicaid programs and changes stemming from other healthcare reform measures, especially with regard to healthcare access, financing or other legislation in individual states, could have a material adverse effect on the healthcare industry in the United States.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recent years, there has been heightened governmental scrutiny over the manner in which biopharmaceutical manufacturers set prices for their marketed products. Such scrutiny has resulted in several recent U.S. Congressional inquiries and proposed and enacted federal and state legislation designed to, among other things, bring more transparency to medicine pricing, review the relationship between pricing and manufacturer patient programs, reduce the cost of medicines under Medicare, and reform government program reimbursement methodologies for pharmaceutical products. Congress and the executive branch have each indicated that it will continue to seek new legislative and/or administrative measures to control the costs of medicines, making this area subject to ongoing uncertainty.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More recently, in August 2022, President Biden signed into the law the Inflation Reduction Act of 2022 (the “IRA”). Among other things, the IRA has multiple provisions that may impact the prices of drug products that are both sold into the Medicare program and throughout the United States. Starting in 2023, a manufacturer of a drug or biological product covered by Medicare Parts B or D must pay a rebate to the federal government if the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in payment year 2026, CMS will negotiate drug prices annually for a select number of single-source Part D drugs, including biologics that have been on the market for 13 years, without generic or biosimilar competition. CMS will also negotiate drug prices for a select number of Part B drugs, including biologics that have been on the market for 13 years, starting for payment year 2028. If a drug product is selected by CMS for negotiation, it is expected that the revenue generated from such drug will decrease.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At the state level in the United States, legislatures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and other members of the healthcare and pharmaceutical supply chain, an important decision that may lead to further and more aggressive efforts by states in this area.</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cannot predict the likelihood, nature or extent of government regulation that may arise from future legislation or administrative or executive action, either in the United States or abroad. 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pStyle w:val="TextBody"/>
        <w:spacing w:before="360" w:after="0"/>
        <w:jc w:val="left"/>
        <w:rPr>
          <w:rFonts w:ascii="Times New Roman;serif" w:hAnsi="Times New Roman;serif"/>
          <w:b/>
          <w:sz w:val="20"/>
        </w:rPr>
      </w:pPr>
      <w:r>
        <w:rPr>
          <w:rFonts w:ascii="Times New Roman;serif" w:hAnsi="Times New Roman;serif"/>
          <w:b/>
          <w:sz w:val="20"/>
        </w:rPr>
        <w:t>Coverage and reimbursement</w:t>
      </w:r>
    </w:p>
    <w:p>
      <w:pPr>
        <w:pStyle w:val="TextBody"/>
        <w:spacing w:before="120" w:after="0"/>
        <w:jc w:val="left"/>
        <w:rPr>
          <w:rFonts w:ascii="Times New Roman" w:hAnsi="Times New Roman"/>
          <w:sz w:val="20"/>
        </w:rPr>
      </w:pPr>
      <w:bookmarkStart w:id="34" w:name="bkmk_203"/>
      <w:bookmarkEnd w:id="34"/>
      <w:r>
        <w:rPr>
          <w:rFonts w:ascii="Times New Roman;serif" w:hAnsi="Times New Roman;serif"/>
          <w:b w:val="false"/>
          <w:sz w:val="20"/>
        </w:rPr>
        <w:t>Significant uncertainty exists as to the coverage and reimbursement status of any cell-based regenerative therapies for which we may obtain regulatory approval. In the United States and markets in other countries, sales of any cell-based therapies for which we receive regulatory approval for commercial sale will depend, in part, on the availability of coverage and reimbursement from payors. Payors include government authorities, managed care providers, private health insurers and other organizations. Patients who are prescribed treatments for their conditions and providers who prescribe such treatments generally rely on these third-party payors to reimburse all or part of the treatment and other associated health care costs. The process for determining whether a payor will provide coverage for a medicine, device or biologic product may be separate from the process for setting the reimbursement rate that the payor will pay for the product. Payors may limit coverage to specific products on an approved list, or formulary, which might not include all of the FDA-approved products for a particular indication. A decision by a payor not to cover our cell-based therapies could reduce physician utilization of our products, if they are approved, and have a material adverse effect on our sales, results of operations and financial condition. Moreover, a payor’s decision to provide coverage for a product does not imply that an adequate</w:t>
      </w:r>
      <w:r>
        <w:rPr>
          <w:rFonts w:ascii="Times New Roman" w:hAnsi="Times New Roman"/>
          <w:sz w:val="20"/>
        </w:rPr>
        <w:t xml:space="preserve"> </w:t>
      </w:r>
      <w:r>
        <w:rPr>
          <w:rFonts w:ascii="Times New Roman;serif" w:hAnsi="Times New Roman;serif"/>
          <w:b w:val="false"/>
          <w:sz w:val="20"/>
        </w:rPr>
        <w:t>reimbursement rate will be approved. Adequate third-party reimbursement may not be available to enable us to maintain price levels sufficient to realize an appropriate return on our investment in product development and manufacturing costs. Further, due to the COVID-19 pandemic, millions of individuals have lost or may lose employer-based insurance coverage, which may adversely affect our ability to commercialize our products in certain jurisdictions.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coverage and reimbursement for products can differ significantly from payor to payor. One payor’s decision to cover a particular medical product or service does not ensure that other payors will also provide coverage for the medical product or service, or will provide coverage at an adequate reimbursement rate. In the United States, the principal decisions about reimbursement for new medicines are typically made by CMS. CMS decides whether and to what extent a new medicine will be covered and reimbursed under Medicare and private payors tend to follow CMS to a substantial degree.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the coverage determination process will require us to provide scientific and clinical support for the use of our products to each payor separately and will be a time-consuming process.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Payors are increasingly challenging the price and examining the medical necessity and cost-effectiveness of medical products and services, in addition to their safety and efficacy. In order to obtain and maintain coverage and reimbursement for any product, we may need to conduct expensive evidence generation studies in order to demonstrate the medical necessity and cost-effectiveness of such a product, in addition to the costs required to obtain regulatory approvals. If payors do not consider a product to be cost-effective compared to current standards of care, they may not cover the product as a benefit under their plans or, if they do, the level of payment may not be sufficient to allow a company to cover its costs or make a profit.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agreed with the government authority. Furthermore, some countries may require the completion of additional studies that compare the effectiveness and/or cost-effectiveness of a particular therapy to current standards of care as part of so-called health technology assessments in order to obtain reimbursement or pricing approval. Additionally, there may be a need for activities to secure reimbursement for procedures associated with products administered in a hospital setting under the diagnosis-related group system, whereby a billing code may not exist or may be currently insufficient to cover the cost of the procedure. In other instances, countries may monitor and control product volumes and issue guidance to physicians to limit prescriptions in the form of treatment policies. Efforts to control prices and utilization of pharmaceutical products and medical devices will likely continue as countries attempt to manage health care expenditures.</w:t>
      </w:r>
    </w:p>
    <w:p>
      <w:pPr>
        <w:pStyle w:val="TextBody"/>
        <w:spacing w:before="360" w:after="0"/>
        <w:jc w:val="left"/>
        <w:rPr>
          <w:rFonts w:ascii="Times New Roman;serif" w:hAnsi="Times New Roman;serif"/>
          <w:b/>
          <w:sz w:val="20"/>
        </w:rPr>
      </w:pPr>
      <w:r>
        <w:rPr>
          <w:rFonts w:ascii="Times New Roman;serif" w:hAnsi="Times New Roman;serif"/>
          <w:b/>
          <w:sz w:val="20"/>
        </w:rPr>
        <w:t>Human Capital Resources</w:t>
      </w:r>
    </w:p>
    <w:p>
      <w:pPr>
        <w:pStyle w:val="TextBody"/>
        <w:spacing w:before="108" w:after="0"/>
        <w:jc w:val="left"/>
        <w:rPr>
          <w:rFonts w:ascii="Times New Roman;serif" w:hAnsi="Times New Roman;serif"/>
          <w:b w:val="false"/>
          <w:sz w:val="20"/>
        </w:rPr>
      </w:pPr>
      <w:r>
        <w:rPr>
          <w:rFonts w:ascii="Times New Roman;serif" w:hAnsi="Times New Roman;serif"/>
          <w:b w:val="false"/>
          <w:sz w:val="20"/>
        </w:rPr>
        <w:t>As of December 31, 2022, ProKidney had 87 full-time employees. This included 31 in research and development, 43 in manufacturing, operations, quality control and quality assurance, and 13 in general and administrative functions. We have no collective bargaining agreements with our employees, and we have not experienced any work stoppages. We consider our relations with our employees to be good.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Information Available on the Internet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internet address is https://www.prokidney.com, to which we regularly post copies of our press releases as well as additional information about us. This Annual Report on Form 10-K and our quarterly reports on Form 10-Q, current reports on Form 8-K, and all amendments to those reports, are available to you free of charge through the Investors section of our website as soon as reasonably practicable after such materials have been electronically filed with, or furnished to, the SEC. The SEC maintains an internet site (http://www.sec.gov) that contains reports, proxy and information statements, and other information regarding issuers that file electronically with the SEC. We include our web site address in this Annual Report only as an inactive textual reference. Information contained in our website does not constitute a part of this report or our other filings with the SEC.</w:t>
      </w:r>
    </w:p>
    <w:p>
      <w:pPr>
        <w:pStyle w:val="TextBody"/>
        <w:spacing w:before="360" w:after="0"/>
        <w:jc w:val="left"/>
        <w:rPr>
          <w:rFonts w:ascii="Times New Roman" w:hAnsi="Times New Roman"/>
          <w:sz w:val="20"/>
        </w:rPr>
      </w:pPr>
      <w:bookmarkStart w:id="35" w:name="item1a"/>
      <w:bookmarkEnd w:id="35"/>
      <w:r>
        <w:rPr>
          <w:rFonts w:ascii="Times New Roman;serif" w:hAnsi="Times New Roman;serif"/>
          <w:b/>
          <w:sz w:val="20"/>
        </w:rPr>
        <w:t>Item 1A. Risk Factors.</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Risks Related to Our Financial Position and Need for Additional Capital</w:t>
      </w:r>
    </w:p>
    <w:p>
      <w:pPr>
        <w:pStyle w:val="TextBody"/>
        <w:spacing w:before="120" w:after="0"/>
        <w:jc w:val="left"/>
        <w:rPr>
          <w:rFonts w:ascii="Times New Roman;serif" w:hAnsi="Times New Roman;serif"/>
          <w:b/>
          <w:i/>
          <w:sz w:val="20"/>
        </w:rPr>
      </w:pPr>
      <w:r>
        <w:rPr>
          <w:rFonts w:ascii="Times New Roman;serif" w:hAnsi="Times New Roman;serif"/>
          <w:b/>
          <w:i/>
          <w:sz w:val="20"/>
        </w:rPr>
        <w:t>We have incurred significant net losses since inception and we expect to continue to incur significant net losses for the foreseeable future.</w:t>
      </w:r>
    </w:p>
    <w:p>
      <w:pPr>
        <w:pStyle w:val="TextBody"/>
        <w:spacing w:before="120" w:after="0"/>
        <w:jc w:val="left"/>
        <w:rPr>
          <w:rFonts w:ascii="Times New Roman" w:hAnsi="Times New Roman"/>
          <w:sz w:val="20"/>
        </w:rPr>
      </w:pPr>
      <w:r>
        <w:rPr>
          <w:rFonts w:ascii="Times New Roman;serif" w:hAnsi="Times New Roman;serif"/>
          <w:b w:val="false"/>
          <w:sz w:val="20"/>
        </w:rPr>
        <w:t>We have incurred significant net losses since our inception. We continue to incur significant research and development and other expenses related to our ongoing operations. For the years ended December 31, 2022, 2021 and 2020, we reported net losses before noncontrolling interest of $148.1 million, $55.1 million and $26.7 million, respectively. As of December 31, 2022 and 2021, we had an accumulated deficit of $1,104.1 million and $161.5 million, respectively. We have devoted substantially all of our resources and efforts to research and development, and we expect that it will be several years, if ever, before we generate revenue from product sales. Even if we receive marketing approval for, and commercialize our lead product candidate, REACT, we expect that we will continue to incur substantial research and development and other expenses to develop and market additional potential product candidates.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product candidate, REACT, is still in clinical testing. We expect to continue to incur significant losses for the foreseeable future, and we anticipate that our expenses will increase substantially if, and as, we:</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advance the development of REACT and any other future product candidates through clinical development, and, if successful, later-stage clinical trials;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experience delays or interruptions to any future preclinical studies, our current clinical trials, our receipt of services from our third-party service providers on whom we rely, or our supply chain, including delays due to the COVID-19 pandemic, other health crises or events or circumstances beyond our control;</w:t>
            </w:r>
          </w:p>
        </w:tc>
      </w:tr>
    </w:tbl>
    <w:p>
      <w:pPr>
        <w:pStyle w:val="TextBody"/>
        <w:spacing w:before="0" w:after="0"/>
        <w:jc w:val="left"/>
        <w:rPr/>
      </w:pPr>
      <w:r>
        <w:rPr/>
        <w:t> </w:t>
      </w:r>
    </w:p>
    <w:tbl>
      <w:tblPr>
        <w:tblW w:w="9343" w:type="dxa"/>
        <w:jc w:val="left"/>
        <w:tblInd w:w="0" w:type="dxa"/>
        <w:tblCellMar>
          <w:top w:w="28" w:type="dxa"/>
          <w:left w:w="28" w:type="dxa"/>
          <w:bottom w:w="28" w:type="dxa"/>
          <w:right w:w="28" w:type="dxa"/>
        </w:tblCellMar>
      </w:tblPr>
      <w:tblGrid>
        <w:gridCol w:w="177"/>
        <w:gridCol w:w="272"/>
        <w:gridCol w:w="162"/>
        <w:gridCol w:w="873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73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873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seek regulatory approvals for any future product candidates that may successfully complete clinical trials;</w:t>
            </w:r>
          </w:p>
        </w:tc>
      </w:tr>
    </w:tbl>
    <w:p>
      <w:pPr>
        <w:pStyle w:val="TextBody"/>
        <w:spacing w:before="0" w:after="0"/>
        <w:jc w:val="left"/>
        <w:rPr/>
      </w:pPr>
      <w:r>
        <w:rPr/>
        <w:t> </w:t>
      </w:r>
    </w:p>
    <w:tbl>
      <w:tblPr>
        <w:tblW w:w="6538" w:type="dxa"/>
        <w:jc w:val="left"/>
        <w:tblInd w:w="0" w:type="dxa"/>
        <w:tblCellMar>
          <w:top w:w="28" w:type="dxa"/>
          <w:left w:w="28" w:type="dxa"/>
          <w:bottom w:w="28" w:type="dxa"/>
          <w:right w:w="28" w:type="dxa"/>
        </w:tblCellMar>
      </w:tblPr>
      <w:tblGrid>
        <w:gridCol w:w="177"/>
        <w:gridCol w:w="272"/>
        <w:gridCol w:w="162"/>
        <w:gridCol w:w="592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92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592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commercialize REACT and any future product candidates, if approved;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increase the amount of research and development activities to discover and develop product candidates and line extensions;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manufacture the materials needed for clinical trials or, following receipt of necessary regulatory approvals, commercial sales, at our manufacturing facilities;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establish and validate commercial-scale cGMP manufacturing facilities and partner with Contract Manufacturing Organizations (“CMOs”);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establish a commercialization infrastructure and scale up internal and external manufacturing and distribution capabilities to commercialize any product candidates for which we may obtain regulatory approval;</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411"/>
        <w:gridCol w:w="272"/>
        <w:gridCol w:w="162"/>
        <w:gridCol w:w="9360"/>
      </w:tblGrid>
      <w:tr>
        <w:trPr/>
        <w:tc>
          <w:tcPr>
            <w:tcW w:w="411"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411" w:type="dxa"/>
            <w:tcBorders/>
            <w:shd w:fill="auto" w:val="clear"/>
            <w:vAlign w:val="center"/>
          </w:tcPr>
          <w:p>
            <w:pPr>
              <w:pStyle w:val="TableContents"/>
              <w:spacing w:before="0" w:after="0"/>
              <w:ind w:left="0" w:right="250"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360"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hire additional executives in clinical development, regulatory, manufacturing, quality control, quality assurance, scientific, public / investor relations general and administrative and management personnel;</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expand our operational, financial and management systems and increase personnel, including personnel to support our clinical development and manufacturing efforts, general and administrative functions and our operations as a public company;</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establish domestic and global sales, marketing, medical affairs and distribution infrastructure to commercialize any products for which we may obtain marketing approval and intend to commercialize on our own or jointly with third parties;</w:t>
            </w:r>
          </w:p>
        </w:tc>
      </w:tr>
    </w:tbl>
    <w:p>
      <w:pPr>
        <w:pStyle w:val="TextBody"/>
        <w:spacing w:before="0" w:after="0"/>
        <w:jc w:val="left"/>
        <w:rPr/>
      </w:pPr>
      <w:r>
        <w:rPr/>
        <w:t> </w:t>
      </w:r>
    </w:p>
    <w:tbl>
      <w:tblPr>
        <w:tblW w:w="6343" w:type="dxa"/>
        <w:jc w:val="left"/>
        <w:tblInd w:w="0" w:type="dxa"/>
        <w:tblCellMar>
          <w:top w:w="28" w:type="dxa"/>
          <w:left w:w="28" w:type="dxa"/>
          <w:bottom w:w="28" w:type="dxa"/>
          <w:right w:w="28" w:type="dxa"/>
        </w:tblCellMar>
      </w:tblPr>
      <w:tblGrid>
        <w:gridCol w:w="177"/>
        <w:gridCol w:w="272"/>
        <w:gridCol w:w="162"/>
        <w:gridCol w:w="573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73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573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maintain, expand and protect our intellectual property portfolio; and</w:t>
            </w:r>
          </w:p>
        </w:tc>
      </w:tr>
    </w:tbl>
    <w:p>
      <w:pPr>
        <w:pStyle w:val="TextBody"/>
        <w:spacing w:before="0" w:after="0"/>
        <w:jc w:val="left"/>
        <w:rPr/>
      </w:pPr>
      <w:r>
        <w:rPr/>
        <w:t> </w:t>
      </w:r>
    </w:p>
    <w:tbl>
      <w:tblPr>
        <w:tblW w:w="5938" w:type="dxa"/>
        <w:jc w:val="left"/>
        <w:tblInd w:w="0" w:type="dxa"/>
        <w:tblCellMar>
          <w:top w:w="28" w:type="dxa"/>
          <w:left w:w="28" w:type="dxa"/>
          <w:bottom w:w="28" w:type="dxa"/>
          <w:right w:w="28" w:type="dxa"/>
        </w:tblCellMar>
      </w:tblPr>
      <w:tblGrid>
        <w:gridCol w:w="177"/>
        <w:gridCol w:w="272"/>
        <w:gridCol w:w="162"/>
        <w:gridCol w:w="532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32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532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invest in or in-license other technologies or product candidates.</w:t>
            </w:r>
          </w:p>
        </w:tc>
      </w:tr>
    </w:tbl>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To become and remain profitable, we must develop and eventually commercialize products with significant market potential. This will require us to be successful in a range of challenging activities, including completing non-clinical studies and clinical trials, obtaining marketing approval for REACT and any future product candidates, manufacturing, marketing and selling products for which we may obtain marketing approval and satisfying any post-marketing requirements. Because of the numerous risks and uncertainties associated with biopharmaceutical product development, we are unable to accurately predict the timing or amount of increased expenses or when, or if, we will be able to achieve profitability. We may never succeed in any or all of these activities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pStyle w:val="TextBody"/>
        <w:spacing w:before="360" w:after="0"/>
        <w:jc w:val="left"/>
        <w:rPr>
          <w:rFonts w:ascii="Times New Roman;serif" w:hAnsi="Times New Roman;serif"/>
          <w:b/>
          <w:i/>
          <w:sz w:val="20"/>
        </w:rPr>
      </w:pPr>
      <w:r>
        <w:rPr>
          <w:rFonts w:ascii="Times New Roman;serif" w:hAnsi="Times New Roman;serif"/>
          <w:b/>
          <w:i/>
          <w:sz w:val="20"/>
        </w:rPr>
        <w:t>We will continue to require substantial additional capital to finance our operations. If we are unable to raise such capital when needed, or on acceptable terms, we may be forced to delay, reduce and/or eliminate one or more of our research and product development programs, future commercialization efforts or other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Developing biopharmaceutical products, including conducting clinical trials, is a very time-consuming, expensive and uncertain process that takes years to complete. Our operations have consumed substantial amounts of cash since inception. We expect our expenses to increase in connection with our ongoing activities, particularly as we conduct our ongoing and planned clinical trials of REACT and any future product candidates that we may develop, seek regulatory approvals for REACT and our future product candidates, and manufacture, launch and commercialize any products for which we receive regulatory approval. We also expect to incur additional costs associated with operating as a public company. Accordingly, we will need to obtain substantial additional funding in order to maintain our continuing operations. If we are unable to raise capital when needed or on acceptable terms, we may be forced to delay, reduce or eliminate one or more of our research and product development programs or future commercialization efforts.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December 31, 2022, we had approximately $490.3 million in cash, cash equivalents and short-term investments. Based on our current operating plan and having completed the Business Combination and accounting for $574.8 million received in the concurrent private placement of our Class A ordinary shares, we believe that our cash, cash equivalents and short-term investments will be sufficient to fund our operating expenses and capital expenditure requirements through 2024. However, this does not reflect the possibility that we may not be able to access a portion of our existing cash, cash equivalents and investments due to market conditions. For example, on March 10, 2023, the Federal Deposit Insurance Corporation, or the FDIC, took control and was appointed receiver of Silicon Valley Bank.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Furthermore, our future capital requirements and the period for which our existing resources will support our operations may vary significantly from what we expect, and we will in any event require additional capital to complete clinical development of any of our current programs.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monthly spending levels will vary based on new and ongoing development and corporate activities. Because the length of time and activities associated with development of REACT and any future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pStyle w:val="TextBody"/>
        <w:spacing w:before="0" w:after="0"/>
        <w:jc w:val="left"/>
        <w:rPr/>
      </w:pPr>
      <w:r>
        <w:rPr/>
        <w:t> </w:t>
      </w:r>
    </w:p>
    <w:tbl>
      <w:tblPr>
        <w:tblW w:w="9793" w:type="dxa"/>
        <w:jc w:val="left"/>
        <w:tblInd w:w="0" w:type="dxa"/>
        <w:tblCellMar>
          <w:top w:w="28" w:type="dxa"/>
          <w:left w:w="28" w:type="dxa"/>
          <w:bottom w:w="28" w:type="dxa"/>
          <w:right w:w="28" w:type="dxa"/>
        </w:tblCellMar>
      </w:tblPr>
      <w:tblGrid>
        <w:gridCol w:w="177"/>
        <w:gridCol w:w="272"/>
        <w:gridCol w:w="162"/>
        <w:gridCol w:w="918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18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18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initiation, progress, timing, costs and results of clinical trials for REACT and any future product candidates;</w:t>
            </w:r>
          </w:p>
        </w:tc>
      </w:tr>
    </w:tbl>
    <w:p>
      <w:pPr>
        <w:pStyle w:val="TextBody"/>
        <w:spacing w:before="0" w:after="0"/>
        <w:jc w:val="left"/>
        <w:rPr/>
      </w:pPr>
      <w:r>
        <w:rPr/>
        <w:t> </w:t>
      </w:r>
    </w:p>
    <w:tbl>
      <w:tblPr>
        <w:tblW w:w="6703" w:type="dxa"/>
        <w:jc w:val="left"/>
        <w:tblInd w:w="0" w:type="dxa"/>
        <w:tblCellMar>
          <w:top w:w="28" w:type="dxa"/>
          <w:left w:w="28" w:type="dxa"/>
          <w:bottom w:w="28" w:type="dxa"/>
          <w:right w:w="28" w:type="dxa"/>
        </w:tblCellMar>
      </w:tblPr>
      <w:tblGrid>
        <w:gridCol w:w="177"/>
        <w:gridCol w:w="272"/>
        <w:gridCol w:w="162"/>
        <w:gridCol w:w="609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09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609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clinical development plans we establish for these product candidates;</w:t>
            </w:r>
          </w:p>
        </w:tc>
      </w:tr>
    </w:tbl>
    <w:p>
      <w:pPr>
        <w:pStyle w:val="TextBody"/>
        <w:spacing w:before="0" w:after="0"/>
        <w:jc w:val="left"/>
        <w:rPr/>
      </w:pPr>
      <w:r>
        <w:rPr/>
        <w:t> </w:t>
      </w:r>
    </w:p>
    <w:tbl>
      <w:tblPr>
        <w:tblW w:w="9973" w:type="dxa"/>
        <w:jc w:val="left"/>
        <w:tblInd w:w="0" w:type="dxa"/>
        <w:tblCellMar>
          <w:top w:w="28" w:type="dxa"/>
          <w:left w:w="28" w:type="dxa"/>
          <w:bottom w:w="28" w:type="dxa"/>
          <w:right w:w="28" w:type="dxa"/>
        </w:tblCellMar>
      </w:tblPr>
      <w:tblGrid>
        <w:gridCol w:w="177"/>
        <w:gridCol w:w="272"/>
        <w:gridCol w:w="162"/>
        <w:gridCol w:w="936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36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36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timelines of our clinical trials and the overall costs to finish the clinical trials due to the COVID-19 pandemic;</w:t>
            </w:r>
          </w:p>
        </w:tc>
      </w:tr>
    </w:tbl>
    <w:p>
      <w:pPr>
        <w:pStyle w:val="TextBody"/>
        <w:spacing w:before="0" w:after="0"/>
        <w:jc w:val="left"/>
        <w:rPr/>
      </w:pPr>
      <w:r>
        <w:rPr/>
        <w:t> </w:t>
      </w:r>
    </w:p>
    <w:tbl>
      <w:tblPr>
        <w:tblW w:w="6433" w:type="dxa"/>
        <w:jc w:val="left"/>
        <w:tblInd w:w="0" w:type="dxa"/>
        <w:tblCellMar>
          <w:top w:w="28" w:type="dxa"/>
          <w:left w:w="28" w:type="dxa"/>
          <w:bottom w:w="28" w:type="dxa"/>
          <w:right w:w="28" w:type="dxa"/>
        </w:tblCellMar>
      </w:tblPr>
      <w:tblGrid>
        <w:gridCol w:w="177"/>
        <w:gridCol w:w="272"/>
        <w:gridCol w:w="162"/>
        <w:gridCol w:w="582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82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582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number and characteristics of product candidates that we develop;</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outcome, timing and cost of meeting regulatory requirements established by the FDA, the EMA and other comparable foreign regulatory authorities;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whether we are able to enter into and maintain collaboration agreements, including the terms of and timing of payments under any such agreements;</w:t>
            </w:r>
          </w:p>
        </w:tc>
      </w:tr>
    </w:tbl>
    <w:p>
      <w:pPr>
        <w:pStyle w:val="TextBody"/>
        <w:spacing w:before="0" w:after="0"/>
        <w:jc w:val="left"/>
        <w:rPr/>
      </w:pPr>
      <w:r>
        <w:rPr/>
        <w:t> </w:t>
      </w:r>
    </w:p>
    <w:tbl>
      <w:tblPr>
        <w:tblW w:w="9778" w:type="dxa"/>
        <w:jc w:val="left"/>
        <w:tblInd w:w="0" w:type="dxa"/>
        <w:tblCellMar>
          <w:top w:w="28" w:type="dxa"/>
          <w:left w:w="28" w:type="dxa"/>
          <w:bottom w:w="28" w:type="dxa"/>
          <w:right w:w="28" w:type="dxa"/>
        </w:tblCellMar>
      </w:tblPr>
      <w:tblGrid>
        <w:gridCol w:w="177"/>
        <w:gridCol w:w="272"/>
        <w:gridCol w:w="162"/>
        <w:gridCol w:w="916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16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16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cost of filing, prosecuting, defending and enforcing our patent claims and other intellectual property rights;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cost of defending intellectual property disputes, including patent infringement actions brought by third parties against us, REACT or any of our future product candidates;</w:t>
            </w:r>
          </w:p>
        </w:tc>
      </w:tr>
    </w:tbl>
    <w:p>
      <w:pPr>
        <w:pStyle w:val="TextBody"/>
        <w:spacing w:before="0" w:after="0"/>
        <w:jc w:val="left"/>
        <w:rPr/>
      </w:pPr>
      <w:r>
        <w:rPr/>
        <w:t> </w:t>
      </w:r>
    </w:p>
    <w:tbl>
      <w:tblPr>
        <w:tblW w:w="6718" w:type="dxa"/>
        <w:jc w:val="left"/>
        <w:tblInd w:w="0" w:type="dxa"/>
        <w:tblCellMar>
          <w:top w:w="28" w:type="dxa"/>
          <w:left w:w="28" w:type="dxa"/>
          <w:bottom w:w="28" w:type="dxa"/>
          <w:right w:w="28" w:type="dxa"/>
        </w:tblCellMar>
      </w:tblPr>
      <w:tblGrid>
        <w:gridCol w:w="177"/>
        <w:gridCol w:w="272"/>
        <w:gridCol w:w="162"/>
        <w:gridCol w:w="610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10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610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effect of competing clinical, technological and market developments;</w:t>
            </w:r>
          </w:p>
        </w:tc>
      </w:tr>
    </w:tbl>
    <w:p>
      <w:pPr>
        <w:pStyle w:val="TextBody"/>
        <w:spacing w:before="0" w:after="0"/>
        <w:jc w:val="left"/>
        <w:rPr/>
      </w:pPr>
      <w:r>
        <w:rPr/>
        <w:t> </w:t>
      </w:r>
    </w:p>
    <w:tbl>
      <w:tblPr>
        <w:tblW w:w="7363" w:type="dxa"/>
        <w:jc w:val="left"/>
        <w:tblInd w:w="0" w:type="dxa"/>
        <w:tblCellMar>
          <w:top w:w="28" w:type="dxa"/>
          <w:left w:w="28" w:type="dxa"/>
          <w:bottom w:w="28" w:type="dxa"/>
          <w:right w:w="28" w:type="dxa"/>
        </w:tblCellMar>
      </w:tblPr>
      <w:tblGrid>
        <w:gridCol w:w="177"/>
        <w:gridCol w:w="272"/>
        <w:gridCol w:w="162"/>
        <w:gridCol w:w="675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75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675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costs of maintaining our own commercial-scale cGMP manufacturing facility;</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cost of establishing sales, marketing and distribution capabilities for any product candidates for which we may receive regulatory approval in regions where we choose to commercialize our products on our own;</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revenue, if any, received from commercial sales of REACT and any of our future product candidates for which we receive marketing approval; and</w:t>
            </w:r>
          </w:p>
        </w:tc>
      </w:tr>
    </w:tbl>
    <w:p>
      <w:pPr>
        <w:pStyle w:val="TextBody"/>
        <w:spacing w:before="0" w:after="0"/>
        <w:jc w:val="left"/>
        <w:rPr/>
      </w:pPr>
      <w:r>
        <w:rPr/>
        <w:t> </w:t>
      </w:r>
    </w:p>
    <w:tbl>
      <w:tblPr>
        <w:tblW w:w="4273" w:type="dxa"/>
        <w:jc w:val="left"/>
        <w:tblInd w:w="0" w:type="dxa"/>
        <w:tblCellMar>
          <w:top w:w="28" w:type="dxa"/>
          <w:left w:w="28" w:type="dxa"/>
          <w:bottom w:w="28" w:type="dxa"/>
          <w:right w:w="28" w:type="dxa"/>
        </w:tblCellMar>
      </w:tblPr>
      <w:tblGrid>
        <w:gridCol w:w="177"/>
        <w:gridCol w:w="272"/>
        <w:gridCol w:w="162"/>
        <w:gridCol w:w="366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66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366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costs of operating as a public company.</w:t>
            </w:r>
          </w:p>
        </w:tc>
      </w:tr>
    </w:tbl>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We currently do not have any committed external source of funds or other support for our development efforts, and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bookmarkStart w:id="36" w:name="bkmk_57"/>
      <w:bookmarkEnd w:id="36"/>
      <w:r>
        <w:rPr>
          <w:rFonts w:ascii="Times New Roman;serif" w:hAnsi="Times New Roman;serif"/>
          <w:b w:val="false"/>
          <w:sz w:val="20"/>
        </w:rPr>
        <w:t>include liquidation or other preferences that adversely affect the rights of our shareholders. Further, to the extent that we raise additional capital through the sale of ordinary shares or securities convertible or exchangeable into ordinary shares,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REACT and any future product candidates, technologies, future revenue streams or research programs or grant licenses on terms that may not be favorable to us. We also may be required to seek collaborators for REACT or any of our future product candidates at an earlier stage than otherwise would be desirable or relinquish our rights to REACT and any future product candidates or technologies that we otherwise would seek to develop or</w:t>
      </w:r>
      <w:r>
        <w:rPr>
          <w:rFonts w:ascii="Times New Roman" w:hAnsi="Times New Roman"/>
          <w:sz w:val="20"/>
        </w:rPr>
        <w:t xml:space="preserve"> </w:t>
      </w:r>
      <w:r>
        <w:rPr>
          <w:rFonts w:ascii="Times New Roman;serif" w:hAnsi="Times New Roman;serif"/>
          <w:b w:val="false"/>
          <w:sz w:val="20"/>
        </w:rPr>
        <w:t>commercialize ourselves. Market volatility resulting from the COVID-19 pandemic or other factors could also adversely impact our ability to access capital as and when needed. If we are unable to raise additional capital in sufficient amounts or on terms acceptable to us, we may have to significantly delay, scale back or discontinue the development or commercialization of REACT or any of our future product candidates or one or more of our other research and development initiatives. Any of the above events could significantly harm our business, prospects, financial condition and results of operations and cause the price of our ordinary shares to decline.</w:t>
      </w:r>
    </w:p>
    <w:p>
      <w:pPr>
        <w:pStyle w:val="TextBody"/>
        <w:spacing w:before="360" w:after="0"/>
        <w:jc w:val="left"/>
        <w:rPr>
          <w:rFonts w:ascii="Times New Roman;serif" w:hAnsi="Times New Roman;serif"/>
          <w:b/>
          <w:sz w:val="20"/>
        </w:rPr>
      </w:pPr>
      <w:r>
        <w:rPr>
          <w:rFonts w:ascii="Times New Roman;serif" w:hAnsi="Times New Roman;serif"/>
          <w:b/>
          <w:sz w:val="20"/>
        </w:rPr>
        <w:t>Risks Related to Research and Development of REACT and Our Future Product Candidates</w:t>
      </w:r>
    </w:p>
    <w:p>
      <w:pPr>
        <w:pStyle w:val="TextBody"/>
        <w:spacing w:before="120" w:after="0"/>
        <w:jc w:val="left"/>
        <w:rPr>
          <w:rFonts w:ascii="Times New Roman;serif" w:hAnsi="Times New Roman;serif"/>
          <w:b/>
          <w:i/>
          <w:sz w:val="20"/>
        </w:rPr>
      </w:pPr>
      <w:r>
        <w:rPr>
          <w:rFonts w:ascii="Times New Roman;serif" w:hAnsi="Times New Roman;serif"/>
          <w:b/>
          <w:i/>
          <w:sz w:val="20"/>
        </w:rPr>
        <w:t>We have a limited operating history and have not generated any revenue to date, and may never become profitable.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 clinical-stage biopharmaceutical company with a limited operating history. We were founded in 2018, have no products approved for commercial sale and have not generated any revenue. Our operations to date have been limited to organizing and staffing our company, business planning, raising capital, undertaking non-clinical studies, conducting clinical trials, developing a network of key opinion leaders, and performing research and development of REACT. Our approach to the discovery and development of product candidates is unproven, and we do not know whether we will be able to develop any products of commercial value. REACT and any other product candidates we develop will require substantial additional development and clinical research time and resources before we would be able to apply for or receive regulatory approvals and begin generating revenue from product sales. We have not yet demonstrated the ability to progress any product candidate through later-stage clinical trials leading to successful marketing authorization. We may be unable to obtain regulatory approval, manufacture a commercial scale product, or arrange for a third party to do so on our behalf, achieve market access, and acceptance with insurers and health care providers, or conduct sales and marketing activities necessary for successful product commercialization.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If and when one of our product candidates were to receive regulatory approval, we would need to transition from a company with a research and development focus to a company capable of supporting commercial activities. We may not be successful in such a transition. In addition, as a business with a limited operating history, we may encounter unforeseen expenses, difficulties, complications, delays and other known and unknown factors and risks frequently experienced by early-stage biopharmaceutical companies in rapidly evolving and complex fields. Consequently, we have no meaningful history of operations upon which to evaluate our business, and predictions about our future success or viability may not be as accurate as they could be if we had a longer operating history or a history of successfully developing and commercializing medical products.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Due to the uncertainties and risks associated with these activities, we are unable to accurately and precisely predict the timing and amount of revenues, the extent of any further losses or if or when we might achieve profitability. We may never succeed in these activities and, even if we succeed in commercializing one or more of our product candidates, we may never generate revenue that is significant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Our failure to become and remain profitable could decrease the value of our shares and impair our ability to raise capital, maintain our research and development efforts, expand our business or continue our operations.</w:t>
      </w:r>
    </w:p>
    <w:p>
      <w:pPr>
        <w:pStyle w:val="TextBody"/>
        <w:spacing w:before="360" w:after="0"/>
        <w:jc w:val="left"/>
        <w:rPr>
          <w:rFonts w:ascii="Times New Roman;serif" w:hAnsi="Times New Roman;serif"/>
          <w:b/>
          <w:i/>
          <w:sz w:val="20"/>
        </w:rPr>
      </w:pPr>
      <w:r>
        <w:rPr>
          <w:rFonts w:ascii="Times New Roman;serif" w:hAnsi="Times New Roman;serif"/>
          <w:b/>
          <w:i/>
          <w:sz w:val="20"/>
        </w:rPr>
        <w:t>The market for biologics and for the treatment of kidney disease is highly competitive. If we fail to effectively compete, our business, financial condition and operating results will suffer.</w:t>
      </w:r>
    </w:p>
    <w:p>
      <w:pPr>
        <w:pStyle w:val="TextBody"/>
        <w:spacing w:before="120" w:after="0"/>
        <w:jc w:val="left"/>
        <w:rPr>
          <w:rFonts w:ascii="Times New Roman" w:hAnsi="Times New Roman"/>
          <w:sz w:val="20"/>
        </w:rPr>
      </w:pPr>
      <w:bookmarkStart w:id="37" w:name="bkmk_58"/>
      <w:bookmarkEnd w:id="37"/>
      <w:r>
        <w:rPr>
          <w:rFonts w:ascii="Times New Roman;serif" w:hAnsi="Times New Roman;serif"/>
          <w:b w:val="false"/>
          <w:sz w:val="20"/>
        </w:rPr>
        <w:t>We face significant competition in the biologics market and in the area of treatment of kidney disease. We face competition from companies that develop and manufacture cell therapies, including major and specialty</w:t>
      </w:r>
      <w:r>
        <w:rPr>
          <w:rFonts w:ascii="Times New Roman" w:hAnsi="Times New Roman"/>
          <w:sz w:val="20"/>
        </w:rPr>
        <w:t xml:space="preserve"> </w:t>
      </w:r>
      <w:r>
        <w:rPr>
          <w:rFonts w:ascii="Times New Roman;serif" w:hAnsi="Times New Roman;serif"/>
          <w:b w:val="false"/>
          <w:sz w:val="20"/>
        </w:rPr>
        <w:t>pharmaceutical and biotechnology companies, developers of tubular and glomerular cell drug modulators, antifibrosis medications, induced pluripotent cells, other autologous mesenchymal stem cells and mechanical renal assist devices such as implantable and wearable renal dialysis machines, and advances in peritoneal dialysis and home dialysis. Cell-based clinical trials by other companies are underway globally with umbilical, adipose and bone marrow derived mesenchymal stem cells for CKD. Early-phase human induced pluripotent stem cell</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therapies for kidney diseases are ongoing in Japan. We believe that our principal competitors include developers of SGLT2 inhibitors and MRAs, which are small-molecule therapies recently approved to lower risks of CKD progression.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Many of our current competitors may have competitive advantages over us, including significantly greater financial resources and expertise in research and development, pre-clinical testing, clinical trials, manufacturing, and marketing than we have.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believe that the principal competitive factors in our target markets include:</w:t>
      </w:r>
    </w:p>
    <w:p>
      <w:pPr>
        <w:pStyle w:val="TextBody"/>
        <w:spacing w:before="0" w:after="0"/>
        <w:jc w:val="left"/>
        <w:rPr/>
      </w:pPr>
      <w:r>
        <w:rPr/>
        <w:t> </w:t>
      </w:r>
    </w:p>
    <w:tbl>
      <w:tblPr>
        <w:tblW w:w="7033" w:type="dxa"/>
        <w:jc w:val="left"/>
        <w:tblInd w:w="0" w:type="dxa"/>
        <w:tblCellMar>
          <w:top w:w="28" w:type="dxa"/>
          <w:left w:w="28" w:type="dxa"/>
          <w:bottom w:w="28" w:type="dxa"/>
          <w:right w:w="28" w:type="dxa"/>
        </w:tblCellMar>
      </w:tblPr>
      <w:tblGrid>
        <w:gridCol w:w="177"/>
        <w:gridCol w:w="272"/>
        <w:gridCol w:w="162"/>
        <w:gridCol w:w="642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42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642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accuracy, including sensitivity and specificity, and reproducibility of results;</w:t>
            </w:r>
          </w:p>
        </w:tc>
      </w:tr>
    </w:tbl>
    <w:p>
      <w:pPr>
        <w:pStyle w:val="TextBody"/>
        <w:spacing w:before="0" w:after="0"/>
        <w:jc w:val="left"/>
        <w:rPr/>
      </w:pPr>
      <w:r>
        <w:rPr/>
        <w:t> </w:t>
      </w:r>
    </w:p>
    <w:tbl>
      <w:tblPr>
        <w:tblW w:w="3133" w:type="dxa"/>
        <w:jc w:val="left"/>
        <w:tblInd w:w="0" w:type="dxa"/>
        <w:tblCellMar>
          <w:top w:w="28" w:type="dxa"/>
          <w:left w:w="28" w:type="dxa"/>
          <w:bottom w:w="28" w:type="dxa"/>
          <w:right w:w="28" w:type="dxa"/>
        </w:tblCellMar>
      </w:tblPr>
      <w:tblGrid>
        <w:gridCol w:w="177"/>
        <w:gridCol w:w="272"/>
        <w:gridCol w:w="162"/>
        <w:gridCol w:w="252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52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252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reputation among customers;</w:t>
            </w:r>
          </w:p>
        </w:tc>
      </w:tr>
    </w:tbl>
    <w:p>
      <w:pPr>
        <w:pStyle w:val="TextBody"/>
        <w:spacing w:before="0" w:after="0"/>
        <w:jc w:val="left"/>
        <w:rPr/>
      </w:pPr>
      <w:r>
        <w:rPr/>
        <w:t> </w:t>
      </w:r>
    </w:p>
    <w:tbl>
      <w:tblPr>
        <w:tblW w:w="4693" w:type="dxa"/>
        <w:jc w:val="left"/>
        <w:tblInd w:w="0" w:type="dxa"/>
        <w:tblCellMar>
          <w:top w:w="28" w:type="dxa"/>
          <w:left w:w="28" w:type="dxa"/>
          <w:bottom w:w="28" w:type="dxa"/>
          <w:right w:w="28" w:type="dxa"/>
        </w:tblCellMar>
      </w:tblPr>
      <w:tblGrid>
        <w:gridCol w:w="177"/>
        <w:gridCol w:w="272"/>
        <w:gridCol w:w="162"/>
        <w:gridCol w:w="408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408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408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innovation in offerings or products, if approved;</w:t>
            </w:r>
          </w:p>
        </w:tc>
      </w:tr>
    </w:tbl>
    <w:p>
      <w:pPr>
        <w:pStyle w:val="TextBody"/>
        <w:spacing w:before="0" w:after="0"/>
        <w:jc w:val="left"/>
        <w:rPr/>
      </w:pPr>
      <w:r>
        <w:rPr/>
        <w:t> </w:t>
      </w:r>
    </w:p>
    <w:tbl>
      <w:tblPr>
        <w:tblW w:w="2938" w:type="dxa"/>
        <w:jc w:val="left"/>
        <w:tblInd w:w="0" w:type="dxa"/>
        <w:tblCellMar>
          <w:top w:w="28" w:type="dxa"/>
          <w:left w:w="28" w:type="dxa"/>
          <w:bottom w:w="28" w:type="dxa"/>
          <w:right w:w="28" w:type="dxa"/>
        </w:tblCellMar>
      </w:tblPr>
      <w:tblGrid>
        <w:gridCol w:w="177"/>
        <w:gridCol w:w="272"/>
        <w:gridCol w:w="162"/>
        <w:gridCol w:w="232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32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232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efficacy and safety profile;</w:t>
            </w:r>
          </w:p>
        </w:tc>
      </w:tr>
    </w:tbl>
    <w:p>
      <w:pPr>
        <w:pStyle w:val="TextBody"/>
        <w:spacing w:before="0" w:after="0"/>
        <w:jc w:val="left"/>
        <w:rPr/>
      </w:pPr>
      <w:r>
        <w:rPr/>
        <w:t> </w:t>
      </w:r>
    </w:p>
    <w:tbl>
      <w:tblPr>
        <w:tblW w:w="1168" w:type="dxa"/>
        <w:jc w:val="left"/>
        <w:tblInd w:w="0" w:type="dxa"/>
        <w:tblCellMar>
          <w:top w:w="28" w:type="dxa"/>
          <w:left w:w="28" w:type="dxa"/>
          <w:bottom w:w="28" w:type="dxa"/>
          <w:right w:w="28" w:type="dxa"/>
        </w:tblCellMar>
      </w:tblPr>
      <w:tblGrid>
        <w:gridCol w:w="177"/>
        <w:gridCol w:w="272"/>
        <w:gridCol w:w="162"/>
        <w:gridCol w:w="55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55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cost;</w:t>
            </w:r>
          </w:p>
        </w:tc>
      </w:tr>
    </w:tbl>
    <w:p>
      <w:pPr>
        <w:pStyle w:val="TextBody"/>
        <w:spacing w:before="0" w:after="0"/>
        <w:jc w:val="left"/>
        <w:rPr/>
      </w:pPr>
      <w:r>
        <w:rPr/>
        <w:t> </w:t>
      </w:r>
    </w:p>
    <w:tbl>
      <w:tblPr>
        <w:tblW w:w="3808" w:type="dxa"/>
        <w:jc w:val="left"/>
        <w:tblInd w:w="0" w:type="dxa"/>
        <w:tblCellMar>
          <w:top w:w="28" w:type="dxa"/>
          <w:left w:w="28" w:type="dxa"/>
          <w:bottom w:w="28" w:type="dxa"/>
          <w:right w:w="28" w:type="dxa"/>
        </w:tblCellMar>
      </w:tblPr>
      <w:tblGrid>
        <w:gridCol w:w="177"/>
        <w:gridCol w:w="272"/>
        <w:gridCol w:w="162"/>
        <w:gridCol w:w="319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9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319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effectiveness of promotional support;</w:t>
            </w:r>
          </w:p>
        </w:tc>
      </w:tr>
    </w:tbl>
    <w:p>
      <w:pPr>
        <w:pStyle w:val="TextBody"/>
        <w:spacing w:before="0" w:after="0"/>
        <w:jc w:val="left"/>
        <w:rPr/>
      </w:pPr>
      <w:r>
        <w:rPr/>
        <w:t> </w:t>
      </w:r>
    </w:p>
    <w:tbl>
      <w:tblPr>
        <w:tblW w:w="3388" w:type="dxa"/>
        <w:jc w:val="left"/>
        <w:tblInd w:w="0" w:type="dxa"/>
        <w:tblCellMar>
          <w:top w:w="28" w:type="dxa"/>
          <w:left w:w="28" w:type="dxa"/>
          <w:bottom w:w="28" w:type="dxa"/>
          <w:right w:w="28" w:type="dxa"/>
        </w:tblCellMar>
      </w:tblPr>
      <w:tblGrid>
        <w:gridCol w:w="177"/>
        <w:gridCol w:w="272"/>
        <w:gridCol w:w="162"/>
        <w:gridCol w:w="277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77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277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intellectual property protection;</w:t>
            </w:r>
          </w:p>
        </w:tc>
      </w:tr>
    </w:tbl>
    <w:p>
      <w:pPr>
        <w:pStyle w:val="TextBody"/>
        <w:spacing w:before="0" w:after="0"/>
        <w:jc w:val="left"/>
        <w:rPr/>
      </w:pPr>
      <w:r>
        <w:rPr/>
        <w:t> </w:t>
      </w:r>
    </w:p>
    <w:tbl>
      <w:tblPr>
        <w:tblW w:w="3763" w:type="dxa"/>
        <w:jc w:val="left"/>
        <w:tblInd w:w="0" w:type="dxa"/>
        <w:tblCellMar>
          <w:top w:w="28" w:type="dxa"/>
          <w:left w:w="28" w:type="dxa"/>
          <w:bottom w:w="28" w:type="dxa"/>
          <w:right w:w="28" w:type="dxa"/>
        </w:tblCellMar>
      </w:tblPr>
      <w:tblGrid>
        <w:gridCol w:w="177"/>
        <w:gridCol w:w="272"/>
        <w:gridCol w:w="162"/>
        <w:gridCol w:w="315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5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315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intended patient population; and</w:t>
            </w:r>
          </w:p>
        </w:tc>
      </w:tr>
    </w:tbl>
    <w:p>
      <w:pPr>
        <w:pStyle w:val="TextBody"/>
        <w:spacing w:before="0" w:after="0"/>
        <w:jc w:val="left"/>
        <w:rPr/>
      </w:pPr>
      <w:r>
        <w:rPr/>
        <w:t> </w:t>
      </w:r>
    </w:p>
    <w:tbl>
      <w:tblPr>
        <w:tblW w:w="4903" w:type="dxa"/>
        <w:jc w:val="left"/>
        <w:tblInd w:w="0" w:type="dxa"/>
        <w:tblCellMar>
          <w:top w:w="28" w:type="dxa"/>
          <w:left w:w="28" w:type="dxa"/>
          <w:bottom w:w="28" w:type="dxa"/>
          <w:right w:w="28" w:type="dxa"/>
        </w:tblCellMar>
      </w:tblPr>
      <w:tblGrid>
        <w:gridCol w:w="177"/>
        <w:gridCol w:w="272"/>
        <w:gridCol w:w="162"/>
        <w:gridCol w:w="429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429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429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relative convenience of dosing and administration.</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Even if approved, our products may not compete favorably or may not be successful in the face of increasing competition from new products and technologies introduced by existing competitors or new companies entering our target markets. In addition, our competitors may have or develop products or technologies that currently or in the future will enable them to produce competitive products with greater capabilities or at lower costs than ours. Any failure to compete effectively could materially and adversely affect our business, financial condition and operating results.</w:t>
      </w:r>
    </w:p>
    <w:p>
      <w:pPr>
        <w:pStyle w:val="TextBody"/>
        <w:spacing w:before="360" w:after="0"/>
        <w:jc w:val="left"/>
        <w:rPr>
          <w:rFonts w:ascii="Times New Roman;serif" w:hAnsi="Times New Roman;serif"/>
          <w:b/>
          <w:i/>
          <w:sz w:val="20"/>
        </w:rPr>
      </w:pPr>
      <w:r>
        <w:rPr>
          <w:rFonts w:ascii="Times New Roman;serif" w:hAnsi="Times New Roman;serif"/>
          <w:b/>
          <w:i/>
          <w:sz w:val="20"/>
        </w:rPr>
        <w:t>Our business is highly dependent on the success of our lead product candidate, REACT, as well as any other future product candidates that we may advance into clinical development. REACT and our future product candidates will require significant additional clinical development and funding before we may be able to seek regulatory approval for and launch a product commercially.</w:t>
      </w:r>
    </w:p>
    <w:p>
      <w:pPr>
        <w:pStyle w:val="TextBody"/>
        <w:spacing w:before="120" w:after="0"/>
        <w:jc w:val="left"/>
        <w:rPr>
          <w:rFonts w:ascii="Times New Roman;serif" w:hAnsi="Times New Roman;serif"/>
          <w:b w:val="false"/>
          <w:sz w:val="20"/>
        </w:rPr>
      </w:pPr>
      <w:bookmarkStart w:id="38" w:name="bkmk_59"/>
      <w:bookmarkEnd w:id="38"/>
      <w:r>
        <w:rPr>
          <w:rFonts w:ascii="Times New Roman;serif" w:hAnsi="Times New Roman;serif"/>
          <w:b w:val="false"/>
          <w:sz w:val="20"/>
        </w:rPr>
        <w:t>We currently have no products that are approved for commercial sale and may never be able to develop marketable products. REACT, our lead product candidate, is in Phase 3 clinical development. We cannot offer any assurances or predict with any certainty that such Phase 3 clinical development will be successfully completed, that positive clinical data will be obtained from such Phase 3 clinical development efforts or that regulatory authorities will grant marketing approval for REACT, in any such case on the expected timelines. Furthermore, regulatory approvals for REACT, even if obtained, may limit the type of patients in which REACT may be used for CKD or otherwise require specific warning or labeling language, each of which may reduce the commercial potential of REACT. Even if approved, we might not be successful in commercializing REACT. Should we fail to obtain regulatory approvals for REACT or fail to successfully commercialize REACT upon such regulatory approvals, our business and financial condition could be materially harmed and we may be more heavily dependent on the success of our other therapeutic programs.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an organization, we have not previously conducted any later stage or pivotal clinical trials, have limited experience in preparing, submitting and pursuing regulatory filings and have not previously submitted a BLA for any product candidate. Before we can generate any revenue from sales of our lead product candidate, REACT, or any of our future product candidates, we must complete clinical development, regulatory review and approval in one or more jurisdictions. We also need to obtain substantial additional funding to support our continuing operations and pursue our growth strategy. In addition, if REACT or any of our future product candidates is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REACT or any of our future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experience setbacks that could delay or prevent regulatory approval of, or our ability to commercialize, REACT and any of our future product candidates, including:</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negative or inconclusive results from our clinical trials or positive results from the clinical trials of others for product candidates similar to ours leading to their approval, leading to a decision or requirement to conduct additional preclinical testing or clinical trials or to abandon a program;</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product-related side effects or adverse events experienced by patients or subjects in our clinical trials or by individuals using medicines or therapeutics that we, the FDA, other regulators or others view as relevant to the development of REACT or any of our future product candidates;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delays in submitting INDs or comparable foreign applications or delays or failure in obtaining the necessary approvals from regulators to commence a clinical trial, or a suspension or termination of a clinical trial once commenced;</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conditions imposed by the FDA or comparable foreign authorities regarding the scope or design of our clinical trials, including our clinical endpoints, and any requirement for additional confirmatory trials;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delays in enrolling subjects in clinical trials and completion of clinical trials, including under the FDA’s GCPs, the guidelines from International Conference on Harmonization (“ICH Guidelines”), GLP, and cGTPs;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inability to maintain compliance with regulatory requirements, including cGMPs, and complying effectively with other procedures;</w:t>
            </w:r>
          </w:p>
        </w:tc>
      </w:tr>
    </w:tbl>
    <w:p>
      <w:pPr>
        <w:pStyle w:val="TextBody"/>
        <w:spacing w:before="0" w:after="0"/>
        <w:jc w:val="left"/>
        <w:rPr/>
      </w:pPr>
      <w:r>
        <w:rPr/>
        <w:t> </w:t>
      </w:r>
    </w:p>
    <w:tbl>
      <w:tblPr>
        <w:tblW w:w="4828" w:type="dxa"/>
        <w:jc w:val="left"/>
        <w:tblInd w:w="0" w:type="dxa"/>
        <w:tblCellMar>
          <w:top w:w="28" w:type="dxa"/>
          <w:left w:w="28" w:type="dxa"/>
          <w:bottom w:w="28" w:type="dxa"/>
          <w:right w:w="28" w:type="dxa"/>
        </w:tblCellMar>
      </w:tblPr>
      <w:tblGrid>
        <w:gridCol w:w="177"/>
        <w:gridCol w:w="272"/>
        <w:gridCol w:w="162"/>
        <w:gridCol w:w="421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421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421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high drop-out rates of subjects from clinical trials;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inadequate supply or quality of REACT or our future product candidates or other materials necessary for the conduct of our clinical trials;</w:t>
            </w:r>
          </w:p>
        </w:tc>
      </w:tr>
    </w:tbl>
    <w:p>
      <w:pPr>
        <w:pStyle w:val="TextBody"/>
        <w:spacing w:before="0" w:after="0"/>
        <w:jc w:val="left"/>
        <w:rPr/>
      </w:pPr>
      <w:r>
        <w:rPr/>
        <w:t> </w:t>
      </w:r>
    </w:p>
    <w:tbl>
      <w:tblPr>
        <w:tblW w:w="4243" w:type="dxa"/>
        <w:jc w:val="left"/>
        <w:tblInd w:w="0" w:type="dxa"/>
        <w:tblCellMar>
          <w:top w:w="28" w:type="dxa"/>
          <w:left w:w="28" w:type="dxa"/>
          <w:bottom w:w="28" w:type="dxa"/>
          <w:right w:w="28" w:type="dxa"/>
        </w:tblCellMar>
      </w:tblPr>
      <w:tblGrid>
        <w:gridCol w:w="177"/>
        <w:gridCol w:w="272"/>
        <w:gridCol w:w="162"/>
        <w:gridCol w:w="363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63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363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greater than anticipated clinical trial costs;</w:t>
            </w:r>
          </w:p>
        </w:tc>
      </w:tr>
    </w:tbl>
    <w:p>
      <w:pPr>
        <w:pStyle w:val="TextBody"/>
        <w:spacing w:before="0" w:after="0"/>
        <w:jc w:val="left"/>
        <w:rPr/>
      </w:pPr>
      <w:r>
        <w:rPr/>
        <w:t> </w:t>
      </w:r>
    </w:p>
    <w:tbl>
      <w:tblPr>
        <w:tblW w:w="4138" w:type="dxa"/>
        <w:jc w:val="left"/>
        <w:tblInd w:w="0" w:type="dxa"/>
        <w:tblCellMar>
          <w:top w:w="28" w:type="dxa"/>
          <w:left w:w="28" w:type="dxa"/>
          <w:bottom w:w="28" w:type="dxa"/>
          <w:right w:w="28" w:type="dxa"/>
        </w:tblCellMar>
      </w:tblPr>
      <w:tblGrid>
        <w:gridCol w:w="177"/>
        <w:gridCol w:w="272"/>
        <w:gridCol w:w="162"/>
        <w:gridCol w:w="352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52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352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inability to compete with other therapies;</w:t>
            </w:r>
          </w:p>
        </w:tc>
      </w:tr>
    </w:tbl>
    <w:p>
      <w:pPr>
        <w:pStyle w:val="TextBody"/>
        <w:spacing w:before="0" w:after="0"/>
        <w:jc w:val="left"/>
        <w:rPr/>
      </w:pPr>
      <w:r>
        <w:rPr/>
        <w:t> </w:t>
      </w:r>
    </w:p>
    <w:tbl>
      <w:tblPr>
        <w:tblW w:w="7138" w:type="dxa"/>
        <w:jc w:val="left"/>
        <w:tblInd w:w="0" w:type="dxa"/>
        <w:tblCellMar>
          <w:top w:w="28" w:type="dxa"/>
          <w:left w:w="28" w:type="dxa"/>
          <w:bottom w:w="28" w:type="dxa"/>
          <w:right w:w="28" w:type="dxa"/>
        </w:tblCellMar>
      </w:tblPr>
      <w:tblGrid>
        <w:gridCol w:w="177"/>
        <w:gridCol w:w="272"/>
        <w:gridCol w:w="162"/>
        <w:gridCol w:w="652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52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652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poor efficacy of REACT or our future product candidates during clinical trials;</w:t>
            </w:r>
          </w:p>
        </w:tc>
      </w:tr>
    </w:tbl>
    <w:p>
      <w:pPr>
        <w:pStyle w:val="TextBody"/>
        <w:spacing w:before="0" w:after="0"/>
        <w:jc w:val="left"/>
        <w:rPr/>
      </w:pPr>
      <w:r>
        <w:rPr/>
        <w:t> </w:t>
      </w:r>
    </w:p>
    <w:tbl>
      <w:tblPr>
        <w:tblW w:w="4243" w:type="dxa"/>
        <w:jc w:val="left"/>
        <w:tblInd w:w="0" w:type="dxa"/>
        <w:tblCellMar>
          <w:top w:w="28" w:type="dxa"/>
          <w:left w:w="28" w:type="dxa"/>
          <w:bottom w:w="28" w:type="dxa"/>
          <w:right w:w="28" w:type="dxa"/>
        </w:tblCellMar>
      </w:tblPr>
      <w:tblGrid>
        <w:gridCol w:w="177"/>
        <w:gridCol w:w="272"/>
        <w:gridCol w:w="162"/>
        <w:gridCol w:w="363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63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363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trial results taking longer than anticipated;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trials being subjected to fraud or data capture failure or other technical mishaps leading to the invalidation of our trial results;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results of our trials not supporting application for conditional approval in the European Union, the Asia-Pacific region, and Latin America;</w:t>
            </w:r>
          </w:p>
        </w:tc>
      </w:tr>
    </w:tbl>
    <w:p>
      <w:pPr>
        <w:pStyle w:val="TextBody"/>
        <w:spacing w:before="0" w:after="0"/>
        <w:jc w:val="left"/>
        <w:rPr/>
      </w:pPr>
      <w:r>
        <w:rPr/>
        <w:t> </w:t>
      </w:r>
    </w:p>
    <w:tbl>
      <w:tblPr>
        <w:tblW w:w="7963" w:type="dxa"/>
        <w:jc w:val="left"/>
        <w:tblInd w:w="0" w:type="dxa"/>
        <w:tblCellMar>
          <w:top w:w="28" w:type="dxa"/>
          <w:left w:w="28" w:type="dxa"/>
          <w:bottom w:w="28" w:type="dxa"/>
          <w:right w:w="28" w:type="dxa"/>
        </w:tblCellMar>
      </w:tblPr>
      <w:tblGrid>
        <w:gridCol w:w="177"/>
        <w:gridCol w:w="272"/>
        <w:gridCol w:w="162"/>
        <w:gridCol w:w="735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735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735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unfavorable FDA or other regulatory agency inspection and review of a clinical trial site;</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failure of our third-party contractors or investigators to comply with regulatory requirements or otherwise meet their contractual obligations in a timely manner, or at all;</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delays and changes in regulatory requirements, policy and guidelines, including the imposition of additional regulatory oversight around clinical development generally or with respect to our technology in particular;</w:t>
            </w:r>
          </w:p>
        </w:tc>
      </w:tr>
    </w:tbl>
    <w:p>
      <w:pPr>
        <w:pStyle w:val="TextBody"/>
        <w:spacing w:before="0" w:after="0"/>
        <w:jc w:val="left"/>
        <w:rPr/>
      </w:pPr>
      <w:r>
        <w:rPr/>
        <w:t> </w:t>
      </w:r>
    </w:p>
    <w:tbl>
      <w:tblPr>
        <w:tblW w:w="7483" w:type="dxa"/>
        <w:jc w:val="left"/>
        <w:tblInd w:w="0" w:type="dxa"/>
        <w:tblCellMar>
          <w:top w:w="28" w:type="dxa"/>
          <w:left w:w="28" w:type="dxa"/>
          <w:bottom w:w="28" w:type="dxa"/>
          <w:right w:w="28" w:type="dxa"/>
        </w:tblCellMar>
      </w:tblPr>
      <w:tblGrid>
        <w:gridCol w:w="177"/>
        <w:gridCol w:w="272"/>
        <w:gridCol w:w="162"/>
        <w:gridCol w:w="687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87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68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varying interpretations of data by the FDA and similar foreign regulatory agencies;</w:t>
            </w:r>
          </w:p>
        </w:tc>
      </w:tr>
    </w:tbl>
    <w:p>
      <w:pPr>
        <w:pStyle w:val="TextBody"/>
        <w:spacing w:before="0" w:after="0"/>
        <w:jc w:val="left"/>
        <w:rPr/>
      </w:pPr>
      <w:r>
        <w:rPr/>
        <w:t> </w:t>
      </w:r>
    </w:p>
    <w:tbl>
      <w:tblPr>
        <w:tblW w:w="9028" w:type="dxa"/>
        <w:jc w:val="left"/>
        <w:tblInd w:w="0" w:type="dxa"/>
        <w:tblCellMar>
          <w:top w:w="28" w:type="dxa"/>
          <w:left w:w="28" w:type="dxa"/>
          <w:bottom w:w="28" w:type="dxa"/>
          <w:right w:w="28" w:type="dxa"/>
        </w:tblCellMar>
      </w:tblPr>
      <w:tblGrid>
        <w:gridCol w:w="177"/>
        <w:gridCol w:w="272"/>
        <w:gridCol w:w="162"/>
        <w:gridCol w:w="841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41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841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completion of Health Technology Assessment (“HTA”) procedures with governmental authorities;</w:t>
            </w:r>
          </w:p>
        </w:tc>
      </w:tr>
    </w:tbl>
    <w:p>
      <w:pPr>
        <w:pStyle w:val="TextBody"/>
        <w:spacing w:before="0" w:after="0"/>
        <w:jc w:val="left"/>
        <w:rPr/>
      </w:pPr>
      <w:r>
        <w:rPr/>
        <w:t> </w:t>
      </w:r>
    </w:p>
    <w:tbl>
      <w:tblPr>
        <w:tblW w:w="4363" w:type="dxa"/>
        <w:jc w:val="left"/>
        <w:tblInd w:w="0" w:type="dxa"/>
        <w:tblCellMar>
          <w:top w:w="28" w:type="dxa"/>
          <w:left w:w="28" w:type="dxa"/>
          <w:bottom w:w="28" w:type="dxa"/>
          <w:right w:w="28" w:type="dxa"/>
        </w:tblCellMar>
      </w:tblPr>
      <w:tblGrid>
        <w:gridCol w:w="177"/>
        <w:gridCol w:w="272"/>
        <w:gridCol w:w="162"/>
        <w:gridCol w:w="375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75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375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any policy level review of REACT by CMS;</w:t>
            </w:r>
          </w:p>
        </w:tc>
      </w:tr>
    </w:tbl>
    <w:p>
      <w:pPr>
        <w:pStyle w:val="TextBody"/>
        <w:spacing w:before="0" w:after="0"/>
        <w:jc w:val="left"/>
        <w:rPr/>
      </w:pPr>
      <w:r>
        <w:rPr/>
        <w:t> </w:t>
      </w:r>
    </w:p>
    <w:tbl>
      <w:tblPr>
        <w:tblW w:w="5218" w:type="dxa"/>
        <w:jc w:val="left"/>
        <w:tblInd w:w="0" w:type="dxa"/>
        <w:tblCellMar>
          <w:top w:w="28" w:type="dxa"/>
          <w:left w:w="28" w:type="dxa"/>
          <w:bottom w:w="28" w:type="dxa"/>
          <w:right w:w="28" w:type="dxa"/>
        </w:tblCellMar>
      </w:tblPr>
      <w:tblGrid>
        <w:gridCol w:w="177"/>
        <w:gridCol w:w="272"/>
        <w:gridCol w:w="162"/>
        <w:gridCol w:w="460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460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460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financing on our other ongoing or future programs;</w:t>
            </w:r>
          </w:p>
        </w:tc>
      </w:tr>
    </w:tbl>
    <w:p>
      <w:pPr>
        <w:pStyle w:val="TextBody"/>
        <w:spacing w:before="0" w:after="0"/>
        <w:jc w:val="left"/>
        <w:rPr/>
      </w:pPr>
      <w:r>
        <w:rPr/>
        <w:t> </w:t>
      </w:r>
    </w:p>
    <w:tbl>
      <w:tblPr>
        <w:tblW w:w="8128" w:type="dxa"/>
        <w:jc w:val="left"/>
        <w:tblInd w:w="0" w:type="dxa"/>
        <w:tblCellMar>
          <w:top w:w="28" w:type="dxa"/>
          <w:left w:w="28" w:type="dxa"/>
          <w:bottom w:w="28" w:type="dxa"/>
          <w:right w:w="28" w:type="dxa"/>
        </w:tblCellMar>
      </w:tblPr>
      <w:tblGrid>
        <w:gridCol w:w="177"/>
        <w:gridCol w:w="272"/>
        <w:gridCol w:w="162"/>
        <w:gridCol w:w="751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751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751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evolving scientific discovery and technology of cell-based therapies and bioprocessing; or</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obsolescence of manufacturing automation which could require a re-design of parts or equipment to ensure quality replacement component, the delays of which could cause significant delays in manufacturing and loss of sales.</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pStyle w:val="TextBody"/>
        <w:spacing w:before="360" w:after="0"/>
        <w:jc w:val="left"/>
        <w:rPr>
          <w:rFonts w:ascii="Times New Roman;serif" w:hAnsi="Times New Roman;serif"/>
          <w:b/>
          <w:i/>
          <w:sz w:val="20"/>
        </w:rPr>
      </w:pPr>
      <w:r>
        <w:rPr>
          <w:rFonts w:ascii="Times New Roman;serif" w:hAnsi="Times New Roman;serif"/>
          <w:b/>
          <w:i/>
          <w:sz w:val="20"/>
        </w:rPr>
        <w:t>Our business and operations may be adversely affected by the evolving and ongoing COVID-19 global pandemic.</w:t>
      </w:r>
    </w:p>
    <w:p>
      <w:pPr>
        <w:pStyle w:val="TextBody"/>
        <w:spacing w:before="108" w:after="0"/>
        <w:jc w:val="left"/>
        <w:rPr>
          <w:rFonts w:ascii="Times New Roman;serif" w:hAnsi="Times New Roman;serif"/>
          <w:b w:val="false"/>
          <w:sz w:val="20"/>
        </w:rPr>
      </w:pPr>
      <w:r>
        <w:rPr>
          <w:rFonts w:ascii="Times New Roman;serif" w:hAnsi="Times New Roman;serif"/>
          <w:b w:val="false"/>
          <w:sz w:val="20"/>
        </w:rPr>
        <w:t>Our business and operations may be adversely affected by the ongoing effects of the evolving COVID-19 virus, which was declared a global pandemic by the World Health Organization (“WHO”). The continuing effects of the pandemic may impact the availability or cost of materials, which would disrupt our supply chain and manufacturing efforts and could affect our ability to conduct ongoing and planned clinical trials and preparatory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Although we have been able to effectively manage our supply chain and manufacturing capabilities despite the COVID-19 pandemic to date, we may experience related disruptions in the future that could severely impact our clinical trials, including:</w:t>
      </w:r>
    </w:p>
    <w:p>
      <w:pPr>
        <w:pStyle w:val="TextBody"/>
        <w:spacing w:before="0" w:after="0"/>
        <w:jc w:val="left"/>
        <w:rPr/>
      </w:pPr>
      <w:r>
        <w:rPr/>
        <w:t> </w:t>
      </w:r>
    </w:p>
    <w:tbl>
      <w:tblPr>
        <w:tblW w:w="5773" w:type="dxa"/>
        <w:jc w:val="left"/>
        <w:tblInd w:w="0" w:type="dxa"/>
        <w:tblCellMar>
          <w:top w:w="28" w:type="dxa"/>
          <w:left w:w="28" w:type="dxa"/>
          <w:bottom w:w="28" w:type="dxa"/>
          <w:right w:w="28" w:type="dxa"/>
        </w:tblCellMar>
      </w:tblPr>
      <w:tblGrid>
        <w:gridCol w:w="177"/>
        <w:gridCol w:w="272"/>
        <w:gridCol w:w="162"/>
        <w:gridCol w:w="516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16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516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delays or difficulties with patient enrollment in clinical trials;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delays, difficulties or a suspension in clinical trial site initiation, including difficulties in recruiting investigators, proceduralists and clinical staff;</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interruptions in our ability to manufacture and deliver the required supply of REACT or future product candidates for clinical trials;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diversion of health care resources away from the conduct of clinical trials, including the diversion of hospitals serving as our clinical trial sites and hospital staff supporting the conduct of our clinical trials;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potential cancellation or postponement of elective procedures scheduled at our clinical trial sites and reduction in operating hours at a significant number of our clinical trial sites;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bookmarkStart w:id="39" w:name="bkmk_61"/>
            <w:bookmarkEnd w:id="39"/>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changes in local regulations as part of a response to the COVID-19 outbreak that among other things (i) may interrupt our ability to manufacture REACT and (ii) may require us to change the ways in which our clinical trials are conducted, which may result in unexpected costs, or to discontinue the clinical trials altogether;</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interruption of key clinical trial activities, such as clinical trial site monitoring, and the ability or willingness of subjects to travel to trial sites for scheduled visits and laboratory testing due to limitations on travel imposed or recommended by federal or state governments, employers and others;</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limitations in employee resources that would otherwise be focused on the conduct of our clinical trials, including because of sickness of employees or their families or the desire of employees to avoid contact with large groups of people;</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delays in necessary interactions with local regulators, ethics committees and other important agencies and contractors due to limitations in employee resources or forced furlough of government employees;</w:t>
            </w:r>
          </w:p>
        </w:tc>
      </w:tr>
    </w:tbl>
    <w:p>
      <w:pPr>
        <w:pStyle w:val="TextBody"/>
        <w:spacing w:before="0" w:after="0"/>
        <w:jc w:val="left"/>
        <w:rPr/>
      </w:pPr>
      <w:r>
        <w:rPr/>
        <w:t> </w:t>
      </w:r>
    </w:p>
    <w:tbl>
      <w:tblPr>
        <w:tblW w:w="10198" w:type="dxa"/>
        <w:jc w:val="left"/>
        <w:tblInd w:w="0" w:type="dxa"/>
        <w:tblCellMar>
          <w:top w:w="28" w:type="dxa"/>
          <w:left w:w="28" w:type="dxa"/>
          <w:bottom w:w="28" w:type="dxa"/>
          <w:right w:w="28" w:type="dxa"/>
        </w:tblCellMar>
      </w:tblPr>
      <w:tblGrid>
        <w:gridCol w:w="177"/>
        <w:gridCol w:w="272"/>
        <w:gridCol w:w="162"/>
        <w:gridCol w:w="958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8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8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refusal of the FDA and other regulatory agencies to accept data from clinical trials in these affected geographies; and</w:t>
            </w:r>
          </w:p>
        </w:tc>
      </w:tr>
    </w:tbl>
    <w:p>
      <w:pPr>
        <w:pStyle w:val="TextBody"/>
        <w:spacing w:before="0" w:after="0"/>
        <w:jc w:val="left"/>
        <w:rPr/>
      </w:pPr>
      <w:r>
        <w:rPr/>
        <w:t> </w:t>
      </w:r>
    </w:p>
    <w:tbl>
      <w:tblPr>
        <w:tblW w:w="9073" w:type="dxa"/>
        <w:jc w:val="left"/>
        <w:tblInd w:w="0" w:type="dxa"/>
        <w:tblCellMar>
          <w:top w:w="28" w:type="dxa"/>
          <w:left w:w="28" w:type="dxa"/>
          <w:bottom w:w="28" w:type="dxa"/>
          <w:right w:w="28" w:type="dxa"/>
        </w:tblCellMar>
      </w:tblPr>
      <w:tblGrid>
        <w:gridCol w:w="177"/>
        <w:gridCol w:w="272"/>
        <w:gridCol w:w="162"/>
        <w:gridCol w:w="846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46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846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decreases or shifts of government funding from regulatory agencies, university research and education.</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global COVID-19 pandemic continues to rapidly evolve. The extent to which the COVID-19 pandemic impacts our business and operations, including our clinical development and regulatory efforts, will depend on future developments that are highly uncertain and cannot be predicted with confidence at the time of the filing of this Annual Report, such as the duration and effect of business disruptions and the short-term effects and ultimate effectiveness of the travel restrictions, quarantines, social distancing requirements and business closures in the United States and other countries to contain and treat the disease. Accordingly, we do not yet know the full extent of potential delays or impacts on our business, our clinical and regulatory activities, health care systems or the global economy as a whole. However, these impacts could adversely affect our business, financial condition, results of operations and growth prospects.</w:t>
      </w:r>
    </w:p>
    <w:p>
      <w:pPr>
        <w:pStyle w:val="TextBody"/>
        <w:spacing w:before="120" w:after="0"/>
        <w:jc w:val="left"/>
        <w:rPr>
          <w:rFonts w:ascii="Times New Roman" w:hAnsi="Times New Roman"/>
          <w:sz w:val="20"/>
        </w:rPr>
      </w:pPr>
      <w:r>
        <w:rPr>
          <w:rFonts w:ascii="Times New Roman;serif" w:hAnsi="Times New Roman;serif"/>
          <w:b w:val="false"/>
          <w:sz w:val="20"/>
        </w:rPr>
        <w:t>In addition, to the extent the ongoing COVID-19 pandemic adversely affects our business and results of operations, it may also have the effect of heightening many of the other risks and uncertainties described in this “</w:t>
      </w:r>
      <w:r>
        <w:rPr>
          <w:rFonts w:ascii="Times New Roman;serif" w:hAnsi="Times New Roman;serif"/>
          <w:b w:val="false"/>
          <w:i/>
          <w:sz w:val="20"/>
        </w:rPr>
        <w:t>Risk Factors</w:t>
      </w:r>
      <w:r>
        <w:rPr>
          <w:rFonts w:ascii="Times New Roman" w:hAnsi="Times New Roman"/>
          <w:sz w:val="20"/>
        </w:rPr>
        <w:t xml:space="preserve">” </w:t>
      </w:r>
      <w:r>
        <w:rPr>
          <w:rFonts w:ascii="Times New Roman;serif" w:hAnsi="Times New Roman;serif"/>
          <w:b w:val="false"/>
          <w:sz w:val="20"/>
        </w:rPr>
        <w:t>section.</w:t>
      </w:r>
    </w:p>
    <w:p>
      <w:pPr>
        <w:pStyle w:val="TextBody"/>
        <w:spacing w:before="360" w:after="0"/>
        <w:jc w:val="left"/>
        <w:rPr>
          <w:rFonts w:ascii="Times New Roman;serif" w:hAnsi="Times New Roman;serif"/>
          <w:b/>
          <w:i/>
          <w:sz w:val="20"/>
        </w:rPr>
      </w:pPr>
      <w:r>
        <w:rPr>
          <w:rFonts w:ascii="Times New Roman;serif" w:hAnsi="Times New Roman;serif"/>
          <w:b/>
          <w:i/>
          <w:sz w:val="20"/>
        </w:rPr>
        <w:t>REACT is based on a novel technology, which makes it difficult to predict the time and cost of product development and of subsequently obtaining regulatory approval.</w:t>
      </w:r>
    </w:p>
    <w:p>
      <w:pPr>
        <w:pStyle w:val="TextBody"/>
        <w:spacing w:before="108" w:after="0"/>
        <w:jc w:val="left"/>
        <w:rPr>
          <w:rFonts w:ascii="Times New Roman;serif" w:hAnsi="Times New Roman;serif"/>
          <w:b w:val="false"/>
          <w:sz w:val="20"/>
        </w:rPr>
      </w:pPr>
      <w:r>
        <w:rPr>
          <w:rFonts w:ascii="Times New Roman;serif" w:hAnsi="Times New Roman;serif"/>
          <w:b w:val="false"/>
          <w:sz w:val="20"/>
        </w:rPr>
        <w:t>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Regulatory requirements in the United States and in other countries governing cell therapy products are evolving and the FDA or other regulatory bodies may change the requirements, or identify different regulatory pathways, for approval for REACT or any of our future product candidates. For example, the FDA has established the Office of Tissues and Advanced Therapies within the Center for Biologics Evaluation and Research (“CBER”) to consolidate the review of cell therapy and related products, and has established the Cellular, Tissue and Gene Therapies Advisory Committee to advise CBER in its review when called upon. It is possible that over time new or different divisions may be established or be granted the responsibility for regulating cell therapy products, including regenerative cell-based products, such as ours. Further, additional regulatory involvement from FDA advisory bodies, including the Cardio-Renal Advisory Committee, may delay review or make additional recommendations requiring further investigation. As a result, we may be required to change our regulatory strategy or to modify our applications for regulatory approval, which could delay and impair our ability to complete the non-clinical and clinical development and manufacture of, and obtain regulatory approval for, REACT or any future product candidates. Changes in regulatory authorities and advisory groups, or any new requirements or guidelines they promulgate, may lengthen the regulatory review process, require us to perform additional studies, increase our development and manufacturing costs, lead to changes in regulatory pathways, positions and interpretations, delay or prevent approval and commercialization of REACT or any future product candidates or lead to significant post-approval limitations or restrictions.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concentrated our research and development efforts on utilizing regenerative renal cell-based therapies. To date, the FDA has approved a relatively small number of cell-based therapies for commercialization, and no regenerative renal-based cell therapy has been approved for commercial use by any regulatory authority. The processes and requirements imposed by the FDA or other applicable regulatory authorities may cause delays and additional costs in obtaining approvals for marketing authorization for REACT or any future product candidates. Because our platform is novel, and cell-based therapies are relatively new, regulatory agencies may lack experience in evaluating product candidates like REACT. This novelty may lengthen the regulatory review process, including the time it takes for the FDA to review our IND applications if and when submitted, increase our development costs and delay or prevent commercialization of REACT. Additionally, advancing novel CKD therapies creates significant challenges for us, including:</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educating medical personnel regarding the potential side-effect profile of REACT and, as the clinical development program progresses, on observed side effects with REACT;</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0"/>
        <w:jc w:val="left"/>
        <w:rPr/>
      </w:pPr>
      <w:r>
        <w:rPr/>
        <w:t> </w:t>
      </w:r>
    </w:p>
    <w:tbl>
      <w:tblPr>
        <w:tblW w:w="6418" w:type="dxa"/>
        <w:jc w:val="left"/>
        <w:tblInd w:w="0" w:type="dxa"/>
        <w:tblCellMar>
          <w:top w:w="28" w:type="dxa"/>
          <w:left w:w="28" w:type="dxa"/>
          <w:bottom w:w="28" w:type="dxa"/>
          <w:right w:w="28" w:type="dxa"/>
        </w:tblCellMar>
      </w:tblPr>
      <w:tblGrid>
        <w:gridCol w:w="177"/>
        <w:gridCol w:w="272"/>
        <w:gridCol w:w="162"/>
        <w:gridCol w:w="580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80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580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training medical personnel on the proper use and delivery of REACT;</w:t>
            </w:r>
          </w:p>
        </w:tc>
      </w:tr>
    </w:tbl>
    <w:p>
      <w:pPr>
        <w:pStyle w:val="TextBody"/>
        <w:spacing w:before="0" w:after="0"/>
        <w:jc w:val="left"/>
        <w:rPr/>
      </w:pPr>
      <w:r>
        <w:rPr/>
        <w:t> </w:t>
      </w:r>
    </w:p>
    <w:tbl>
      <w:tblPr>
        <w:tblW w:w="5713" w:type="dxa"/>
        <w:jc w:val="left"/>
        <w:tblInd w:w="0" w:type="dxa"/>
        <w:tblCellMar>
          <w:top w:w="28" w:type="dxa"/>
          <w:left w:w="28" w:type="dxa"/>
          <w:bottom w:w="28" w:type="dxa"/>
          <w:right w:w="28" w:type="dxa"/>
        </w:tblCellMar>
      </w:tblPr>
      <w:tblGrid>
        <w:gridCol w:w="177"/>
        <w:gridCol w:w="272"/>
        <w:gridCol w:w="162"/>
        <w:gridCol w:w="510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10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510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enrolling sufficient numbers of subjects in clinical trials; and</w:t>
            </w:r>
          </w:p>
        </w:tc>
      </w:tr>
    </w:tbl>
    <w:p>
      <w:pPr>
        <w:pStyle w:val="TextBody"/>
        <w:spacing w:before="0" w:after="0"/>
        <w:jc w:val="left"/>
        <w:rPr/>
      </w:pPr>
      <w:r>
        <w:rPr/>
        <w:t> </w:t>
      </w:r>
    </w:p>
    <w:tbl>
      <w:tblPr>
        <w:tblW w:w="8488" w:type="dxa"/>
        <w:jc w:val="left"/>
        <w:tblInd w:w="0" w:type="dxa"/>
        <w:tblCellMar>
          <w:top w:w="28" w:type="dxa"/>
          <w:left w:w="28" w:type="dxa"/>
          <w:bottom w:w="28" w:type="dxa"/>
          <w:right w:w="28" w:type="dxa"/>
        </w:tblCellMar>
      </w:tblPr>
      <w:tblGrid>
        <w:gridCol w:w="177"/>
        <w:gridCol w:w="272"/>
        <w:gridCol w:w="162"/>
        <w:gridCol w:w="787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787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787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continuing to develop a manufacturing process to support the clinical development of REACT.</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must be able to overcome these challenges in order for us to develop, commercialize and manufacture REACT.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we advance REACT, we will be required to consult with the FDA and other regulatory authorities, and REACT will likely be reviewed by an FDA advisory committee. We also must comply with applicable requirements, and if we fail to do so, we may be required to delay or discontinue development of REACT. Delays or unexpected costs in obtaining, or the failure to obtain, the regulatory approval necessary to bring a potential product to market could impair our ability to generate sufficient product revenues to maintain our business.</w:t>
      </w:r>
    </w:p>
    <w:p>
      <w:pPr>
        <w:pStyle w:val="TextBody"/>
        <w:spacing w:before="120" w:after="0"/>
        <w:jc w:val="left"/>
        <w:rPr>
          <w:rFonts w:ascii="Times New Roman;serif" w:hAnsi="Times New Roman;serif"/>
          <w:b w:val="false"/>
          <w:sz w:val="20"/>
        </w:rPr>
      </w:pPr>
      <w:bookmarkStart w:id="40" w:name="bkmk_63"/>
      <w:bookmarkEnd w:id="40"/>
      <w:r>
        <w:rPr>
          <w:rFonts w:ascii="Times New Roman;serif" w:hAnsi="Times New Roman;serif"/>
          <w:b w:val="false"/>
          <w:sz w:val="20"/>
        </w:rPr>
        <w:t>In addition, adverse developments in preclinical studies or clinical trials conducted by others in the field of cell therapy products may cause the FDA, the EMA, and other regulatory bodies to revise the requirements for approval of any product candidates we may develop, and may otherwise negatively affect our ability to develop and commercialize REACT or future product candidates. Similarly, the European Commission may issue new guidelines concerning the development and marketing authorization for cell therapies and require that we comply with these new guidelines, which could require additional studies or clinical trials to support the marketing approval of REACT or any product candidates we may develop in the future or which could make our product candidates unable to successfully obtain approval.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regulatory review committees and advisory groups described above and the new guidelines they promulgate may lengthen the regulatory review process, require us to perform additional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w:t>
      </w:r>
    </w:p>
    <w:p>
      <w:pPr>
        <w:pStyle w:val="TextBody"/>
        <w:spacing w:before="360" w:after="0"/>
        <w:jc w:val="left"/>
        <w:rPr>
          <w:rFonts w:ascii="Times New Roman;serif" w:hAnsi="Times New Roman;serif"/>
          <w:b/>
          <w:i/>
          <w:sz w:val="20"/>
        </w:rPr>
      </w:pPr>
      <w:r>
        <w:rPr>
          <w:rFonts w:ascii="Times New Roman;serif" w:hAnsi="Times New Roman;serif"/>
          <w:b/>
          <w:i/>
          <w:sz w:val="20"/>
        </w:rPr>
        <w:t>Clinical development involves a lengthy, complex and expensive process, with an uncertain outcome, and the results of nonclinical studies, previous clinical trials, or interim results of ongoing clinical trials of REACT and any of our future product candidates may not be predictive of future results. Further, we may encounter substantial delays in completing the development of REACT and any of our future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product candidate, REACT, is in clinical development, and its risk of failure is high. The clinical trials, manufacturing and marketing of REACT or any of our future product candidates, if approved, are and will continue to be subject to extensive and rigorous review and regulation by numerous government authorities in the United States and in other countries where we intend to test and market REACT and any of our future product candidates. Before obtaining regulatory approvals for the commercial sale of REACT or any of our future product candidates, we must demonstrate through lengthy, complex and expensive testing and clinical trials that our product candidates are both safe and effective for use in each target indication. In particular, because REACT is subject to regulation as a biological product, we will need to demonstrate that it is safe, pure and potent for use in its target indication and lacks latent untoward cell effects. REACT and any other product candidate we may develop must demonstrate an adequate risk versus benefit profile in its intended patient population and for its intended use. The process of administration of REACT involves taking a small biopsy of tissue from the kidney. The risks associated with a biopsy include bleeding, pain, hematoma, or bruising, scarring, and infarcts, or loss of blood supply resulting in loss of function.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Clinical testing is expensive and can take many years to complete, and its outcome is inherently uncertain. In particular, the general approach for FDA approval of a new therapeutic modality can include dispositive data from two adequate well-controlled clinical trials of the relevant product in the relevant patient population. Our Phase 3 development program may involve one to two thousand patients, have significant costs and take years to complete. A product candidate can fail at any stage of testing, even after observing promising signals of activity in earlier nonclinical studies or clinical trials. The outcome of nonclinical studies and early clinical trials of REACT and our future product candidates may not be predictive of the success of the Phase 3 registrational development program, and interim results of a clinical trial do not necessarily predict final results.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nonclinical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therapeutic products and there can be no assurance that any of our future clinical trials will ultimately be successful or support further clinical development of REACT or any of our future product candidates. Product candidates and delivery methods for cellular therapeutics and tissue engineered products that appear promising in the early phases of development may fail to reach the market for several reasons, including:</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nonclinical or preclinical studies or clinical trials may show the product candidates to be less effective than expected (e.g., a clinical trial could fail to meet its primary endpoint(s)) or to have unacceptable side effects or toxicities associated with the product or delivery method;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failure to establish clinical endpoints that applicable regulatory authorities would consider clinically meaningful and relevant;</w:t>
            </w:r>
          </w:p>
        </w:tc>
      </w:tr>
    </w:tbl>
    <w:p>
      <w:pPr>
        <w:pStyle w:val="TextBody"/>
        <w:spacing w:before="0" w:after="0"/>
        <w:jc w:val="left"/>
        <w:rPr/>
      </w:pPr>
      <w:r>
        <w:rPr/>
        <w:t> </w:t>
      </w:r>
    </w:p>
    <w:tbl>
      <w:tblPr>
        <w:tblW w:w="5053" w:type="dxa"/>
        <w:jc w:val="left"/>
        <w:tblInd w:w="0" w:type="dxa"/>
        <w:tblCellMar>
          <w:top w:w="28" w:type="dxa"/>
          <w:left w:w="28" w:type="dxa"/>
          <w:bottom w:w="28" w:type="dxa"/>
          <w:right w:w="28" w:type="dxa"/>
        </w:tblCellMar>
      </w:tblPr>
      <w:tblGrid>
        <w:gridCol w:w="177"/>
        <w:gridCol w:w="272"/>
        <w:gridCol w:w="162"/>
        <w:gridCol w:w="444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444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444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failure to receive the necessary regulatory approvals;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bookmarkStart w:id="41" w:name="bkmk_64"/>
            <w:bookmarkEnd w:id="41"/>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manufacturing costs, formulation issues, pricing or reimbursement issues, mechanism of action, logistical constraints or other factors that make a product candidate uneconomical; and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proprietary rights of others and their competing products and technologies that may prevent one of our product candidates from being commercialized.</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product candidates performed satisfactorily in clinical trials have nonetheless failed to obtain marketing approval of their products. Additionally, our earlier stage trials are open-label studies, where both the subject and investigator know whether the subject is receiving REACT or standard of care therapy. Most typically, open-label clinical trials test only the investigational product candidate and sometimes do so at different dose levels. Open-label clinical trials are subject to various limitations and biases that may exaggerate any therapeutic effect as subjects in open-label clinical trials are aware when they are receiving treatment. In addition, open-label clinical trials may be subject to an “investigator bias” where those assessing and reviewing the physiological outcomes of the clinical trials are aware of which subjects have received treatment and may interpret the information of the treated group more favorably given this knowledge. Given that our earlier stage trials include an open-label dosing design, while we believe our trials utilize objective assessment measures for measuring our endpoints and therefore are unlikely to be influenced in any manner by subject or investigator bias, it is unknown whether the open-label design may not be predictive of future clinical trial results with this or other product candidates for which we conduct an open-label clinical trial when studied in a controlled environment or with only objective endpoints.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Furthermore, the standards that the FDA and comparable foreign regulatory authorities use when regulating REACT require judgment and may change over time, which makes it difficult to predict with certainty how they will be applied. Any analysis we perform of data from nonclinical and clinical activities is subject to validation and interpretation by regulatory authorities, which could delay, limit or prevent regulatory approval. We may also encounter unexpected delays or increased costs due to new government regulations. Examples of such regulations include future legislation or administrative action, or changes in FDA policy during the period of product development and FDA regulatory review. Specifically, some countries, such as China, have enacted or are considering enacting restrictions on the import and export of human genetic materials, cells and tissues. Such laws and regulations could impair our ability to import and export human cells and cell-based therapies, which could have a material adverse impact on our business. We cannot predict whether legislative changes will be enacted,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 date, we have not completed any pivotal trials required for the approval of REACT. We may experience delays in conducting any clinical trials, need to be redesigned, recruit and enroll subjects on time or be completed on schedule, or at all. Clinical trials can be delayed suspended or terminated for a variety of reasons, including in connection with:</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delays in sufficiently developing, characterizing, standardizing or controlling a manufacturing process and quality criteria suitable for advanced clinical trials;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delays in developing suitable assays for screening patients for eligibility for trials with respect to certain product candidates;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delays in reaching agreement with the FDA, EMA or other regulatory authorities as to the design or implementation of our clinical trials;</w:t>
            </w:r>
          </w:p>
        </w:tc>
      </w:tr>
    </w:tbl>
    <w:p>
      <w:pPr>
        <w:pStyle w:val="TextBody"/>
        <w:spacing w:before="0" w:after="0"/>
        <w:jc w:val="left"/>
        <w:rPr/>
      </w:pPr>
      <w:r>
        <w:rPr/>
        <w:t> </w:t>
      </w:r>
    </w:p>
    <w:tbl>
      <w:tblPr>
        <w:tblW w:w="7168" w:type="dxa"/>
        <w:jc w:val="left"/>
        <w:tblInd w:w="0" w:type="dxa"/>
        <w:tblCellMar>
          <w:top w:w="28" w:type="dxa"/>
          <w:left w:w="28" w:type="dxa"/>
          <w:bottom w:w="28" w:type="dxa"/>
          <w:right w:w="28" w:type="dxa"/>
        </w:tblCellMar>
      </w:tblPr>
      <w:tblGrid>
        <w:gridCol w:w="177"/>
        <w:gridCol w:w="272"/>
        <w:gridCol w:w="162"/>
        <w:gridCol w:w="655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55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655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obtaining additional regulatory authorizations to conduct future clinical trials;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bookmarkStart w:id="42" w:name="bkmk_65"/>
            <w:bookmarkEnd w:id="42"/>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reaching agreements on acceptable terms with additional/future clinical trial sites or prospective CROs, the terms of which can be subject to extensive negotiation and may vary significantly among different clinical trial sites;</w:t>
            </w:r>
          </w:p>
        </w:tc>
      </w:tr>
    </w:tbl>
    <w:p>
      <w:pPr>
        <w:pStyle w:val="TextBody"/>
        <w:spacing w:before="0" w:after="0"/>
        <w:jc w:val="left"/>
        <w:rPr/>
      </w:pPr>
      <w:r>
        <w:rPr/>
        <w:t> </w:t>
      </w:r>
    </w:p>
    <w:tbl>
      <w:tblPr>
        <w:tblW w:w="7228" w:type="dxa"/>
        <w:jc w:val="left"/>
        <w:tblInd w:w="0" w:type="dxa"/>
        <w:tblCellMar>
          <w:top w:w="28" w:type="dxa"/>
          <w:left w:w="28" w:type="dxa"/>
          <w:bottom w:w="28" w:type="dxa"/>
          <w:right w:w="28" w:type="dxa"/>
        </w:tblCellMar>
      </w:tblPr>
      <w:tblGrid>
        <w:gridCol w:w="177"/>
        <w:gridCol w:w="272"/>
        <w:gridCol w:w="162"/>
        <w:gridCol w:w="661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61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661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obtaining IRB or Ethics Committee approval at each additional/future trial site;</w:t>
            </w:r>
          </w:p>
        </w:tc>
      </w:tr>
    </w:tbl>
    <w:p>
      <w:pPr>
        <w:pStyle w:val="TextBody"/>
        <w:spacing w:before="0" w:after="0"/>
        <w:jc w:val="left"/>
        <w:rPr/>
      </w:pPr>
      <w:r>
        <w:rPr/>
        <w:t> </w:t>
      </w:r>
    </w:p>
    <w:tbl>
      <w:tblPr>
        <w:tblW w:w="5518" w:type="dxa"/>
        <w:jc w:val="left"/>
        <w:tblInd w:w="0" w:type="dxa"/>
        <w:tblCellMar>
          <w:top w:w="28" w:type="dxa"/>
          <w:left w:w="28" w:type="dxa"/>
          <w:bottom w:w="28" w:type="dxa"/>
          <w:right w:w="28" w:type="dxa"/>
        </w:tblCellMar>
      </w:tblPr>
      <w:tblGrid>
        <w:gridCol w:w="177"/>
        <w:gridCol w:w="272"/>
        <w:gridCol w:w="162"/>
        <w:gridCol w:w="490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490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490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recruiting suitable patients to participate in a clinical trial;</w:t>
            </w:r>
          </w:p>
        </w:tc>
      </w:tr>
    </w:tbl>
    <w:p>
      <w:pPr>
        <w:pStyle w:val="TextBody"/>
        <w:spacing w:before="0" w:after="0"/>
        <w:jc w:val="left"/>
        <w:rPr/>
      </w:pPr>
      <w:r>
        <w:rPr/>
        <w:t> </w:t>
      </w:r>
    </w:p>
    <w:tbl>
      <w:tblPr>
        <w:tblW w:w="7138" w:type="dxa"/>
        <w:jc w:val="left"/>
        <w:tblInd w:w="0" w:type="dxa"/>
        <w:tblCellMar>
          <w:top w:w="28" w:type="dxa"/>
          <w:left w:w="28" w:type="dxa"/>
          <w:bottom w:w="28" w:type="dxa"/>
          <w:right w:w="28" w:type="dxa"/>
        </w:tblCellMar>
      </w:tblPr>
      <w:tblGrid>
        <w:gridCol w:w="177"/>
        <w:gridCol w:w="272"/>
        <w:gridCol w:w="162"/>
        <w:gridCol w:w="652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52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652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having subjects complete a clinical trial or return for post-treatment follow-up;</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inspections of clinical trial sites or operations by applicable regulatory authorities, or the imposition of a clinical hold;</w:t>
            </w:r>
          </w:p>
        </w:tc>
      </w:tr>
    </w:tbl>
    <w:p>
      <w:pPr>
        <w:pStyle w:val="TextBody"/>
        <w:spacing w:before="0" w:after="0"/>
        <w:jc w:val="left"/>
        <w:rPr/>
      </w:pPr>
      <w:r>
        <w:rPr/>
        <w:t> </w:t>
      </w:r>
    </w:p>
    <w:tbl>
      <w:tblPr>
        <w:tblW w:w="8518" w:type="dxa"/>
        <w:jc w:val="left"/>
        <w:tblInd w:w="0" w:type="dxa"/>
        <w:tblCellMar>
          <w:top w:w="28" w:type="dxa"/>
          <w:left w:w="28" w:type="dxa"/>
          <w:bottom w:w="28" w:type="dxa"/>
          <w:right w:w="28" w:type="dxa"/>
        </w:tblCellMar>
      </w:tblPr>
      <w:tblGrid>
        <w:gridCol w:w="177"/>
        <w:gridCol w:w="272"/>
        <w:gridCol w:w="162"/>
        <w:gridCol w:w="790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790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790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clinical sites, CROs or other third parties deviating from trial protocol or dropping out of a trial;</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failure to perform in accordance with the applicable regulatory requirements, including FDA’s GCP requirements, or applicable regulatory requirements in other countries;</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addressing patient safety concerns that arise during the course of a trial, including occurrence of adverse events associated with the product candidate or the delivery procedure that are viewed to outweigh its potential benefits;</w:t>
            </w:r>
          </w:p>
        </w:tc>
      </w:tr>
    </w:tbl>
    <w:p>
      <w:pPr>
        <w:pStyle w:val="TextBody"/>
        <w:spacing w:before="0" w:after="0"/>
        <w:jc w:val="left"/>
        <w:rPr/>
      </w:pPr>
      <w:r>
        <w:rPr/>
        <w:t> </w:t>
      </w:r>
    </w:p>
    <w:tbl>
      <w:tblPr>
        <w:tblW w:w="4663" w:type="dxa"/>
        <w:jc w:val="left"/>
        <w:tblInd w:w="0" w:type="dxa"/>
        <w:tblCellMar>
          <w:top w:w="28" w:type="dxa"/>
          <w:left w:w="28" w:type="dxa"/>
          <w:bottom w:w="28" w:type="dxa"/>
          <w:right w:w="28" w:type="dxa"/>
        </w:tblCellMar>
      </w:tblPr>
      <w:tblGrid>
        <w:gridCol w:w="177"/>
        <w:gridCol w:w="272"/>
        <w:gridCol w:w="162"/>
        <w:gridCol w:w="405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405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405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adding a sufficient number of clinical trial sites;</w:t>
            </w:r>
          </w:p>
        </w:tc>
      </w:tr>
    </w:tbl>
    <w:p>
      <w:pPr>
        <w:pStyle w:val="TextBody"/>
        <w:spacing w:before="0" w:after="0"/>
        <w:jc w:val="left"/>
        <w:rPr/>
      </w:pPr>
      <w:r>
        <w:rPr/>
        <w:t> </w:t>
      </w:r>
    </w:p>
    <w:tbl>
      <w:tblPr>
        <w:tblW w:w="7453" w:type="dxa"/>
        <w:jc w:val="left"/>
        <w:tblInd w:w="0" w:type="dxa"/>
        <w:tblCellMar>
          <w:top w:w="28" w:type="dxa"/>
          <w:left w:w="28" w:type="dxa"/>
          <w:bottom w:w="28" w:type="dxa"/>
          <w:right w:w="28" w:type="dxa"/>
        </w:tblCellMar>
      </w:tblPr>
      <w:tblGrid>
        <w:gridCol w:w="177"/>
        <w:gridCol w:w="272"/>
        <w:gridCol w:w="162"/>
        <w:gridCol w:w="684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84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684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manufacturing sufficient quantities of a product candidate for use in clinical trials;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disruptions in our supply chain, which could result in improper storage, transport or development conditions for our product components, whose treatment is time-sensitive and temperature-sensitive and which are patient-specific; or</w:t>
            </w:r>
          </w:p>
        </w:tc>
      </w:tr>
    </w:tbl>
    <w:p>
      <w:pPr>
        <w:pStyle w:val="TextBody"/>
        <w:spacing w:before="0" w:after="0"/>
        <w:jc w:val="left"/>
        <w:rPr/>
      </w:pPr>
      <w:r>
        <w:rPr/>
        <w:t> </w:t>
      </w:r>
    </w:p>
    <w:tbl>
      <w:tblPr>
        <w:tblW w:w="9778" w:type="dxa"/>
        <w:jc w:val="left"/>
        <w:tblInd w:w="0" w:type="dxa"/>
        <w:tblCellMar>
          <w:top w:w="28" w:type="dxa"/>
          <w:left w:w="28" w:type="dxa"/>
          <w:bottom w:w="28" w:type="dxa"/>
          <w:right w:w="28" w:type="dxa"/>
        </w:tblCellMar>
      </w:tblPr>
      <w:tblGrid>
        <w:gridCol w:w="177"/>
        <w:gridCol w:w="272"/>
        <w:gridCol w:w="162"/>
        <w:gridCol w:w="916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16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16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interruption of our manufacturing processes, which could lead to our inability to properly administer treatment.</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experience numerous unforeseen events during, or as a result of, clinical trials that could delay or prevent our ability to receive marketing approval or commercialize REACT or any of our future product candidates or significantly increase the cost of such trials, including:</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changes in regulatory requirements or guidance, or receive feedback from regulatory authorities that requires us to modify the design of our clinical trials;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clinical trials of REACT or our future product candidates may produce negative or inconclusive results, and we may decide, or regulators may require us, to conduct additional clinical trials or abandon development programs;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number of subjects required for clinical trials of REACT or our future product candidates may be larger than we anticipate, enrollment in these clinical trials may be slower than we anticipate or subjects may drop out of these clinical trials at a higher rate than we anticipate;</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our third-party contractors may fail to comply with regulatory requirements or meet their contractual obligations to us in a timely manner, or at all;</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we or our investigators might have to suspend or terminate clinical trials of REACT or our future product candidates for various reasons, including non-compliance with regulatory requirements, a finding that REACT or our future product candidates have undesirable side effects or other unexpected characteristics, or a finding that the subjects are being exposed to unacceptable health risks;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cost of clinical trials of REACT or our future product candidates may be greater than we anticipate and we may not have funds to cover the costs;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supply or quality of REACT or our future product candidates or other materials necessary to conduct clinical trials of our product candidates may be insufficient or inadequate;</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bookmarkStart w:id="43" w:name="bkmk_66"/>
            <w:bookmarkEnd w:id="43"/>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regulators may revise the requirements for approving REACT or our future product candidates, or such requirements may not be as we anticipate; and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any future collaborators that conduct clinical trials may face any of the above issues, and may conduct clinical trials in ways they view as advantageous to them but that are suboptimal for us.</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are required to conduct additional clinical trials or other testing of REACT or any of our future product candidates beyond those that we currently contemplate, if we are unable to successfully complete clinical trials of REACT or our future product candidates or other testing, if the results of these trials or tests are not positive or are only modestly positive or if there are safety concerns, we may:</w:t>
      </w:r>
    </w:p>
    <w:p>
      <w:pPr>
        <w:pStyle w:val="TextBody"/>
        <w:spacing w:before="0" w:after="0"/>
        <w:jc w:val="left"/>
        <w:rPr/>
      </w:pPr>
      <w:r>
        <w:rPr/>
        <w:t> </w:t>
      </w:r>
    </w:p>
    <w:tbl>
      <w:tblPr>
        <w:tblW w:w="2623" w:type="dxa"/>
        <w:jc w:val="left"/>
        <w:tblInd w:w="0" w:type="dxa"/>
        <w:tblCellMar>
          <w:top w:w="28" w:type="dxa"/>
          <w:left w:w="28" w:type="dxa"/>
          <w:bottom w:w="28" w:type="dxa"/>
          <w:right w:w="28" w:type="dxa"/>
        </w:tblCellMar>
      </w:tblPr>
      <w:tblGrid>
        <w:gridCol w:w="177"/>
        <w:gridCol w:w="272"/>
        <w:gridCol w:w="162"/>
        <w:gridCol w:w="201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01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201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incur unplanned costs;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be delayed in obtaining marketing approval for REACT or any of our future product candidates or not obtain marketing approval at all;</w:t>
            </w:r>
          </w:p>
        </w:tc>
      </w:tr>
    </w:tbl>
    <w:p>
      <w:pPr>
        <w:pStyle w:val="TextBody"/>
        <w:spacing w:before="0" w:after="0"/>
        <w:jc w:val="left"/>
        <w:rPr/>
      </w:pPr>
      <w:r>
        <w:rPr/>
        <w:t> </w:t>
      </w:r>
    </w:p>
    <w:tbl>
      <w:tblPr>
        <w:tblW w:w="5878" w:type="dxa"/>
        <w:jc w:val="left"/>
        <w:tblInd w:w="0" w:type="dxa"/>
        <w:tblCellMar>
          <w:top w:w="28" w:type="dxa"/>
          <w:left w:w="28" w:type="dxa"/>
          <w:bottom w:w="28" w:type="dxa"/>
          <w:right w:w="28" w:type="dxa"/>
        </w:tblCellMar>
      </w:tblPr>
      <w:tblGrid>
        <w:gridCol w:w="177"/>
        <w:gridCol w:w="272"/>
        <w:gridCol w:w="162"/>
        <w:gridCol w:w="526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26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526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obtain marketing approval in some countries and not in others;</w:t>
            </w:r>
          </w:p>
        </w:tc>
      </w:tr>
    </w:tbl>
    <w:p>
      <w:pPr>
        <w:pStyle w:val="TextBody"/>
        <w:spacing w:before="0" w:after="0"/>
        <w:jc w:val="left"/>
        <w:rPr/>
      </w:pPr>
      <w:r>
        <w:rPr/>
        <w:t> </w:t>
      </w:r>
    </w:p>
    <w:tbl>
      <w:tblPr>
        <w:tblW w:w="9568" w:type="dxa"/>
        <w:jc w:val="left"/>
        <w:tblInd w:w="0" w:type="dxa"/>
        <w:tblCellMar>
          <w:top w:w="28" w:type="dxa"/>
          <w:left w:w="28" w:type="dxa"/>
          <w:bottom w:w="28" w:type="dxa"/>
          <w:right w:w="28" w:type="dxa"/>
        </w:tblCellMar>
      </w:tblPr>
      <w:tblGrid>
        <w:gridCol w:w="177"/>
        <w:gridCol w:w="272"/>
        <w:gridCol w:w="162"/>
        <w:gridCol w:w="895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95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895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obtain marketing approval for indications or patient populations that are not as broad as intended or desired;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obtain marketing approval with labeling that includes significant use or distribution restrictions or safety warnings, including boxed warnings or REMS;</w:t>
            </w:r>
          </w:p>
        </w:tc>
      </w:tr>
    </w:tbl>
    <w:p>
      <w:pPr>
        <w:pStyle w:val="TextBody"/>
        <w:spacing w:before="0" w:after="0"/>
        <w:jc w:val="left"/>
        <w:rPr/>
      </w:pPr>
      <w:r>
        <w:rPr/>
        <w:t> </w:t>
      </w:r>
    </w:p>
    <w:tbl>
      <w:tblPr>
        <w:tblW w:w="5728" w:type="dxa"/>
        <w:jc w:val="left"/>
        <w:tblInd w:w="0" w:type="dxa"/>
        <w:tblCellMar>
          <w:top w:w="28" w:type="dxa"/>
          <w:left w:w="28" w:type="dxa"/>
          <w:bottom w:w="28" w:type="dxa"/>
          <w:right w:w="28" w:type="dxa"/>
        </w:tblCellMar>
      </w:tblPr>
      <w:tblGrid>
        <w:gridCol w:w="177"/>
        <w:gridCol w:w="272"/>
        <w:gridCol w:w="162"/>
        <w:gridCol w:w="511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11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511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be subject to additional post-marketing testing requirements;</w:t>
            </w:r>
          </w:p>
        </w:tc>
      </w:tr>
    </w:tbl>
    <w:p>
      <w:pPr>
        <w:pStyle w:val="TextBody"/>
        <w:spacing w:before="0" w:after="0"/>
        <w:jc w:val="left"/>
        <w:rPr/>
      </w:pPr>
      <w:r>
        <w:rPr/>
        <w:t> </w:t>
      </w:r>
    </w:p>
    <w:tbl>
      <w:tblPr>
        <w:tblW w:w="5923" w:type="dxa"/>
        <w:jc w:val="left"/>
        <w:tblInd w:w="0" w:type="dxa"/>
        <w:tblCellMar>
          <w:top w:w="28" w:type="dxa"/>
          <w:left w:w="28" w:type="dxa"/>
          <w:bottom w:w="28" w:type="dxa"/>
          <w:right w:w="28" w:type="dxa"/>
        </w:tblCellMar>
      </w:tblPr>
      <w:tblGrid>
        <w:gridCol w:w="177"/>
        <w:gridCol w:w="272"/>
        <w:gridCol w:w="162"/>
        <w:gridCol w:w="531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31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531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be subject to changes in the way the product is administered; or</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have regulatory authorities withdraw or suspend their approval of the product or to impose restrictions on its distribution after obtaining marketing approval.</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could encounter delays if a clinical trial is suspended or terminated by us, by the IRBs of the institutions in which such trials are being conducted, by the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REACT or one of our future product candidates, changes in governmental regulations or administrative actions or lack of adequate funding to continue the clinical trial.</w:t>
      </w:r>
    </w:p>
    <w:p>
      <w:pPr>
        <w:pStyle w:val="TextBody"/>
        <w:spacing w:before="120" w:after="0"/>
        <w:jc w:val="left"/>
        <w:rPr>
          <w:rFonts w:ascii="Times New Roman" w:hAnsi="Times New Roman"/>
          <w:sz w:val="20"/>
        </w:rPr>
      </w:pPr>
      <w:r>
        <w:rPr>
          <w:rFonts w:ascii="Times New Roman;serif" w:hAnsi="Times New Roman;serif"/>
          <w:b w:val="false"/>
          <w:sz w:val="20"/>
        </w:rPr>
        <w:t>REACT, our lead product candidate, will require extensive clinical testing before we are prepared to submit a BLA or MAA for regulatory approval. We cannot predict with any certainty if or when we might complete the clinical development for REACT and submit a BLA or MAA for regulatory approval of REACT or whether any such BLA or MAA will be approved. We may also</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seek feedback from the FDA, EMA or other regulatory authorities on our clinical development program, and the FDA, EMA or such regulatory authorities may not provide such feedback on a timely basis, or such feedback may not be favorable, which could further delay our development programs.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currently conducting clinical trials in foreign countries, as well as in the United States. If we continue to seek to conduct clinical trials in foreign countries or pursue marketing approvals in foreign jurisdictions, we must comply with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from foreign regulatory agencies may differ from that required to obtain FDA approval. Approval by the FDA does not ensure approval by regulatory authorities outside the United States and vice versa. 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pStyle w:val="TextBody"/>
        <w:spacing w:before="360" w:after="0"/>
        <w:jc w:val="left"/>
        <w:rPr>
          <w:rFonts w:ascii="Times New Roman;serif" w:hAnsi="Times New Roman;serif"/>
          <w:b/>
          <w:i/>
          <w:sz w:val="20"/>
        </w:rPr>
      </w:pPr>
      <w:r>
        <w:rPr>
          <w:rFonts w:ascii="Times New Roman;serif" w:hAnsi="Times New Roman;serif"/>
          <w:b/>
          <w:i/>
          <w:sz w:val="20"/>
        </w:rPr>
        <w:t>Any topline data or interim analyses from our nonclinical studies and clinical trials that may be announced or published from time to time may change as more data becomes available and will remain subject to audit and verification procedures that could result in material changes in the final data.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disclosed interim analyses of certain ongoing clinical trials and may continue to disclose publicly interim or topline data from its nonclinical studies and clinical trials in the future. These interim updates will be based on a preliminary analysis of then-available data, and the results and related findings and conclusions will be subject to change following a more comprehensive review of the data related to the particular study or trial. We will be required to make assumptions, estimations, calculations and conclusions as part of our analyses of data, and we may not have received or had the opportunity to fully and carefully evaluate all data. As a result, the interim or topline results that we may report might differ from future results of the same studies or trials, or different conclusions or considerations may qualify such results, once additional data have been received and fully evaluated. Interim and topline data will remain subject to audit and verification procedures that may result in the final data being materially different from the data we previously published. As a result, any interim or topline data should be viewed with caution until the final data are available. Interim data from clinical trials that we may complete will be subject to the risk that one or more of the clinical outcomes may materially change as patient enrollment continues and more patient data becomes available.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us in general. In addition, the information we choose to publicly disclose regarding a particular study or clinical trial is based on what is typically extensive information, investors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or topline data that we report differ from actual results, or if others, including regulatory authorities, disagree with the conclusions reached, our ability to obtain approval for, and commercialize, our product candidate may be harmed, which could harm our business, operating results, prospects or financial condition.</w:t>
      </w:r>
    </w:p>
    <w:p>
      <w:pPr>
        <w:pStyle w:val="TextBody"/>
        <w:spacing w:before="360" w:after="0"/>
        <w:jc w:val="left"/>
        <w:rPr>
          <w:rFonts w:ascii="Times New Roman;serif" w:hAnsi="Times New Roman;serif"/>
          <w:b/>
          <w:i/>
          <w:sz w:val="20"/>
        </w:rPr>
      </w:pPr>
      <w:r>
        <w:rPr>
          <w:rFonts w:ascii="Times New Roman;serif" w:hAnsi="Times New Roman;serif"/>
          <w:b/>
          <w:i/>
          <w:sz w:val="20"/>
        </w:rPr>
        <w:t>The regulatory approval processes of the FDA, EMA and comparable foreign authorities are lengthy, time-consuming and inherently unpredictable. If we are not able to obtain required regulatory approval for REACT, our lead product candidate, or any of our future product candidates, our business may be materially and adversely affected.</w:t>
      </w:r>
    </w:p>
    <w:p>
      <w:pPr>
        <w:pStyle w:val="TextBody"/>
        <w:spacing w:before="120" w:after="0"/>
        <w:jc w:val="left"/>
        <w:rPr>
          <w:rFonts w:ascii="Times New Roman" w:hAnsi="Times New Roman"/>
          <w:sz w:val="20"/>
        </w:rPr>
      </w:pPr>
      <w:bookmarkStart w:id="44" w:name="bkmk_68"/>
      <w:bookmarkEnd w:id="44"/>
      <w:r>
        <w:rPr>
          <w:rFonts w:ascii="Times New Roman;serif" w:hAnsi="Times New Roman;serif"/>
          <w:b w:val="false"/>
          <w:sz w:val="20"/>
        </w:rPr>
        <w:t>The time required to obtain approval or other marketing authorizations by the FDA, EMA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Neither we nor any current or future collaborator is permitted to market any biologic product candidates in the United States until we receive regulatory approval of a BLA from the FDA, and we cannot market it in the European Union until we receive approval from the FDA or approval for a MAA from the EMA, or other required regulatory approval in other</w:t>
      </w:r>
      <w:r>
        <w:rPr>
          <w:rFonts w:ascii="Times New Roman" w:hAnsi="Times New Roman"/>
          <w:sz w:val="20"/>
        </w:rPr>
        <w:t xml:space="preserve"> </w:t>
      </w:r>
      <w:r>
        <w:rPr>
          <w:rFonts w:ascii="Times New Roman;serif" w:hAnsi="Times New Roman;serif"/>
          <w:b w:val="false"/>
          <w:sz w:val="20"/>
        </w:rPr>
        <w:t>countries. To date, we have had only limited discussions with the regulatory agencies of the United States, the European Union, Argentina, Israel, Canada and Brazil regarding clinical development programs or regulatory approval for any product candidate within such jurisdictions.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48</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Prior to obtaining approval to commercialize any biologic product candidate in the United States or abroad, we must demonstrate with substantial evidence from well-controlled clinical trials, and to the satisfaction of the FDA, EMA or other foreign regulatory agencies, that such product candidates are safe and effective for their intended uses. Results from nonclinical or preclinical studies and clinical trials may be interpreted differently by different regulatory agencies. Even if we believe the nonclinical or clinical data for REACT are promising, such data may be insufficient to support approval by the FDA and other regulatory authorities. The FDA may also require us to conduct additional nonclinical studies or clinical trials for REACT either prior to or after approval, or it may object to elements of our clinical development programs.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REACT could fail to receive regulatory approval for many reasons, including the following:</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FDA or comparable foreign regulatory authorities may disagree with the design or implementation of our clinical trials;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we may be unable to demonstrate to the satisfaction of the FDA or comparable foreign regulatory authorities that a product candidate is safe and effective for its proposed indication;</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results of our clinical trials may not meet the level of statistical significance required by the FDA or comparable foreign regulatory authorities for approval;</w:t>
            </w:r>
          </w:p>
        </w:tc>
      </w:tr>
    </w:tbl>
    <w:p>
      <w:pPr>
        <w:pStyle w:val="TextBody"/>
        <w:spacing w:before="0" w:after="0"/>
        <w:jc w:val="left"/>
        <w:rPr/>
      </w:pPr>
      <w:r>
        <w:rPr/>
        <w:t> </w:t>
      </w:r>
    </w:p>
    <w:tbl>
      <w:tblPr>
        <w:tblW w:w="9838" w:type="dxa"/>
        <w:jc w:val="left"/>
        <w:tblInd w:w="0" w:type="dxa"/>
        <w:tblCellMar>
          <w:top w:w="28" w:type="dxa"/>
          <w:left w:w="28" w:type="dxa"/>
          <w:bottom w:w="28" w:type="dxa"/>
          <w:right w:w="28" w:type="dxa"/>
        </w:tblCellMar>
      </w:tblPr>
      <w:tblGrid>
        <w:gridCol w:w="177"/>
        <w:gridCol w:w="272"/>
        <w:gridCol w:w="162"/>
        <w:gridCol w:w="922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22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22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we may be unable to demonstrate that a product candidate’s clinical and other benefits outweigh its safety risks;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FDA or comparable foreign regulatory authorities may fail to approve our manufacturing processes or facilities of third-party suppliers with which we contract for clinical and commercial supplies; and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approval policies or regulations of the FDA or comparable foreign authorities may significantly change in a manner rendering our clinical data insufficient for approval.</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Of the large number of product candidates developed by biologics manufacturers,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and marketing authorization to market REACT or any of our future product candidates, which would significantly harm our business, financial condition, results of operations and prospects.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invested a significant portion of our time and financial resources in the development of REACT. Our business is dependent on our ability to successfully complete nonclinical and clinical development of, obtain regulatory approval for, and, if approved, successfully commercialize REACT and any future product candidates in a timely manner.</w:t>
      </w:r>
    </w:p>
    <w:p>
      <w:pPr>
        <w:pStyle w:val="TextBody"/>
        <w:spacing w:before="120" w:after="0"/>
        <w:jc w:val="left"/>
        <w:rPr>
          <w:rFonts w:ascii="Times New Roman;serif" w:hAnsi="Times New Roman;serif"/>
          <w:b w:val="false"/>
          <w:sz w:val="20"/>
        </w:rPr>
      </w:pPr>
      <w:bookmarkStart w:id="45" w:name="bkmk_69"/>
      <w:bookmarkEnd w:id="45"/>
      <w:r>
        <w:rPr>
          <w:rFonts w:ascii="Times New Roman;serif" w:hAnsi="Times New Roman;serif"/>
          <w:b w:val="false"/>
          <w:sz w:val="20"/>
        </w:rPr>
        <w:t>Even if we eventually complete clinical testing and receive approval of a BLA or foreign marketing application for REACT or any future product candidates, the FDA, EMA or the applicable foreign regulatory agency may grant approval or other marketing authorization contingent on the performance of costly additional clinical trials, including post-marketing clinical trials. The FDA, EMA or the applicable foreign regulatory agency also may approve or authorize for marketing a product candidate for a more limited indication or patient population than we originally request, and the FDA, EMA or applicable foreign regulatory agency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materially adversely impact our business and prospects.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the FDA, EMA and other regulatory authorities may change their policies, issue additional regulations or revise existing regulations, or take other actions, which may prevent or delay approval of our future product candidates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pStyle w:val="TextBody"/>
        <w:spacing w:before="360" w:after="0"/>
        <w:jc w:val="left"/>
        <w:rPr>
          <w:rFonts w:ascii="Times New Roman;serif" w:hAnsi="Times New Roman;serif"/>
          <w:b/>
          <w:i/>
          <w:sz w:val="20"/>
        </w:rPr>
      </w:pPr>
      <w:r>
        <w:rPr>
          <w:rFonts w:ascii="Times New Roman;serif" w:hAnsi="Times New Roman;serif"/>
          <w:b/>
          <w:i/>
          <w:sz w:val="20"/>
        </w:rPr>
        <w:t>Our nonclinical studies and clinical trials may fail to demonstrate substantial evidence of the safety and efficacy of REACT or our future product candidates, or serious adverse or unacceptable side effects may be identified during the development of REACT or any of our future product candidates, which could prevent, delay or limit the scope of regulatory approval of REACT or any of our future product candidates, limit their commercialization, increase our costs or necessitate the abandonment or limitation of the development of REACT or our future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 obtain the requisite regulatory approvals for the commercial sale of REACT and any of our future product candidates, we must demonstrate through lengthy, complex and expensive nonclinical testing and clinical trials that our product candidates are safe, pure and potent for use in each target indication. Nonclinical testing and clinical trials are expensive and time consuming, and their outcomes are inherently uncertain. Failures can occur at any time during the development process. The outcome of nonclinical studies and early clinical trials may not be predictive of the results of later clinical trials, and interim results of a clinical trial do not necessarily predict final results. Moreover, nonclinical and clinical data are often susceptible to varying interpretations and analyses. Many companies that have believed their product candidates performed satisfactorily in preclinical studies and clinical trials have nonetheless failed to obtain marketing approval of their product candidates.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49</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fail to demonstrate with substantial evidence from adequate and well-controlled trials, and to the satisfaction of the FDA or comparable foreign regulatory authorities, that REACT is safe and potent for its intended uses.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Possible adverse side effects that could occur with treatment with autologous cell therapy products include thrombocytopenia, chills, anemia, febrile neutropenia, diarrhea, neutropenia, vomiting, hypotension, dyspnea, cytokine release syndrome and neurotoxicity. Side effects may be unrecognized and mismanaged by medical personnel and considered unrelated due to unfamiliarity with the REACT cell-based treatments. REACT treatment necessitates a renal biopsy to obtain tissue to manufacture the bioactive component and subsequent injections to deposit the REACT product into the kidney. Each intervention poses well-known risks of adverse events such as renal bleeding, cortical scarring, decline in kidney function or other adverse events that may require hospitalization, blood transfusion or angiographic intervention.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RMCL-002 trial, which used a different formulation of the REACT product and a different procedure than that presently used in our Phase 3 trials, one participant experienced serious adverse events that included scarring or fibrosis and a decrease in kidney function. A second participant experienced decreased kidney blood flow observed on computed tomography (“CT”) imaging and a decrease in kidney function. If other adverse events, or other unexpected serious adverse events, occur, our clinical trials could be suspended or terminated. If we cannot demonstrate that adverse events experienced by subjects enrolled in our current and planned clinical trials were not caused by the REACT product candidate or procedure, the FDA, EMA or other foreign regulatory authorities could order us to cease further development of, or deny approval of, our product candidate for any or all targeted indications. Even if we are able to demonstrate that serious adverse events experienced by subjects enrolled in our current and planned clinical trials are not product-related, such occurrences could affect patient recruitment or the ability of enrolled subjects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pStyle w:val="TextBody"/>
        <w:spacing w:before="120" w:after="0"/>
        <w:jc w:val="left"/>
        <w:rPr>
          <w:rFonts w:ascii="Times New Roman" w:hAnsi="Times New Roman"/>
          <w:sz w:val="20"/>
        </w:rPr>
      </w:pPr>
      <w:bookmarkStart w:id="46" w:name="bkmk_70"/>
      <w:bookmarkEnd w:id="46"/>
      <w:r>
        <w:rPr>
          <w:rFonts w:ascii="Times New Roman;serif" w:hAnsi="Times New Roman;serif"/>
          <w:b w:val="false"/>
          <w:sz w:val="20"/>
        </w:rPr>
        <w:t>Furthermore, if REACT or any of our future product candidates is associated with undesirable effects in nonclinical studies or clinical trials or have characteristics that are unexpected, we may decide or be required to</w:t>
      </w:r>
      <w:r>
        <w:rPr>
          <w:rFonts w:ascii="Times New Roman" w:hAnsi="Times New Roman"/>
          <w:sz w:val="20"/>
        </w:rPr>
        <w:t xml:space="preserve"> </w:t>
      </w:r>
      <w:r>
        <w:rPr>
          <w:rFonts w:ascii="Times New Roman;serif" w:hAnsi="Times New Roman;serif"/>
          <w:b w:val="false"/>
          <w:sz w:val="20"/>
        </w:rPr>
        <w:t>perform additional nonclinical studies or to halt or delay further clinical development of our product candidates or to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The FDA, EMA, and other health authorities, an IRB, or an IEC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 stage testing have later been found to cause side effects that prevented further development of the product candidate.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if REACT or any of our future product candidates receives marketing approval, and we or others identify unacceptable side effects caused by such products, a number of potentially significant negative consequences could result, including:</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regulatory authorities may suspend, withdraw or limit approvals of such product, or seek an injunction against its manufacture or distribution;</w:t>
            </w:r>
          </w:p>
        </w:tc>
      </w:tr>
    </w:tbl>
    <w:p>
      <w:pPr>
        <w:pStyle w:val="TextBody"/>
        <w:spacing w:before="0" w:after="0"/>
        <w:jc w:val="left"/>
        <w:rPr/>
      </w:pPr>
      <w:r>
        <w:rPr/>
        <w:t> </w:t>
      </w:r>
    </w:p>
    <w:tbl>
      <w:tblPr>
        <w:tblW w:w="6268" w:type="dxa"/>
        <w:jc w:val="left"/>
        <w:tblInd w:w="0" w:type="dxa"/>
        <w:tblCellMar>
          <w:top w:w="28" w:type="dxa"/>
          <w:left w:w="28" w:type="dxa"/>
          <w:bottom w:w="28" w:type="dxa"/>
          <w:right w:w="28" w:type="dxa"/>
        </w:tblCellMar>
      </w:tblPr>
      <w:tblGrid>
        <w:gridCol w:w="177"/>
        <w:gridCol w:w="272"/>
        <w:gridCol w:w="162"/>
        <w:gridCol w:w="565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65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565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regulatory authorities may require additional warnings on the label;</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we may be required to create a medication guide outlining the risks of such side effects for distribution to patients or other requirements subject to a REMS;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we may be required to change the way the product is administered or conduct additional nonclinical studies or clinical trials;</w:t>
            </w:r>
          </w:p>
        </w:tc>
      </w:tr>
    </w:tbl>
    <w:p>
      <w:pPr>
        <w:pStyle w:val="TextBody"/>
        <w:spacing w:before="0" w:after="0"/>
        <w:jc w:val="left"/>
        <w:rPr/>
      </w:pPr>
      <w:r>
        <w:rPr/>
        <w:t> </w:t>
      </w:r>
    </w:p>
    <w:tbl>
      <w:tblPr>
        <w:tblW w:w="5713" w:type="dxa"/>
        <w:jc w:val="left"/>
        <w:tblInd w:w="0" w:type="dxa"/>
        <w:tblCellMar>
          <w:top w:w="28" w:type="dxa"/>
          <w:left w:w="28" w:type="dxa"/>
          <w:bottom w:w="28" w:type="dxa"/>
          <w:right w:w="28" w:type="dxa"/>
        </w:tblCellMar>
      </w:tblPr>
      <w:tblGrid>
        <w:gridCol w:w="177"/>
        <w:gridCol w:w="272"/>
        <w:gridCol w:w="162"/>
        <w:gridCol w:w="510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10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510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we could be sued and held liable for harm caused to patients;</w:t>
            </w:r>
          </w:p>
        </w:tc>
      </w:tr>
    </w:tbl>
    <w:p>
      <w:pPr>
        <w:pStyle w:val="TextBody"/>
        <w:spacing w:before="0" w:after="0"/>
        <w:jc w:val="left"/>
        <w:rPr/>
      </w:pPr>
      <w:r>
        <w:rPr/>
        <w:t> </w:t>
      </w:r>
    </w:p>
    <w:tbl>
      <w:tblPr>
        <w:tblW w:w="5188" w:type="dxa"/>
        <w:jc w:val="left"/>
        <w:tblInd w:w="0" w:type="dxa"/>
        <w:tblCellMar>
          <w:top w:w="28" w:type="dxa"/>
          <w:left w:w="28" w:type="dxa"/>
          <w:bottom w:w="28" w:type="dxa"/>
          <w:right w:w="28" w:type="dxa"/>
        </w:tblCellMar>
      </w:tblPr>
      <w:tblGrid>
        <w:gridCol w:w="177"/>
        <w:gridCol w:w="272"/>
        <w:gridCol w:w="162"/>
        <w:gridCol w:w="457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457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457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we may decide to remove the product from the market;</w:t>
            </w:r>
          </w:p>
        </w:tc>
      </w:tr>
    </w:tbl>
    <w:p>
      <w:pPr>
        <w:pStyle w:val="TextBody"/>
        <w:spacing w:before="0" w:after="0"/>
        <w:jc w:val="left"/>
        <w:rPr/>
      </w:pPr>
      <w:r>
        <w:rPr/>
        <w:t> </w:t>
      </w:r>
    </w:p>
    <w:tbl>
      <w:tblPr>
        <w:tblW w:w="8833" w:type="dxa"/>
        <w:jc w:val="left"/>
        <w:tblInd w:w="0" w:type="dxa"/>
        <w:tblCellMar>
          <w:top w:w="28" w:type="dxa"/>
          <w:left w:w="28" w:type="dxa"/>
          <w:bottom w:w="28" w:type="dxa"/>
          <w:right w:w="28" w:type="dxa"/>
        </w:tblCellMar>
      </w:tblPr>
      <w:tblGrid>
        <w:gridCol w:w="177"/>
        <w:gridCol w:w="272"/>
        <w:gridCol w:w="162"/>
        <w:gridCol w:w="822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22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822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we may not be able to achieve or maintain third-party payor coverage and adequate reimbursement;</w:t>
            </w:r>
          </w:p>
        </w:tc>
      </w:tr>
    </w:tbl>
    <w:p>
      <w:pPr>
        <w:pStyle w:val="TextBody"/>
        <w:spacing w:before="0" w:after="0"/>
        <w:jc w:val="left"/>
        <w:rPr/>
      </w:pPr>
      <w:r>
        <w:rPr/>
        <w:t> </w:t>
      </w:r>
    </w:p>
    <w:tbl>
      <w:tblPr>
        <w:tblW w:w="8113" w:type="dxa"/>
        <w:jc w:val="left"/>
        <w:tblInd w:w="0" w:type="dxa"/>
        <w:tblCellMar>
          <w:top w:w="28" w:type="dxa"/>
          <w:left w:w="28" w:type="dxa"/>
          <w:bottom w:w="28" w:type="dxa"/>
          <w:right w:w="28" w:type="dxa"/>
        </w:tblCellMar>
      </w:tblPr>
      <w:tblGrid>
        <w:gridCol w:w="177"/>
        <w:gridCol w:w="272"/>
        <w:gridCol w:w="162"/>
        <w:gridCol w:w="750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750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750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we may be subject to fines, injunctions or the imposition of civil or criminal penalties; and</w:t>
            </w:r>
          </w:p>
        </w:tc>
      </w:tr>
    </w:tbl>
    <w:p>
      <w:pPr>
        <w:pStyle w:val="TextBody"/>
        <w:spacing w:before="0" w:after="0"/>
        <w:jc w:val="left"/>
        <w:rPr/>
      </w:pPr>
      <w:r>
        <w:rPr/>
        <w:t> </w:t>
      </w:r>
    </w:p>
    <w:tbl>
      <w:tblPr>
        <w:tblW w:w="7093" w:type="dxa"/>
        <w:jc w:val="left"/>
        <w:tblInd w:w="0" w:type="dxa"/>
        <w:tblCellMar>
          <w:top w:w="28" w:type="dxa"/>
          <w:left w:w="28" w:type="dxa"/>
          <w:bottom w:w="28" w:type="dxa"/>
          <w:right w:w="28" w:type="dxa"/>
        </w:tblCellMar>
      </w:tblPr>
      <w:tblGrid>
        <w:gridCol w:w="177"/>
        <w:gridCol w:w="272"/>
        <w:gridCol w:w="162"/>
        <w:gridCol w:w="648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48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648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our reputation and physician or patient acceptance of our products may suffer.</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can be no assurance that we will resolve any issues related to any product-related adverse events to the satisfaction of the FDA or foreign regulatory agencies in a timely manner or at all. Moreover, any of these events could prevent us from achieving or maintaining market acceptance of the particular product candidate, if approved, and could significantly harm our business, results of operations and prospects.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50</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Negative public opinion and increased regulatory scrutiny of autologous cell therapy using REACT may adversely impact the development or commercial success of our current and future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clinical and commercial success of REACT will depend in part on public acceptance of the use of autologous cell therapy for treatment of kidney disease. Any adverse public attitudes about the use of REACT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pStyle w:val="TextBody"/>
        <w:spacing w:before="120" w:after="0"/>
        <w:jc w:val="left"/>
        <w:rPr>
          <w:rFonts w:ascii="Times New Roman" w:hAnsi="Times New Roman"/>
          <w:sz w:val="20"/>
        </w:rPr>
      </w:pPr>
      <w:bookmarkStart w:id="47" w:name="bkmk_71"/>
      <w:bookmarkEnd w:id="47"/>
      <w:r>
        <w:rPr>
          <w:rFonts w:ascii="Times New Roman;serif" w:hAnsi="Times New Roman;serif"/>
          <w:b w:val="false"/>
          <w:sz w:val="20"/>
        </w:rPr>
        <w:t>More restrictive government regulations or negative public opinion would have a negative effect on our business or financial condition and may delay or impair the development and commercialization of REACT or any of our future product candidates or demand for any products once approved. Adverse events in our or others’</w:t>
      </w:r>
      <w:r>
        <w:rPr>
          <w:rFonts w:ascii="Times New Roman" w:hAnsi="Times New Roman"/>
          <w:sz w:val="20"/>
        </w:rPr>
        <w:t xml:space="preserve"> </w:t>
      </w:r>
      <w:r>
        <w:rPr>
          <w:rFonts w:ascii="Times New Roman;serif" w:hAnsi="Times New Roman;serif"/>
          <w:b w:val="false"/>
          <w:sz w:val="20"/>
        </w:rPr>
        <w:t>clinical trials, even if not ultimately attributable to our product candidates, and the resulting publicity could result in increased governmental regulation, unfavorable public perception, potential regulatory delays in the testing or approval of REACT or our future product candidates, stricter labeling requirements for those product candidates that are approved and a decrease in demand for any such product candidates, all of which would have a negative impact on our business and operations.</w:t>
      </w:r>
    </w:p>
    <w:p>
      <w:pPr>
        <w:pStyle w:val="TextBody"/>
        <w:spacing w:before="360" w:after="0"/>
        <w:jc w:val="left"/>
        <w:rPr>
          <w:rFonts w:ascii="Times New Roman;serif" w:hAnsi="Times New Roman;serif"/>
          <w:b/>
          <w:i/>
          <w:sz w:val="20"/>
        </w:rPr>
      </w:pPr>
      <w:r>
        <w:rPr>
          <w:rFonts w:ascii="Times New Roman;serif" w:hAnsi="Times New Roman;serif"/>
          <w:b/>
          <w:i/>
          <w:sz w:val="20"/>
        </w:rPr>
        <w:t>We are conducting our first Phase 3 clinical trials and may be unable to successfully complete them or any future clinical trials.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conduct of a Phase 3 clinical trial is a complicated process. Although members of our management team have conducted Phase 3 clinical trials in the past while employed at other companies, we as a company are currently conducting our first Phase 3 development program, and as a result may require more time and incur greater costs than we anticipate. Failure to include the correct treatment regimen, complete, or delays in, our Phase 3 clinical trials could prevent us from or delay us in commencing future clinical trials for REACT, obtaining regulatory approval of and commercializing REACT, which would adversely impact our financial performance. In addition, some of our competitors are currently conducting clinical trials for product candidates that treat the same indications as REACT, and patients who are otherwise eligible for our clinical trials may instead enroll in clinical trials of our competitors’ product candidates.</w:t>
      </w:r>
    </w:p>
    <w:p>
      <w:pPr>
        <w:pStyle w:val="TextBody"/>
        <w:spacing w:before="360" w:after="0"/>
        <w:jc w:val="left"/>
        <w:rPr>
          <w:rFonts w:ascii="Times New Roman;serif" w:hAnsi="Times New Roman;serif"/>
          <w:b/>
          <w:i/>
          <w:sz w:val="20"/>
        </w:rPr>
      </w:pPr>
      <w:r>
        <w:rPr>
          <w:rFonts w:ascii="Times New Roman;serif" w:hAnsi="Times New Roman;serif"/>
          <w:b/>
          <w:i/>
          <w:sz w:val="20"/>
        </w:rPr>
        <w:t>If we encounter difficulties enrolling patients in our clinical trials, our clinical development activities could be delayed or otherwise adversely affected.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Successful and timely completion of clinical trials will require that we enroll a sufficient number of patients. Patient enrollment, a significant factor in the timing of clinical trials, is affected by many factors, including the size and nature of the patient population and competition for patients eligible for our clinical trials with competitors which may have ongoing clinical trials for product candidates that are under development to treat the same indications as one or more of our product candidates, or approved products for the conditions for which we are developing our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Clinical trials may be subject to delays as a result of patient enrollment taking longer than anticipated or greater than anticipated subject withdrawal. We may not be able to initiate or continue clinical trials for REACT or our future product candidates if we are unable to locate and enroll a sufficient number of eligible patients to participate in these trials as required by the FDA or foreign regulatory authorities. We cannot predict how successful we will be at enrolling subjects in future clinical trials. The enrollment of patients depends on many factors, including:</w:t>
      </w:r>
    </w:p>
    <w:p>
      <w:pPr>
        <w:pStyle w:val="TextBody"/>
        <w:spacing w:before="0" w:after="0"/>
        <w:jc w:val="left"/>
        <w:rPr/>
      </w:pPr>
      <w:r>
        <w:rPr/>
        <w:t> </w:t>
      </w:r>
    </w:p>
    <w:tbl>
      <w:tblPr>
        <w:tblW w:w="6283" w:type="dxa"/>
        <w:jc w:val="left"/>
        <w:tblInd w:w="0" w:type="dxa"/>
        <w:tblCellMar>
          <w:top w:w="28" w:type="dxa"/>
          <w:left w:w="28" w:type="dxa"/>
          <w:bottom w:w="28" w:type="dxa"/>
          <w:right w:w="28" w:type="dxa"/>
        </w:tblCellMar>
      </w:tblPr>
      <w:tblGrid>
        <w:gridCol w:w="177"/>
        <w:gridCol w:w="272"/>
        <w:gridCol w:w="162"/>
        <w:gridCol w:w="567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67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56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patient eligibility and exclusion criteria defined in the protocol;</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size and demographics of the patient population required for analysis of the clinical trial’s primary endpoints and the process for identifying patients;</w:t>
            </w:r>
          </w:p>
        </w:tc>
      </w:tr>
    </w:tbl>
    <w:p>
      <w:pPr>
        <w:pStyle w:val="TextBody"/>
        <w:spacing w:before="0" w:after="0"/>
        <w:jc w:val="left"/>
        <w:rPr/>
      </w:pPr>
      <w:r>
        <w:rPr/>
        <w:t> </w:t>
      </w:r>
    </w:p>
    <w:tbl>
      <w:tblPr>
        <w:tblW w:w="4513" w:type="dxa"/>
        <w:jc w:val="left"/>
        <w:tblInd w:w="0" w:type="dxa"/>
        <w:tblCellMar>
          <w:top w:w="28" w:type="dxa"/>
          <w:left w:w="28" w:type="dxa"/>
          <w:bottom w:w="28" w:type="dxa"/>
          <w:right w:w="28" w:type="dxa"/>
        </w:tblCellMar>
      </w:tblPr>
      <w:tblGrid>
        <w:gridCol w:w="177"/>
        <w:gridCol w:w="272"/>
        <w:gridCol w:w="162"/>
        <w:gridCol w:w="390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90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390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proximity of subjects to clinical trial sites;</w:t>
            </w:r>
          </w:p>
        </w:tc>
      </w:tr>
    </w:tbl>
    <w:p>
      <w:pPr>
        <w:pStyle w:val="TextBody"/>
        <w:spacing w:before="0" w:after="0"/>
        <w:jc w:val="left"/>
        <w:rPr/>
      </w:pPr>
      <w:r>
        <w:rPr/>
        <w:t> </w:t>
      </w:r>
    </w:p>
    <w:tbl>
      <w:tblPr>
        <w:tblW w:w="2563" w:type="dxa"/>
        <w:jc w:val="left"/>
        <w:tblInd w:w="0" w:type="dxa"/>
        <w:tblCellMar>
          <w:top w:w="28" w:type="dxa"/>
          <w:left w:w="28" w:type="dxa"/>
          <w:bottom w:w="28" w:type="dxa"/>
          <w:right w:w="28" w:type="dxa"/>
        </w:tblCellMar>
      </w:tblPr>
      <w:tblGrid>
        <w:gridCol w:w="177"/>
        <w:gridCol w:w="272"/>
        <w:gridCol w:w="162"/>
        <w:gridCol w:w="195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95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195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design of the trial;</w:t>
            </w:r>
          </w:p>
        </w:tc>
      </w:tr>
    </w:tbl>
    <w:p>
      <w:pPr>
        <w:pStyle w:val="TextBody"/>
        <w:spacing w:before="0" w:after="0"/>
        <w:jc w:val="left"/>
        <w:rPr/>
      </w:pPr>
      <w:r>
        <w:rPr/>
        <w:t> </w:t>
      </w:r>
    </w:p>
    <w:tbl>
      <w:tblPr>
        <w:tblW w:w="8713" w:type="dxa"/>
        <w:jc w:val="left"/>
        <w:tblInd w:w="0" w:type="dxa"/>
        <w:tblCellMar>
          <w:top w:w="28" w:type="dxa"/>
          <w:left w:w="28" w:type="dxa"/>
          <w:bottom w:w="28" w:type="dxa"/>
          <w:right w:w="28" w:type="dxa"/>
        </w:tblCellMar>
      </w:tblPr>
      <w:tblGrid>
        <w:gridCol w:w="177"/>
        <w:gridCol w:w="272"/>
        <w:gridCol w:w="162"/>
        <w:gridCol w:w="810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10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810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our ability to recruit clinical trial investigators with the appropriate competencies and experience;</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clinicians’ and patients’ perceptions as to the potential advantages and risks of the product candidate being studied in relation to other available therapies, including any new products that may be approved for the indications we are investigating;</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availability of competing commercially available therapies and other competing product candidates’ clinical trials;</w:t>
            </w:r>
          </w:p>
        </w:tc>
      </w:tr>
    </w:tbl>
    <w:p>
      <w:pPr>
        <w:pStyle w:val="TextBody"/>
        <w:spacing w:before="0" w:after="0"/>
        <w:jc w:val="left"/>
        <w:rPr/>
      </w:pPr>
      <w:r>
        <w:rPr/>
        <w:t> </w:t>
      </w:r>
    </w:p>
    <w:tbl>
      <w:tblPr>
        <w:tblW w:w="7123" w:type="dxa"/>
        <w:jc w:val="left"/>
        <w:tblInd w:w="0" w:type="dxa"/>
        <w:tblCellMar>
          <w:top w:w="28" w:type="dxa"/>
          <w:left w:w="28" w:type="dxa"/>
          <w:bottom w:w="28" w:type="dxa"/>
          <w:right w:w="28" w:type="dxa"/>
        </w:tblCellMar>
      </w:tblPr>
      <w:tblGrid>
        <w:gridCol w:w="177"/>
        <w:gridCol w:w="272"/>
        <w:gridCol w:w="162"/>
        <w:gridCol w:w="651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51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bookmarkStart w:id="48" w:name="bkmk_72"/>
            <w:bookmarkEnd w:id="48"/>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651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our ability to obtain and maintain clinical trial subject informed consents; and</w:t>
            </w:r>
          </w:p>
        </w:tc>
      </w:tr>
    </w:tbl>
    <w:p>
      <w:pPr>
        <w:pStyle w:val="TextBody"/>
        <w:spacing w:before="0" w:after="0"/>
        <w:jc w:val="left"/>
        <w:rPr/>
      </w:pPr>
      <w:r>
        <w:rPr/>
        <w:t> </w:t>
      </w:r>
    </w:p>
    <w:tbl>
      <w:tblPr>
        <w:tblW w:w="8113" w:type="dxa"/>
        <w:jc w:val="left"/>
        <w:tblInd w:w="0" w:type="dxa"/>
        <w:tblCellMar>
          <w:top w:w="28" w:type="dxa"/>
          <w:left w:w="28" w:type="dxa"/>
          <w:bottom w:w="28" w:type="dxa"/>
          <w:right w:w="28" w:type="dxa"/>
        </w:tblCellMar>
      </w:tblPr>
      <w:tblGrid>
        <w:gridCol w:w="177"/>
        <w:gridCol w:w="272"/>
        <w:gridCol w:w="162"/>
        <w:gridCol w:w="750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750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750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risk that subjects enrolled in clinical trials will drop out of the trials before completion.</w:t>
            </w:r>
          </w:p>
        </w:tc>
      </w:tr>
    </w:tbl>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For example, we are initially developing REACT for the treatment of CKD due to diabetes or congenital anomalies of the kidney and urinary tract. In the United States, CKD is estimated to affect over 38 million adults. We may encounter difficulties enrolling subjects in our clinical trials of REACT due, in part, to the stringent inclusion criteria for subjects, the novelty of the treatment modality and the fact that it involves a physically invasive procedure. In addition, our clinical trials may compete with other clinical trials for product candidates that are in the same therapeutic areas as REACT, and this competition may reduce the number and types of patients available to us, because some patients who might have opted to enroll in our trials may instead opt to</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51</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enroll in a trial being conducted by one of our competitors. Since the number of qualified clinical investigators is limited, we expect to conduct some of our clinical trials at the same clinical trial sites that some of our competitors use, which may reduce the number of patients who are available for our clinical trials in such clinical trial site.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inability to enroll a sufficient number of patients for clinical trials would result in significant delays and could require us to abandon one or more clinical trials altogether. Delays in patient enrollment may result in increased costs or may affect the timing or outcome of our future clinical trials, which could prevent completion of these trials and adversely affect our ability to advance the development of REACT or any of our future product candidates. Furthermore, we expect to rely on CROs and clinical trial sites to ensure the proper and timely conduct of our clinical trials and we will have limited influence over their performance.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Furthermore, due to the follow-up period and maximum study duration of five years (60 months) and the requirement for on-site visits, subjects may drop out of our clinical trials at a higher rate than we anticipate or may elect to participate in alternative clinical trials sponsored by our competitors with product candidates that treat the same indications as REACT and any future product candidates. Even if we are able to enroll a sufficient number of subjects for our clinical trials, we may have difficulty maintaining enrollment of such subjects in our clinical trials.</w:t>
      </w:r>
    </w:p>
    <w:p>
      <w:pPr>
        <w:pStyle w:val="TextBody"/>
        <w:spacing w:before="360" w:after="0"/>
        <w:jc w:val="left"/>
        <w:rPr>
          <w:rFonts w:ascii="Times New Roman;serif" w:hAnsi="Times New Roman;serif"/>
          <w:b/>
          <w:i/>
          <w:sz w:val="20"/>
        </w:rPr>
      </w:pPr>
      <w:r>
        <w:rPr>
          <w:rFonts w:ascii="Times New Roman;serif" w:hAnsi="Times New Roman;serif"/>
          <w:b/>
          <w:i/>
          <w:sz w:val="20"/>
        </w:rPr>
        <w:t>The design or execution of our ongoing and future clinical trials may not support marketing approval.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design or execution of a clinical trial can determine whether its results will support marketing approval, and flaws in the design or execution of a clinical trial may not become apparent until the clinical trial is well advanced. 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by investigators and subject to protocol requirements and the rate of dropout among clinical trial subjects. We do not know whether any clinical trials we conduct will demonstrate consistent or adequate efficacy and safety to obtain marketing approval to market REACT or any of our future product candidates.</w:t>
      </w:r>
    </w:p>
    <w:p>
      <w:pPr>
        <w:pStyle w:val="TextBody"/>
        <w:spacing w:before="120" w:after="0"/>
        <w:jc w:val="left"/>
        <w:rPr>
          <w:rFonts w:ascii="Times New Roman;serif" w:hAnsi="Times New Roman;serif"/>
          <w:b w:val="false"/>
          <w:sz w:val="20"/>
        </w:rPr>
      </w:pPr>
      <w:bookmarkStart w:id="49" w:name="bkmk_73"/>
      <w:bookmarkEnd w:id="49"/>
      <w:r>
        <w:rPr>
          <w:rFonts w:ascii="Times New Roman;serif" w:hAnsi="Times New Roman;serif"/>
          <w:b w:val="false"/>
          <w:sz w:val="20"/>
        </w:rPr>
        <w:t>Further, the FDA and comparable foreign regulatory authorities have substantial discretion in the approval process and in determining when or whether marketing approval will be obtained for REACT or any of our future product candidates. REACT may not be approved even if it achieves its primary endpoints in our Phase 3 clinical trials or registrational trials. The FDA or comparable foreign regulatory authorities may disagree with our trial designs and our interpretation of data from nonclinical studies or clinical trials. In addition, any of these regulatory authorities may change requirements for the approval of a product candidate even after reviewing and providing comments or advice on a protocol for a pivotal Phase 3 or registrational clinical trial. In addition,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REACT or any of our future product candidates, if approved.</w:t>
      </w:r>
    </w:p>
    <w:p>
      <w:pPr>
        <w:pStyle w:val="TextBody"/>
        <w:spacing w:before="360" w:after="0"/>
        <w:jc w:val="left"/>
        <w:rPr>
          <w:rFonts w:ascii="Times New Roman;serif" w:hAnsi="Times New Roman;serif"/>
          <w:b/>
          <w:i/>
          <w:sz w:val="20"/>
        </w:rPr>
      </w:pPr>
      <w:r>
        <w:rPr>
          <w:rFonts w:ascii="Times New Roman;serif" w:hAnsi="Times New Roman;serif"/>
          <w:b/>
          <w:i/>
          <w:sz w:val="20"/>
        </w:rPr>
        <w:t>We have obtained RMAT Designation from the FDA for REACT, but this may not lead to a faster development or regulatory review process, and such designation does not increase the likelihood that any of our product candidates will receive marketing approval in the United States and the FDA may withdraw such designation.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intend to evaluate regulatory strategies that could enable us to take advantage of expedited development pathways for REACT, including the RMAT designation that we have already received, although we cannot be certain that REACT will qualify for any additional expedited development pathways or that regulatory authorities will grant, or allow us to maintain, the relevant designations.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RMAT designation is intended to expedite the development and review of product candidates that are designed to treat serious or life-threatening diseases and unmet need when “preliminary clinical evidence indicates that a product candidate may demonstrate substantial improvement over existing therapies on one or more clinically significant endpoints, such as substantial treatment effects observed early in clinical development.” The designation of REACT with expedited designation provides potential benefits that include: more frequent meetings with FDA to discuss the development plan for the product candidate and ensure collection of appropriate data needed to support approval; more frequent written correspondence from FDA about such things as the design of the proposed clinical trials and use of biomarkers; intensive guidance on an efficient cell therapy program, beginning as early as Phase 1; organizational commitment involving senior managers; and eligibility for rolling review and priority review if supported by clinical data at the time of the submission of the BLA.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Cell and gene therapies, therapeutic tissue engineered products, human cell and tissue products, and combination products using any such therapies or products that are intended to treat, modify, reverse, or cure a serious or life-threatening disease or condition are eligible for designation by the FDA as RMATs. The RMAT designation is intended to facilitate efficient development and expedite review of regenerative medicine therapies by offering eligibility for priority review or accelerated approval, as well as early interactions with FDA to discuss any potential surrogate or intermediate endpoint to be used to support accelerated approval.</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52</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We applied for RMAT designation for REACT, which was granted by the FDA on October 28, 2021. As contemplated by the RMAT designation and as directed by the FDA, we requested a comprehensive, multidisciplinary Type B meeting with the FDA to review the status of preclinical and clinical development and manufacturing of REACT, and to discuss the planned clinical program intended to support approval of the product candidate. The FDA provided detailed written responses to our questions included in the meeting request, and the Type B meeting was held in March 2022. As a result of that meeting, we will continue to advance the clinical development program for REACT in the United States with the benefit of enhanced clarity as to the FDA’s expectations and requirements for a registrational program, including the design of the trials needed for approval, manufacturing assays, and comparability studies. The FDA’s input is more fully set forth under the heading “Phase 3 Clinical Development (REGEN-006 and REGEN-016)” in the section titled “</w:t>
      </w:r>
      <w:r>
        <w:rPr>
          <w:rFonts w:ascii="Times New Roman;serif" w:hAnsi="Times New Roman;serif"/>
          <w:b w:val="false"/>
          <w:i/>
          <w:sz w:val="20"/>
        </w:rPr>
        <w:t>Part I—Item 1, Business.</w:t>
      </w:r>
      <w:r>
        <w:rPr>
          <w:rFonts w:ascii="Times New Roman" w:hAnsi="Times New Roman"/>
          <w:sz w:val="20"/>
        </w:rPr>
        <w:t>”</w:t>
      </w:r>
    </w:p>
    <w:p>
      <w:pPr>
        <w:pStyle w:val="TextBody"/>
        <w:spacing w:before="120" w:after="0"/>
        <w:jc w:val="left"/>
        <w:rPr>
          <w:rFonts w:ascii="Times New Roman;serif" w:hAnsi="Times New Roman;serif"/>
          <w:b w:val="false"/>
          <w:sz w:val="20"/>
        </w:rPr>
      </w:pPr>
      <w:bookmarkStart w:id="50" w:name="bkmk_74"/>
      <w:bookmarkEnd w:id="50"/>
      <w:r>
        <w:rPr>
          <w:rFonts w:ascii="Times New Roman;serif" w:hAnsi="Times New Roman;serif"/>
          <w:b w:val="false"/>
          <w:sz w:val="20"/>
        </w:rPr>
        <w:t>Even though we obtained RMAT designation in October 2021, such a designation does not change the standards for product approval, and there is no assurance that this designation will result in expedited review or approval or that the approved indication will not be narrower than the indication covered by RMAT designation. Thus, even though RMAT designation was granted for REACT, we may not experience a faster development process, review or marketing approval compared to conventional FDA procedures. The FDA may withdraw RMAT designation if it believes that the product no longer meets the qualifying criteria. It is also possible that the FDA could provide further input on our trial design, in which case our timelines to completion of the clinical development of REACT could be delayed. Our business may be harmed if we are unable to avail ourselves of these or any other expedited development and regulatory pathways.</w:t>
      </w:r>
    </w:p>
    <w:p>
      <w:pPr>
        <w:pStyle w:val="TextBody"/>
        <w:spacing w:before="216" w:after="0"/>
        <w:jc w:val="left"/>
        <w:rPr>
          <w:rFonts w:ascii="Times New Roman;serif" w:hAnsi="Times New Roman;serif"/>
          <w:b/>
          <w:i/>
          <w:sz w:val="20"/>
        </w:rPr>
      </w:pPr>
      <w:r>
        <w:rPr>
          <w:rFonts w:ascii="Times New Roman;serif" w:hAnsi="Times New Roman;serif"/>
          <w:b/>
          <w:i/>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spacing w:before="108" w:after="0"/>
        <w:jc w:val="left"/>
        <w:rPr>
          <w:rFonts w:ascii="Times New Roman;serif" w:hAnsi="Times New Roman;serif"/>
          <w:b w:val="false"/>
          <w:sz w:val="20"/>
        </w:rPr>
      </w:pPr>
      <w:r>
        <w:rPr>
          <w:rFonts w:ascii="Times New Roman;serif" w:hAnsi="Times New Roman;serif"/>
          <w:b w:val="false"/>
          <w:sz w:val="20"/>
        </w:rPr>
        <w:t>Because we have limited financial and management resources, we must focus on development programs and product candidates that we identify for specific indications. As such, we are only focused on the development of REACT for the treatment of CKD and CAKUT.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spacing w:before="360" w:after="0"/>
        <w:jc w:val="left"/>
        <w:rPr>
          <w:rFonts w:ascii="Times New Roman;serif" w:hAnsi="Times New Roman;serif"/>
          <w:b/>
          <w:i/>
          <w:sz w:val="20"/>
        </w:rPr>
      </w:pPr>
      <w:r>
        <w:rPr>
          <w:rFonts w:ascii="Times New Roman;serif" w:hAnsi="Times New Roman;serif"/>
          <w:b/>
          <w:i/>
          <w:sz w:val="20"/>
        </w:rPr>
        <w:t>We have conducted and may in the future continue to conduct additional clinical trials for REACT outside the United States, and the FDA and similar foreign regulatory authorities may not accept data from such trials conducted in locations outside of their jurisdiction.</w:t>
      </w:r>
    </w:p>
    <w:p>
      <w:pPr>
        <w:pStyle w:val="TextBody"/>
        <w:spacing w:before="108" w:after="0"/>
        <w:jc w:val="left"/>
        <w:rPr>
          <w:rFonts w:ascii="Times New Roman;serif" w:hAnsi="Times New Roman;serif"/>
          <w:b w:val="false"/>
          <w:sz w:val="20"/>
        </w:rPr>
      </w:pPr>
      <w:r>
        <w:rPr>
          <w:rFonts w:ascii="Times New Roman;serif" w:hAnsi="Times New Roman;serif"/>
          <w:b w:val="false"/>
          <w:sz w:val="20"/>
        </w:rPr>
        <w:t>We have conducted additional clinical trials for REACT in the Asia-Pacific region, European Union, and Latin America, and may in the future continue to conduct clinical trials outside the United States, including in South America, Australia, New Zealand, or other foreign jurisdictions. The acceptance of data from clinical trials conducted outside the United States by the FDA may be subject to certain conditions or may be rejected.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clinical trials would be subject to the applicable local laws of the foreign jurisdictions where the trials are conducted. There can be no assurance that the FDA or any similar foreign regulatory authority will accept data from clinical trials conducted outside of the United States or the applicable jurisdiction. If the FDA or any similar foreign regulatory authority does not accept such data, it would result in the need for additional clinical trials, which would be costly and time-consuming and delay aspects of our business plan, and which may result in REACT not receiving approval or clearance for commercialization in the applicable jurisdiction.</w:t>
      </w:r>
    </w:p>
    <w:p>
      <w:pPr>
        <w:pStyle w:val="TextBody"/>
        <w:spacing w:before="360" w:after="0"/>
        <w:jc w:val="left"/>
        <w:rPr>
          <w:rFonts w:ascii="Times New Roman;serif" w:hAnsi="Times New Roman;serif"/>
          <w:b/>
          <w:i/>
          <w:sz w:val="20"/>
        </w:rPr>
      </w:pPr>
      <w:r>
        <w:rPr>
          <w:rFonts w:ascii="Times New Roman;serif" w:hAnsi="Times New Roman;serif"/>
          <w:b/>
          <w:i/>
          <w:sz w:val="20"/>
        </w:rPr>
        <w:t>We may not be successful in our efforts to identify or discover additional product candidates in the future.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research programs may initially show promise in identifying potential product candidates, yet fail to yield product candidates for clinical development for a number of reasons, including:</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our inability to design such product candidates with the pharmacological properties that we desire or attractive pharmacokinetics;</w:t>
            </w:r>
          </w:p>
        </w:tc>
      </w:tr>
    </w:tbl>
    <w:p>
      <w:pPr>
        <w:pStyle w:val="TextBody"/>
        <w:spacing w:before="0" w:after="0"/>
        <w:jc w:val="left"/>
        <w:rPr/>
      </w:pPr>
      <w:r>
        <w:rPr/>
        <w:t> </w:t>
      </w:r>
    </w:p>
    <w:tbl>
      <w:tblPr>
        <w:tblW w:w="6613" w:type="dxa"/>
        <w:jc w:val="left"/>
        <w:tblInd w:w="0" w:type="dxa"/>
        <w:tblCellMar>
          <w:top w:w="28" w:type="dxa"/>
          <w:left w:w="28" w:type="dxa"/>
          <w:bottom w:w="28" w:type="dxa"/>
          <w:right w:w="28" w:type="dxa"/>
        </w:tblCellMar>
      </w:tblPr>
      <w:tblGrid>
        <w:gridCol w:w="177"/>
        <w:gridCol w:w="272"/>
        <w:gridCol w:w="162"/>
        <w:gridCol w:w="600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00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600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our inability to design and develop a suitable manufacturing process; or</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53</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potential product candidates may, on further study, be shown to have harmful side effects or other characteristics that indicate that they are unlikely to be medicines that will receive marketing approval and achieve market acceptance.</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Research programs to identify new product candidates require substantial technical, financial and human resources. If we are unable to identify suitable compounds for clinical development, we will not be able to obtain product revenue in future periods, which likely would result in significant harm to our financial position.</w:t>
      </w:r>
    </w:p>
    <w:p>
      <w:pPr>
        <w:pStyle w:val="TextBody"/>
        <w:spacing w:before="360" w:after="0"/>
        <w:jc w:val="left"/>
        <w:rPr>
          <w:rFonts w:ascii="Times New Roman;serif" w:hAnsi="Times New Roman;serif"/>
          <w:b/>
          <w:i/>
          <w:sz w:val="20"/>
        </w:rPr>
      </w:pPr>
      <w:r>
        <w:rPr>
          <w:rFonts w:ascii="Times New Roman;serif" w:hAnsi="Times New Roman;serif"/>
          <w:b/>
          <w:i/>
          <w:sz w:val="20"/>
        </w:rPr>
        <w:t>Due to our limited resources and access to capital, we must make decisions on the allocation of resources to certain programs and product candidates; these decisions may prove to be wrong and may adversely affect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may seek to accelerate our development timelines, including by initiating certain clinical trials of REACT or our future product candidates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can be no assurance that we will ever be able to identify additional therapeutic opportunities for REACT or our future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pStyle w:val="TextBody"/>
        <w:spacing w:before="360" w:after="0"/>
        <w:jc w:val="left"/>
        <w:rPr>
          <w:rFonts w:ascii="Times New Roman;serif" w:hAnsi="Times New Roman;serif"/>
          <w:b/>
          <w:i/>
          <w:sz w:val="20"/>
        </w:rPr>
      </w:pPr>
      <w:r>
        <w:rPr>
          <w:rFonts w:ascii="Times New Roman;serif" w:hAnsi="Times New Roman;serif"/>
          <w:b/>
          <w:i/>
          <w:sz w:val="20"/>
        </w:rPr>
        <w:t>If we do not achieve our projected development goals in the time frames we announce and expect, the commercialization of our products may be delayed or never achieved.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From time to time, we may estimate the timing of the accomplishment of various scientific, clinical, regulatory, manufacturing and other product development goals, which we sometimes refer to as milestones. These milestones may include the commencement or completion of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marketing approval or commercialize REACT or any of our future product candidates.</w:t>
      </w:r>
    </w:p>
    <w:p>
      <w:pPr>
        <w:pStyle w:val="TextBody"/>
        <w:spacing w:before="360" w:after="0"/>
        <w:jc w:val="left"/>
        <w:rPr>
          <w:rFonts w:ascii="Times New Roman;serif" w:hAnsi="Times New Roman;serif"/>
          <w:b/>
          <w:sz w:val="20"/>
        </w:rPr>
      </w:pPr>
      <w:r>
        <w:rPr>
          <w:rFonts w:ascii="Times New Roman;serif" w:hAnsi="Times New Roman;serif"/>
          <w:b/>
          <w:sz w:val="20"/>
        </w:rPr>
        <w:t>Risks Related to the Manufacturing of REACT and Our Future Product Candidates</w:t>
      </w:r>
    </w:p>
    <w:p>
      <w:pPr>
        <w:pStyle w:val="TextBody"/>
        <w:spacing w:before="120" w:after="0"/>
        <w:jc w:val="left"/>
        <w:rPr>
          <w:rFonts w:ascii="Times New Roman;serif" w:hAnsi="Times New Roman;serif"/>
          <w:b/>
          <w:i/>
          <w:sz w:val="20"/>
        </w:rPr>
      </w:pPr>
      <w:r>
        <w:rPr>
          <w:rFonts w:ascii="Times New Roman;serif" w:hAnsi="Times New Roman;serif"/>
          <w:b/>
          <w:i/>
          <w:sz w:val="20"/>
        </w:rPr>
        <w:t>Cell therapies are complex and difficult to manufacture, and we could experience manufacturing problems that result in delays in the development or commercialization of REACT, our lead product candidate, or otherwise harm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manufacture of cell therapy products is technically complex and necessitates substantial expertise and capital investment. Production difficulties caused by unforeseen events may delay the availability of material for our clinical trials. Further, we are not aware of any other cell therapy that has been manufactured for a market of the anticipated size for REACT. If REACT is approved for commercial sale, as to which no assurance can be given, we may be unable to meet market demand for the product in a timely manner due to the complex processes that are involved in its manufacturing.</w:t>
      </w:r>
    </w:p>
    <w:p>
      <w:pPr>
        <w:pStyle w:val="TextBody"/>
        <w:spacing w:before="120" w:after="0"/>
        <w:jc w:val="left"/>
        <w:rPr>
          <w:rFonts w:ascii="Times New Roman;serif" w:hAnsi="Times New Roman;serif"/>
          <w:b w:val="false"/>
          <w:sz w:val="20"/>
        </w:rPr>
      </w:pPr>
      <w:bookmarkStart w:id="51" w:name="bkmk_76"/>
      <w:bookmarkEnd w:id="51"/>
      <w:r>
        <w:rPr>
          <w:rFonts w:ascii="Times New Roman;serif" w:hAnsi="Times New Roman;serif"/>
          <w:b w:val="false"/>
          <w:sz w:val="20"/>
        </w:rPr>
        <w:t>Additionally, all entities involved in the preparation of therapeutics for clinical trials or commercial sale are subject to extensive cGMP, state and federal regulations, as well as foreign requirements when applicable.</w:t>
      </w:r>
    </w:p>
    <w:p>
      <w:pPr>
        <w:pStyle w:val="TextBody"/>
        <w:spacing w:before="120" w:after="0"/>
        <w:jc w:val="left"/>
        <w:rPr>
          <w:rFonts w:ascii="Times New Roman" w:hAnsi="Times New Roman"/>
          <w:sz w:val="20"/>
        </w:rPr>
      </w:pPr>
      <w:r>
        <w:rPr>
          <w:rFonts w:ascii="Times New Roman;serif" w:hAnsi="Times New Roman;serif"/>
          <w:b w:val="false"/>
          <w:sz w:val="20"/>
        </w:rPr>
        <w:t>Components of a finished therapeutic product approved for commercial sale or used in late-stage clinical trials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REACT that may not be detectable in final product testing. We must supply all necessary documentation in support of a BLA or MAA on a timely basis. Our facilities and quality systems, including those of any third parties we contract with to manufacture any critical component of the final product, must pass a pre-approval inspection for compliance with the applicable regulations as a condition of regulatory approval of REACT or any of our other potential products. In addition, the FDA and other regulatory authorities may, at any time, audit or inspect a manufacturing facility involved with the preparation of REACT or our other potential products or the associated quality systems for compliance with the regulations applicable to the activities being conducted at such facilities, and they could put a hold on one or more of our clinical trials if our facilities, or those of our contracted third parties, do not pass such audits or inspections. If such facilities do not pass a pre-approval plant inspection, FDA approval of the products will not be granted. Any failure to adhere to or</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54</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document compliance with such regulatory requirements could lead to a delay or interruption in the availability of REACT for clinical trials or enforcement action from the FDA, EMA or foreign regulatory authorities. If we or our suppliers were to fail to comply with the requirements of the FDA, EMA or other regulatory authority, it could result in regulatory actions or sanctions being imposed on us, including the issuance of FDA Form 483 notices of inspectional observations, warning letters or untitled letters,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REACT. Our potential future dependence upon others for the manufacture of REACT may also adversely affect our future profit margins and our ability to commercialize REACT or any future product candidates that receive regulatory approval on a timely and competitive basis.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Biological products are inherently difficult to manufacture. REACT is manufactured using technically complex processes requiring specialized equipment and facilities, highly specific raw materials, autologous cells collected from patients, and reagents, and the process involves various production constraints. Even though we aim to have backup supplies of raw materials and reagents whenever possible, we cannot be certain they will be sufficient if our primary sources are unavailable. A shortage of a critical raw material or reagent, or a technical issue during manufacturing may lead to delays in clinical development or commercialization plans. Any changes in the manufacturing of components of the raw materials we use could result in unanticipated or unfavorable effects in our manufacturing processes, resulting in delays.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Delays or failures in the manufacture of cell therapies can result in a patient being unable to receive their cell therapy or a requirement to re-manufacture which itself then causes delays in manufacture for other patients. Any delay or failure or inability to manufacture on a timely basis can adversely affect a patient’s outcomes and delay the timelines for our clinical trials. Such delays or failure or inability to manufacture can result from:</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 failure in the manufacturing process itself, for example by an error in manufacturing equipment or reagent failure, failure in any step of the manufacturing process, failure to maintain a cGMP environment or failure in quality systems applicable to manufacture, sterility failures, or contamination during process;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product loss or failure due to logistical issues associated with the collection of a patient’s autologous cells or other samples, shipping that material to analytical laboratories, and shipping the final cell therapy back to the location using cold chain distribution where it will be administered to the patient, manufacturing issues associated with the differences in patient starting materials, inconsistency in cell growth and variability in product characteristics;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 lack of reliability or reproducibility in the manufacturing process itself, leading to variability in end manufacture of the cell therapy, which may lead to regulatory authorities placing a hold on a clinical trial or requesting further information on the process, which could in turn result in delays to the clinical trials;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product loss or failure due to logistical issues including issues associated with the differences between patients’ autologous cells or characteristics, interruptions to process, contamination, failure to supply patient apheresis material within required timescales (for example, as a result of an import or export hold-up) or supplier error;</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inability to have enough manufacturing slots to manufacture cell therapies for patients as and when those patients require manufacture;</w:t>
            </w:r>
          </w:p>
        </w:tc>
      </w:tr>
    </w:tbl>
    <w:p>
      <w:pPr>
        <w:pStyle w:val="TextBody"/>
        <w:spacing w:before="0" w:after="0"/>
        <w:jc w:val="left"/>
        <w:rPr/>
      </w:pPr>
      <w:r>
        <w:rPr/>
        <w:t> </w:t>
      </w:r>
    </w:p>
    <w:tbl>
      <w:tblPr>
        <w:tblW w:w="6763" w:type="dxa"/>
        <w:jc w:val="left"/>
        <w:tblInd w:w="0" w:type="dxa"/>
        <w:tblCellMar>
          <w:top w:w="28" w:type="dxa"/>
          <w:left w:w="28" w:type="dxa"/>
          <w:bottom w:w="28" w:type="dxa"/>
          <w:right w:w="28" w:type="dxa"/>
        </w:tblCellMar>
      </w:tblPr>
      <w:tblGrid>
        <w:gridCol w:w="177"/>
        <w:gridCol w:w="272"/>
        <w:gridCol w:w="162"/>
        <w:gridCol w:w="615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15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615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inability to procure starting materials or to manufacture starting materials;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interruptions in our supply chain, which may require us to find an alternative manufacturer or supplier for one or more components that we need in the manufacture of REACT, which would in turn require such manufacturer or supplier to be qualified through a BLA and/or MAA supplement, could lead the regulatory agencies to require additional studies if a new manufacturer is relied upon for commercial production, and may involve substantial costs and delays related to switching manufacturers;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loss of or close-down of any manufacturing facility used in the manufacture of our cell therapies, or the inability to find alternative manufacturing capability in a timely fashion;</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loss or contamination of patient starting material, requiring the starting material to be obtained again from the patient or the manufacturing process to be re-started; and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 requirement to modify or make changes to any manufacturing process, which may also require comparability testing that delays our ability to make the required modifications or perform any required comparability testing in a timely fashion, require further regulatory approval or require successful tech transfer to CMOs to continue manufacturing.</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These factors could cause the delay of clinical trials, regulatory submissions, required approvals or commercialization of REACT, cause us to incur higher costs and prevent us from commercializing REACT successfully, if approved.</w:t>
      </w:r>
    </w:p>
    <w:p>
      <w:pPr>
        <w:pStyle w:val="TextBody"/>
        <w:spacing w:before="120" w:after="0"/>
        <w:jc w:val="left"/>
        <w:rPr>
          <w:rFonts w:ascii="Times New Roman" w:hAnsi="Times New Roman"/>
          <w:sz w:val="20"/>
        </w:rPr>
      </w:pPr>
      <w:r>
        <w:rPr>
          <w:rFonts w:ascii="Times New Roman;serif" w:hAnsi="Times New Roman;serif"/>
          <w:b w:val="false"/>
          <w:sz w:val="20"/>
        </w:rPr>
        <w:t>We expect to utilize automation in all aspects of manufacturing ranging from tissue processing, cell expansion and renal cell selection to formulation and filling of the final product. We will also extend automation to other manufacturing activities, including warehouse operations and supply chain. In addition, we intend to improve bioprocess development to further reduce manufacturing costs of the commercial REACT product, assuming receipt of necessary regulatory approvals. Culture media represents the highest cost in REACT processing, and we are exploring reduced culture media usage via bioprocess and automation improvements. Further, our final commercial REACT product is planned to be a cryopreserved formulation, which is projected to reduce manufacturing costs compared to our fresh REACT formulation. We expect to leverage bulk purchasing to actively negotiate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55</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bookmarkStart w:id="52" w:name="bkmk_78"/>
      <w:bookmarkEnd w:id="52"/>
      <w:r>
        <w:rPr>
          <w:rFonts w:ascii="Times New Roman;serif" w:hAnsi="Times New Roman;serif"/>
          <w:b w:val="false"/>
          <w:sz w:val="20"/>
        </w:rPr>
        <w:t>pricing of materials to further drive cost reductions. However, there can be no assurance that the manufacturing costs for our Phase 3 trials when we manufacture REACT at commercial scale will actually be lower than for our ongoing Phase 2 RMCL-002 study. A number of factors may contribute to an inability to achieve these cost reductions, including any failures to achieve the automation efficiencies that we anticipate, cost overruns or inefficiencies in the supply chain, and any failure to improve the formulation or bioprocessing of REACT in a manner that results in lower costs.</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We have our own manufacturing capabilities, which may result in increased costs being incurred by us.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manufacturing facility for REACT is within our Winston-Salem facility in North Carolina, and this facility currently manufactures SRCs for use in our clinical trials. Regulatory authorities, in particular the FDA, might not continue to approve our ability to manufacture SRCs or other cell therapies at the Winston-Salem facility.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successfully manufacture our own cell therapies at the Winston-Salem facility within a reasonable period of time and within currently projected costs is dependent on a number of factors, including:</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our ability to recruit the required employees at a suitable level and experience and within required timescales and to maintain employment of such required employees;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our ability to obtain regulatory approval for the facility and for the manufacture of cell therapies at the facility and to satisfy regulatory authorities on an ongoing basis;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our ability to manufacture cell therapies reliably and reproducibly and to timescales sufficient to support required patient administration;</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our ability to manufacture cell therapies in compliance with the applicable regulatory requirements, including requirements applicable in both the United States and the European Union, including cGMP, enforced by the FDA and state regulatory authorities;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our ability to develop internal quality controls and processes sufficient to enable manufacture and supply of cell therapies at our Winston-Salem facility;</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our ability to establish comparability with currently used manufacturing processes and for such comparability data to be accepted by the appropriate regulatory authorities; and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our ability to fund ongoing development, including equipment requirements necessary for successful manufacture of cell therapies at our facility.</w:t>
            </w:r>
          </w:p>
        </w:tc>
      </w:tr>
    </w:tbl>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Any delay or failure in manufacture at our facility could result in delays to the supply of cell therapies for our clinical trials. Should we become unable to produce cell therapies for use in our clinical trials or be unable to produce cell therapies at the required level, then we will be unable to support such clinical trials until alternative manufacturing capability is secured.</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Contract development and manufacturing organizations have a finite cell manufacturing capacity, which could inhibit the long-term growth prospects of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currently produce materials for our clinical trials at our facility in Winston-Salem, North Carolina. It is possible that the demand for our products could exceed existing manufacturing capacity. We expect that, as our own cell therapy development programs progress and demand for cell therapy services in the industry expand, it may become necessary or desirable for us to expand our manufacturing vendors for cell therapy services and products in the future, which may require us to invest significant amounts of capital and to obtain regulatory approvals. If manufacturers are unable to meet our rising demand for products and services on a timely basis or unable to maintain cGMP/cGTP compliance standards, then it is likely that the progress of our own programs will be impaired which could materially and adversely affect the overall success of our development programs.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Components of therapeutic products approved for commercial sale or used in late-stage clinical trials must be manufactured in accordance with cGMPs and manufacturers of cell-based product candidates must comply with cGTPs. In addition, manufacturers of therapeutic products may be required to modify their manufacturing processes from time to time in response to regulatory requests. The manufacture of live cellular-based products is complex and imposes significant regulatory burdens that may change over time. We may encounter difficulties in the production of our product candidates due to our limited manufacturing experience.</w:t>
      </w:r>
    </w:p>
    <w:p>
      <w:pPr>
        <w:pStyle w:val="TextBody"/>
        <w:spacing w:before="360" w:after="0"/>
        <w:jc w:val="left"/>
        <w:rPr>
          <w:rFonts w:ascii="Times New Roman;serif" w:hAnsi="Times New Roman;serif"/>
          <w:b/>
          <w:i/>
          <w:sz w:val="20"/>
        </w:rPr>
      </w:pPr>
      <w:r>
        <w:rPr>
          <w:rFonts w:ascii="Times New Roman;serif" w:hAnsi="Times New Roman;serif"/>
          <w:b/>
          <w:i/>
          <w:sz w:val="20"/>
        </w:rPr>
        <w:t>Our autologous cell therapy products are patient-specific, and we need to ensure that the correct product is administered to the correct patient.</w:t>
      </w:r>
    </w:p>
    <w:p>
      <w:pPr>
        <w:pStyle w:val="TextBody"/>
        <w:spacing w:before="120" w:after="0"/>
        <w:jc w:val="left"/>
        <w:rPr>
          <w:rFonts w:ascii="Times New Roman" w:hAnsi="Times New Roman"/>
          <w:sz w:val="20"/>
        </w:rPr>
      </w:pPr>
      <w:r>
        <w:rPr>
          <w:rFonts w:ascii="Times New Roman;serif" w:hAnsi="Times New Roman;serif"/>
          <w:b w:val="false"/>
          <w:sz w:val="20"/>
        </w:rPr>
        <w:t>Administration of autologous cell therapies is patient-specific and personalized medicine. The process requires careful handling of patient-specific products and fail-safe tracking to ensure that the tracking process is without error and that patient samples are tracked from patient collection, through manufacturing and re-administration to the same patient. While such mechanisms are in place, should the tracking process fail, whether at our own facility, a third-party facility or at any point in the manufacturing and supply process, a patient could receive another patient’s SRCs, resulting in significant toxicity and potentially</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56</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bookmarkStart w:id="53" w:name="bkmk_79"/>
      <w:bookmarkEnd w:id="53"/>
      <w:r>
        <w:rPr>
          <w:rFonts w:ascii="Times New Roman;serif" w:hAnsi="Times New Roman;serif"/>
          <w:b w:val="false"/>
          <w:sz w:val="20"/>
        </w:rPr>
        <w:t>patient fatality. We will need to invest in enhanced systems, such as bar coding, to further ensure fail-safe tracking. There is always a risk of a failure in any such system. Inability to develop or adopt an acceptable fail-safe tracking methodology and handling regime may delay or prevent us from receiving regulatory approval and/or result in significant toxicity and potentially patient fatality if a patient receives another patient’s SRCs. This risk may be increased where autologous cell therapies are used in clinical trials that we do not control or sponsor and, should an error be made in the administration of our autologous cell therapies in such clinical trials, this could affect the steps required in our own clinical trials and manufacturing process requiring the addition of further tracking mechanisms to ensure fail-safe tracking. The tracking systems required to further ensure safe patient administration may also require enhanced procedures and administration to satisfy other regulatory requirements, for example, data protection requirements in Europe. The need to ensure tracking systems are adequate and to</w:t>
      </w:r>
      <w:r>
        <w:rPr>
          <w:rFonts w:ascii="Times New Roman" w:hAnsi="Times New Roman"/>
          <w:sz w:val="20"/>
        </w:rPr>
        <w:t xml:space="preserve"> </w:t>
      </w:r>
      <w:r>
        <w:rPr>
          <w:rFonts w:ascii="Times New Roman;serif" w:hAnsi="Times New Roman;serif"/>
          <w:b w:val="false"/>
          <w:sz w:val="20"/>
        </w:rPr>
        <w:t>comply with these additional regulatory requirements may result in delay to the start of clinical trials or the need to obtain additional regulatory licenses or consents prior to starting such trials.</w:t>
      </w:r>
    </w:p>
    <w:p>
      <w:pPr>
        <w:pStyle w:val="TextBody"/>
        <w:spacing w:before="360" w:after="0"/>
        <w:jc w:val="left"/>
        <w:rPr>
          <w:rFonts w:ascii="Times New Roman;serif" w:hAnsi="Times New Roman;serif"/>
          <w:b/>
          <w:i/>
          <w:sz w:val="20"/>
        </w:rPr>
      </w:pPr>
      <w:r>
        <w:rPr>
          <w:rFonts w:ascii="Times New Roman;serif" w:hAnsi="Times New Roman;serif"/>
          <w:b/>
          <w:i/>
          <w:sz w:val="20"/>
        </w:rPr>
        <w:t>Delays in obtaining regulatory approval of the manufacturing process and facility to produce REACT or disruptions in the manufacturing process may delay or disrupt our commercialization efforts. Very few cGMP cell therapy manufacturing facilities in the United States have received approval from the FDA for the manufacture of an approved cell therapy product.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Before we can begin to commercially manufacture REACT or any of our future product candidates, we must obtain regulatory approval from the FDA for our manufacturing processes and for the facility in which manufacturing is performed. A manufacturing authorization must also be obtained from the appropriate EU regulatory authorities prior to commercialization in the European Union. Very few cGMP cell therapy manufacturing facilities in the United States have received approval from the FDA for the manufacture of an approved cell therapy product and, therefore, the timeframe required for us to obtain regulatory approval for our product candidates is uncertain. In addition, we must pass a pre-approval inspection of the manufacturing facility, including any facilities that produce any component of REACT, by the FDA and other relevant regulatory authorities before REACT or any of our future cell therapy product candidates can obtain marketing approval.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order to obtain approval, we will need to ensure that all of our processes, quality systems, methods, equipment, policies and procedures are compliant with cGMP and other applicable regulations, and perform extensive audits of vendors, contract laboratories, and suppliers. If any of our vendors, contract laboratories, or suppliers is found to be out of compliance with cGMP or other applicable regulations relating to REACT, we may experience delays or disruptions in manufacturing while we work with such third parties to remedy the violation or while we work to identify suitable replacement vendors. The cGMP requirements govern, among other things, quality control of the manufacturing process and documentation policies and procedures. In complying with cGMP regulations, we will be obligated to spend time, money and effort in production, record keeping and quality control to assure that the product meets applicable specifications and other requirements. If we fail to comply with these requirements, we may be subject to regulatory enforcement actions or other legal sanctions and may not be permitted to sell any products that we may develop.</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problems in our manufacturing process or facilities could make us a less attractive collaborator for potential partners, including larger pharmaceutical companies and academic research institutions, which could limit our access to additional attractive development programs.</w:t>
      </w:r>
    </w:p>
    <w:p>
      <w:pPr>
        <w:pStyle w:val="TextBody"/>
        <w:spacing w:before="360" w:after="0"/>
        <w:jc w:val="left"/>
        <w:rPr>
          <w:rFonts w:ascii="Times New Roman;serif" w:hAnsi="Times New Roman;serif"/>
          <w:b/>
          <w:i/>
          <w:sz w:val="20"/>
        </w:rPr>
      </w:pPr>
      <w:r>
        <w:rPr>
          <w:rFonts w:ascii="Times New Roman;serif" w:hAnsi="Times New Roman;serif"/>
          <w:b/>
          <w:i/>
          <w:sz w:val="20"/>
        </w:rPr>
        <w:t>We do not have experience as a company managing a complex supply chain or satisfying manufacturing-related regulatory requirements.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FDA, the EMA and other foreign regulatory authorities may require us to submit samples of any lot of any approved product together with the protocols showing the results of applicable lot release tests at any time. Under some circumstances, the FDA, the EMA or other foreign regulatory authorities may require that we not distribute a product lot until the relevant agency authorizes its release. Slight deviations in the manufacturing process, including those affecting quality attributes and stability, may result in unacceptable changes in a cell therapy product that could lead to lot failures or product recalls. Lot failures or product recalls could cause us to delay product launches or clinical trials, which could be costly to us and otherwise harm our business, financial condition, results of operations and prospects. Problems in our manufacturing processes could restrict our ability to meet market demand for our products.</w:t>
      </w:r>
    </w:p>
    <w:p>
      <w:pPr>
        <w:pStyle w:val="TextBody"/>
        <w:spacing w:before="360" w:after="0"/>
        <w:jc w:val="left"/>
        <w:rPr>
          <w:rFonts w:ascii="Times New Roman" w:hAnsi="Times New Roman"/>
          <w:sz w:val="20"/>
        </w:rPr>
      </w:pPr>
      <w:r>
        <w:rPr>
          <w:rFonts w:ascii="Times New Roman;serif" w:hAnsi="Times New Roman;serif"/>
          <w:b/>
          <w:i/>
          <w:sz w:val="20"/>
        </w:rPr>
        <w:t>Managing an autologous ex vivo cell therapy supply chain is highly complex. We must identify, engage, and coordinate with treatment centers where patients’ cellular source material must be collected, prepared and transported to the manufacturing</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57</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facility and the cryopreserved therapeutic product must be returned to the treatment center for administration to the patient using controlled temperature shipping containers.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Once collected from the patient, the cellular source material must be prepared and stored according to specified procedures. While we intend to standardize the processes at treatment centers, if there is a deviation of the processes, the cellular source material from a patient could be adversely impacted and potentially result in manufacturing failures. The patient’s cellular materials must be transported to the manufacturing facility using a shipping container that maintains the material at a sufficiently cold temperature and must typically be delivered and processed within four days of collection. While we intend to use reputable couriers and agents for the transport of such materials, if the shipping container is opened or damaged such that the appropriate storage/shipping temperature is not maintained, the cellular source material may be adversely impacted and it may not be feasible to manufacture a cell therapy product for the patient. Similarly, if a shipment is delayed due to adverse weather, misrouting, being held up at a customs point, COVID-19 impacts or other events, the cellular source material may not be delivered within a time window that will allow for its use for the successful manufacture of a cell therapy product.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Similarly, the patient’s autologous cell therapy product must be returned to the clinical site for administration to the patient using a specialized shipping container that maintains the material at a very low temperature. While we intend to use reputable couriers and agents for the transport of our products, if the shipping container is opened or damaged such that the very low temperature is not maintained, the cell therapy product may be adversely impacted and it may not be feasible to administer it to the patient or, if administered, it could cause harm to the patient. Similarly, if a shipment is delayed due to adverse weather, misrouting, being held up at a customs point, COVID-19 impacts or other events, and is not delivered to the clinical site within the time period that the very low temperature is maintained, the cell therapy product may be adversely affected and be unable to be administered or, if administered, could cause harm to the patient.</w:t>
      </w:r>
    </w:p>
    <w:p>
      <w:pPr>
        <w:pStyle w:val="TextBody"/>
        <w:spacing w:before="120" w:after="0"/>
        <w:jc w:val="left"/>
        <w:rPr>
          <w:rFonts w:ascii="Times New Roman" w:hAnsi="Times New Roman"/>
          <w:sz w:val="20"/>
        </w:rPr>
      </w:pPr>
      <w:bookmarkStart w:id="54" w:name="bkmk_81"/>
      <w:bookmarkEnd w:id="54"/>
      <w:r>
        <w:rPr>
          <w:rFonts w:ascii="Times New Roman;serif" w:hAnsi="Times New Roman;serif"/>
          <w:b w:val="false"/>
          <w:sz w:val="20"/>
        </w:rPr>
        <w:t>We may be delayed or unable to identify, engage, successfully coordinate with or qualify treatment centers in the regions we are targeting as part of our commercial launch strategy, which could delay or prevent patients</w:t>
      </w:r>
      <w:r>
        <w:rPr>
          <w:rFonts w:ascii="Times New Roman" w:hAnsi="Times New Roman"/>
          <w:sz w:val="20"/>
        </w:rPr>
        <w:t xml:space="preserve"> </w:t>
      </w:r>
      <w:r>
        <w:rPr>
          <w:rFonts w:ascii="Times New Roman;serif" w:hAnsi="Times New Roman;serif"/>
          <w:b w:val="false"/>
          <w:sz w:val="20"/>
        </w:rPr>
        <w:t>from receiving cell therapy treatments, if approved. For example, due to COVID-19-related travel restrictions, some in-person visits to qualify certain potential treatment centers were postponed or required to take place remotely. If our treatment centers fail to perform satisfactorily, we may suffer reputational, operational, and business harm.</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of the above events, should they happen, could adversely affect our development timelines and our business, financial condition, results of operations and prospects.</w:t>
      </w:r>
    </w:p>
    <w:p>
      <w:pPr>
        <w:pStyle w:val="TextBody"/>
        <w:spacing w:before="360" w:after="0"/>
        <w:jc w:val="left"/>
        <w:rPr>
          <w:rFonts w:ascii="Times New Roman;serif" w:hAnsi="Times New Roman;serif"/>
          <w:b/>
          <w:i/>
          <w:sz w:val="20"/>
        </w:rPr>
      </w:pPr>
      <w:r>
        <w:rPr>
          <w:rFonts w:ascii="Times New Roman;serif" w:hAnsi="Times New Roman;serif"/>
          <w:b/>
          <w:i/>
          <w:sz w:val="20"/>
        </w:rPr>
        <w:t>We depend on third-party suppliers for materials that are necessary for the conduct of clinical trials of REACT, our lead product candidate, and the loss of these third-party suppliers or their inability to supply us with sufficient quantities of adequate materials, or to do so at acceptable quality levels and on a timely basis, could harm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Manufacturing REACT, our lead product candidate,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REACT.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or interruption in receiving key materials and equipment to support clinical or commercial manufacturing. Any significant delay or interruption in the supply of components or sub-assemblies, or our inability to obtain substitute components, sub-assemblies or materials from alternate sources at acceptable prices in a timely manner, could impair our ability to meet the demand of our customers and harm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some of these reagents, equipment, and materials, we rely and may in the future rely on sole source vendors or a limited number of vendors. The supply of the reagents and other specialty materials and equipment that are necessary to produce REACT could be reduced or interrupted at any time. In such case, identifying and engaging an alternative supplier could result in delay, and we may not be able to find other acceptable suppliers on acceptable terms, or at all. Switching suppliers may involve substantial costs and is likely to result in a delay in our desired clinical and commercial timelines. If we change suppliers for commercial production, applicable regulatory agencies may require us to conduct additional studies or trials. If key suppliers are lost, or if the supply of the materials is diminished or discontinued, we may not be able to develop, manufacture and market REACT in a timely and competitive manner, or at all. An inability to continue to source products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REACT, which could adversely and materially affect our product sales and operating results or our ability to conduct clinical trials, either of which could significantly harm our business.</w:t>
      </w:r>
    </w:p>
    <w:p>
      <w:pPr>
        <w:pStyle w:val="TextBody"/>
        <w:spacing w:before="120" w:after="0"/>
        <w:jc w:val="left"/>
        <w:rPr>
          <w:rFonts w:ascii="Times New Roman" w:hAnsi="Times New Roman"/>
          <w:sz w:val="20"/>
        </w:rPr>
      </w:pPr>
      <w:r>
        <w:rPr>
          <w:rFonts w:ascii="Times New Roman;serif" w:hAnsi="Times New Roman;serif"/>
          <w:b w:val="false"/>
          <w:sz w:val="20"/>
        </w:rPr>
        <w:t>As we continue to develop and scale our manufacturing process, we expect that we will need to obtain rights to and supplies of certain materials and equipment to be used as part of that process. We may not be able to obtain rights to such materials or</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58</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bookmarkStart w:id="55" w:name="bkmk_82"/>
      <w:bookmarkEnd w:id="55"/>
      <w:r>
        <w:rPr>
          <w:rFonts w:ascii="Times New Roman;serif" w:hAnsi="Times New Roman;serif"/>
          <w:b w:val="false"/>
          <w:sz w:val="20"/>
        </w:rPr>
        <w:t>equipment on commercially reasonable terms, or at all, and if we are unable to alter our process in a commercially viable manner to avoid the use of such materials or equipment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development, the change may require us to perform both</w:t>
      </w:r>
      <w:r>
        <w:rPr>
          <w:rFonts w:ascii="Times New Roman" w:hAnsi="Times New Roman"/>
          <w:sz w:val="20"/>
        </w:rPr>
        <w:t xml:space="preserve">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comparability studies and to collect additional data from subjects prior to undertaking more advanced clinical trials. These factors could cause the delay of nonclinical studies or clinical trials, regulatory submissions, required approvals or commercialization of REACT</w:t>
      </w:r>
      <w:r>
        <w:rPr>
          <w:rFonts w:ascii="Times New Roman" w:hAnsi="Times New Roman"/>
          <w:sz w:val="20"/>
        </w:rPr>
        <w:t xml:space="preserve"> </w:t>
      </w:r>
      <w:r>
        <w:rPr>
          <w:rFonts w:ascii="Times New Roman;serif" w:hAnsi="Times New Roman;serif"/>
          <w:b w:val="false"/>
          <w:sz w:val="20"/>
        </w:rPr>
        <w:t>or future product candidates that we develop, cause us to incur higher costs and prevent us from commercializing our product candidates successfully.</w:t>
      </w:r>
    </w:p>
    <w:p>
      <w:pPr>
        <w:pStyle w:val="TextBody"/>
        <w:spacing w:before="360" w:after="0"/>
        <w:jc w:val="left"/>
        <w:rPr>
          <w:rFonts w:ascii="Times New Roman;serif" w:hAnsi="Times New Roman;serif"/>
          <w:b/>
          <w:i/>
          <w:sz w:val="20"/>
        </w:rPr>
      </w:pPr>
      <w:r>
        <w:rPr>
          <w:rFonts w:ascii="Times New Roman;serif" w:hAnsi="Times New Roman;serif"/>
          <w:b/>
          <w:i/>
          <w:sz w:val="20"/>
        </w:rPr>
        <w:t>Any microbial contamination in the manufacturing process for our cell-based product, shortages of raw materials or failure of any of our key suppliers to deliver necessary components could result in delays in our clinical development or marketing schedules.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Given the nature of cell product manufacturing, there is a risk of microbial contamination. Any microbial contamination could adversely affect our ability to produce, release or administer our cell therapies on schedule and could, therefore, harm our results of operations and cause reputational damage.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Some of the raw materials required in our manufacturing processes are derived from biologic sources. Such raw materials are difficult to procure and may be subject to contamination or recall. A material shortage, contamination, recall or restriction on the use of biologically derived substances in the manufacture of REACT could adversely impact or disrupt the commercial manufacturing or the production of clinical material, which could adversely affect our development timelines and our business, financial condition, results of operations and prospects.</w:t>
      </w:r>
    </w:p>
    <w:p>
      <w:pPr>
        <w:pStyle w:val="TextBody"/>
        <w:spacing w:before="360" w:after="0"/>
        <w:jc w:val="left"/>
        <w:rPr>
          <w:rFonts w:ascii="Times New Roman;serif" w:hAnsi="Times New Roman;serif"/>
          <w:b/>
          <w:i/>
          <w:sz w:val="20"/>
        </w:rPr>
      </w:pPr>
      <w:r>
        <w:rPr>
          <w:rFonts w:ascii="Times New Roman;serif" w:hAnsi="Times New Roman;serif"/>
          <w:b/>
          <w:i/>
          <w:sz w:val="20"/>
        </w:rPr>
        <w:t>REACT requires cryopreservation with specific storage, handling and administration at the clinical sites.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REACT requires cryopreservation and must be stored at very low temperatures in specialized freezers or specialized shipping containers until immediately prior to use. For administration, the cryopreserved product container must be carefully removed from storage, rapidly thawed under controlled temperature conditions in an area proximal to the patient’s bedside and immediately administered to the patient. The handling, thawing and administration of the cryopreserved cell therapy product must be performed according to specific instructions, typically using specific disposables, and some steps must be completed within specific time periods. Failure to correctly handle the product, follow the instructions for thawing and administration and or failure to administer the product within the specified period post-thaw could negatively impact the efficacy and or safety of the product.</w:t>
      </w:r>
    </w:p>
    <w:p>
      <w:pPr>
        <w:pStyle w:val="TextBody"/>
        <w:spacing w:before="360" w:after="0"/>
        <w:jc w:val="left"/>
        <w:rPr>
          <w:rFonts w:ascii="Times New Roman;serif" w:hAnsi="Times New Roman;serif"/>
          <w:b/>
          <w:i/>
          <w:sz w:val="20"/>
        </w:rPr>
      </w:pPr>
      <w:r>
        <w:rPr>
          <w:rFonts w:ascii="Times New Roman;serif" w:hAnsi="Times New Roman;serif"/>
          <w:b/>
          <w:i/>
          <w:sz w:val="20"/>
        </w:rPr>
        <w:t>Changes in methods of product candidate manufacturing or formulation may result in additional costs or delay.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product candidates progress through clinical trials to marketing approval and commercialization, various aspects of the development program, such as manufacturing methods and the product’s formulation, may be altered along the way in an effort to optimize yield, manufacturing batch size, minimize costs and achieve consistent quality and results. These changes carry the risk that they will not achieve their intended objectives. Any of these changes could cause REACT or any of our future product candidates to perform differently and affect the results of planned clinical trials or other future clinical trials conducted with the altered materials. This could delay completion of our ongoing or planned clinical trials, require us to perform bridging clinical trials or repeat one or more clinical trials, increase clinical trial costs, delay any potential approval of REACT or any of our future product candidates and jeopardize our ability to commercialize REACT or any of our future product candidates and generate revenue.</w:t>
      </w:r>
    </w:p>
    <w:p>
      <w:pPr>
        <w:pStyle w:val="TextBody"/>
        <w:spacing w:before="120" w:after="0"/>
        <w:jc w:val="left"/>
        <w:rPr>
          <w:rFonts w:ascii="Times New Roman" w:hAnsi="Times New Roman"/>
          <w:sz w:val="20"/>
        </w:rPr>
      </w:pPr>
      <w:bookmarkStart w:id="56" w:name="bkmk_83"/>
      <w:bookmarkEnd w:id="56"/>
      <w:r>
        <w:rPr>
          <w:rFonts w:ascii="Times New Roman;serif" w:hAnsi="Times New Roman;serif"/>
          <w:b w:val="false"/>
          <w:sz w:val="20"/>
        </w:rPr>
        <w:t>In addition, there are risks associated with process development and large-scale manufacturing for clinical trials or commercial distribution including, among others, cost overruns, potential problems with process scale-up, process reproducibility, stability issues, compliance with cGMP, lot consistency and timely availability of raw materials. Even if we obtain marketing approval for any of our product candidates, there is no assurance that we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the manufacturing processes for biological products is more complex and expensive than with small-molecule</w:t>
      </w:r>
      <w:r>
        <w:rPr>
          <w:rFonts w:ascii="Times New Roman" w:hAnsi="Times New Roman"/>
          <w:sz w:val="20"/>
        </w:rPr>
        <w:t xml:space="preserve"> </w:t>
      </w:r>
      <w:r>
        <w:rPr>
          <w:rFonts w:ascii="Times New Roman;serif" w:hAnsi="Times New Roman;serif"/>
          <w:b w:val="false"/>
          <w:sz w:val="20"/>
        </w:rPr>
        <w:t>products, and additional manufacturing suppliers may be needed to manufacture clinical trial supplies for these development programs. If we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pStyle w:val="TextBody"/>
        <w:spacing w:before="360" w:after="0"/>
        <w:jc w:val="left"/>
        <w:rPr>
          <w:rFonts w:ascii="Times New Roman" w:hAnsi="Times New Roman"/>
          <w:sz w:val="20"/>
        </w:rPr>
      </w:pPr>
      <w:r>
        <w:rPr>
          <w:rFonts w:ascii="Times New Roman;serif" w:hAnsi="Times New Roman;serif"/>
          <w:b/>
          <w:i/>
          <w:sz w:val="20"/>
        </w:rPr>
        <w:t>Our current operations are concentrated in a number of locations, including a single manufacturing facility in North Carolina. We or the third parties upon whom we depend may be adversely affected by earthquakes, wildfires or other natural disasters, as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59</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well as epidemics, pandemics and other incidents, and our business continuity and disaster recovery plans may not adequately protect us from a serious disaster.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unplanned event, such as flood, fire, explosion, earthquake, extreme weather condition, medical epidemics or pandemics, power shortage, telecommunication failure or other natural or manmade accidents or incidents that result in us being unable to fully utilize our facilities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REACT or any of our future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manufacturing facilities, or otherwise disrupted operations, it may be difficult or, in certain cases, impossible, for us to continue our business for a substantial period of time. The disaster recovery and business continuity plans we have in place, including use of contract manufacturers and inherent risks associated therewith with respect to technology transfer and quality issues,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pStyle w:val="TextBody"/>
        <w:spacing w:before="360" w:after="0"/>
        <w:jc w:val="left"/>
        <w:rPr>
          <w:rFonts w:ascii="Times New Roman;serif" w:hAnsi="Times New Roman;serif"/>
          <w:b/>
          <w:sz w:val="20"/>
        </w:rPr>
      </w:pPr>
      <w:r>
        <w:rPr>
          <w:rFonts w:ascii="Times New Roman;serif" w:hAnsi="Times New Roman;serif"/>
          <w:b/>
          <w:sz w:val="20"/>
        </w:rPr>
        <w:t>Risks Related to the Commercialization of REACT and Our Future Product Candidates</w:t>
      </w:r>
    </w:p>
    <w:p>
      <w:pPr>
        <w:pStyle w:val="TextBody"/>
        <w:spacing w:before="120" w:after="0"/>
        <w:jc w:val="left"/>
        <w:rPr>
          <w:rFonts w:ascii="Times New Roman;serif" w:hAnsi="Times New Roman;serif"/>
          <w:b/>
          <w:i/>
          <w:sz w:val="20"/>
        </w:rPr>
      </w:pPr>
      <w:r>
        <w:rPr>
          <w:rFonts w:ascii="Times New Roman;serif" w:hAnsi="Times New Roman;serif"/>
          <w:b/>
          <w:i/>
          <w:sz w:val="20"/>
        </w:rPr>
        <w:t>Even if REACT or a future product candidate we develop receives marketing approval, it may fail to achieve the degree of market acceptance by physicians, patients, third-party payors and others in the medical community necessary for commercial success.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Even if REACT or any other product candidates we develop receives marketing approval, it may nonetheless fail to gain sufficient market acceptance by physicians, patients, third-party payors, such as Medicare and Medicaid programs and managed care organizations, and others in the medical community. In addition, the availability of coverage by third-party payors may be affected by existing and future health care reform measures designed to reduce the cost of health care. If the product candidates we develop do not achieve an adequate level of acceptance, we may not generate significant product revenues and we may not become profitable.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degree of market acceptance of any product candidate, if approved for commercial sale, will depend on a number of factors, including:</w:t>
      </w:r>
    </w:p>
    <w:p>
      <w:pPr>
        <w:pStyle w:val="TextBody"/>
        <w:spacing w:before="0" w:after="0"/>
        <w:jc w:val="left"/>
        <w:rPr/>
      </w:pPr>
      <w:r>
        <w:rPr/>
        <w:t> </w:t>
      </w:r>
    </w:p>
    <w:tbl>
      <w:tblPr>
        <w:tblW w:w="10183" w:type="dxa"/>
        <w:jc w:val="left"/>
        <w:tblInd w:w="0" w:type="dxa"/>
        <w:tblCellMar>
          <w:top w:w="28" w:type="dxa"/>
          <w:left w:w="28" w:type="dxa"/>
          <w:bottom w:w="28" w:type="dxa"/>
          <w:right w:w="28" w:type="dxa"/>
        </w:tblCellMar>
      </w:tblPr>
      <w:tblGrid>
        <w:gridCol w:w="177"/>
        <w:gridCol w:w="272"/>
        <w:gridCol w:w="162"/>
        <w:gridCol w:w="957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7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efficacy and potential advantages of our current or future product candidates compared to alternative treatments;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product labeling or product insert requirements of the FDA, EMA or other foreign regulatory authorities, including any limitations or warnings contained in a product’s approved labeling, including any black box warning or REMS;</w:t>
            </w:r>
          </w:p>
        </w:tc>
      </w:tr>
    </w:tbl>
    <w:p>
      <w:pPr>
        <w:pStyle w:val="TextBody"/>
        <w:spacing w:before="0" w:after="0"/>
        <w:jc w:val="left"/>
        <w:rPr/>
      </w:pPr>
      <w:r>
        <w:rPr/>
        <w:t> </w:t>
      </w:r>
    </w:p>
    <w:tbl>
      <w:tblPr>
        <w:tblW w:w="7873" w:type="dxa"/>
        <w:jc w:val="left"/>
        <w:tblInd w:w="0" w:type="dxa"/>
        <w:tblCellMar>
          <w:top w:w="28" w:type="dxa"/>
          <w:left w:w="28" w:type="dxa"/>
          <w:bottom w:w="28" w:type="dxa"/>
          <w:right w:w="28" w:type="dxa"/>
        </w:tblCellMar>
      </w:tblPr>
      <w:tblGrid>
        <w:gridCol w:w="177"/>
        <w:gridCol w:w="272"/>
        <w:gridCol w:w="162"/>
        <w:gridCol w:w="726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726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bookmarkStart w:id="57" w:name="bkmk_84"/>
            <w:bookmarkEnd w:id="57"/>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726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clinical indications for which our current or future product candidates are approved;</w:t>
            </w:r>
          </w:p>
        </w:tc>
      </w:tr>
    </w:tbl>
    <w:p>
      <w:pPr>
        <w:pStyle w:val="TextBody"/>
        <w:spacing w:before="0" w:after="0"/>
        <w:jc w:val="left"/>
        <w:rPr/>
      </w:pPr>
      <w:r>
        <w:rPr/>
        <w:t> </w:t>
      </w:r>
    </w:p>
    <w:tbl>
      <w:tblPr>
        <w:tblW w:w="8443" w:type="dxa"/>
        <w:jc w:val="left"/>
        <w:tblInd w:w="0" w:type="dxa"/>
        <w:tblCellMar>
          <w:top w:w="28" w:type="dxa"/>
          <w:left w:w="28" w:type="dxa"/>
          <w:bottom w:w="28" w:type="dxa"/>
          <w:right w:w="28" w:type="dxa"/>
        </w:tblCellMar>
      </w:tblPr>
      <w:tblGrid>
        <w:gridCol w:w="177"/>
        <w:gridCol w:w="272"/>
        <w:gridCol w:w="162"/>
        <w:gridCol w:w="783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783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783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availability of alternative treatments already approved or commercially launched in the future;</w:t>
            </w:r>
          </w:p>
        </w:tc>
      </w:tr>
    </w:tbl>
    <w:p>
      <w:pPr>
        <w:pStyle w:val="TextBody"/>
        <w:spacing w:before="0" w:after="0"/>
        <w:jc w:val="left"/>
        <w:rPr/>
      </w:pPr>
      <w:r>
        <w:rPr/>
        <w:t> </w:t>
      </w:r>
    </w:p>
    <w:tbl>
      <w:tblPr>
        <w:tblW w:w="6808" w:type="dxa"/>
        <w:jc w:val="left"/>
        <w:tblInd w:w="0" w:type="dxa"/>
        <w:tblCellMar>
          <w:top w:w="28" w:type="dxa"/>
          <w:left w:w="28" w:type="dxa"/>
          <w:bottom w:w="28" w:type="dxa"/>
          <w:right w:w="28" w:type="dxa"/>
        </w:tblCellMar>
      </w:tblPr>
      <w:tblGrid>
        <w:gridCol w:w="177"/>
        <w:gridCol w:w="272"/>
        <w:gridCol w:w="162"/>
        <w:gridCol w:w="619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19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619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ability to offer our products, if approved, for sale at competitive prices;</w:t>
            </w:r>
          </w:p>
        </w:tc>
      </w:tr>
    </w:tbl>
    <w:p>
      <w:pPr>
        <w:pStyle w:val="TextBody"/>
        <w:spacing w:before="0" w:after="0"/>
        <w:jc w:val="left"/>
        <w:rPr/>
      </w:pPr>
      <w:r>
        <w:rPr/>
        <w:t> </w:t>
      </w:r>
    </w:p>
    <w:tbl>
      <w:tblPr>
        <w:tblW w:w="6898" w:type="dxa"/>
        <w:jc w:val="left"/>
        <w:tblInd w:w="0" w:type="dxa"/>
        <w:tblCellMar>
          <w:top w:w="28" w:type="dxa"/>
          <w:left w:w="28" w:type="dxa"/>
          <w:bottom w:w="28" w:type="dxa"/>
          <w:right w:w="28" w:type="dxa"/>
        </w:tblCellMar>
      </w:tblPr>
      <w:tblGrid>
        <w:gridCol w:w="177"/>
        <w:gridCol w:w="272"/>
        <w:gridCol w:w="162"/>
        <w:gridCol w:w="628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28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628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convenience and ease of administration compared to alternative treatments;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willingness of the target patient population to try new therapies and of physicians to prescribe these therapies, including where there may be a perception that our therapies, if approved, involve an increased risk of adverse events;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recommendations with respect to our product candidates in guidelines published by various scientific organizations applicable to us and our product candidates;</w:t>
            </w:r>
          </w:p>
        </w:tc>
      </w:tr>
    </w:tbl>
    <w:p>
      <w:pPr>
        <w:pStyle w:val="TextBody"/>
        <w:spacing w:before="0" w:after="0"/>
        <w:jc w:val="left"/>
        <w:rPr/>
      </w:pPr>
      <w:r>
        <w:rPr/>
        <w:t> </w:t>
      </w:r>
    </w:p>
    <w:tbl>
      <w:tblPr>
        <w:tblW w:w="4888" w:type="dxa"/>
        <w:jc w:val="left"/>
        <w:tblInd w:w="0" w:type="dxa"/>
        <w:tblCellMar>
          <w:top w:w="28" w:type="dxa"/>
          <w:left w:w="28" w:type="dxa"/>
          <w:bottom w:w="28" w:type="dxa"/>
          <w:right w:w="28" w:type="dxa"/>
        </w:tblCellMar>
      </w:tblPr>
      <w:tblGrid>
        <w:gridCol w:w="177"/>
        <w:gridCol w:w="272"/>
        <w:gridCol w:w="162"/>
        <w:gridCol w:w="427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427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427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strength of marketing and distribution support;</w:t>
            </w:r>
          </w:p>
        </w:tc>
      </w:tr>
    </w:tbl>
    <w:p>
      <w:pPr>
        <w:pStyle w:val="TextBody"/>
        <w:spacing w:before="0" w:after="0"/>
        <w:jc w:val="left"/>
        <w:rPr/>
      </w:pPr>
      <w:r>
        <w:rPr/>
        <w:t> </w:t>
      </w:r>
    </w:p>
    <w:tbl>
      <w:tblPr>
        <w:tblW w:w="6853" w:type="dxa"/>
        <w:jc w:val="left"/>
        <w:tblInd w:w="0" w:type="dxa"/>
        <w:tblCellMar>
          <w:top w:w="28" w:type="dxa"/>
          <w:left w:w="28" w:type="dxa"/>
          <w:bottom w:w="28" w:type="dxa"/>
          <w:right w:w="28" w:type="dxa"/>
        </w:tblCellMar>
      </w:tblPr>
      <w:tblGrid>
        <w:gridCol w:w="177"/>
        <w:gridCol w:w="272"/>
        <w:gridCol w:w="162"/>
        <w:gridCol w:w="624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24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624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any restrictions on the use of our products together with other medications;</w:t>
            </w:r>
          </w:p>
        </w:tc>
      </w:tr>
    </w:tbl>
    <w:p>
      <w:pPr>
        <w:pStyle w:val="TextBody"/>
        <w:spacing w:before="0" w:after="0"/>
        <w:jc w:val="left"/>
        <w:rPr/>
      </w:pPr>
      <w:r>
        <w:rPr/>
        <w:t> </w:t>
      </w:r>
    </w:p>
    <w:tbl>
      <w:tblPr>
        <w:tblW w:w="5773" w:type="dxa"/>
        <w:jc w:val="left"/>
        <w:tblInd w:w="0" w:type="dxa"/>
        <w:tblCellMar>
          <w:top w:w="28" w:type="dxa"/>
          <w:left w:w="28" w:type="dxa"/>
          <w:bottom w:w="28" w:type="dxa"/>
          <w:right w:w="28" w:type="dxa"/>
        </w:tblCellMar>
      </w:tblPr>
      <w:tblGrid>
        <w:gridCol w:w="177"/>
        <w:gridCol w:w="272"/>
        <w:gridCol w:w="162"/>
        <w:gridCol w:w="516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16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516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our ability to hire and retain a sales force in the United States;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ability to obtain sufficient third-party coverage and adequate reimbursement for our products, including necessary reimbursement codes;</w:t>
            </w:r>
          </w:p>
        </w:tc>
      </w:tr>
    </w:tbl>
    <w:p>
      <w:pPr>
        <w:pStyle w:val="TextBody"/>
        <w:spacing w:before="0" w:after="0"/>
        <w:jc w:val="left"/>
        <w:rPr/>
      </w:pPr>
      <w:r>
        <w:rPr/>
        <w:t> </w:t>
      </w:r>
    </w:p>
    <w:tbl>
      <w:tblPr>
        <w:tblW w:w="4558" w:type="dxa"/>
        <w:jc w:val="left"/>
        <w:tblInd w:w="0" w:type="dxa"/>
        <w:tblCellMar>
          <w:top w:w="28" w:type="dxa"/>
          <w:left w:w="28" w:type="dxa"/>
          <w:bottom w:w="28" w:type="dxa"/>
          <w:right w:w="28" w:type="dxa"/>
        </w:tblCellMar>
      </w:tblPr>
      <w:tblGrid>
        <w:gridCol w:w="177"/>
        <w:gridCol w:w="272"/>
        <w:gridCol w:w="162"/>
        <w:gridCol w:w="394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94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394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prevalence and severity of any side effects;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ability to obtain Current Procedural Terminology (“CPT”) Codes and Resource-Based Relative Value Scale for appropriate provider reimbursement;</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ability to obtain designated International Classification of Diseases (“ICD-10”) codes from the WHO for disease designation;</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willingness of provider proceduralists to perform invasive kidney procedures that may cause increased medical liability from procedural-related or cell based adverse events; and</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60</w:t>
      </w:r>
    </w:p>
    <w:p>
      <w:pPr>
        <w:pStyle w:val="HorizontalLine"/>
        <w:rPr/>
      </w:pPr>
      <w:r>
        <w:rPr/>
      </w:r>
    </w:p>
    <w:p>
      <w:pPr>
        <w:pStyle w:val="TextBody"/>
        <w:spacing w:before="0" w:after="0"/>
        <w:jc w:val="left"/>
        <w:rPr/>
      </w:pPr>
      <w:r>
        <w:rPr/>
        <w:t> </w:t>
      </w:r>
    </w:p>
    <w:tbl>
      <w:tblPr>
        <w:tblW w:w="7768" w:type="dxa"/>
        <w:jc w:val="left"/>
        <w:tblInd w:w="0" w:type="dxa"/>
        <w:tblCellMar>
          <w:top w:w="28" w:type="dxa"/>
          <w:left w:w="28" w:type="dxa"/>
          <w:bottom w:w="28" w:type="dxa"/>
          <w:right w:w="28" w:type="dxa"/>
        </w:tblCellMar>
      </w:tblPr>
      <w:tblGrid>
        <w:gridCol w:w="177"/>
        <w:gridCol w:w="272"/>
        <w:gridCol w:w="162"/>
        <w:gridCol w:w="715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715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715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ability to provide advanced procedural training for delivery of product candidates.</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Sales of cell-based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 care providers, government agencies or private insurers will determine that our products are safe, therapeutically effective and cost effective as compared with competing treatments. If any product candidate is approved but does not achieve an adequate level of acceptance by such parties, we may not generate or derive sufficient revenue from that product candidate and may not become or remain profitable. If government and other third-party payors do not provide coverage and adequate reimbursement levels for any products we commercialize, market acceptance and commercial success would be reduced. REACT is percutaneously injected into the kidney and requires additional proceduralist technical training with possible ongoing maintenance of certification. Facilities where REACT is delivered may require additional cell-based licensing by state, federal or laboratory certification agencies and require equipment with appropriate technology and inventories.</w:t>
      </w:r>
    </w:p>
    <w:p>
      <w:pPr>
        <w:pStyle w:val="TextBody"/>
        <w:spacing w:before="360" w:after="0"/>
        <w:jc w:val="left"/>
        <w:rPr>
          <w:rFonts w:ascii="Times New Roman;serif" w:hAnsi="Times New Roman;serif"/>
          <w:b/>
          <w:i/>
          <w:sz w:val="20"/>
        </w:rPr>
      </w:pPr>
      <w:r>
        <w:rPr>
          <w:rFonts w:ascii="Times New Roman;serif" w:hAnsi="Times New Roman;serif"/>
          <w:b/>
          <w:i/>
          <w:sz w:val="20"/>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any products for which we obtain regulatory approval, we may not be able to generate product revenue.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no internal sales, marketing or distribution capabilities, nor have we commercialized a product. If REACT or any of our future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biopharmaceutical products and there are significant risks involved in building and managing a sales organization.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Factors that may inhibit our efforts to market our products on our own include:</w:t>
      </w:r>
    </w:p>
    <w:p>
      <w:pPr>
        <w:pStyle w:val="TextBody"/>
        <w:spacing w:before="0" w:after="0"/>
        <w:jc w:val="left"/>
        <w:rPr/>
      </w:pPr>
      <w:r>
        <w:rPr/>
        <w:t> </w:t>
      </w:r>
    </w:p>
    <w:tbl>
      <w:tblPr>
        <w:tblW w:w="8923" w:type="dxa"/>
        <w:jc w:val="left"/>
        <w:tblInd w:w="0" w:type="dxa"/>
        <w:tblCellMar>
          <w:top w:w="28" w:type="dxa"/>
          <w:left w:w="28" w:type="dxa"/>
          <w:bottom w:w="28" w:type="dxa"/>
          <w:right w:w="28" w:type="dxa"/>
        </w:tblCellMar>
      </w:tblPr>
      <w:tblGrid>
        <w:gridCol w:w="177"/>
        <w:gridCol w:w="272"/>
        <w:gridCol w:w="162"/>
        <w:gridCol w:w="831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31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831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our inability to recruit, train and retain adequate numbers of effective sales and marketing personnel;</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inability of sales personnel to obtain access to physicians in order to educate physicians about our product candidates, including product administration and product delivery, once approved;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lack of complementary products to be offered by sales personnel, which may put us at a competitive disadvantage relative to companies with more extensive product lines; and</w:t>
            </w:r>
          </w:p>
        </w:tc>
      </w:tr>
    </w:tbl>
    <w:p>
      <w:pPr>
        <w:pStyle w:val="TextBody"/>
        <w:spacing w:before="0" w:after="0"/>
        <w:jc w:val="left"/>
        <w:rPr/>
      </w:pPr>
      <w:r>
        <w:rPr/>
        <w:t> </w:t>
      </w:r>
    </w:p>
    <w:tbl>
      <w:tblPr>
        <w:tblW w:w="9313" w:type="dxa"/>
        <w:jc w:val="left"/>
        <w:tblInd w:w="0" w:type="dxa"/>
        <w:tblCellMar>
          <w:top w:w="28" w:type="dxa"/>
          <w:left w:w="28" w:type="dxa"/>
          <w:bottom w:w="28" w:type="dxa"/>
          <w:right w:w="28" w:type="dxa"/>
        </w:tblCellMar>
      </w:tblPr>
      <w:tblGrid>
        <w:gridCol w:w="177"/>
        <w:gridCol w:w="272"/>
        <w:gridCol w:w="162"/>
        <w:gridCol w:w="870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70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870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unforeseen costs and expenses associated with creating an independent sales and marketing organization.</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and for which we receive regulatory approval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pStyle w:val="TextBody"/>
        <w:spacing w:before="360" w:after="0"/>
        <w:jc w:val="left"/>
        <w:rPr>
          <w:rFonts w:ascii="Times New Roman;serif" w:hAnsi="Times New Roman;serif"/>
          <w:b/>
          <w:i/>
          <w:sz w:val="20"/>
        </w:rPr>
      </w:pPr>
      <w:r>
        <w:rPr>
          <w:rFonts w:ascii="Times New Roman;serif" w:hAnsi="Times New Roman;serif"/>
          <w:b/>
          <w:i/>
          <w:sz w:val="20"/>
        </w:rPr>
        <w:t>The affected populations for REACT or any of our future product candidates may be smaller than we or third parties currently project, which may affect the addressable markets for REACT or our future product candidates.</w:t>
      </w:r>
    </w:p>
    <w:p>
      <w:pPr>
        <w:pStyle w:val="TextBody"/>
        <w:spacing w:before="120" w:after="0"/>
        <w:jc w:val="left"/>
        <w:rPr>
          <w:rFonts w:ascii="Times New Roman" w:hAnsi="Times New Roman"/>
          <w:sz w:val="20"/>
        </w:rPr>
      </w:pPr>
      <w:r>
        <w:rPr>
          <w:rFonts w:ascii="Times New Roman;serif" w:hAnsi="Times New Roman;serif"/>
          <w:b w:val="false"/>
          <w:sz w:val="20"/>
        </w:rPr>
        <w:t>Our projections of the number of people who have the diseases we are seeking to treat, as well as the subset of people with these diseases who have the potential to benefit from treatment with REACT or any of our future product candidates, are estimates based on our knowledge and understanding of these diseases. These estimates may prove to be incorrect, and new studies, medications, or medical practices may further reduce the estimated incidence or prevalence of this disease. The number of patients in the United States, the European Union and elsewhere may turn out to be lower than expected, may not be otherwise amenable to treatment with REACT or any of our future product candidates or patients may become increasingly difficult to identify and access, all of which would adversely affect our business, financial condition, results of operations and prospects. Further, even if we obtain</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61</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approval for REACT or any of our future product candidates, the FDA or other regulators may limit their approved indications to more narrow uses or subpopulations within the populations for which we are targeting development of REACT or any of our future product candidates.</w:t>
      </w:r>
    </w:p>
    <w:p>
      <w:pPr>
        <w:pStyle w:val="TextBody"/>
        <w:spacing w:before="120" w:after="0"/>
        <w:jc w:val="left"/>
        <w:rPr>
          <w:rFonts w:ascii="Times New Roman" w:hAnsi="Times New Roman"/>
          <w:sz w:val="20"/>
        </w:rPr>
      </w:pPr>
      <w:bookmarkStart w:id="58" w:name="bkmk_86"/>
      <w:bookmarkEnd w:id="58"/>
      <w:r>
        <w:rPr>
          <w:rFonts w:ascii="Times New Roman;serif" w:hAnsi="Times New Roman;serif"/>
          <w:b w:val="false"/>
          <w:sz w:val="20"/>
        </w:rPr>
        <w:t>The total addressable market opportunity for REACT or any of our future product candidates will ultimately depend upon a number of factors including the diagnosis and treatment criteria included in the final label, if</w:t>
      </w:r>
      <w:r>
        <w:rPr>
          <w:rFonts w:ascii="Times New Roman" w:hAnsi="Times New Roman"/>
          <w:sz w:val="20"/>
        </w:rPr>
        <w:t xml:space="preserve"> </w:t>
      </w:r>
      <w:r>
        <w:rPr>
          <w:rFonts w:ascii="Times New Roman;serif" w:hAnsi="Times New Roman;serif"/>
          <w:b w:val="false"/>
          <w:sz w:val="20"/>
        </w:rPr>
        <w:t>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incidence and prevalence range for the indications we are targeting has involved collating limited data from multiple sources. Accordingly, the incidence and prevalence estimates included in this Annual Report should be viewed with caution. Further, the data and statistical information used in this Annual Report, including estimates derived from them, may differ from information and estimates made by our competitors or from current or future studies conducted by independent sources.</w:t>
      </w:r>
    </w:p>
    <w:p>
      <w:pPr>
        <w:pStyle w:val="TextBody"/>
        <w:spacing w:before="360" w:after="0"/>
        <w:jc w:val="left"/>
        <w:rPr>
          <w:rFonts w:ascii="Times New Roman;serif" w:hAnsi="Times New Roman;serif"/>
          <w:b/>
          <w:i/>
          <w:sz w:val="20"/>
        </w:rPr>
      </w:pPr>
      <w:r>
        <w:rPr>
          <w:rFonts w:ascii="Times New Roman;serif" w:hAnsi="Times New Roman;serif"/>
          <w:b/>
          <w:i/>
          <w:sz w:val="20"/>
        </w:rPr>
        <w:t>Obtaining and maintaining regulatory approval of REACT or any of our future product candidates in one jurisdiction does not mean that we will be successful in obtaining regulatory approval of REACT or future product candidates in other jurisdictions.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and maintaining regulatory approval of REACT or any of our future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similar foreign regulatory authorities must also approve the manufacturing, marketing and promotion of the product candidate in those countries. Approval and licensure procedures vary among jurisdictions and can involve requirements and administrative review periods different from, and greater than, those in the United States, including additional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also submit marketing applications in other countries. Regulatory authorities in jurisdictions outside of the United States have requirements for approval of product candidates with which we must comply prior to marketing in those jurisdictions. Obtaining similar foreign regulatory approvals and compliance with similar foreign regulatory requirements could result in significant delays, difficulties and costs for us and could delay or prevent the introduction of our products in certain countries. We do not have any product candidates approved for sale in any jurisdiction, including international markets, and we do not have experience in obtaining regulatory approval in international markets. If we fail to comply with the regulatory requirements in international markets and/or receive applicable marketing approvals, our target market will be reduced and our ability to realize the full market potential of REACT or any of our future product candidates will be harmed.</w:t>
      </w:r>
    </w:p>
    <w:p>
      <w:pPr>
        <w:pStyle w:val="TextBody"/>
        <w:spacing w:before="360" w:after="0"/>
        <w:jc w:val="left"/>
        <w:rPr>
          <w:rFonts w:ascii="Times New Roman;serif" w:hAnsi="Times New Roman;serif"/>
          <w:b/>
          <w:i/>
          <w:sz w:val="20"/>
        </w:rPr>
      </w:pPr>
      <w:r>
        <w:rPr>
          <w:rFonts w:ascii="Times New Roman;serif" w:hAnsi="Times New Roman;serif"/>
          <w:b/>
          <w:i/>
          <w:sz w:val="20"/>
        </w:rPr>
        <w:t>Off-label use or misuse of our products may harm our reputation in the marketplace, result in injuries that lead to costly product liability suits, and/or subject us to penalties if we fail to comply with regulatory requirements or experience unanticipated problems with any product.</w:t>
      </w:r>
    </w:p>
    <w:p>
      <w:pPr>
        <w:pStyle w:val="TextBody"/>
        <w:spacing w:before="120" w:after="0"/>
        <w:jc w:val="left"/>
        <w:rPr>
          <w:rFonts w:ascii="Times New Roman" w:hAnsi="Times New Roman"/>
          <w:sz w:val="20"/>
        </w:rPr>
      </w:pPr>
      <w:bookmarkStart w:id="59" w:name="bkmk_87"/>
      <w:bookmarkEnd w:id="59"/>
      <w:r>
        <w:rPr>
          <w:rFonts w:ascii="Times New Roman;serif" w:hAnsi="Times New Roman;serif"/>
          <w:b w:val="false"/>
          <w:sz w:val="20"/>
        </w:rPr>
        <w:t>If we have any product candidate approved, our product labeling, advertising, and promotion will be subject to regulatory requirements and continuing regulatory review. In the United States, the FDA and the Federal Trade Commission (the “FTC”) strictly regulate the promotional claims that may be made about pharmaceutical products to ensure that any claims about such products are consistent with regulatory approvals, not misleading or false, and adequately substantiated by clinical data. The promotion of a medicine or biologic product in a manner that is false, misleading, unsubstantiated, or for unapproved (or off-label) uses may result in enforcement letters, inquiries and investigations and civil and criminal sanctions by the FDA, FTC, and other regulatory authorities.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and other agencies actively enforce the laws and regulations prohibiting the promotion of off-label uses, and a company that is found to have improperly</w:t>
      </w:r>
      <w:r>
        <w:rPr>
          <w:rFonts w:ascii="Times New Roman" w:hAnsi="Times New Roman"/>
          <w:sz w:val="20"/>
        </w:rPr>
        <w:t xml:space="preserve"> </w:t>
      </w:r>
      <w:r>
        <w:rPr>
          <w:rFonts w:ascii="Times New Roman;serif" w:hAnsi="Times New Roman;serif"/>
          <w:b w:val="false"/>
          <w:sz w:val="20"/>
        </w:rPr>
        <w:t>promoted off-label uses may be subject to significant sanctions and may result in false claims litigation under federal and state statutes, which can lead to consent decrees, civil monetary penalties, restitution, criminal fines and imprisonment, and exclusion from participation in Medicare, Medicaid and other federal and state health care programs. The federal government has levied large civil and criminal fines against companies for alleged improper promotion and has enjoined several companies from engaging in off-label promotion. The government has also required that companies enter into consent decrees and/or imposed permanent injunctions under which specified promotional conduct is changed or curtailed. Any off-label use of REACT or any of our future product candidates could harm our reputation in the marketplace among physicians and patients. There may also be increased risk of injury to patients if physicians attempt to use our products for these uses for which they are not approved, which could lead to product liability suits that might require significant financial and management resources and that could harm our reputation.</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62</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advertising and promotion of any product candidate that obtains approval outside of the United States will be heavily scrutinized by comparable foreign regulatory authorities and stakeholders.</w:t>
      </w:r>
    </w:p>
    <w:p>
      <w:pPr>
        <w:pStyle w:val="TextBody"/>
        <w:spacing w:before="360" w:after="0"/>
        <w:jc w:val="left"/>
        <w:rPr>
          <w:rFonts w:ascii="Times New Roman;serif" w:hAnsi="Times New Roman;serif"/>
          <w:b/>
          <w:i/>
          <w:sz w:val="20"/>
        </w:rPr>
      </w:pPr>
      <w:r>
        <w:rPr>
          <w:rFonts w:ascii="Times New Roman;serif" w:hAnsi="Times New Roman;serif"/>
          <w:b/>
          <w:i/>
          <w:sz w:val="20"/>
        </w:rPr>
        <w:t>REACT and our future product candidates for which we intend to seek approval as biologic products may face competition sooner than anticipated, and our operating results will suffer if we fail to compete effectively.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Even if we are successful in achieving regulatory approval to commercialize a product candidate ahead of our competitors, REACT or any of our future product candidates may face competition from biosimilar products. In the United States, REACT is expected to be regulated by the FDA as a biological product, and we intend to seek approval for REACT pursuant to the BLA pathway. The Biologics Price Competition and Innovation Act of 2009 (the “BPCIA”) created an abbreviated pathway for FDA approval of biosimilar and interchangeable biological products based on a previously licensed reference product. Under the BPCIA, an application for a biosimilar biological product cannot be approved by the FDA until 12 years after the original reference biological product was approved under a BLA.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REACT.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believe that any of our current or future product candidates approved as a biological product under a BLA should qualify for the 12-year period of exclusivity available to reference biological products. However, there is a risk that this exclusivity could be shortened due to congressional action or otherwise, or that the FDA will not consider our product candidates to be reference biological products pursuant to its interpretation of the exclusivity provisions of the BPCIA for competing products, potentially creating the opportunity for generic follow-on biosimilar competition sooner than anticipated. Moreover, the extent to which a biosimilar product, once approved, will be substituted for any one of our reference products in a way that is similar to traditional generic substitution for non-biological products is not yet clear, and will depend on a number of marketplace and regulatory factors that are still developing, including whether a future competitor seeks an interchangeability designation for a biosimilar of one of our products. Under the BPCIA as well as state pharmacy laws, only interchangeable biosimilar products are considered substitutable for the reference biological product without the intervention of the health care provider who prescribed the original biological product. However, as with all prescribing decisions made in the context of a patient-provider relationship and a patient’s specific medical needs, health care providers are not restricted from prescribing biosimilar products in an off-label manner. In addition, a competitor could decide to forego the abbreviated approval pathway available for biosimilar products and to submit a full BLA for product licensure after completing its own nonclinical studies and clinical trials. In such a situation, any exclusivity to which we may be eligible under the BPCIA would not prevent the competitor from marketing its biological product as soon as it is approved.</w:t>
      </w:r>
    </w:p>
    <w:p>
      <w:pPr>
        <w:pStyle w:val="TextBody"/>
        <w:spacing w:before="120" w:after="0"/>
        <w:jc w:val="left"/>
        <w:rPr>
          <w:rFonts w:ascii="Times New Roman" w:hAnsi="Times New Roman"/>
          <w:sz w:val="20"/>
        </w:rPr>
      </w:pPr>
      <w:bookmarkStart w:id="60" w:name="bkmk_88"/>
      <w:bookmarkEnd w:id="60"/>
      <w:r>
        <w:rPr>
          <w:rFonts w:ascii="Times New Roman;serif" w:hAnsi="Times New Roman;serif"/>
          <w:b w:val="false"/>
          <w:sz w:val="20"/>
        </w:rPr>
        <w:t>In Europe, the European Commission has granted marketing authorizations for several biosimilar products pursuant to a set of general and product class-specific guidelines for biosimilar approvals issued over the past few years. In addition, companies may be developing biosimilar products in other countries that could compete with our products, if approved.</w:t>
      </w:r>
      <w:r>
        <w:rPr>
          <w:rFonts w:ascii="Times New Roman" w:hAnsi="Times New Roman"/>
          <w:sz w:val="20"/>
        </w:rPr>
        <w:t xml:space="preserve"> </w:t>
      </w:r>
      <w:r>
        <w:rPr>
          <w:rFonts w:ascii="Times New Roman;serif" w:hAnsi="Times New Roman;serif"/>
          <w:b w:val="false"/>
          <w:sz w:val="20"/>
        </w:rPr>
        <w:t>If competitors are able to obtain marketing approval for biosimilars referencing our product candidates, if approved, our future products may become subject to competition from such biosimilars, whether or not they are designated as interchangeable, with the attendant competitive pressure and potential adverse consequences. Such competitive products may be able to immediately compete with us in each indication for which our product candidates may have received approval.</w:t>
      </w:r>
    </w:p>
    <w:p>
      <w:pPr>
        <w:pStyle w:val="TextBody"/>
        <w:spacing w:before="360" w:after="0"/>
        <w:jc w:val="left"/>
        <w:rPr>
          <w:rFonts w:ascii="Times New Roman;serif" w:hAnsi="Times New Roman;serif"/>
          <w:b/>
          <w:i/>
          <w:sz w:val="20"/>
        </w:rPr>
      </w:pPr>
      <w:r>
        <w:rPr>
          <w:rFonts w:ascii="Times New Roman;serif" w:hAnsi="Times New Roman;serif"/>
          <w:b/>
          <w:i/>
          <w:sz w:val="20"/>
        </w:rPr>
        <w:t>Competitor companies or hospitals may be able to take advantage of EU rules permitting sales of unlicensed medicines for individual patients to sell competing products without a marketing authorization.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EU medicines rules allow individual member states to permit the supply of a medicinal product without a marketing authorization to fulfill special needs, where the product is supplied in response to a bona fide unsolicited order, formulated in accordance with the specifications of a health care professional and for use by an individual patient under his direct personal responsibility. This may in certain countries also apply to products manufactured in a country outside the European Union and imported to treat specific patients or small groups of patients. In addition, designated ATMPs do not need a marketing authorization if they are prepared on a non-routine basis and are used within the same EU member state in a hospital in accordance with a medical prescription for an individual patient.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These exemptions could allow our competitors to make sales in the EU without having obtained a marketing authorization and without undergoing the expense of clinical trials, especially if those competitors have cell processing facilities in the relevant EU member state. Similarly, certain hospitals may be able to compete with us on the basis of these rules. Because any such sales would be made without a marketing authorization, there would be no need for the competitor company or hospital to refer to the clinical data in our marketing authorization dossiers, and so any data exclusivity protection that we may obtain for our products would not prevent such competing sales.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63</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Coverage and reimbursement may be limited or unavailable in certain market segments for REACT or our future product candidates, if approved, which could make it difficult for us to sell any product candidates profitably.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United States and in other countries, patients who are prescribed treatment for their conditions generally rely on third-party payors to reimburse all or part of the costs associated with their treatment. Significant uncertainty exists as to the coverage and reimbursement status of any products for which we may obtain regulatory approval. In the United States, sales of any products for which we may receive regulatory marketing approval will depend, in part, on the availability of coverage and reimbursement from third-party payors. Third-party payors include government authorities such as Medicare, Medicaid, TRICARE, and the Veterans Administration, managed care providers, private health insurers, and other organizations. Coverage and adequate reimbursement from governmental health care programs, such as Medicare and Medicaid, and commercial payors is critical to new product acceptance. Even if any of our products obtains regulatory approval, patients are unlikely to use such products unless coverage is provided and reimbursement is adequate to cover a significant portion of the cost. We cannot be sure that coverage and reimbursement will be available for, or accurately estimate the potential revenue from, any of our products, if approved, or assure that coverage and reimbursement will be available for any product that we may develop. REACT, due to the novel cell therapy and new indication for CKD, may require formulation of CPT codes with resource-based relative value unit appropriation and ICD-10 designation. Each are obtained through different processes and may lead to reimbursement delays of unknown lengths of times.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Government authorities and other third-party payors decide which treatments they will cover and the amount of reimbursement. Coverage and reimbursement by a third-party payor may depend upon a number of factors, including the third-party payor’s determination that use of a product is:</w:t>
      </w:r>
    </w:p>
    <w:p>
      <w:pPr>
        <w:pStyle w:val="TextBody"/>
        <w:spacing w:before="0" w:after="0"/>
        <w:jc w:val="left"/>
        <w:rPr/>
      </w:pPr>
      <w:r>
        <w:rPr/>
        <w:t> </w:t>
      </w:r>
    </w:p>
    <w:tbl>
      <w:tblPr>
        <w:tblW w:w="3943" w:type="dxa"/>
        <w:jc w:val="left"/>
        <w:tblInd w:w="0" w:type="dxa"/>
        <w:tblCellMar>
          <w:top w:w="28" w:type="dxa"/>
          <w:left w:w="28" w:type="dxa"/>
          <w:bottom w:w="28" w:type="dxa"/>
          <w:right w:w="28" w:type="dxa"/>
        </w:tblCellMar>
      </w:tblPr>
      <w:tblGrid>
        <w:gridCol w:w="177"/>
        <w:gridCol w:w="272"/>
        <w:gridCol w:w="162"/>
        <w:gridCol w:w="333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33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333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 covered benefit under its health plan;</w:t>
            </w:r>
          </w:p>
        </w:tc>
      </w:tr>
    </w:tbl>
    <w:p>
      <w:pPr>
        <w:pStyle w:val="TextBody"/>
        <w:spacing w:before="0" w:after="0"/>
        <w:jc w:val="left"/>
        <w:rPr/>
      </w:pPr>
      <w:r>
        <w:rPr/>
        <w:t> </w:t>
      </w:r>
    </w:p>
    <w:tbl>
      <w:tblPr>
        <w:tblW w:w="3957" w:type="dxa"/>
        <w:jc w:val="left"/>
        <w:tblInd w:w="0" w:type="dxa"/>
        <w:tblCellMar>
          <w:top w:w="28" w:type="dxa"/>
          <w:left w:w="28" w:type="dxa"/>
          <w:bottom w:w="28" w:type="dxa"/>
          <w:right w:w="28" w:type="dxa"/>
        </w:tblCellMar>
      </w:tblPr>
      <w:tblGrid>
        <w:gridCol w:w="161"/>
        <w:gridCol w:w="272"/>
        <w:gridCol w:w="162"/>
        <w:gridCol w:w="3362"/>
      </w:tblGrid>
      <w:tr>
        <w:trPr/>
        <w:tc>
          <w:tcPr>
            <w:tcW w:w="161"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36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336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safe, effective and medically necessary;</w:t>
            </w:r>
          </w:p>
        </w:tc>
      </w:tr>
    </w:tbl>
    <w:p>
      <w:pPr>
        <w:pStyle w:val="TextBody"/>
        <w:spacing w:before="0" w:after="0"/>
        <w:jc w:val="left"/>
        <w:rPr/>
      </w:pPr>
      <w:r>
        <w:rPr/>
        <w:t> </w:t>
      </w:r>
    </w:p>
    <w:tbl>
      <w:tblPr>
        <w:tblW w:w="3628" w:type="dxa"/>
        <w:jc w:val="left"/>
        <w:tblInd w:w="0" w:type="dxa"/>
        <w:tblCellMar>
          <w:top w:w="28" w:type="dxa"/>
          <w:left w:w="28" w:type="dxa"/>
          <w:bottom w:w="28" w:type="dxa"/>
          <w:right w:w="28" w:type="dxa"/>
        </w:tblCellMar>
      </w:tblPr>
      <w:tblGrid>
        <w:gridCol w:w="177"/>
        <w:gridCol w:w="272"/>
        <w:gridCol w:w="162"/>
        <w:gridCol w:w="301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01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301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appropriate for the specific patient;</w:t>
            </w:r>
          </w:p>
        </w:tc>
      </w:tr>
    </w:tbl>
    <w:p>
      <w:pPr>
        <w:pStyle w:val="TextBody"/>
        <w:spacing w:before="0" w:after="0"/>
        <w:jc w:val="left"/>
        <w:rPr/>
      </w:pPr>
      <w:r>
        <w:rPr/>
        <w:t> </w:t>
      </w:r>
    </w:p>
    <w:tbl>
      <w:tblPr>
        <w:tblW w:w="4483" w:type="dxa"/>
        <w:jc w:val="left"/>
        <w:tblInd w:w="0" w:type="dxa"/>
        <w:tblCellMar>
          <w:top w:w="28" w:type="dxa"/>
          <w:left w:w="28" w:type="dxa"/>
          <w:bottom w:w="28" w:type="dxa"/>
          <w:right w:w="28" w:type="dxa"/>
        </w:tblCellMar>
      </w:tblPr>
      <w:tblGrid>
        <w:gridCol w:w="177"/>
        <w:gridCol w:w="272"/>
        <w:gridCol w:w="162"/>
        <w:gridCol w:w="387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87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38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supported by peer-reviewed medical journals;</w:t>
            </w:r>
          </w:p>
        </w:tc>
      </w:tr>
    </w:tbl>
    <w:p>
      <w:pPr>
        <w:pStyle w:val="TextBody"/>
        <w:spacing w:before="0" w:after="0"/>
        <w:jc w:val="left"/>
        <w:rPr/>
      </w:pPr>
      <w:r>
        <w:rPr/>
        <w:t> </w:t>
      </w:r>
    </w:p>
    <w:tbl>
      <w:tblPr>
        <w:tblW w:w="4018" w:type="dxa"/>
        <w:jc w:val="left"/>
        <w:tblInd w:w="0" w:type="dxa"/>
        <w:tblCellMar>
          <w:top w:w="28" w:type="dxa"/>
          <w:left w:w="28" w:type="dxa"/>
          <w:bottom w:w="28" w:type="dxa"/>
          <w:right w:w="28" w:type="dxa"/>
        </w:tblCellMar>
      </w:tblPr>
      <w:tblGrid>
        <w:gridCol w:w="177"/>
        <w:gridCol w:w="272"/>
        <w:gridCol w:w="162"/>
        <w:gridCol w:w="340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40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340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included in clinical practice guidelines;</w:t>
            </w:r>
          </w:p>
        </w:tc>
      </w:tr>
    </w:tbl>
    <w:p>
      <w:pPr>
        <w:pStyle w:val="TextBody"/>
        <w:spacing w:before="0" w:after="0"/>
        <w:jc w:val="left"/>
        <w:rPr/>
      </w:pPr>
      <w:r>
        <w:rPr/>
        <w:t> </w:t>
      </w:r>
    </w:p>
    <w:tbl>
      <w:tblPr>
        <w:tblW w:w="2278" w:type="dxa"/>
        <w:jc w:val="left"/>
        <w:tblInd w:w="0" w:type="dxa"/>
        <w:tblCellMar>
          <w:top w:w="28" w:type="dxa"/>
          <w:left w:w="28" w:type="dxa"/>
          <w:bottom w:w="28" w:type="dxa"/>
          <w:right w:w="28" w:type="dxa"/>
        </w:tblCellMar>
      </w:tblPr>
      <w:tblGrid>
        <w:gridCol w:w="177"/>
        <w:gridCol w:w="272"/>
        <w:gridCol w:w="162"/>
        <w:gridCol w:w="166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6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166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cost-effective; and</w:t>
            </w:r>
          </w:p>
        </w:tc>
      </w:tr>
    </w:tbl>
    <w:p>
      <w:pPr>
        <w:pStyle w:val="TextBody"/>
        <w:spacing w:before="0" w:after="0"/>
        <w:jc w:val="left"/>
        <w:rPr/>
      </w:pPr>
      <w:r>
        <w:rPr/>
        <w:t> </w:t>
      </w:r>
    </w:p>
    <w:tbl>
      <w:tblPr>
        <w:tblW w:w="4093" w:type="dxa"/>
        <w:jc w:val="left"/>
        <w:tblInd w:w="0" w:type="dxa"/>
        <w:tblCellMar>
          <w:top w:w="28" w:type="dxa"/>
          <w:left w:w="28" w:type="dxa"/>
          <w:bottom w:w="28" w:type="dxa"/>
          <w:right w:w="28" w:type="dxa"/>
        </w:tblCellMar>
      </w:tblPr>
      <w:tblGrid>
        <w:gridCol w:w="177"/>
        <w:gridCol w:w="272"/>
        <w:gridCol w:w="162"/>
        <w:gridCol w:w="348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48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348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neither experimental nor investigational.</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commercialize successfully any of our products for which we obtain regulatory approval will depend in part on the extent to which coverage and adequate reimbursement for these products and related treatments will be available from third-party payors, including government health care programs and private health insurers. Moreover, a payor’s decision to provide coverage for a biopharmaceutical product does not imply that an adequate reimbursement rate will be approved. If coverage and adequate reimbursement is not available, or is available only to limited levels, we may not be able to successfully commercialize REACT or any of our future product candidates. Even if coverage is provided, the approved reimbursement amount may not be high enough to allow us to establish or maintain pricing sufficient to realize a sufficient return on our investment.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United States, no uniform policy of coverage and reimbursement for products exists among third-party payors. Therefore, coverage and reimbursement for our products can differ significantly from payor to payor.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REACT or any of our future product candidates, if approved.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to current laws and state and federal health care reform measures that may be adopted in the future may result in additional reductions in Medicare and other health care funding and otherwise affect the prices we may obtain for any product candidates for which we may obtain regulatory approval or the frequency with which any such product candidate is prescribed or used.</w:t>
      </w:r>
    </w:p>
    <w:p>
      <w:pPr>
        <w:pStyle w:val="TextBody"/>
        <w:spacing w:before="360" w:after="0"/>
        <w:jc w:val="left"/>
        <w:rPr>
          <w:rFonts w:ascii="Times New Roman;serif" w:hAnsi="Times New Roman;serif"/>
          <w:b/>
          <w:i/>
          <w:sz w:val="20"/>
        </w:rPr>
      </w:pPr>
      <w:r>
        <w:rPr>
          <w:rFonts w:ascii="Times New Roman;serif" w:hAnsi="Times New Roman;serif"/>
          <w:b/>
          <w:i/>
          <w:sz w:val="20"/>
        </w:rPr>
        <w:t>If product liability lawsuits are brought against us, we may incur substantial financial or other liabilities and may be required to limit commercialization of REACT or our future product candidates.</w:t>
      </w:r>
    </w:p>
    <w:p>
      <w:pPr>
        <w:pStyle w:val="TextBody"/>
        <w:spacing w:before="120" w:after="0"/>
        <w:jc w:val="left"/>
        <w:rPr>
          <w:rFonts w:ascii="Times New Roman" w:hAnsi="Times New Roman"/>
          <w:sz w:val="20"/>
        </w:rPr>
      </w:pPr>
      <w:r>
        <w:rPr>
          <w:rFonts w:ascii="Times New Roman;serif" w:hAnsi="Times New Roman;serif"/>
          <w:b w:val="false"/>
          <w:sz w:val="20"/>
        </w:rPr>
        <w:t>We face an inherent risk of product liability as a result of testing REACT or any of our future product candidates in clinical trials and will face an even greater risk if we commercialize any products. For example, we may be sued if REACT or any of our future product candidates causes or is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64</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may incur substantial liabilities or be required to limit commercialization of REACT or any of our future product candidates. Even a successful defense of these claims would require significant financial and management resources. Regardless of the merits or eventual outcome, liability claims may result in:</w:t>
      </w:r>
    </w:p>
    <w:p>
      <w:pPr>
        <w:pStyle w:val="TextBody"/>
        <w:spacing w:before="0" w:after="0"/>
        <w:jc w:val="left"/>
        <w:rPr/>
      </w:pPr>
      <w:r>
        <w:rPr/>
        <w:t> </w:t>
      </w:r>
    </w:p>
    <w:tbl>
      <w:tblPr>
        <w:tblW w:w="4993" w:type="dxa"/>
        <w:jc w:val="left"/>
        <w:tblInd w:w="0" w:type="dxa"/>
        <w:tblCellMar>
          <w:top w:w="28" w:type="dxa"/>
          <w:left w:w="28" w:type="dxa"/>
          <w:bottom w:w="28" w:type="dxa"/>
          <w:right w:w="28" w:type="dxa"/>
        </w:tblCellMar>
      </w:tblPr>
      <w:tblGrid>
        <w:gridCol w:w="177"/>
        <w:gridCol w:w="272"/>
        <w:gridCol w:w="162"/>
        <w:gridCol w:w="438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438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438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inability to bring a product candidate to the market;</w:t>
            </w:r>
          </w:p>
        </w:tc>
      </w:tr>
    </w:tbl>
    <w:p>
      <w:pPr>
        <w:pStyle w:val="TextBody"/>
        <w:spacing w:before="0" w:after="0"/>
        <w:jc w:val="left"/>
        <w:rPr/>
      </w:pPr>
      <w:r>
        <w:rPr/>
        <w:t> </w:t>
      </w:r>
    </w:p>
    <w:tbl>
      <w:tblPr>
        <w:tblW w:w="3658" w:type="dxa"/>
        <w:jc w:val="left"/>
        <w:tblInd w:w="0" w:type="dxa"/>
        <w:tblCellMar>
          <w:top w:w="28" w:type="dxa"/>
          <w:left w:w="28" w:type="dxa"/>
          <w:bottom w:w="28" w:type="dxa"/>
          <w:right w:w="28" w:type="dxa"/>
        </w:tblCellMar>
      </w:tblPr>
      <w:tblGrid>
        <w:gridCol w:w="177"/>
        <w:gridCol w:w="272"/>
        <w:gridCol w:w="162"/>
        <w:gridCol w:w="304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04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304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decreased demand for our products;</w:t>
            </w:r>
          </w:p>
        </w:tc>
      </w:tr>
    </w:tbl>
    <w:p>
      <w:pPr>
        <w:pStyle w:val="TextBody"/>
        <w:spacing w:before="0" w:after="0"/>
        <w:jc w:val="left"/>
        <w:rPr/>
      </w:pPr>
      <w:r>
        <w:rPr/>
        <w:t> </w:t>
      </w:r>
    </w:p>
    <w:tbl>
      <w:tblPr>
        <w:tblW w:w="2743" w:type="dxa"/>
        <w:jc w:val="left"/>
        <w:tblInd w:w="0" w:type="dxa"/>
        <w:tblCellMar>
          <w:top w:w="28" w:type="dxa"/>
          <w:left w:w="28" w:type="dxa"/>
          <w:bottom w:w="28" w:type="dxa"/>
          <w:right w:w="28" w:type="dxa"/>
        </w:tblCellMar>
      </w:tblPr>
      <w:tblGrid>
        <w:gridCol w:w="177"/>
        <w:gridCol w:w="272"/>
        <w:gridCol w:w="162"/>
        <w:gridCol w:w="213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13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bookmarkStart w:id="61" w:name="bkmk_90"/>
            <w:bookmarkEnd w:id="61"/>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213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injury to our reputation;</w:t>
            </w:r>
          </w:p>
        </w:tc>
      </w:tr>
    </w:tbl>
    <w:p>
      <w:pPr>
        <w:pStyle w:val="TextBody"/>
        <w:spacing w:before="0" w:after="0"/>
        <w:jc w:val="left"/>
        <w:rPr/>
      </w:pPr>
      <w:r>
        <w:rPr/>
        <w:t> </w:t>
      </w:r>
    </w:p>
    <w:tbl>
      <w:tblPr>
        <w:tblW w:w="6868" w:type="dxa"/>
        <w:jc w:val="left"/>
        <w:tblInd w:w="0" w:type="dxa"/>
        <w:tblCellMar>
          <w:top w:w="28" w:type="dxa"/>
          <w:left w:w="28" w:type="dxa"/>
          <w:bottom w:w="28" w:type="dxa"/>
          <w:right w:w="28" w:type="dxa"/>
        </w:tblCellMar>
      </w:tblPr>
      <w:tblGrid>
        <w:gridCol w:w="177"/>
        <w:gridCol w:w="272"/>
        <w:gridCol w:w="162"/>
        <w:gridCol w:w="625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25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625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withdrawal of clinical trial subjects and inability to continue clinical trials;</w:t>
            </w:r>
          </w:p>
        </w:tc>
      </w:tr>
    </w:tbl>
    <w:p>
      <w:pPr>
        <w:pStyle w:val="TextBody"/>
        <w:spacing w:before="0" w:after="0"/>
        <w:jc w:val="left"/>
        <w:rPr/>
      </w:pPr>
      <w:r>
        <w:rPr/>
        <w:t> </w:t>
      </w:r>
    </w:p>
    <w:tbl>
      <w:tblPr>
        <w:tblW w:w="4123" w:type="dxa"/>
        <w:jc w:val="left"/>
        <w:tblInd w:w="0" w:type="dxa"/>
        <w:tblCellMar>
          <w:top w:w="28" w:type="dxa"/>
          <w:left w:w="28" w:type="dxa"/>
          <w:bottom w:w="28" w:type="dxa"/>
          <w:right w:w="28" w:type="dxa"/>
        </w:tblCellMar>
      </w:tblPr>
      <w:tblGrid>
        <w:gridCol w:w="177"/>
        <w:gridCol w:w="272"/>
        <w:gridCol w:w="162"/>
        <w:gridCol w:w="351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51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351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initiation of investigations by regulators;</w:t>
            </w:r>
          </w:p>
        </w:tc>
      </w:tr>
    </w:tbl>
    <w:p>
      <w:pPr>
        <w:pStyle w:val="TextBody"/>
        <w:spacing w:before="0" w:after="0"/>
        <w:jc w:val="left"/>
        <w:rPr/>
      </w:pPr>
      <w:r>
        <w:rPr/>
        <w:t> </w:t>
      </w:r>
    </w:p>
    <w:tbl>
      <w:tblPr>
        <w:tblW w:w="4678" w:type="dxa"/>
        <w:jc w:val="left"/>
        <w:tblInd w:w="0" w:type="dxa"/>
        <w:tblCellMar>
          <w:top w:w="28" w:type="dxa"/>
          <w:left w:w="28" w:type="dxa"/>
          <w:bottom w:w="28" w:type="dxa"/>
          <w:right w:w="28" w:type="dxa"/>
        </w:tblCellMar>
      </w:tblPr>
      <w:tblGrid>
        <w:gridCol w:w="177"/>
        <w:gridCol w:w="272"/>
        <w:gridCol w:w="162"/>
        <w:gridCol w:w="406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406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406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significant costs to defend the related litigation;</w:t>
            </w:r>
          </w:p>
        </w:tc>
      </w:tr>
    </w:tbl>
    <w:p>
      <w:pPr>
        <w:pStyle w:val="TextBody"/>
        <w:spacing w:before="0" w:after="0"/>
        <w:jc w:val="left"/>
        <w:rPr/>
      </w:pPr>
      <w:r>
        <w:rPr/>
        <w:t> </w:t>
      </w:r>
    </w:p>
    <w:tbl>
      <w:tblPr>
        <w:tblW w:w="6418" w:type="dxa"/>
        <w:jc w:val="left"/>
        <w:tblInd w:w="0" w:type="dxa"/>
        <w:tblCellMar>
          <w:top w:w="28" w:type="dxa"/>
          <w:left w:w="28" w:type="dxa"/>
          <w:bottom w:w="28" w:type="dxa"/>
          <w:right w:w="28" w:type="dxa"/>
        </w:tblCellMar>
      </w:tblPr>
      <w:tblGrid>
        <w:gridCol w:w="177"/>
        <w:gridCol w:w="272"/>
        <w:gridCol w:w="162"/>
        <w:gridCol w:w="580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80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580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reduced resources of our management to pursue our business strategy;</w:t>
            </w:r>
          </w:p>
        </w:tc>
      </w:tr>
    </w:tbl>
    <w:p>
      <w:pPr>
        <w:pStyle w:val="TextBody"/>
        <w:spacing w:before="0" w:after="0"/>
        <w:jc w:val="left"/>
        <w:rPr/>
      </w:pPr>
      <w:r>
        <w:rPr/>
        <w:t> </w:t>
      </w:r>
    </w:p>
    <w:tbl>
      <w:tblPr>
        <w:tblW w:w="4423" w:type="dxa"/>
        <w:jc w:val="left"/>
        <w:tblInd w:w="0" w:type="dxa"/>
        <w:tblCellMar>
          <w:top w:w="28" w:type="dxa"/>
          <w:left w:w="28" w:type="dxa"/>
          <w:bottom w:w="28" w:type="dxa"/>
          <w:right w:w="28" w:type="dxa"/>
        </w:tblCellMar>
      </w:tblPr>
      <w:tblGrid>
        <w:gridCol w:w="177"/>
        <w:gridCol w:w="272"/>
        <w:gridCol w:w="162"/>
        <w:gridCol w:w="381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81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381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substantial monetary awards to trial subjects;</w:t>
            </w:r>
          </w:p>
        </w:tc>
      </w:tr>
    </w:tbl>
    <w:p>
      <w:pPr>
        <w:pStyle w:val="TextBody"/>
        <w:spacing w:before="0" w:after="0"/>
        <w:jc w:val="left"/>
        <w:rPr/>
      </w:pPr>
      <w:r>
        <w:rPr/>
        <w:t> </w:t>
      </w:r>
    </w:p>
    <w:tbl>
      <w:tblPr>
        <w:tblW w:w="7153" w:type="dxa"/>
        <w:jc w:val="left"/>
        <w:tblInd w:w="0" w:type="dxa"/>
        <w:tblCellMar>
          <w:top w:w="28" w:type="dxa"/>
          <w:left w:w="28" w:type="dxa"/>
          <w:bottom w:w="28" w:type="dxa"/>
          <w:right w:w="28" w:type="dxa"/>
        </w:tblCellMar>
      </w:tblPr>
      <w:tblGrid>
        <w:gridCol w:w="177"/>
        <w:gridCol w:w="272"/>
        <w:gridCol w:w="162"/>
        <w:gridCol w:w="654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54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654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product recalls, withdrawals or labeling, marketing or promotional restrictions;</w:t>
            </w:r>
          </w:p>
        </w:tc>
      </w:tr>
    </w:tbl>
    <w:p>
      <w:pPr>
        <w:pStyle w:val="TextBody"/>
        <w:spacing w:before="0" w:after="0"/>
        <w:jc w:val="left"/>
        <w:rPr/>
      </w:pPr>
      <w:r>
        <w:rPr/>
        <w:t> </w:t>
      </w:r>
    </w:p>
    <w:tbl>
      <w:tblPr>
        <w:tblW w:w="2053" w:type="dxa"/>
        <w:jc w:val="left"/>
        <w:tblInd w:w="0" w:type="dxa"/>
        <w:tblCellMar>
          <w:top w:w="28" w:type="dxa"/>
          <w:left w:w="28" w:type="dxa"/>
          <w:bottom w:w="28" w:type="dxa"/>
          <w:right w:w="28" w:type="dxa"/>
        </w:tblCellMar>
      </w:tblPr>
      <w:tblGrid>
        <w:gridCol w:w="177"/>
        <w:gridCol w:w="272"/>
        <w:gridCol w:w="162"/>
        <w:gridCol w:w="144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144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loss of revenue;</w:t>
            </w:r>
          </w:p>
        </w:tc>
      </w:tr>
    </w:tbl>
    <w:p>
      <w:pPr>
        <w:pStyle w:val="TextBody"/>
        <w:spacing w:before="0" w:after="0"/>
        <w:jc w:val="left"/>
        <w:rPr/>
      </w:pPr>
      <w:r>
        <w:rPr/>
        <w:t> </w:t>
      </w:r>
    </w:p>
    <w:tbl>
      <w:tblPr>
        <w:tblW w:w="5968" w:type="dxa"/>
        <w:jc w:val="left"/>
        <w:tblInd w:w="0" w:type="dxa"/>
        <w:tblCellMar>
          <w:top w:w="28" w:type="dxa"/>
          <w:left w:w="28" w:type="dxa"/>
          <w:bottom w:w="28" w:type="dxa"/>
          <w:right w:w="28" w:type="dxa"/>
        </w:tblCellMar>
      </w:tblPr>
      <w:tblGrid>
        <w:gridCol w:w="177"/>
        <w:gridCol w:w="272"/>
        <w:gridCol w:w="162"/>
        <w:gridCol w:w="535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35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535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exhaustion of any available insurance and our capital resources;</w:t>
            </w:r>
          </w:p>
        </w:tc>
      </w:tr>
    </w:tbl>
    <w:p>
      <w:pPr>
        <w:pStyle w:val="TextBody"/>
        <w:spacing w:before="0" w:after="0"/>
        <w:jc w:val="left"/>
        <w:rPr/>
      </w:pPr>
      <w:r>
        <w:rPr/>
        <w:t> </w:t>
      </w:r>
    </w:p>
    <w:tbl>
      <w:tblPr>
        <w:tblW w:w="6448" w:type="dxa"/>
        <w:jc w:val="left"/>
        <w:tblInd w:w="0" w:type="dxa"/>
        <w:tblCellMar>
          <w:top w:w="28" w:type="dxa"/>
          <w:left w:w="28" w:type="dxa"/>
          <w:bottom w:w="28" w:type="dxa"/>
          <w:right w:w="28" w:type="dxa"/>
        </w:tblCellMar>
      </w:tblPr>
      <w:tblGrid>
        <w:gridCol w:w="177"/>
        <w:gridCol w:w="272"/>
        <w:gridCol w:w="162"/>
        <w:gridCol w:w="583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83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583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inability to commercialize any products that we may develop; and</w:t>
            </w:r>
          </w:p>
        </w:tc>
      </w:tr>
    </w:tbl>
    <w:p>
      <w:pPr>
        <w:pStyle w:val="TextBody"/>
        <w:spacing w:before="0" w:after="0"/>
        <w:jc w:val="left"/>
        <w:rPr/>
      </w:pPr>
      <w:r>
        <w:rPr/>
        <w:t> </w:t>
      </w:r>
    </w:p>
    <w:tbl>
      <w:tblPr>
        <w:tblW w:w="2863" w:type="dxa"/>
        <w:jc w:val="left"/>
        <w:tblInd w:w="0" w:type="dxa"/>
        <w:tblCellMar>
          <w:top w:w="28" w:type="dxa"/>
          <w:left w:w="28" w:type="dxa"/>
          <w:bottom w:w="28" w:type="dxa"/>
          <w:right w:w="28" w:type="dxa"/>
        </w:tblCellMar>
      </w:tblPr>
      <w:tblGrid>
        <w:gridCol w:w="177"/>
        <w:gridCol w:w="272"/>
        <w:gridCol w:w="162"/>
        <w:gridCol w:w="225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25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225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decline in our share price.</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inability to obtain sufficient product liability insurance at an acceptable cost to protect against potential product liability claims could prevent or inhibit the commercialization of products we develop. We will need to obtain additional insurance for clinical trials as REACT continues clinical development and as additional product candidates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spacing w:before="360" w:after="0"/>
        <w:jc w:val="left"/>
        <w:rPr>
          <w:rFonts w:ascii="Times New Roman;serif" w:hAnsi="Times New Roman;serif"/>
          <w:b/>
          <w:i/>
          <w:sz w:val="20"/>
        </w:rPr>
      </w:pPr>
      <w:r>
        <w:rPr>
          <w:rFonts w:ascii="Times New Roman;serif" w:hAnsi="Times New Roman;serif"/>
          <w:b/>
          <w:i/>
          <w:sz w:val="20"/>
        </w:rPr>
        <w:t>If we or any contract manufacturers and suppliers we engage, now or in the future, fail to comply with environmental, health, and safety laws and regulations, we could become subject to fines or penalties or incur costs that could substantially harm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and any CMOs and suppliers we engage, now or in the future,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pStyle w:val="TextBody"/>
        <w:spacing w:before="120" w:after="0"/>
        <w:jc w:val="left"/>
        <w:rPr>
          <w:rFonts w:ascii="Times New Roman" w:hAnsi="Times New Roman"/>
          <w:sz w:val="20"/>
        </w:rPr>
      </w:pPr>
      <w:bookmarkStart w:id="62" w:name="bkmk_91"/>
      <w:bookmarkEnd w:id="62"/>
      <w:r>
        <w:rPr>
          <w:rFonts w:ascii="Times New Roman;serif" w:hAnsi="Times New Roman;serif"/>
          <w:b w:val="false"/>
          <w:sz w:val="20"/>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w:t>
      </w:r>
      <w:r>
        <w:rPr>
          <w:rFonts w:ascii="Times New Roman" w:hAnsi="Times New Roman"/>
          <w:sz w:val="20"/>
        </w:rPr>
        <w:t xml:space="preserve"> </w:t>
      </w:r>
      <w:r>
        <w:rPr>
          <w:rFonts w:ascii="Times New Roman;serif" w:hAnsi="Times New Roman;serif"/>
          <w:b w:val="false"/>
          <w:sz w:val="20"/>
        </w:rPr>
        <w:t>event of contamination or injury, we could be held liable for damages or be penalized with fines in an amount exceeding our resources, and our clinical trials or regulatory approvals could be suspended, which could substantially harm our business.</w:t>
      </w:r>
    </w:p>
    <w:p>
      <w:pPr>
        <w:pStyle w:val="TextBody"/>
        <w:spacing w:before="360" w:after="0"/>
        <w:jc w:val="left"/>
        <w:rPr>
          <w:rFonts w:ascii="Times New Roman;serif" w:hAnsi="Times New Roman;serif"/>
          <w:b/>
          <w:sz w:val="20"/>
        </w:rPr>
      </w:pPr>
      <w:r>
        <w:rPr>
          <w:rFonts w:ascii="Times New Roman;serif" w:hAnsi="Times New Roman;serif"/>
          <w:b/>
          <w:sz w:val="20"/>
        </w:rPr>
        <w:t>Risks Related to Our Reliance on Third Parties</w:t>
      </w:r>
    </w:p>
    <w:p>
      <w:pPr>
        <w:pStyle w:val="TextBody"/>
        <w:spacing w:before="120" w:after="0"/>
        <w:jc w:val="left"/>
        <w:rPr>
          <w:rFonts w:ascii="Times New Roman" w:hAnsi="Times New Roman"/>
          <w:sz w:val="20"/>
        </w:rPr>
      </w:pPr>
      <w:r>
        <w:rPr>
          <w:rFonts w:ascii="Times New Roman;serif" w:hAnsi="Times New Roman;serif"/>
          <w:b/>
          <w:i/>
          <w:sz w:val="20"/>
        </w:rPr>
        <w:t>We rely on third parties to conduct, supervise and monitor a certain portion of our research and nonclinical testing and clinical trials for REACT, and if those third parties do not successfully carry out their contractual duties, comply with regulatory</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65</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i/>
          <w:sz w:val="20"/>
        </w:rPr>
      </w:pPr>
      <w:r>
        <w:rPr>
          <w:rFonts w:ascii="Times New Roman;serif" w:hAnsi="Times New Roman;serif"/>
          <w:b/>
          <w:i/>
          <w:sz w:val="20"/>
        </w:rPr>
        <w:t>requirements or otherwise perform satisfactorily, we may not be able to obtain regulatory approval or commercialize REACT, or such approval or commercialization may be delayed, and our business may be substantially harmed.</w:t>
      </w:r>
    </w:p>
    <w:p>
      <w:pPr>
        <w:pStyle w:val="TextBody"/>
        <w:spacing w:before="120" w:after="0"/>
        <w:jc w:val="left"/>
        <w:rPr>
          <w:rFonts w:ascii="Times New Roman" w:hAnsi="Times New Roman"/>
          <w:sz w:val="20"/>
        </w:rPr>
      </w:pPr>
      <w:r>
        <w:rPr>
          <w:rFonts w:ascii="Times New Roman;serif" w:hAnsi="Times New Roman;serif"/>
          <w:b w:val="false"/>
          <w:sz w:val="20"/>
        </w:rPr>
        <w:t>We depend, or may depend in the future, upon third parties to conduct certain aspects of our nonclinical studies and clinical trials, and to monitor and manage data, under agreements with universities, medical institutions, CROs, strategic collaborators and others. We expect to have to negotiate budgets and contracts with such third parties, which may result in delays to our development timelines and increased costs. We expect to continue to rely on third parties, including clinical CROs, medical institutions and clinical investigators, to conduct those clinical trials. If any of our relationships with these third-party CROs or others terminate, we may not be able to enter into arrangements with alternative CROs or other third parties or to do so on commercially reasonable terms, if at all. 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third parties conducting aspects of our nonclinical studies or clinical trials will not be our employees and, except for remedies that may be available to us under our agreements with such third parties, we cannot control whether or not they devote sufficient time and resources to our nonclinical studies and clinical trials.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or if they need to be replaced or if the quality or accuracy of the nonclinical or clinical data they obtain is compromised due to the failure to adhere to our protocols or regulatory requirements or for other reasons, our product development timelines, including clinical development timelines, may be extended, delayed or terminated, and we may not be able to complete development of, obtain regulatory approval of or successfully commercialize REACT. As a result, our financial results and the commercial prospects for REACT would be harmed, our costs could increase and our ability to generate revenue could be delayed.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will rely especially heavily on third parties over the course of our clinical trials and will have limited control over the clinical investigators and limited visibility into their day-to-day activities, including with respect to their compliance with the approved clinical trial protocol. Nevertheless, we are responsible for ensuring that each of our clinical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clinical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nonclinical studies or clinical trials before approving our marketing applications. We cannot be certain that, upon inspection, such regulatory authorities will determine that any of our clinical trials comply with the GCP requirements. In addition, our clinical trials must be conducted with biologic product produced under cGMP, and likely cGTP regulations and will require a large number of test subjects. Our failure or any failure by our contracted third parties, including CROs, to comply with these regulations or to recruit a sufficient number of subjects may require us to repeat clinical trials, which would delay the regulatory approval process. Moreover, our business may be implicated if any of these third parties violates federal or state fraud and abuse or false claims laws and regulations or health care privacy and security laws.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also are required to register certain ongoing clinical trials and post the results of certain completed clinical trials on a government-sponsored database, ClinicalTrials.gov, within specified timeframes. Failure to do so can result in fines, adverse publicity and civil and criminal sanctions.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for REACT or any of our future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also expect to rely on other third parties to store and distribute product supplies for our clinical trials. Any performance failure on the part of our distributors could delay clinical development or marketing approval of REACT or any of our future product candidates or commercialization of REACT or any of our future product candidates, producing additional losses and depriving us of potential revenue.</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66</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We rely on third parties for materials, including tissue samples, required for our research and development activities, and if we are unable to reach agreements with these third parties our research and development activities would be delayed.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our ability to implement a key part of our development strategy will be compromised.</w:t>
      </w:r>
    </w:p>
    <w:p>
      <w:pPr>
        <w:pStyle w:val="TextBody"/>
        <w:spacing w:before="360" w:after="0"/>
        <w:jc w:val="left"/>
        <w:rPr>
          <w:rFonts w:ascii="Times New Roman;serif" w:hAnsi="Times New Roman;serif"/>
          <w:b/>
          <w:i/>
          <w:sz w:val="20"/>
        </w:rPr>
      </w:pPr>
      <w:r>
        <w:rPr>
          <w:rFonts w:ascii="Times New Roman;serif" w:hAnsi="Times New Roman;serif"/>
          <w:b/>
          <w:i/>
          <w:sz w:val="20"/>
        </w:rPr>
        <w:t>We may in the future seek to enter into collaborations with third parties for the development and commercialization of REACT and/or our future product candidates, and our future collaborations will be important to our business. If we are unable to enter into collaborations, or if these collaborations are not successful, our business could be adversely affected.</w:t>
      </w:r>
    </w:p>
    <w:p>
      <w:pPr>
        <w:pStyle w:val="TextBody"/>
        <w:spacing w:before="120" w:after="0"/>
        <w:jc w:val="left"/>
        <w:rPr>
          <w:rFonts w:ascii="Times New Roman" w:hAnsi="Times New Roman"/>
          <w:sz w:val="20"/>
        </w:rPr>
      </w:pPr>
      <w:bookmarkStart w:id="63" w:name="bkmk_93"/>
      <w:bookmarkEnd w:id="63"/>
      <w:r>
        <w:rPr>
          <w:rFonts w:ascii="Times New Roman;serif" w:hAnsi="Times New Roman;serif"/>
          <w:b w:val="false"/>
          <w:sz w:val="20"/>
        </w:rPr>
        <w:t>A part of our strategy is to consider partnerships in indications and geographies where we believe partners can add significant commercial and/or development capabilities. Further, we have limited capabilities for product</w:t>
      </w:r>
      <w:r>
        <w:rPr>
          <w:rFonts w:ascii="Times New Roman" w:hAnsi="Times New Roman"/>
          <w:sz w:val="20"/>
        </w:rPr>
        <w:t xml:space="preserve"> </w:t>
      </w:r>
      <w:r>
        <w:rPr>
          <w:rFonts w:ascii="Times New Roman;serif" w:hAnsi="Times New Roman;serif"/>
          <w:b w:val="false"/>
          <w:sz w:val="20"/>
        </w:rPr>
        <w:t>development and do not yet have any capability for commercialization. Accordingly, we have entered into and may in the future enter into collaborations with other companies to provide us with important technologies and funding for our programs and technology.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future collaborations we enter into may pose a number of risks, including the following:</w:t>
      </w:r>
    </w:p>
    <w:p>
      <w:pPr>
        <w:pStyle w:val="TextBody"/>
        <w:spacing w:before="0" w:after="0"/>
        <w:jc w:val="left"/>
        <w:rPr/>
      </w:pPr>
      <w:r>
        <w:rPr/>
        <w:t> </w:t>
      </w:r>
    </w:p>
    <w:tbl>
      <w:tblPr>
        <w:tblW w:w="8983" w:type="dxa"/>
        <w:jc w:val="left"/>
        <w:tblInd w:w="0" w:type="dxa"/>
        <w:tblCellMar>
          <w:top w:w="28" w:type="dxa"/>
          <w:left w:w="28" w:type="dxa"/>
          <w:bottom w:w="28" w:type="dxa"/>
          <w:right w:w="28" w:type="dxa"/>
        </w:tblCellMar>
      </w:tblPr>
      <w:tblGrid>
        <w:gridCol w:w="177"/>
        <w:gridCol w:w="272"/>
        <w:gridCol w:w="162"/>
        <w:gridCol w:w="837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37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83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collaborators have significant discretion in determining the efforts and resources that they will apply;</w:t>
            </w:r>
          </w:p>
        </w:tc>
      </w:tr>
    </w:tbl>
    <w:p>
      <w:pPr>
        <w:pStyle w:val="TextBody"/>
        <w:spacing w:before="0" w:after="0"/>
        <w:jc w:val="left"/>
        <w:rPr/>
      </w:pPr>
      <w:r>
        <w:rPr/>
        <w:t> </w:t>
      </w:r>
    </w:p>
    <w:tbl>
      <w:tblPr>
        <w:tblW w:w="5668" w:type="dxa"/>
        <w:jc w:val="left"/>
        <w:tblInd w:w="0" w:type="dxa"/>
        <w:tblCellMar>
          <w:top w:w="28" w:type="dxa"/>
          <w:left w:w="28" w:type="dxa"/>
          <w:bottom w:w="28" w:type="dxa"/>
          <w:right w:w="28" w:type="dxa"/>
        </w:tblCellMar>
      </w:tblPr>
      <w:tblGrid>
        <w:gridCol w:w="177"/>
        <w:gridCol w:w="272"/>
        <w:gridCol w:w="162"/>
        <w:gridCol w:w="505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05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505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collaborators may not perform their obligations as expected;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tc>
      </w:tr>
    </w:tbl>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product candidates discovered in collaboration with us may be viewed by our collaborators as competitive with their own product candidates or products, which may cause collaborators to cease to devote resources to the commercialization of REACT or our future product candidates;</w:t>
            </w:r>
          </w:p>
        </w:tc>
      </w:tr>
    </w:tbl>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collaborators may fail to comply with applicable regulatory requirements regarding the development, manufacture, distribution or marketing of a product candidate or product;</w:t>
            </w:r>
          </w:p>
        </w:tc>
      </w:tr>
    </w:tbl>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collaborators with marketing and distribution rights to REACT or one or more of our future product candidates that achieve regulatory approval may not commit sufficient resources to the marketing and distribution of such product or products;</w:t>
            </w:r>
          </w:p>
        </w:tc>
      </w:tr>
    </w:tbl>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collaborators may not provide us with timely and accurate information regarding development progress and activity under any future license agreement, which could adversely impact our ability to report progress to our investors and otherwise plan development of REACT or our future product candidates;</w:t>
            </w:r>
          </w:p>
        </w:tc>
      </w:tr>
    </w:tbl>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tc>
      </w:tr>
    </w:tbl>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tc>
      </w:tr>
    </w:tbl>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collaborators may infringe the intellectual property rights of third parties, which may expose us to litigation and potential liability;</w:t>
            </w:r>
          </w:p>
        </w:tc>
      </w:tr>
    </w:tbl>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if a collaborator of ours is involved in a business combination, the collaborator might deemphasize or terminate the development or commercialization of any product candidate licensed to it by us; and</w:t>
            </w:r>
          </w:p>
        </w:tc>
      </w:tr>
    </w:tbl>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collaborations may be terminated by the collaborator, and, if terminated, we could be required to raise additional capital to pursue further development or commercialization of the applicable product candidates.</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67</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bookmarkStart w:id="64" w:name="bkmk_94"/>
      <w:bookmarkEnd w:id="64"/>
      <w:r>
        <w:rPr>
          <w:rFonts w:ascii="Times New Roman;serif" w:hAnsi="Times New Roman;serif"/>
          <w:b w:val="false"/>
          <w:sz w:val="20"/>
        </w:rPr>
        <w:t>If any future collaborations we enter into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Annual Report also apply to the activities of our collaborators.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if one of our collaborators terminates its agreement with us, we may find it more difficult to attract new collaborators and our perception in the business and financial communities could be adversely affected.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face significant competition in seeking appropriate collaborators for REACT and future product candidates, and the negotiation process is time-consuming and complex. In order for us to successfully establish a collaboration for REACT or any of our future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REACT or future product candidates, bring them to market and generate revenue from sales of such products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REACT or our future product candidates could delay their development and commercialization and reduce their competitiveness even if it reaches the market.</w:t>
      </w:r>
    </w:p>
    <w:p>
      <w:pPr>
        <w:pStyle w:val="TextBody"/>
        <w:spacing w:before="360" w:after="0"/>
        <w:jc w:val="left"/>
        <w:rPr>
          <w:rFonts w:ascii="Times New Roman;serif" w:hAnsi="Times New Roman;serif"/>
          <w:b/>
          <w:sz w:val="20"/>
        </w:rPr>
      </w:pPr>
      <w:r>
        <w:rPr>
          <w:rFonts w:ascii="Times New Roman;serif" w:hAnsi="Times New Roman;serif"/>
          <w:b/>
          <w:sz w:val="20"/>
        </w:rPr>
        <w:t>Risks Related to Legal and Regulatory Compliance Matters</w:t>
      </w:r>
    </w:p>
    <w:p>
      <w:pPr>
        <w:pStyle w:val="TextBody"/>
        <w:spacing w:before="120" w:after="0"/>
        <w:jc w:val="left"/>
        <w:rPr>
          <w:rFonts w:ascii="Times New Roman;serif" w:hAnsi="Times New Roman;serif"/>
          <w:b/>
          <w:i/>
          <w:sz w:val="20"/>
        </w:rPr>
      </w:pPr>
      <w:r>
        <w:rPr>
          <w:rFonts w:ascii="Times New Roman;serif" w:hAnsi="Times New Roman;serif"/>
          <w:b/>
          <w:i/>
          <w:sz w:val="20"/>
        </w:rPr>
        <w:t>Our relationships with customers, health care providers, physicians, prescribers, purchasers, third-party payors, charitable organizations and patients will be subject to applicable anti-kickback, fraud and abuse and other health care laws and regulations, which could expose us to criminal sanctions, civil penalties, contractual damages, reputational harm and diminished profits and future earnings.</w:t>
      </w:r>
    </w:p>
    <w:p>
      <w:pPr>
        <w:pStyle w:val="TextBody"/>
        <w:spacing w:before="120" w:after="0"/>
        <w:jc w:val="left"/>
        <w:rPr>
          <w:rFonts w:ascii="Times New Roman" w:hAnsi="Times New Roman"/>
          <w:sz w:val="20"/>
        </w:rPr>
      </w:pPr>
      <w:bookmarkStart w:id="65" w:name="bkmk_95"/>
      <w:bookmarkEnd w:id="65"/>
      <w:r>
        <w:rPr>
          <w:rFonts w:ascii="Times New Roman;serif" w:hAnsi="Times New Roman;serif"/>
          <w:b w:val="false"/>
          <w:sz w:val="20"/>
        </w:rPr>
        <w:t>Although we do not currently have any products on the market, upon commercialization of REACT or any of our future product candidates, if approved, we will be subject to additional health care statutory and regulatory requirements and oversight by federal and state governments in the United States as well as foreign governments in the jurisdictions in which we conduct our business. Health care providers, including physicians, in the United States and elsewhere play a primary role in the recommendation and prescription of biopharmaceutical products. Arrangements with third-party payors and customers can expose biopharmaceutical manufacturers to broadly applicable fraud and abuse and other health care laws and regulations, including, without limitation, the AKS and the FCA, which may constrain the business or financial arrangements and relationships through which such companies sell, market and distribute biopharmaceutical products. In</w:t>
      </w:r>
      <w:r>
        <w:rPr>
          <w:rFonts w:ascii="Times New Roman" w:hAnsi="Times New Roman"/>
          <w:sz w:val="20"/>
        </w:rPr>
        <w:t xml:space="preserve"> </w:t>
      </w:r>
      <w:r>
        <w:rPr>
          <w:rFonts w:ascii="Times New Roman;serif" w:hAnsi="Times New Roman;serif"/>
          <w:b w:val="false"/>
          <w:sz w:val="20"/>
        </w:rPr>
        <w:t>particular, the research of REACT or any of our future product candidates, as well as the promotion, sales and marketing of health care items and services, as well as certain business arrangements in the health 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pStyle w:val="TextBody"/>
        <w:spacing w:before="120" w:after="0"/>
        <w:jc w:val="left"/>
        <w:rPr>
          <w:rFonts w:ascii="Times New Roman" w:hAnsi="Times New Roman"/>
          <w:sz w:val="20"/>
        </w:rPr>
      </w:pPr>
      <w:r>
        <w:rPr>
          <w:rFonts w:ascii="Times New Roman;serif" w:hAnsi="Times New Roman;serif"/>
          <w:b w:val="false"/>
          <w:sz w:val="20"/>
        </w:rPr>
        <w:t>The health care laws that may affect us include: the federal fraud and abuse laws, including the AKS; false claims and civil monetary penalties laws, including the FCA and Civil Monetary Penalties Law; federal data privacy and security laws, including HIPAA, as amended by HITECH; and the federal Physician Payments Sunshine Act requiring reports of payments and/or other transfers of value made to or held by physicians (including doctors, dentists, optometrists, podiatrists, and chiropractors), certain non-physician health practitioners, and teaching hospitals, as well as certain ownership and investment interests held by physicians, during the previous year. In addition, many states have similar laws and regulations that may differ from each other and federal law in significant ways, thus complicating compliance efforts. Moreover, several states require biopharmaceutical companies to comply with the biopharmaceutical industry’s voluntary compliance guidelines and the relevant compliance guidance promulgated by the federal government and may require manufacturers to report information related to payments and other transfers of value to</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68</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physicians and other health care providers or marketing expenditures. Additionally, some state and local laws require the registration of biopharmaceutical sales representatives in the jurisdiction.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scope and enforcement of each of these laws is uncertain and subject to rapid change in the current environment of health care reform, especially in light of the lack of applicable precedent and regulations. Ensuring business arrangements comply with applicable health care laws, as well as responding to possible investigations by government authorities, can be time- and resource-consuming and can divert a company’s attention from other aspects of its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It is possible that governmental and enforcement authorities will conclude that our business practices may not comply with current or future statutes, regulations or case law interpreting applicable fraud and abuse or other health 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 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 care providers or entities with whom we expect to do business is found not to be in compliance with applicable laws, they may be subject to significant criminal, civil or administrative sanctions, including exclusions from government funded health care programs. Any action for violation of these laws, even if successfully defended, could cause a biopharmaceutical manufacturer to incur significant legal expenses and divert management’s attention from the operation of the business. Therefore, even if we are successful in defending against any such actions that may be brought against us, our business may be impaired. Prohibitions or restrictions on sales or withdrawal of future marketed products could materially affect business in an adverse way.</w:t>
      </w:r>
    </w:p>
    <w:p>
      <w:pPr>
        <w:pStyle w:val="TextBody"/>
        <w:spacing w:before="360" w:after="0"/>
        <w:jc w:val="left"/>
        <w:rPr>
          <w:rFonts w:ascii="Times New Roman;serif" w:hAnsi="Times New Roman;serif"/>
          <w:b/>
          <w:i/>
          <w:sz w:val="20"/>
        </w:rPr>
      </w:pPr>
      <w:r>
        <w:rPr>
          <w:rFonts w:ascii="Times New Roman;serif" w:hAnsi="Times New Roman;serif"/>
          <w:b/>
          <w:i/>
          <w:sz w:val="20"/>
        </w:rPr>
        <w:t>Even if we receive regulatory approval of any product candidates, we will be subject to ongoing regulatory oversight and continued regulatory review, which may result in significant additional expense and we may be subject to penalties if we fail to comply with regulatory requirements or experience unanticipated problems with REACT or any of our future product candidates.</w:t>
      </w:r>
    </w:p>
    <w:p>
      <w:pPr>
        <w:pStyle w:val="TextBody"/>
        <w:spacing w:before="120" w:after="0"/>
        <w:jc w:val="left"/>
        <w:rPr>
          <w:rFonts w:ascii="Times New Roman" w:hAnsi="Times New Roman"/>
          <w:sz w:val="20"/>
        </w:rPr>
      </w:pPr>
      <w:bookmarkStart w:id="66" w:name="bkmk_96"/>
      <w:bookmarkEnd w:id="66"/>
      <w:r>
        <w:rPr>
          <w:rFonts w:ascii="Times New Roman;serif" w:hAnsi="Times New Roman;serif"/>
          <w:b w:val="false"/>
          <w:sz w:val="20"/>
        </w:rPr>
        <w:t>If REACT or any of our future product candidates is approved, activities such as the manufacturing, labeling, packaging, storage, advertising, promotion, sampling, and record keeping for the products will be</w:t>
      </w:r>
      <w:r>
        <w:rPr>
          <w:rFonts w:ascii="Times New Roman" w:hAnsi="Times New Roman"/>
          <w:sz w:val="20"/>
        </w:rPr>
        <w:t xml:space="preserve"> </w:t>
      </w:r>
      <w:r>
        <w:rPr>
          <w:rFonts w:ascii="Times New Roman;serif" w:hAnsi="Times New Roman;serif"/>
          <w:b w:val="false"/>
          <w:sz w:val="20"/>
        </w:rPr>
        <w:t>subject to extensive and ongoing regulatory requirements. These requirements include submissions of safety and other post-marketing information and reports, registration, as well as continued compliance with cGMP and cGTP regulations. Biopharmaceutical manufacturers and any CMOs responsible for any product manufacturing processes are required to comply with extensive FDA and comparable foreign regulatory authority requirements, including ensuring that quality control and manufacturing procedures conform to cGMP and cGTP regulations and any applicable foreign equivalents. As such, we and any CMOs we may employ in the future will be subject to continual review and inspections to assess compliance with cGMP and cGTP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FDA or a comparable foreign regulatory authority may also impose requirements for costly post-marketing nonclinical studies or clinical trials (often called Phase 4 trials) and post-marketing surveillance to monitor the safety or efficacy of the product. If we or a regulatory authority discover previously unknown problems with a product, such as adverse events of unanticipated severity or frequency, production problems or issues with the facility where the product is manufactured or processed, such as product contamination or significant noncompliance with applicable cGMP regulations, a regulator may impose restrictions on that product, the manufacturing facility or us. If we or our third-party providers fail to comply fully with applicable regulations, then we may be required to initiate a recall or withdrawal of our products.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Later discovery of previously unknown problems with REACT or any of our future product candidates, including adverse events of unanticipated severity or frequency, or with our manufacturing processes, or failure to comply with regulatory requirements, may result in the following, among other things:</w:t>
      </w:r>
    </w:p>
    <w:p>
      <w:pPr>
        <w:pStyle w:val="TextBody"/>
        <w:spacing w:before="0" w:after="0"/>
        <w:jc w:val="left"/>
        <w:rPr/>
      </w:pPr>
      <w:r>
        <w:rPr/>
        <w:t> </w:t>
      </w:r>
    </w:p>
    <w:tbl>
      <w:tblPr>
        <w:tblW w:w="9433" w:type="dxa"/>
        <w:jc w:val="left"/>
        <w:tblInd w:w="0" w:type="dxa"/>
        <w:tblCellMar>
          <w:top w:w="28" w:type="dxa"/>
          <w:left w:w="28" w:type="dxa"/>
          <w:bottom w:w="28" w:type="dxa"/>
          <w:right w:w="28" w:type="dxa"/>
        </w:tblCellMar>
      </w:tblPr>
      <w:tblGrid>
        <w:gridCol w:w="177"/>
        <w:gridCol w:w="272"/>
        <w:gridCol w:w="162"/>
        <w:gridCol w:w="882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82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882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restrictions on the manufacturing of the product, the approved manufacturers or the manufacturing process;</w:t>
            </w:r>
          </w:p>
        </w:tc>
      </w:tr>
    </w:tbl>
    <w:p>
      <w:pPr>
        <w:pStyle w:val="TextBody"/>
        <w:spacing w:before="0" w:after="0"/>
        <w:jc w:val="left"/>
        <w:rPr/>
      </w:pPr>
      <w:r>
        <w:rPr/>
        <w:t> </w:t>
      </w:r>
    </w:p>
    <w:p>
      <w:pPr>
        <w:pStyle w:val="TextBody"/>
        <w:spacing w:before="0" w:after="0"/>
        <w:jc w:val="left"/>
        <w:rPr/>
      </w:pPr>
      <w:r>
        <w:rPr/>
        <w:t> </w:t>
      </w:r>
    </w:p>
    <w:tbl>
      <w:tblPr>
        <w:tblW w:w="5113" w:type="dxa"/>
        <w:jc w:val="left"/>
        <w:tblInd w:w="0" w:type="dxa"/>
        <w:tblCellMar>
          <w:top w:w="28" w:type="dxa"/>
          <w:left w:w="28" w:type="dxa"/>
          <w:bottom w:w="28" w:type="dxa"/>
          <w:right w:w="28" w:type="dxa"/>
        </w:tblCellMar>
      </w:tblPr>
      <w:tblGrid>
        <w:gridCol w:w="177"/>
        <w:gridCol w:w="272"/>
        <w:gridCol w:w="162"/>
        <w:gridCol w:w="450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450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450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restrictions on the labeling or marketing of a product;</w:t>
            </w:r>
          </w:p>
        </w:tc>
      </w:tr>
    </w:tbl>
    <w:p>
      <w:pPr>
        <w:pStyle w:val="TextBody"/>
        <w:spacing w:before="0" w:after="0"/>
        <w:jc w:val="left"/>
        <w:rPr/>
      </w:pPr>
      <w:r>
        <w:rPr/>
        <w:t> </w:t>
      </w:r>
    </w:p>
    <w:tbl>
      <w:tblPr>
        <w:tblW w:w="4432" w:type="dxa"/>
        <w:jc w:val="left"/>
        <w:tblInd w:w="0" w:type="dxa"/>
        <w:tblCellMar>
          <w:top w:w="28" w:type="dxa"/>
          <w:left w:w="28" w:type="dxa"/>
          <w:bottom w:w="28" w:type="dxa"/>
          <w:right w:w="28" w:type="dxa"/>
        </w:tblCellMar>
      </w:tblPr>
      <w:tblGrid>
        <w:gridCol w:w="411"/>
        <w:gridCol w:w="272"/>
        <w:gridCol w:w="162"/>
        <w:gridCol w:w="3587"/>
      </w:tblGrid>
      <w:tr>
        <w:trPr/>
        <w:tc>
          <w:tcPr>
            <w:tcW w:w="411"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587" w:type="dxa"/>
            <w:tcBorders/>
            <w:shd w:fill="auto" w:val="clear"/>
            <w:vAlign w:val="center"/>
          </w:tcPr>
          <w:p>
            <w:pPr>
              <w:pStyle w:val="TableContents"/>
              <w:spacing w:before="0" w:after="283"/>
              <w:rPr>
                <w:sz w:val="4"/>
                <w:szCs w:val="4"/>
              </w:rPr>
            </w:pPr>
            <w:r>
              <w:rPr>
                <w:sz w:val="4"/>
                <w:szCs w:val="4"/>
              </w:rPr>
            </w:r>
          </w:p>
        </w:tc>
      </w:tr>
      <w:tr>
        <w:trPr/>
        <w:tc>
          <w:tcPr>
            <w:tcW w:w="411" w:type="dxa"/>
            <w:tcBorders/>
            <w:shd w:fill="auto" w:val="clear"/>
            <w:vAlign w:val="center"/>
          </w:tcPr>
          <w:p>
            <w:pPr>
              <w:pStyle w:val="TableContents"/>
              <w:spacing w:before="0" w:after="0"/>
              <w:ind w:left="0" w:right="250"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358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restrictions on product distribution or use;</w:t>
            </w:r>
          </w:p>
        </w:tc>
      </w:tr>
    </w:tbl>
    <w:p>
      <w:pPr>
        <w:pStyle w:val="TextBody"/>
        <w:spacing w:before="0" w:after="0"/>
        <w:jc w:val="left"/>
        <w:rPr/>
      </w:pPr>
      <w:r>
        <w:rPr/>
        <w:t> </w:t>
      </w:r>
    </w:p>
    <w:tbl>
      <w:tblPr>
        <w:tblW w:w="6013" w:type="dxa"/>
        <w:jc w:val="left"/>
        <w:tblInd w:w="0" w:type="dxa"/>
        <w:tblCellMar>
          <w:top w:w="28" w:type="dxa"/>
          <w:left w:w="28" w:type="dxa"/>
          <w:bottom w:w="28" w:type="dxa"/>
          <w:right w:w="28" w:type="dxa"/>
        </w:tblCellMar>
      </w:tblPr>
      <w:tblGrid>
        <w:gridCol w:w="177"/>
        <w:gridCol w:w="272"/>
        <w:gridCol w:w="162"/>
        <w:gridCol w:w="540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40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540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requirements to conduct post-marketing studies or clinical trials;</w:t>
            </w:r>
          </w:p>
        </w:tc>
      </w:tr>
    </w:tbl>
    <w:p>
      <w:pPr>
        <w:pStyle w:val="TextBody"/>
        <w:spacing w:before="0" w:after="0"/>
        <w:jc w:val="left"/>
        <w:rPr/>
      </w:pPr>
      <w:r>
        <w:rPr/>
        <w:t> </w:t>
      </w:r>
    </w:p>
    <w:tbl>
      <w:tblPr>
        <w:tblW w:w="4243" w:type="dxa"/>
        <w:jc w:val="left"/>
        <w:tblInd w:w="0" w:type="dxa"/>
        <w:tblCellMar>
          <w:top w:w="28" w:type="dxa"/>
          <w:left w:w="28" w:type="dxa"/>
          <w:bottom w:w="28" w:type="dxa"/>
          <w:right w:w="28" w:type="dxa"/>
        </w:tblCellMar>
      </w:tblPr>
      <w:tblGrid>
        <w:gridCol w:w="177"/>
        <w:gridCol w:w="272"/>
        <w:gridCol w:w="162"/>
        <w:gridCol w:w="363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63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363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withdrawal of the product from the market;</w:t>
            </w:r>
          </w:p>
        </w:tc>
      </w:tr>
    </w:tbl>
    <w:p>
      <w:pPr>
        <w:pStyle w:val="TextBody"/>
        <w:spacing w:before="0" w:after="0"/>
        <w:jc w:val="left"/>
        <w:rPr/>
      </w:pPr>
      <w:r>
        <w:rPr/>
        <w:t> </w:t>
      </w:r>
    </w:p>
    <w:tbl>
      <w:tblPr>
        <w:tblW w:w="2038" w:type="dxa"/>
        <w:jc w:val="left"/>
        <w:tblInd w:w="0" w:type="dxa"/>
        <w:tblCellMar>
          <w:top w:w="28" w:type="dxa"/>
          <w:left w:w="28" w:type="dxa"/>
          <w:bottom w:w="28" w:type="dxa"/>
          <w:right w:w="28" w:type="dxa"/>
        </w:tblCellMar>
      </w:tblPr>
      <w:tblGrid>
        <w:gridCol w:w="177"/>
        <w:gridCol w:w="272"/>
        <w:gridCol w:w="162"/>
        <w:gridCol w:w="142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42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142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product recalls;</w:t>
            </w:r>
          </w:p>
        </w:tc>
      </w:tr>
    </w:tbl>
    <w:p>
      <w:pPr>
        <w:pStyle w:val="TextBody"/>
        <w:spacing w:before="0" w:after="0"/>
        <w:jc w:val="left"/>
        <w:rPr/>
      </w:pPr>
      <w:r>
        <w:rPr/>
        <w:t> </w:t>
      </w:r>
    </w:p>
    <w:tbl>
      <w:tblPr>
        <w:tblW w:w="9763" w:type="dxa"/>
        <w:jc w:val="left"/>
        <w:tblInd w:w="0" w:type="dxa"/>
        <w:tblCellMar>
          <w:top w:w="28" w:type="dxa"/>
          <w:left w:w="28" w:type="dxa"/>
          <w:bottom w:w="28" w:type="dxa"/>
          <w:right w:w="28" w:type="dxa"/>
        </w:tblCellMar>
      </w:tblPr>
      <w:tblGrid>
        <w:gridCol w:w="177"/>
        <w:gridCol w:w="272"/>
        <w:gridCol w:w="162"/>
        <w:gridCol w:w="915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15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15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warning or untitled letters from the FDA or comparable notice of violations from foreign regulatory authorities;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refusal of the FDA or other applicable regulatory authority to approve pending applications or supplements to approved applications;</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69</w:t>
      </w:r>
    </w:p>
    <w:p>
      <w:pPr>
        <w:pStyle w:val="HorizontalLine"/>
        <w:rPr/>
      </w:pPr>
      <w:r>
        <w:rPr/>
      </w:r>
    </w:p>
    <w:p>
      <w:pPr>
        <w:pStyle w:val="TextBody"/>
        <w:spacing w:before="0" w:after="0"/>
        <w:jc w:val="left"/>
        <w:rPr/>
      </w:pPr>
      <w:r>
        <w:rPr/>
        <w:t> </w:t>
      </w:r>
    </w:p>
    <w:tbl>
      <w:tblPr>
        <w:tblW w:w="5278" w:type="dxa"/>
        <w:jc w:val="left"/>
        <w:tblInd w:w="0" w:type="dxa"/>
        <w:tblCellMar>
          <w:top w:w="28" w:type="dxa"/>
          <w:left w:w="28" w:type="dxa"/>
          <w:bottom w:w="28" w:type="dxa"/>
          <w:right w:w="28" w:type="dxa"/>
        </w:tblCellMar>
      </w:tblPr>
      <w:tblGrid>
        <w:gridCol w:w="177"/>
        <w:gridCol w:w="272"/>
        <w:gridCol w:w="162"/>
        <w:gridCol w:w="466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466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466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fines, restitution or disgorgement of profits or revenues;</w:t>
            </w:r>
          </w:p>
        </w:tc>
      </w:tr>
    </w:tbl>
    <w:p>
      <w:pPr>
        <w:pStyle w:val="TextBody"/>
        <w:spacing w:before="0" w:after="0"/>
        <w:jc w:val="left"/>
        <w:rPr/>
      </w:pPr>
      <w:r>
        <w:rPr/>
        <w:t> </w:t>
      </w:r>
    </w:p>
    <w:tbl>
      <w:tblPr>
        <w:tblW w:w="4813" w:type="dxa"/>
        <w:jc w:val="left"/>
        <w:tblInd w:w="0" w:type="dxa"/>
        <w:tblCellMar>
          <w:top w:w="28" w:type="dxa"/>
          <w:left w:w="28" w:type="dxa"/>
          <w:bottom w:w="28" w:type="dxa"/>
          <w:right w:w="28" w:type="dxa"/>
        </w:tblCellMar>
      </w:tblPr>
      <w:tblGrid>
        <w:gridCol w:w="177"/>
        <w:gridCol w:w="272"/>
        <w:gridCol w:w="162"/>
        <w:gridCol w:w="420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420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420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suspension or withdrawal of marketing approvals;</w:t>
            </w:r>
          </w:p>
        </w:tc>
      </w:tr>
    </w:tbl>
    <w:p>
      <w:pPr>
        <w:pStyle w:val="TextBody"/>
        <w:spacing w:before="0" w:after="0"/>
        <w:jc w:val="left"/>
        <w:rPr/>
      </w:pPr>
      <w:r>
        <w:rPr/>
        <w:t> </w:t>
      </w:r>
    </w:p>
    <w:tbl>
      <w:tblPr>
        <w:tblW w:w="4663" w:type="dxa"/>
        <w:jc w:val="left"/>
        <w:tblInd w:w="0" w:type="dxa"/>
        <w:tblCellMar>
          <w:top w:w="28" w:type="dxa"/>
          <w:left w:w="28" w:type="dxa"/>
          <w:bottom w:w="28" w:type="dxa"/>
          <w:right w:w="28" w:type="dxa"/>
        </w:tblCellMar>
      </w:tblPr>
      <w:tblGrid>
        <w:gridCol w:w="177"/>
        <w:gridCol w:w="272"/>
        <w:gridCol w:w="162"/>
        <w:gridCol w:w="405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405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405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suspension of any of our ongoing clinical trials;</w:t>
            </w:r>
          </w:p>
        </w:tc>
      </w:tr>
    </w:tbl>
    <w:p>
      <w:pPr>
        <w:pStyle w:val="TextBody"/>
        <w:spacing w:before="0" w:after="0"/>
        <w:jc w:val="left"/>
        <w:rPr/>
      </w:pPr>
      <w:r>
        <w:rPr/>
        <w:t> </w:t>
      </w:r>
    </w:p>
    <w:tbl>
      <w:tblPr>
        <w:tblW w:w="7663" w:type="dxa"/>
        <w:jc w:val="left"/>
        <w:tblInd w:w="0" w:type="dxa"/>
        <w:tblCellMar>
          <w:top w:w="28" w:type="dxa"/>
          <w:left w:w="28" w:type="dxa"/>
          <w:bottom w:w="28" w:type="dxa"/>
          <w:right w:w="28" w:type="dxa"/>
        </w:tblCellMar>
      </w:tblPr>
      <w:tblGrid>
        <w:gridCol w:w="177"/>
        <w:gridCol w:w="272"/>
        <w:gridCol w:w="162"/>
        <w:gridCol w:w="705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705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705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product seizure or detention or refusal to permit the import or export of products; and</w:t>
            </w:r>
          </w:p>
        </w:tc>
      </w:tr>
    </w:tbl>
    <w:p>
      <w:pPr>
        <w:pStyle w:val="TextBody"/>
        <w:spacing w:before="0" w:after="0"/>
        <w:jc w:val="left"/>
        <w:rPr/>
      </w:pPr>
      <w:r>
        <w:rPr/>
        <w:t> </w:t>
      </w:r>
    </w:p>
    <w:tbl>
      <w:tblPr>
        <w:tblW w:w="6898" w:type="dxa"/>
        <w:jc w:val="left"/>
        <w:tblInd w:w="0" w:type="dxa"/>
        <w:tblCellMar>
          <w:top w:w="28" w:type="dxa"/>
          <w:left w:w="28" w:type="dxa"/>
          <w:bottom w:w="28" w:type="dxa"/>
          <w:right w:w="28" w:type="dxa"/>
        </w:tblCellMar>
      </w:tblPr>
      <w:tblGrid>
        <w:gridCol w:w="177"/>
        <w:gridCol w:w="272"/>
        <w:gridCol w:w="162"/>
        <w:gridCol w:w="628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28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628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consent decrees, injunctions or the imposition of civil or criminal penalties.</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bookmarkStart w:id="67" w:name="bkmk_97"/>
      <w:bookmarkEnd w:id="67"/>
      <w:r>
        <w:rPr>
          <w:rFonts w:ascii="Times New Roman;serif" w:hAnsi="Times New Roman;serif"/>
          <w:b w:val="false"/>
          <w:sz w:val="20"/>
        </w:rPr>
        <w:t>In addition, regulatory authorities’ policies (such as those of the FDA or EMA) may change, and additional government regulations may be enacted that could prevent, limit or delay regulatory approval of REACT or any of our future product candidates. If we are slow or unable to adapt to changes in existing requirements or the adoption of new requirements or policies, or if we are otherwise not able to maintain regulatory compliance, we may lose any marketing approval that we may have obtained, which would adversely affect our business, prospects and ability to achieve or sustain profitability.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Non-compliance with EU requirements regarding safety monitoring or pharmacovigilance can also result in significant financial penalties. Similarly, failure to comply with the European Union’s requirements regarding the protection of personal information can also lead to significant penalties and sanctions.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FDA’s policies may change and additional government regulations may be enacted that could prevent, limit or delay marketing approval of REACT or any of our future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pStyle w:val="TextBody"/>
        <w:spacing w:before="360" w:after="0"/>
        <w:jc w:val="left"/>
        <w:rPr>
          <w:rFonts w:ascii="Times New Roman;serif" w:hAnsi="Times New Roman;serif"/>
          <w:b/>
          <w:i/>
          <w:sz w:val="20"/>
        </w:rPr>
      </w:pPr>
      <w:r>
        <w:rPr>
          <w:rFonts w:ascii="Times New Roman;serif" w:hAnsi="Times New Roman;serif"/>
          <w:b/>
          <w:i/>
          <w:sz w:val="20"/>
        </w:rPr>
        <w:t>Changes in health care policies, laws and regulations, including legislative measures aimed at reducing health care costs, may impact our ability to obtain approval for, or commercialize REACT or any of our future product candidates, if approved.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aspects of our business, including research and development, manufacturing, marketing, pricing, sales, litigation, and intellectual property rights, are subject to extensive legislation and regulation. Changes in applicable U.S. federal and state laws and agency regulation, as well as foreign laws and regulations, could have a materially negative impact on our business. In the United States and in some other jurisdictions, there have been a number of legislative and regulatory changes and proposed changes regarding the health care system that could prevent or delay marketing approval of our product candidates or any potential future product candidates of ours, restrict or regulate post-approval activities, or affect our ability to profitably sell any product candidates for which we obtain marketing approval. Increased scrutiny by the U.S. Congress of the FDA’s approval process may significantly delay or prevent marketing approval, as well as subject us to more stringent product labeling and post-marketing testing and other requirements. Congress also must reauthorize the FDA’s user fee programs every five years and often makes changes to those programs in addition to policy or procedural changes that may be negotiated between the FDA and industry stakeholders as part of this periodic reauthorization process. Congress most recently reauthorized the user fee programs in September 2022 without any substantive policy changes.</w:t>
      </w:r>
    </w:p>
    <w:p>
      <w:pPr>
        <w:pStyle w:val="TextBody"/>
        <w:spacing w:before="120" w:after="0"/>
        <w:jc w:val="left"/>
        <w:rPr>
          <w:rFonts w:ascii="Times New Roman" w:hAnsi="Times New Roman"/>
          <w:sz w:val="20"/>
        </w:rPr>
      </w:pPr>
      <w:r>
        <w:rPr>
          <w:rFonts w:ascii="Times New Roman;serif" w:hAnsi="Times New Roman;serif"/>
          <w:b w:val="false"/>
          <w:sz w:val="20"/>
        </w:rPr>
        <w:t>Among policy makers and payors in the United States and elsewhere, there is significant interest in promoting changes in health care systems with the stated goals of containing health care costs, improving quality and/or expanding access. In the United States, the pharmaceutical industry has been a focus of these efforts and has been significantly affected by major legislative initiatives. In March 2010, Congress passed the ACA, which substantially changed the way health care is financed by both the government and private insurers, and significantly impacts the U.S. pharmaceutical industry.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remain judicial and Congressional challenges to certain aspects of the ACA, and as a result, certain sections of the ACA have not been fully implemented or effectively repealed. However, following several years of litigation in the federal courts, in June 2021, the U.S. Supreme Court upheld the ACA when it dismissed a legal challenge to the law’s constitutionality. Further legislative and regulatory changes under the ACA remain possible, although the new federal administration under President Biden has signaled that it plans to build on the ACA and expand the number of people who are eligible for health insurance subsidies under it. It is unknown what form any such changes or any law would take, and how or whether it may affect the pharmaceutical industry as a whole or our business in the future. We expect that changes or additions to the ACA, the Medicare and Medicaid programs, and changes stemming from other health care reform measures, especially with regard to health care access, financing or other legislation in individual states, could have a material adverse effect on the health care industry in the United States.</w:t>
      </w:r>
    </w:p>
    <w:p>
      <w:pPr>
        <w:pStyle w:val="TextBody"/>
        <w:spacing w:before="120" w:after="0"/>
        <w:jc w:val="left"/>
        <w:rPr>
          <w:rFonts w:ascii="Times New Roman" w:hAnsi="Times New Roman"/>
          <w:sz w:val="20"/>
        </w:rPr>
      </w:pPr>
      <w:r>
        <w:rPr>
          <w:rFonts w:ascii="Times New Roman;serif" w:hAnsi="Times New Roman;serif"/>
          <w:b w:val="false"/>
          <w:sz w:val="20"/>
        </w:rPr>
        <w:t>The uncertainty around the future of the ACA, and in particular the impact to reimbursement levels, may lead to uncertainty or delay in the purchasing decisions of our customers, which may in turn negatively impact our product sales. If there are not adequate reimbursement levels, our business and results of operations could be adversely affected.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addition, other legislative changes have been proposed and adopted since the ACA was enacted. These changes include aggregate reductions to Medicare payments to providers of up to 2% per fiscal year pursuant to the Budget Control Act of 2011, which began in 2013 and was extended by the Consolidated Appropriations Act for 2023, and will remain in effect through 2032 unless additional Congressional action is taken.</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70</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the Drug Supply Chain Security Act enacted in 2013 imposed obligations on manufacturers of pharmaceutical products related to product tracking and tracing, and in February 2022, FDA released proposed regulations to amend the national standards for licensing of wholesale drug distributors by the states; establish new minimum standards for state licensing third-party logistics providers; and create a federal system for licensure for use in the absence of a State program, each of which is mandated by the DSCSA. Other legislative and regulatory proposals have been made to expand post-approval requirements and restrict sales and promotional activities for pharmaceutical products. We are unsure whether additional legislative changes will be enacted, or whether the current regulations, guidance or interpretations will be changed, or whether such changes will have any impact on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there has been heightened governmental scrutiny in the United States of biopharmaceutical pricing practices considering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state legislatures are increasingly passing legislation and implementing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and other members of the health care and pharmaceutical supply chain, an important decision that may lead to further and more aggressive efforts by states in this area.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Most recently, in August 2022, President Biden signed into the law the Inflation Reduction Act of 2022, or the IRA. Among other things, the IRA has multiple provisions that may impact the prices of drug products that are both sold into the Medicare program and throughout the United States. Starting in 2023, a manufacturer of a drug or biological product covered by Medicare Parts B or D must pay a rebate to the federal government if the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in payment year 2026, CMS will negotiate drug prices annually for a select number of single source Part D drugs without generic or biosimilar competition. CMS will also negotiate drug prices for a select number of Part B drugs starting for payment year 2028. If a drug product is selected by CMS for negotiation, it is expected that the revenue generated from such drug will decrease.</w:t>
      </w:r>
    </w:p>
    <w:p>
      <w:pPr>
        <w:pStyle w:val="TextBody"/>
        <w:spacing w:before="120" w:after="0"/>
        <w:jc w:val="left"/>
        <w:rPr>
          <w:rFonts w:ascii="Times New Roman" w:hAnsi="Times New Roman"/>
          <w:sz w:val="20"/>
        </w:rPr>
      </w:pPr>
      <w:r>
        <w:rPr>
          <w:rFonts w:ascii="Times New Roman;serif" w:hAnsi="Times New Roman;serif"/>
          <w:b w:val="false"/>
          <w:sz w:val="20"/>
        </w:rPr>
        <w:t>Any additional federal or state health care reform measures could limit the amounts that third-party payers will pay for future health care products and services, and, in turn, could significantly reduce the projected value of certain development projects and reduce our profitability.</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spacing w:before="120" w:after="0"/>
        <w:jc w:val="left"/>
        <w:rPr>
          <w:rFonts w:ascii="Times New Roman;serif" w:hAnsi="Times New Roman;serif"/>
          <w:b w:val="false"/>
          <w:sz w:val="20"/>
        </w:rPr>
      </w:pPr>
      <w:bookmarkStart w:id="68" w:name="bkmk_98"/>
      <w:bookmarkEnd w:id="68"/>
      <w:r>
        <w:rPr>
          <w:rFonts w:ascii="Times New Roman;serif" w:hAnsi="Times New Roman;serif"/>
          <w:b w:val="false"/>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Disruptions at the FDA and other agencies may also slow the time necessary for new products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spacing w:before="360" w:after="0"/>
        <w:jc w:val="left"/>
        <w:rPr>
          <w:rFonts w:ascii="Times New Roman;serif" w:hAnsi="Times New Roman;serif"/>
          <w:b/>
          <w:i/>
          <w:sz w:val="20"/>
        </w:rPr>
      </w:pPr>
      <w:r>
        <w:rPr>
          <w:rFonts w:ascii="Times New Roman;serif" w:hAnsi="Times New Roman;serif"/>
          <w:b/>
          <w:i/>
          <w:sz w:val="20"/>
        </w:rPr>
        <w:t>EU medicine marketing and reimbursement regulations may materially affect our ability to market and receive coverage for our products in the European member states.</w:t>
      </w:r>
    </w:p>
    <w:p>
      <w:pPr>
        <w:pStyle w:val="TextBody"/>
        <w:spacing w:before="120" w:after="0"/>
        <w:jc w:val="left"/>
        <w:rPr>
          <w:rFonts w:ascii="Times New Roman" w:hAnsi="Times New Roman"/>
          <w:sz w:val="20"/>
        </w:rPr>
      </w:pPr>
      <w:r>
        <w:rPr>
          <w:rFonts w:ascii="Times New Roman;serif" w:hAnsi="Times New Roman;serif"/>
          <w:b w:val="false"/>
          <w:sz w:val="20"/>
        </w:rPr>
        <w:t>We intend to seek approval to market REACT in both the United States and in selected foreign jurisdictions. If we obtain approval in one or more foreign jurisdictions for REACT, we will be subject to rules and regulations in those jurisdictions. In some foreign countries, particularly those in the European Union, the pricing of medicines and cell based therapeutics is subject to</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71</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governmental control and other market regulations which could put pressure on the pricing and usage of REACT. In these countries, pricing negotiations with governmental authorities can take considerable time after obtaining marketing approval of a product candidate. In addition, market acceptance and sales of REACT will depend significantly on the availability of adequate coverage and reimbursement from third-party payors for REACT and may be affected by existing and future health care reform measures. Additionally, the international regulatory landscape related to reimbursement is uncertain, and likely will continue to evolve before we are able to commercialize REACT.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Much like the federal AKS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 Member States, and in respect of the United Kingdom (which is no longer a member of the European Union), the UK Bribery Act 2010. Infringement of these laws could result in substantial fines and imprisonment.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in most foreign countries, including the EEA, the proposed pricing for a medicine must be approved before it may be lawfully marketed. The requirements governing medicine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In addition, these regulations are evolving and subject to change, possibly before we are able to commercialize REACT. There can be no assurance that any country that has price controls or reimbursement limitations for biopharmaceutical products will allow favorable reimbursement and pricing arrangements for any of our products.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pStyle w:val="TextBody"/>
        <w:spacing w:before="360" w:after="0"/>
        <w:jc w:val="left"/>
        <w:rPr>
          <w:rFonts w:ascii="Times New Roman;serif" w:hAnsi="Times New Roman;serif"/>
          <w:b/>
          <w:i/>
          <w:sz w:val="20"/>
        </w:rPr>
      </w:pPr>
      <w:r>
        <w:rPr>
          <w:rFonts w:ascii="Times New Roman;serif" w:hAnsi="Times New Roman;serif"/>
          <w:b/>
          <w:i/>
          <w:sz w:val="20"/>
        </w:rPr>
        <w:t>We may incur substantial costs in our efforts to comply with evolving global data protection laws and regulations, and any failure or perceived failure by us to comply with such laws and regulations may harm our business and operations.</w:t>
      </w:r>
    </w:p>
    <w:p>
      <w:pPr>
        <w:pStyle w:val="TextBody"/>
        <w:spacing w:before="120" w:after="0"/>
        <w:jc w:val="left"/>
        <w:rPr>
          <w:rFonts w:ascii="Times New Roman" w:hAnsi="Times New Roman"/>
          <w:sz w:val="20"/>
        </w:rPr>
      </w:pPr>
      <w:r>
        <w:rPr>
          <w:rFonts w:ascii="Times New Roman;serif" w:hAnsi="Times New Roman;serif"/>
          <w:b w:val="false"/>
          <w:sz w:val="20"/>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subjects and health 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the United States, numerous federal and state laws and regulations, including federal health information privacy laws (</w:t>
      </w:r>
      <w:r>
        <w:rPr>
          <w:rFonts w:ascii="Times New Roman;serif" w:hAnsi="Times New Roman;serif"/>
          <w:b w:val="false"/>
          <w:i/>
          <w:sz w:val="20"/>
        </w:rPr>
        <w:t>e.g.</w:t>
      </w:r>
      <w:r>
        <w:rPr>
          <w:rFonts w:ascii="Times New Roman;serif" w:hAnsi="Times New Roman;serif"/>
          <w:b w:val="false"/>
          <w:sz w:val="20"/>
        </w:rPr>
        <w:t>, HIPAA, as amended by HITECH, state data breach notification laws, state health information privacy laws and federal and state consumer protection laws (</w:t>
      </w:r>
      <w:r>
        <w:rPr>
          <w:rFonts w:ascii="Times New Roman;serif" w:hAnsi="Times New Roman;serif"/>
          <w:b w:val="false"/>
          <w:i/>
          <w:sz w:val="20"/>
        </w:rPr>
        <w:t>e.g.</w:t>
      </w:r>
      <w:r>
        <w:rPr>
          <w:rFonts w:ascii="Times New Roman;serif" w:hAnsi="Times New Roman;serif"/>
          <w:b w:val="false"/>
          <w:sz w:val="20"/>
        </w:rPr>
        <w:t>,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or other privacy and data security laws. Depending on the facts and circumstances, we could be subject to criminal penalties if we knowingly obtain, use, or disclose protected health information maintained by a HIPAA-covered entity in a manner that is not authorized or permitted by HIPAA. However, determining whether protected health information has been handled in compliance with applicable privacy standards and our contractual obligations can be complex and may be subject to changing interpretation.</w:t>
      </w:r>
    </w:p>
    <w:p>
      <w:pPr>
        <w:pStyle w:val="TextBody"/>
        <w:spacing w:before="120" w:after="0"/>
        <w:jc w:val="left"/>
        <w:rPr>
          <w:rFonts w:ascii="Times New Roman" w:hAnsi="Times New Roman"/>
          <w:sz w:val="20"/>
        </w:rPr>
      </w:pPr>
      <w:r>
        <w:rPr>
          <w:rFonts w:ascii="Times New Roman;serif" w:hAnsi="Times New Roman;serif"/>
          <w:b w:val="false"/>
          <w:sz w:val="20"/>
        </w:rPr>
        <w:t>If we are unable to properly protect the privacy and security of protected health information or other personal, sensitive, or confidential information in our possession, we could be found to have breached our contracts. Further, if we fail to comply with</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72</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applicable privacy laws, including applicable HIPAA privacy and security standards, we could face significant administrative, civil and criminal penalties. Enforcement activity can also result in financial liability and reputational harm, and responses to such enforcement activity can consume significant internal and outside resources. Furthermore, state attorneys general are authorized to bring civil actions seeking either injunctions or damages in response to violations that threaten the privacy of state residents.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pStyle w:val="TextBody"/>
        <w:spacing w:before="120" w:after="0"/>
        <w:jc w:val="left"/>
        <w:rPr>
          <w:rFonts w:ascii="Times New Roman" w:hAnsi="Times New Roman"/>
          <w:sz w:val="20"/>
        </w:rPr>
      </w:pPr>
      <w:bookmarkStart w:id="69" w:name="bkmk_100"/>
      <w:bookmarkEnd w:id="69"/>
      <w:r>
        <w:rPr>
          <w:rFonts w:ascii="Times New Roman;serif" w:hAnsi="Times New Roman;serif"/>
          <w:b w:val="false"/>
          <w:sz w:val="20"/>
        </w:rPr>
        <w:t>Many state laws govern the privacy and security of personal information and data in specified circumstances, many of which differ from each other in significant ways, are often not pre-empted by HIPAA, and may have a more prohibitive effect than HIPAA, thus complicating compliance efforts. For example the CCPA, which went into effect in January 2020 and provides new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w:t>
      </w:r>
      <w:r>
        <w:rPr>
          <w:rFonts w:ascii="Times New Roman" w:hAnsi="Times New Roman"/>
          <w:sz w:val="20"/>
        </w:rPr>
        <w:t xml:space="preserve"> </w:t>
      </w:r>
      <w:r>
        <w:rPr>
          <w:rFonts w:ascii="Times New Roman;serif" w:hAnsi="Times New Roman;serif"/>
          <w:b w:val="false"/>
          <w:sz w:val="20"/>
        </w:rPr>
        <w:t>information that is subject to HIPAA and clinical trial regulations, as currently written, the CCPA may impact certain of our business activities. In addition, the California Consumer Rights Act (the “CPRA”) was recently enacted to strengthen elements of the CCPA and became effective on January 1, 2023. A number of other states have considered similar privacy proposals, and states like Virginia and Colorado have recently enacted their own privacy laws. The Virginia Consumer Data Protection Act became effective on January 1, 2023, and the Colorado Privacy Act is scheduled to come into effect on July 1, 2023. These privacy laws may impact our business activities and exemplify the vulnerability of our business to the evolving regulatory environment related to personal data.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to our operations in the United States, which may be subject to health care and other laws relating to the privacy and security of health information and other personal information, we are conducting, and we may conduct in the future, clinical trials in EEA and may become subject to additional European data privacy laws, regulations and guidelines. The General Data Protection Regulation, (EU) 2016/679 (“GDPR”) became effective on May 25, 2018, and deals with the collection, use, storage, disclosure, transfer, or other processing of personal data, including personal health data, regarding individuals in the EEA. The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health and other sensitive data, obtaining consent of the individuals to whom the personal data relates,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increases substantially the penalties to which we could be subject in the event of any non-compliance, including fines of up to €10,000,000 or up to 2% of our total worldwide annual turnover for certain comparatively minor offenses, or up to €20,000,000 or up to 4% of our total worldwide annual turnover, whichever is greater, for more serious offenses.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w:t>
      </w:r>
    </w:p>
    <w:p>
      <w:pPr>
        <w:pStyle w:val="TextBody"/>
        <w:spacing w:before="120" w:after="0"/>
        <w:jc w:val="left"/>
        <w:rPr>
          <w:rFonts w:ascii="Times New Roman" w:hAnsi="Times New Roman"/>
          <w:sz w:val="20"/>
        </w:rPr>
      </w:pPr>
      <w:r>
        <w:rPr>
          <w:rFonts w:ascii="Times New Roman;serif" w:hAnsi="Times New Roman;serif"/>
          <w:b w:val="false"/>
          <w:sz w:val="20"/>
        </w:rPr>
        <w:t>Further, national laws of member states of the European Union have been adapted to the requirements under the GDPR, thereby implementing national laws which may partially deviate from the GDPR and impose different obligations from country to country, so that we do not expect to operate in a uniform legal landscape in the EEA.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Following the United Kingdom’s withdrawal from the European Union (i.e., Brexit), and the expiry of the Brexit transition period, which ended on December 31, 2020, the EU GDPR has been implemented in the United Kingdom (as the UK GDPR). The UK GDPR sits alongside the UK Data Protection Act 2018 which implements certain derogations in the EU GDPR into UK law. Under the UK GDPR, companies not established in the UK but who process personal data in relation to the offering of goods or services to individuals in the UK, or to monitor their behavior will be subject to the UK GDPR – the requirements of which are (at this time) largely aligned with those under the EU GDPR and as such, may lead to similar compliance and operational costs with potential fines of up to £17.5 million or 4% of global turnover. In 2022, the government of the United Kingdom proposed and debated the Data Protection and Digital Information Bill to harmonize the 2018 Data Protection Act, UK GDPR, and the Privacy and Electronic Communications Regulations under one legislative framework. However, progress on the bill stalled as the government continues to assess the most optimal approach to data protection reform.</w:t>
      </w:r>
    </w:p>
    <w:p>
      <w:pPr>
        <w:pStyle w:val="TextBody"/>
        <w:spacing w:before="120" w:after="0"/>
        <w:jc w:val="left"/>
        <w:rPr>
          <w:rFonts w:ascii="Times New Roman" w:hAnsi="Times New Roman"/>
          <w:sz w:val="20"/>
        </w:rPr>
      </w:pPr>
      <w:r>
        <w:rPr>
          <w:rFonts w:ascii="Times New Roman;serif" w:hAnsi="Times New Roman;serif"/>
          <w:b w:val="false"/>
          <w:sz w:val="20"/>
        </w:rPr>
        <w:t>We are conducting clinical trials in the EEA, and the GDPR increases our responsibility and liability in relation to personal data that we process where such processing is subject to the GDPR, and we are required to have in place additional mechanisms and safeguards to ensure compliance with the GDPR, including as implemented by individual countries. Compliance with the GDPR is a rigorous and time-intensive process that increase our cost of doing business or require us to change our business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73</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bookmarkStart w:id="70" w:name="bkmk_101"/>
      <w:bookmarkEnd w:id="70"/>
      <w:r>
        <w:rPr>
          <w:rFonts w:ascii="Times New Roman;serif" w:hAnsi="Times New Roman;serif"/>
          <w:b w:val="false"/>
          <w:sz w:val="20"/>
        </w:rPr>
        <w:t>practices, and despite those efforts, there is a risk that we may be subject to fines and penalties, litigation, and reputational harm in connection with our European activities. We expect that we will continue to face uncertainty as to whether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biopharmaceutical partners. We may also experience hesitation, reluctance, or refusal by European or multi-national vendors or biopharmaceutical partners to continue to use our products due to the potential risk exposure as a result of the current (and, in particular, future) data protection obligations imposed on them by certain data protection authorities in interpretation of current law, including the GDPR. Such vendors or biopharmaceutical partners may also view any alternative approaches to compliance as being too costly, too</w:t>
      </w:r>
      <w:r>
        <w:rPr>
          <w:rFonts w:ascii="Times New Roman" w:hAnsi="Times New Roman"/>
          <w:sz w:val="20"/>
        </w:rPr>
        <w:t xml:space="preserve"> </w:t>
      </w:r>
      <w:r>
        <w:rPr>
          <w:rFonts w:ascii="Times New Roman;serif" w:hAnsi="Times New Roman;serif"/>
          <w:b w:val="false"/>
          <w:sz w:val="20"/>
        </w:rPr>
        <w:t>burdensome, too legally uncertain, or otherwise objectionable and therefore decide not to do business with us. Any of the forgoing could materially harm our business, prospects, financial condition and results of operations.</w:t>
      </w:r>
    </w:p>
    <w:p>
      <w:pPr>
        <w:pStyle w:val="TextBody"/>
        <w:spacing w:before="360" w:after="0"/>
        <w:jc w:val="left"/>
        <w:rPr>
          <w:rFonts w:ascii="Times New Roman;serif" w:hAnsi="Times New Roman;serif"/>
          <w:b/>
          <w:i/>
          <w:sz w:val="20"/>
        </w:rPr>
      </w:pPr>
      <w:r>
        <w:rPr>
          <w:rFonts w:ascii="Times New Roman;serif" w:hAnsi="Times New Roman;serif"/>
          <w:b/>
          <w:i/>
          <w:sz w:val="20"/>
        </w:rPr>
        <w:t>Legal, political and economic uncertainty relating to our international operations could negatively impact or restrict our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Following the result of a referendum in 2016, Brexit took effect on January 31, 2020. Pursuant to the formal withdrawal arrangements agreed to by the United Kingdom and the European Union, as of January 1, 2021, the United Kingdom is no longer subject to the transition period during which EU rules continued to apply (the “Transition Period”). Negotiations between the United Kingdom and the European Union are expected to continue in relation to the customs and trading relationship between the United Kingdom and the European Union following the expiry of the Transition Period.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Since a significant proportion of the regulatory framework in the United Kingdom is applicable to our business, and REACT, our lead product candidate, is derived from EU directives and regulations, Brexit, following the Transition Period, could materially impact the regulatory regime with respect to the development, manufacture, importation, approval and commercialization of REACT in the United Kingdom or the European Union. For example, as a result of the uncertainty surrounding Brexit, the EMA relocated to Amsterdam from London. Following the Transition Period, the United Kingdom will no longer be covered by the centralized procedures for obtaining EU-wide marketing authorizations from the EMA, and unless a specific agreement is entered into, a separate process for authorization of cell-based products will be required in the United Kingdom, the potential process for which is currently unclear. Any delay in obtaining, or an inability to obtain, any marketing approvals, as a result of Brexit or otherwise, would prevent us from commercializing REACT in the United Kingdom or the European Union and limit our ability to generate revenue and achieve and sustain profitability. In addition, we may be required to pay taxes or duties or be subjected to other hurdles in connection with the importation of REACT into the European Union, or we may incur expenses in establishing a manufacturing facility in the European Union in order to circumvent such hurdles. If any of these outcomes occur, we may be forced to restrict or delay efforts to seek regulatory approval in the United Kingdom or the European Union for REACT,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Further, we must dedicate additional resources to comply with numerous laws and regulations in each jurisdiction in which we plan to operate.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 care providers in connection with clinical trials and other work have been deemed to be improper payments to government officials and have led to FCPA enforcement actions.</w:t>
      </w:r>
    </w:p>
    <w:p>
      <w:pPr>
        <w:pStyle w:val="TextBody"/>
        <w:spacing w:before="120" w:after="0"/>
        <w:jc w:val="left"/>
        <w:rPr>
          <w:rFonts w:ascii="Times New Roman" w:hAnsi="Times New Roman"/>
          <w:sz w:val="20"/>
        </w:rPr>
      </w:pPr>
      <w:bookmarkStart w:id="71" w:name="bkmk_102"/>
      <w:bookmarkEnd w:id="71"/>
      <w:r>
        <w:rPr>
          <w:rFonts w:ascii="Times New Roman;serif" w:hAnsi="Times New Roman;serif"/>
          <w:b w:val="false"/>
          <w:sz w:val="20"/>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As we expand our</w:t>
      </w:r>
      <w:r>
        <w:rPr>
          <w:rFonts w:ascii="Times New Roman" w:hAnsi="Times New Roman"/>
          <w:sz w:val="20"/>
        </w:rPr>
        <w:t xml:space="preserve"> </w:t>
      </w:r>
      <w:r>
        <w:rPr>
          <w:rFonts w:ascii="Times New Roman;serif" w:hAnsi="Times New Roman;serif"/>
          <w:b w:val="false"/>
          <w:sz w:val="20"/>
        </w:rPr>
        <w:t>operations throughout the world, we will be required to dedicate additional resources to comply with these laws, and these laws may preclude us from developing,</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74</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manufacturing, or selling certain products and product candidates outside of the United States, which could limit our growth potential and increase our development costs.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spacing w:before="360" w:after="0"/>
        <w:jc w:val="left"/>
        <w:rPr>
          <w:rFonts w:ascii="Times New Roman;serif" w:hAnsi="Times New Roman;serif"/>
          <w:b/>
          <w:i/>
          <w:sz w:val="20"/>
        </w:rPr>
      </w:pPr>
      <w:r>
        <w:rPr>
          <w:rFonts w:ascii="Times New Roman;serif" w:hAnsi="Times New Roman;serif"/>
          <w:b/>
          <w:i/>
          <w:sz w:val="20"/>
        </w:rPr>
        <w:t>We are subject to certain U.S. and foreign anti-corruption, anti-money laundering, export control, sanctions, and other trade laws and regulations. We can face serious consequences for violations.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Among other matters, U.S. and foreign anti-corruption, anti-money laundering, export control, sanctions, and other trade laws and regulations (collectively, the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TextBody"/>
        <w:spacing w:before="360" w:after="0"/>
        <w:jc w:val="left"/>
        <w:rPr>
          <w:rFonts w:ascii="Times New Roman;serif" w:hAnsi="Times New Roman;serif"/>
          <w:b/>
          <w:i/>
          <w:sz w:val="20"/>
        </w:rPr>
      </w:pPr>
      <w:r>
        <w:rPr>
          <w:rFonts w:ascii="Times New Roman;serif" w:hAnsi="Times New Roman;serif"/>
          <w:b/>
          <w:i/>
          <w:sz w:val="20"/>
        </w:rPr>
        <w:t>Our executive officers, directors, security holders and their respective affiliates may have competitive pecuniary interests that conflict with our interests.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Nor do we have a policy that expressly prohibits any such persons from engaging for their own account in business activities of the types conducted by us. Accordingly, such persons or entities may have a conflict between their interests and ours.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second amended and restated memorandum and articles of association (“Charter”) provides that we renounce, to the maximum extent permitted by law, our interest in any corporate opportunity offered to any director who is not also an employee of the Company or about which any such director acquires knowledge unless such opportunity is expressly offered to such person solely in his or her capacity as a director of the Company and such opportunity is one we are legally and contractually permitted to undertake and would otherwise be reasonable for us to pursue. In addition, our Charter contains provisions to exculpate and indemnify, to the maximum extent permitted by law, such persons in respect of any liability, obligation or duty to our company that may arise as a consequence of such persons becoming aware of any business opportunity or failing to present such business opportunity.</w:t>
      </w:r>
    </w:p>
    <w:p>
      <w:pPr>
        <w:pStyle w:val="TextBody"/>
        <w:spacing w:before="120" w:after="0"/>
        <w:jc w:val="left"/>
        <w:rPr>
          <w:rFonts w:ascii="Times New Roman;serif" w:hAnsi="Times New Roman;serif"/>
          <w:b w:val="false"/>
          <w:sz w:val="20"/>
        </w:rPr>
      </w:pPr>
      <w:bookmarkStart w:id="72" w:name="bkmk_103"/>
      <w:bookmarkEnd w:id="72"/>
      <w:r>
        <w:rPr>
          <w:rFonts w:ascii="Times New Roman;serif" w:hAnsi="Times New Roman;serif"/>
          <w:b w:val="false"/>
          <w:sz w:val="20"/>
        </w:rPr>
        <w:t>The personal and financial interests of our directors and officers may result in a conflict of interest and may result in a breach of their fiduciary duties to us as a matter of Cayman Islands law and we or our shareholders might have a claim against such individuals for infringing on our shareholders’ rights. However, we might not ultimately be successful in any claim we may make against them for such reason.</w:t>
      </w:r>
    </w:p>
    <w:p>
      <w:pPr>
        <w:pStyle w:val="TextBody"/>
        <w:spacing w:before="360" w:after="0"/>
        <w:jc w:val="left"/>
        <w:rPr>
          <w:rFonts w:ascii="Times New Roman;serif" w:hAnsi="Times New Roman;serif"/>
          <w:b/>
          <w:i/>
          <w:sz w:val="20"/>
        </w:rPr>
      </w:pPr>
      <w:r>
        <w:rPr>
          <w:rFonts w:ascii="Times New Roman;serif" w:hAnsi="Times New Roman;serif"/>
          <w:b/>
          <w:i/>
          <w:sz w:val="20"/>
        </w:rPr>
        <w:t>Because we are incorporated under the laws of the Cayman Islands, you may face difficulties in protecting your interests, and your ability to protect your rights through the U.S. federal courts may be limited.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pStyle w:val="TextBody"/>
        <w:spacing w:before="120" w:after="0"/>
        <w:jc w:val="left"/>
        <w:rPr>
          <w:rFonts w:ascii="Times New Roman" w:hAnsi="Times New Roman"/>
          <w:sz w:val="20"/>
        </w:rPr>
      </w:pPr>
      <w:r>
        <w:rPr>
          <w:rFonts w:ascii="Times New Roman;serif" w:hAnsi="Times New Roman;serif"/>
          <w:b w:val="false"/>
          <w:sz w:val="20"/>
        </w:rPr>
        <w:t>Our corporate affairs are governed by our Charter, the Cayman Islands Companies Act and the common law of the Cayman Islands. We are also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corporate and securities laws as compared to the United States, and certain states, such as Delaware, may have more fully developed and</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75</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judicially interpreted bodies of corporate law. In addition, Cayman Islands companies may not have standing to initiate a shareholder derivative action in a Federal court of the United States.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a result of all of the above, shareholders may have more difficulty in protecting their interests in the face of actions taken by management, members of the board of directors or controlling shareholders than they would as shareholders of a United States company.</w:t>
      </w:r>
    </w:p>
    <w:p>
      <w:pPr>
        <w:pStyle w:val="TextBody"/>
        <w:spacing w:before="360" w:after="0"/>
        <w:jc w:val="left"/>
        <w:rPr>
          <w:rFonts w:ascii="Times New Roman;serif" w:hAnsi="Times New Roman;serif"/>
          <w:b/>
          <w:sz w:val="20"/>
        </w:rPr>
      </w:pPr>
      <w:r>
        <w:rPr>
          <w:rFonts w:ascii="Times New Roman;serif" w:hAnsi="Times New Roman;serif"/>
          <w:b/>
          <w:sz w:val="20"/>
        </w:rPr>
        <w:t>Risks Related to Our Intellectual Property</w:t>
      </w:r>
    </w:p>
    <w:p>
      <w:pPr>
        <w:pStyle w:val="TextBody"/>
        <w:spacing w:before="120" w:after="0"/>
        <w:jc w:val="left"/>
        <w:rPr>
          <w:rFonts w:ascii="Times New Roman;serif" w:hAnsi="Times New Roman;serif"/>
          <w:b/>
          <w:i/>
          <w:sz w:val="20"/>
        </w:rPr>
      </w:pPr>
      <w:r>
        <w:rPr>
          <w:rFonts w:ascii="Times New Roman;serif" w:hAnsi="Times New Roman;serif"/>
          <w:b/>
          <w:i/>
          <w:sz w:val="20"/>
        </w:rPr>
        <w:t>Our success depends in part on our ability to protect our intellectual property. It is difficult and costly to protect our proprietary rights and technology, and we may not be able to ensure their protection.</w:t>
      </w:r>
    </w:p>
    <w:p>
      <w:pPr>
        <w:pStyle w:val="TextBody"/>
        <w:spacing w:before="120" w:after="0"/>
        <w:jc w:val="left"/>
        <w:rPr>
          <w:rFonts w:ascii="Times New Roman" w:hAnsi="Times New Roman"/>
          <w:sz w:val="20"/>
        </w:rPr>
      </w:pPr>
      <w:bookmarkStart w:id="73" w:name="bkmk_104"/>
      <w:bookmarkEnd w:id="73"/>
      <w:r>
        <w:rPr>
          <w:rFonts w:ascii="Times New Roman;serif" w:hAnsi="Times New Roman;serif"/>
          <w:b w:val="false"/>
          <w:sz w:val="20"/>
        </w:rPr>
        <w:t>Our business will depend in large part on obtaining and maintaining patent, trademark and trade secret protection of our proprietary technologies and REACT, our lead product candidate, its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REACT is dependent upon the extent to which we have rights under valid and enforceable patents that cover these activities and whether a</w:t>
      </w:r>
      <w:r>
        <w:rPr>
          <w:rFonts w:ascii="Times New Roman" w:hAnsi="Times New Roman"/>
          <w:sz w:val="20"/>
        </w:rPr>
        <w:t xml:space="preserve"> </w:t>
      </w:r>
      <w:r>
        <w:rPr>
          <w:rFonts w:ascii="Times New Roman;serif" w:hAnsi="Times New Roman;serif"/>
          <w:b w:val="false"/>
          <w:sz w:val="20"/>
        </w:rPr>
        <w:t>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patenting process is expensive and time-consuming, and we may not be able to file and prosecute all necessary or desirable patent applications at a reasonable cost or in a timely manner. The patenting process is subject to numerous risks and there can be no assurance that we will be successful in obtaining patents for which we have applied.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strength of patents in the biotechnology and biopharmaceutical field involves complex legal and scientific questions and can be uncertain. The patent applications that we own or in-license may fail to result in issued patents with claims that cover REACT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REACT, or prevent others from designing around the claims in our patents. If the breadth or strength of protection provided by the patent applications we hold with respect to REACT is threatened, it could dissuade companies from collaborating with us to develop, and threaten our ability to commercialize, REACT. Further, if we encounter delays in our clinical trials, the period of time during which we could market REACT under patent protection would be reduced.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cannot be certain that we were the first to file any patent application related to our technology, including REACT, and, if we were not, we may be precluded from obtaining patent protection for our technology, including REACT.</w:t>
      </w:r>
    </w:p>
    <w:p>
      <w:pPr>
        <w:pStyle w:val="TextBody"/>
        <w:spacing w:before="120" w:after="0"/>
        <w:jc w:val="left"/>
        <w:rPr>
          <w:rFonts w:ascii="Times New Roman" w:hAnsi="Times New Roman"/>
          <w:sz w:val="20"/>
        </w:rPr>
      </w:pPr>
      <w:r>
        <w:rPr>
          <w:rFonts w:ascii="Times New Roman;serif" w:hAnsi="Times New Roman;serif"/>
          <w:b w:val="false"/>
          <w:sz w:val="20"/>
        </w:rPr>
        <w:t>We cannot be certain that we are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 party or instituted by the USPTO to determine who was the first to invent any of the subject matter covered by the patent claims of our applications. Similarly, for United States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76</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applications in which at least one claim is not entitled to a priority date before March 16, 2013, derivation proceedings can be instituted to determine whether the subject matter of a patent claim was derived from a prior inventor’s disclosure.</w:t>
      </w:r>
    </w:p>
    <w:p>
      <w:pPr>
        <w:pStyle w:val="TextBody"/>
        <w:spacing w:before="120" w:after="0"/>
        <w:jc w:val="left"/>
        <w:rPr>
          <w:rFonts w:ascii="Times New Roman;serif" w:hAnsi="Times New Roman;serif"/>
          <w:b w:val="false"/>
          <w:sz w:val="20"/>
        </w:rPr>
      </w:pPr>
      <w:bookmarkStart w:id="74" w:name="bkmk_105"/>
      <w:bookmarkEnd w:id="74"/>
      <w:r>
        <w:rPr>
          <w:rFonts w:ascii="Times New Roman;serif" w:hAnsi="Times New Roman;serif"/>
          <w:b w:val="false"/>
          <w:sz w:val="20"/>
        </w:rPr>
        <w:t>We may be required to disclaim part or all of the term of certain patents.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REACT, or would be found by a court to be infringed by a competitor’s technology or product. We may analyze patents or patent applications of our competitors that we believe are relevant to our activities, and consider that we are free to operate in relation to REACT, but our competitors may achieve issued claims, including in patents we consider to be unrelated, which block our efforts or may potentially result in REACT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Recent or future patent reform legislation could increase the uncertainties and costs surrounding the prosecution of our patent applications and the enforcement or defense of our issued patents. Under the enacted Leahy-Smith America Invents Act (the “America Invents Act”) after March 2013, the United States moved from a “first-to-invent”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In addition, the courts have yet to address many of these provisions and the applicability of the America Invents Act and new regulations on specific patents discussed herein, for which issues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others may be able to make or use compounds that are similar to the compositions of REACT but that are not covered by the claims of our patents or those of our licensors;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we or our licensors, as the case may be, may fail to meet our obligations to the U.S. government in regards to any in-licensed patents and patent applications invented or developed using U.S. government funding, leading to the loss of patent rights;</w:t>
            </w:r>
          </w:p>
        </w:tc>
      </w:tr>
    </w:tbl>
    <w:p>
      <w:pPr>
        <w:pStyle w:val="TextBody"/>
        <w:spacing w:before="0" w:after="0"/>
        <w:jc w:val="left"/>
        <w:rPr/>
      </w:pPr>
      <w:r>
        <w:rPr/>
        <w:t> </w:t>
      </w:r>
    </w:p>
    <w:tbl>
      <w:tblPr>
        <w:tblW w:w="10123" w:type="dxa"/>
        <w:jc w:val="left"/>
        <w:tblInd w:w="0" w:type="dxa"/>
        <w:tblCellMar>
          <w:top w:w="28" w:type="dxa"/>
          <w:left w:w="28" w:type="dxa"/>
          <w:bottom w:w="28" w:type="dxa"/>
          <w:right w:w="28" w:type="dxa"/>
        </w:tblCellMar>
      </w:tblPr>
      <w:tblGrid>
        <w:gridCol w:w="177"/>
        <w:gridCol w:w="272"/>
        <w:gridCol w:w="162"/>
        <w:gridCol w:w="951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1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1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we or our licensors, as the case may be, might not have been the first to file patent applications for these inventions;</w:t>
            </w:r>
          </w:p>
        </w:tc>
      </w:tr>
    </w:tbl>
    <w:p>
      <w:pPr>
        <w:pStyle w:val="TextBody"/>
        <w:spacing w:before="0" w:after="0"/>
        <w:jc w:val="left"/>
        <w:rPr/>
      </w:pPr>
      <w:r>
        <w:rPr/>
        <w:t> </w:t>
      </w:r>
    </w:p>
    <w:tbl>
      <w:tblPr>
        <w:tblW w:w="9463" w:type="dxa"/>
        <w:jc w:val="left"/>
        <w:tblInd w:w="0" w:type="dxa"/>
        <w:tblCellMar>
          <w:top w:w="28" w:type="dxa"/>
          <w:left w:w="28" w:type="dxa"/>
          <w:bottom w:w="28" w:type="dxa"/>
          <w:right w:w="28" w:type="dxa"/>
        </w:tblCellMar>
      </w:tblPr>
      <w:tblGrid>
        <w:gridCol w:w="177"/>
        <w:gridCol w:w="272"/>
        <w:gridCol w:w="162"/>
        <w:gridCol w:w="885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85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885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others may independently develop similar or alternative technologies or duplicate any of our technologies;</w:t>
            </w:r>
          </w:p>
        </w:tc>
      </w:tr>
    </w:tbl>
    <w:p>
      <w:pPr>
        <w:pStyle w:val="TextBody"/>
        <w:spacing w:before="0" w:after="0"/>
        <w:jc w:val="left"/>
        <w:rPr/>
      </w:pPr>
      <w:r>
        <w:rPr/>
        <w:t> </w:t>
      </w:r>
    </w:p>
    <w:tbl>
      <w:tblPr>
        <w:tblW w:w="7423" w:type="dxa"/>
        <w:jc w:val="left"/>
        <w:tblInd w:w="0" w:type="dxa"/>
        <w:tblCellMar>
          <w:top w:w="28" w:type="dxa"/>
          <w:left w:w="28" w:type="dxa"/>
          <w:bottom w:w="28" w:type="dxa"/>
          <w:right w:w="28" w:type="dxa"/>
        </w:tblCellMar>
      </w:tblPr>
      <w:tblGrid>
        <w:gridCol w:w="177"/>
        <w:gridCol w:w="272"/>
        <w:gridCol w:w="162"/>
        <w:gridCol w:w="681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81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681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it is possible that our pending patent applications will not result in issued patents;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it is possible that there are prior public disclosures that could invalidate our or our licensors’ patents, as the case may be, or parts of our or their patents;</w:t>
            </w:r>
          </w:p>
        </w:tc>
      </w:tr>
    </w:tbl>
    <w:p>
      <w:pPr>
        <w:pStyle w:val="TextBody"/>
        <w:spacing w:before="0" w:after="0"/>
        <w:jc w:val="left"/>
        <w:rPr/>
      </w:pPr>
      <w:r>
        <w:rPr/>
        <w:t> </w:t>
      </w:r>
    </w:p>
    <w:tbl>
      <w:tblPr>
        <w:tblW w:w="6793" w:type="dxa"/>
        <w:jc w:val="left"/>
        <w:tblInd w:w="0" w:type="dxa"/>
        <w:tblCellMar>
          <w:top w:w="28" w:type="dxa"/>
          <w:left w:w="28" w:type="dxa"/>
          <w:bottom w:w="28" w:type="dxa"/>
          <w:right w:w="28" w:type="dxa"/>
        </w:tblCellMar>
      </w:tblPr>
      <w:tblGrid>
        <w:gridCol w:w="177"/>
        <w:gridCol w:w="272"/>
        <w:gridCol w:w="162"/>
        <w:gridCol w:w="618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18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618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it is possible that others may circumvent our owned or in-licensed patents;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it is possible that there are unpublished applications or patent applications maintained in secrecy that may later issue with claims covering our products or technology similar to ours;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laws of foreign countries may not protect our or our licensors’, as the case may be, proprietary rights to the same extent as the laws of the United States;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claims of our owned or in-licensed issued patents or patent applications, if and when issued, may not cover REACT;</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our owned or in-licensed issued patents may not provide us with any competitive advantages, may be narrowed in scope, or be held invalid or unenforceable as a result of legal challenges by third parties;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we have engaged in scientific collaborations in the past, and will continue to do so in the future. Such collaborators may develop adjacent or competing products to ours that are outside the scope of our patents;</w:t>
            </w:r>
          </w:p>
        </w:tc>
      </w:tr>
    </w:tbl>
    <w:p>
      <w:pPr>
        <w:pStyle w:val="TextBody"/>
        <w:spacing w:before="0" w:after="0"/>
        <w:jc w:val="left"/>
        <w:rPr/>
      </w:pPr>
      <w:r>
        <w:rPr/>
        <w:t> </w:t>
      </w:r>
    </w:p>
    <w:tbl>
      <w:tblPr>
        <w:tblW w:w="8818" w:type="dxa"/>
        <w:jc w:val="left"/>
        <w:tblInd w:w="0" w:type="dxa"/>
        <w:tblCellMar>
          <w:top w:w="28" w:type="dxa"/>
          <w:left w:w="28" w:type="dxa"/>
          <w:bottom w:w="28" w:type="dxa"/>
          <w:right w:w="28" w:type="dxa"/>
        </w:tblCellMar>
      </w:tblPr>
      <w:tblGrid>
        <w:gridCol w:w="177"/>
        <w:gridCol w:w="272"/>
        <w:gridCol w:w="162"/>
        <w:gridCol w:w="820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20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820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we may not develop additional proprietary technologies for which we can obtain patent protection;</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it is possible that product candidates or diagnostic tests we develop may be covered by third parties’ patents or other exclusive rights;</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77</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if any of our owned or in-licensed patents or applications were made with U.S. government funds, it is possible that the U.S. government may assert certain march-in rights to force us or our licensor to grant a license to third-parties to allow them to practice the claimed invention; or</w:t>
            </w:r>
          </w:p>
        </w:tc>
      </w:tr>
    </w:tbl>
    <w:p>
      <w:pPr>
        <w:pStyle w:val="TextBody"/>
        <w:spacing w:before="0" w:after="0"/>
        <w:jc w:val="left"/>
        <w:rPr/>
      </w:pPr>
      <w:r>
        <w:rPr/>
        <w:t> </w:t>
      </w:r>
    </w:p>
    <w:tbl>
      <w:tblPr>
        <w:tblW w:w="5983" w:type="dxa"/>
        <w:jc w:val="left"/>
        <w:tblInd w:w="0" w:type="dxa"/>
        <w:tblCellMar>
          <w:top w:w="28" w:type="dxa"/>
          <w:left w:w="28" w:type="dxa"/>
          <w:bottom w:w="28" w:type="dxa"/>
          <w:right w:w="28" w:type="dxa"/>
        </w:tblCellMar>
      </w:tblPr>
      <w:tblGrid>
        <w:gridCol w:w="177"/>
        <w:gridCol w:w="272"/>
        <w:gridCol w:w="162"/>
        <w:gridCol w:w="537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37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53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patents of others may have an adverse effect on our business.</w:t>
            </w:r>
          </w:p>
        </w:tc>
      </w:tr>
    </w:tbl>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licenses or agreements.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Moreover, disputes may arise regarding intellectual property subject to a licensing agreement, including:</w:t>
      </w:r>
    </w:p>
    <w:p>
      <w:pPr>
        <w:pStyle w:val="TextBody"/>
        <w:spacing w:before="0" w:after="0"/>
        <w:jc w:val="left"/>
        <w:rPr/>
      </w:pPr>
      <w:r>
        <w:rPr/>
        <w:t> </w:t>
      </w:r>
    </w:p>
    <w:tbl>
      <w:tblPr>
        <w:tblW w:w="8398" w:type="dxa"/>
        <w:jc w:val="left"/>
        <w:tblInd w:w="0" w:type="dxa"/>
        <w:tblCellMar>
          <w:top w:w="28" w:type="dxa"/>
          <w:left w:w="28" w:type="dxa"/>
          <w:bottom w:w="28" w:type="dxa"/>
          <w:right w:w="28" w:type="dxa"/>
        </w:tblCellMar>
      </w:tblPr>
      <w:tblGrid>
        <w:gridCol w:w="177"/>
        <w:gridCol w:w="272"/>
        <w:gridCol w:w="162"/>
        <w:gridCol w:w="778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778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778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scope of rights granted under the license agreement and other interpretation-related issues;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extent to which REACT, our lead product candidate, or any other product candidate’s technology and processes infringe on intellectual property of the licensor that is not subject to the licensing agreement;</w:t>
            </w:r>
          </w:p>
        </w:tc>
      </w:tr>
    </w:tbl>
    <w:p>
      <w:pPr>
        <w:pStyle w:val="TextBody"/>
        <w:spacing w:before="0" w:after="0"/>
        <w:jc w:val="left"/>
        <w:rPr/>
      </w:pPr>
      <w:r>
        <w:rPr/>
        <w:t> </w:t>
      </w:r>
    </w:p>
    <w:tbl>
      <w:tblPr>
        <w:tblW w:w="8413" w:type="dxa"/>
        <w:jc w:val="left"/>
        <w:tblInd w:w="0" w:type="dxa"/>
        <w:tblCellMar>
          <w:top w:w="28" w:type="dxa"/>
          <w:left w:w="28" w:type="dxa"/>
          <w:bottom w:w="28" w:type="dxa"/>
          <w:right w:w="28" w:type="dxa"/>
        </w:tblCellMar>
      </w:tblPr>
      <w:tblGrid>
        <w:gridCol w:w="177"/>
        <w:gridCol w:w="272"/>
        <w:gridCol w:w="162"/>
        <w:gridCol w:w="780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780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780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sublicensing of patent and other rights under our collaborative development relationships;</w:t>
            </w:r>
          </w:p>
        </w:tc>
      </w:tr>
    </w:tbl>
    <w:p>
      <w:pPr>
        <w:pStyle w:val="TextBody"/>
        <w:spacing w:before="0" w:after="0"/>
        <w:jc w:val="left"/>
        <w:rPr/>
      </w:pPr>
      <w:r>
        <w:rPr/>
        <w:t> </w:t>
      </w:r>
    </w:p>
    <w:tbl>
      <w:tblPr>
        <w:tblW w:w="9613" w:type="dxa"/>
        <w:jc w:val="left"/>
        <w:tblInd w:w="0" w:type="dxa"/>
        <w:tblCellMar>
          <w:top w:w="28" w:type="dxa"/>
          <w:left w:w="28" w:type="dxa"/>
          <w:bottom w:w="28" w:type="dxa"/>
          <w:right w:w="28" w:type="dxa"/>
        </w:tblCellMar>
      </w:tblPr>
      <w:tblGrid>
        <w:gridCol w:w="177"/>
        <w:gridCol w:w="272"/>
        <w:gridCol w:w="162"/>
        <w:gridCol w:w="900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00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00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our diligence obligations under the license agreement and what activities satisfy those diligence obligations;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inventorship and ownership of inventions and know-how resulting from the joint creation or use of intellectual property by our licensors and us and our partners; and</w:t>
            </w:r>
          </w:p>
        </w:tc>
      </w:tr>
    </w:tbl>
    <w:p>
      <w:pPr>
        <w:pStyle w:val="TextBody"/>
        <w:spacing w:before="0" w:after="0"/>
        <w:jc w:val="left"/>
        <w:rPr/>
      </w:pPr>
      <w:r>
        <w:rPr/>
        <w:t> </w:t>
      </w:r>
    </w:p>
    <w:tbl>
      <w:tblPr>
        <w:tblW w:w="4723" w:type="dxa"/>
        <w:jc w:val="left"/>
        <w:tblInd w:w="0" w:type="dxa"/>
        <w:tblCellMar>
          <w:top w:w="28" w:type="dxa"/>
          <w:left w:w="28" w:type="dxa"/>
          <w:bottom w:w="28" w:type="dxa"/>
          <w:right w:w="28" w:type="dxa"/>
        </w:tblCellMar>
      </w:tblPr>
      <w:tblGrid>
        <w:gridCol w:w="177"/>
        <w:gridCol w:w="272"/>
        <w:gridCol w:w="162"/>
        <w:gridCol w:w="411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411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411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priority of invention of patented technology.</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the agreements under which we may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pStyle w:val="TextBody"/>
        <w:spacing w:before="120" w:after="0"/>
        <w:jc w:val="left"/>
        <w:rPr>
          <w:rFonts w:ascii="Times New Roman" w:hAnsi="Times New Roman"/>
          <w:sz w:val="20"/>
        </w:rPr>
      </w:pPr>
      <w:bookmarkStart w:id="75" w:name="bkmk_107"/>
      <w:bookmarkEnd w:id="75"/>
      <w:r>
        <w:rPr>
          <w:rFonts w:ascii="Times New Roman;serif" w:hAnsi="Times New Roman;serif"/>
          <w:b w:val="false"/>
          <w:sz w:val="20"/>
        </w:rPr>
        <w:t>In addition, we may have limited control over the maintenance and prosecution of these in-licensed patents and patent applications, or any other intellectual property that may be related to our in-licensed intellectual</w:t>
      </w:r>
      <w:r>
        <w:rPr>
          <w:rFonts w:ascii="Times New Roman" w:hAnsi="Times New Roman"/>
          <w:sz w:val="20"/>
        </w:rPr>
        <w:t xml:space="preserve"> </w:t>
      </w:r>
      <w:r>
        <w:rPr>
          <w:rFonts w:ascii="Times New Roman;serif" w:hAnsi="Times New Roman;serif"/>
          <w:b w:val="false"/>
          <w:sz w:val="20"/>
        </w:rPr>
        <w:t>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pStyle w:val="TextBody"/>
        <w:spacing w:before="360" w:after="0"/>
        <w:jc w:val="left"/>
        <w:rPr>
          <w:rFonts w:ascii="Times New Roman;serif" w:hAnsi="Times New Roman;serif"/>
          <w:b/>
          <w:i/>
          <w:sz w:val="20"/>
        </w:rPr>
      </w:pPr>
      <w:r>
        <w:rPr>
          <w:rFonts w:ascii="Times New Roman;serif" w:hAnsi="Times New Roman;serif"/>
          <w:b/>
          <w:i/>
          <w:sz w:val="20"/>
        </w:rPr>
        <w:t>If we are unable to protect the confidentiality of our trade secrets, the value of our technology could be negatively impacted, and our business and competitive position would be harmed.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to patent protection, we rely heavily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78</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also plan to adopt policies and conduct training that provides guidance on our expectations, and our advice for best practices, in protecting our trade secrets.</w:t>
      </w:r>
    </w:p>
    <w:p>
      <w:pPr>
        <w:pStyle w:val="TextBody"/>
        <w:spacing w:before="360" w:after="0"/>
        <w:jc w:val="left"/>
        <w:rPr>
          <w:rFonts w:ascii="Times New Roman;serif" w:hAnsi="Times New Roman;serif"/>
          <w:b/>
          <w:i/>
          <w:sz w:val="20"/>
        </w:rPr>
      </w:pPr>
      <w:r>
        <w:rPr>
          <w:rFonts w:ascii="Times New Roman;serif" w:hAnsi="Times New Roman;serif"/>
          <w:b/>
          <w:i/>
          <w:sz w:val="20"/>
        </w:rPr>
        <w:t>Third-party claims of intellectual property infringement may be costly and time consuming to defend and could prevent or delay our product discovery, development and commercialization efforts.</w:t>
      </w:r>
    </w:p>
    <w:p>
      <w:pPr>
        <w:pStyle w:val="TextBody"/>
        <w:spacing w:before="120" w:after="0"/>
        <w:jc w:val="left"/>
        <w:rPr>
          <w:rFonts w:ascii="Times New Roman" w:hAnsi="Times New Roman"/>
          <w:sz w:val="20"/>
        </w:rPr>
      </w:pPr>
      <w:bookmarkStart w:id="76" w:name="bkmk_108"/>
      <w:bookmarkEnd w:id="76"/>
      <w:r>
        <w:rPr>
          <w:rFonts w:ascii="Times New Roman;serif" w:hAnsi="Times New Roman;serif"/>
          <w:b w:val="false"/>
          <w:sz w:val="20"/>
        </w:rPr>
        <w:t>Our commercial success depends in part on our ability to develop, manufacture, market and sell REACT, our lead product candidate, and use our proprietary technologies without infringing the proprietary rights of third</w:t>
      </w:r>
      <w:r>
        <w:rPr>
          <w:rFonts w:ascii="Times New Roman" w:hAnsi="Times New Roman"/>
          <w:sz w:val="20"/>
        </w:rPr>
        <w:t xml:space="preserve"> </w:t>
      </w:r>
      <w:r>
        <w:rPr>
          <w:rFonts w:ascii="Times New Roman;serif" w:hAnsi="Times New Roman;serif"/>
          <w:b w:val="false"/>
          <w:sz w:val="20"/>
        </w:rPr>
        <w:t>parties. There is a substantial amount of litigation involving patents and other intellectual property rights in the biotechnology and biopharmaceutical industries, as well as administrative proceedings for challenging patents, including interference, derivation,</w:t>
      </w:r>
      <w:r>
        <w:rPr>
          <w:rFonts w:ascii="Times New Roman" w:hAnsi="Times New Roman"/>
          <w:sz w:val="20"/>
        </w:rPr>
        <w:t xml:space="preserve"> </w:t>
      </w:r>
      <w:r>
        <w:rPr>
          <w:rFonts w:ascii="Times New Roman;serif" w:hAnsi="Times New Roman;serif"/>
          <w:b w:val="false"/>
          <w:i/>
          <w:sz w:val="20"/>
        </w:rPr>
        <w:t>inter partes</w:t>
      </w:r>
      <w:r>
        <w:rPr>
          <w:rFonts w:ascii="Times New Roman" w:hAnsi="Times New Roman"/>
          <w:sz w:val="20"/>
        </w:rPr>
        <w:t xml:space="preserve"> </w:t>
      </w:r>
      <w:r>
        <w:rPr>
          <w:rFonts w:ascii="Times New Roman;serif" w:hAnsi="Times New Roman;serif"/>
          <w:b w:val="false"/>
          <w:sz w:val="20"/>
        </w:rPr>
        <w:t>review, post-grant review, and reexamination proceedings before the USPTO or oppositions and other comparable proceedings in foreign jurisdictions. We may be exposed to, or threatened with, future litigation by third parties having patent or other intellectual property rights alleging that REACT and/or proprietary technologies infringe their intellectual property rights. Numerous U.S. and foreign issued patents and pending patent applications, which are owned by third parties, exist in the fields in which we are developing REACT. As the biotechnology and biopharmaceutical industries expand and more patents are issued, the risk increases that REACT may give rise to claims of infringement of the patent rights of others.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Purple Book Continuity Act, enacted in December 2020 under Title II § 325, directs the FDA for the first time to publicly list certain patent information in the “Purple Book,” a database of approved biological products. Specifically, a reference product sponsor (“RPS”) is required to provide to FDA the list of patents and corresponding expiry dates (referred to here as the “initial list”), not later than 30 days after the RPS has provided the initial list to a 351(k) applicant under section 351(l)(3)(A) or (l)(7) of the Public Health Service Act. Accordingly, the RPS must only provide information on its patents to the FDA for listing in the Purple Book after it engages in the patent dance with a follow-on developer or biosimilar. As such, it is not always clear to industry participants, including us, which patents cover various types of medicines, products or their methods of use or manufacture, especially in the earlier stages of product discovery and development. Thus, because of the large number of patents issued and patent applications filed in our fields, there may be a risk that third parties may allege they have patent rights encompassing our product candidate, technologies or methods.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a third party claims that we infringe its intellectual property rights, we may face a number of issues, including, but not limited to:</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infringement and other intellectual property claims which, regardless of merit, may be expensive and time-consuming to litigate and may divert our management’s attention from our core business;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substantial damages for infringement, which we may have to pay if a court decides that the product or technology at issue infringes on or violates the third-party’s rights, and, if the court finds that the infringement was willful, we could be ordered to pay treble damages and the patent owner’s attorneys’ fees;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 court prohibiting us from developing, manufacturing, marketing or selling REACT, or from using our proprietary technologies, unless the third-party licenses its product rights to us, which it is not required to do;</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redesigning REACT or processes so they do not infringe, which may not be possible or may require substantial monetary expenditures and time.</w:t>
            </w:r>
          </w:p>
        </w:tc>
      </w:tr>
    </w:tbl>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In addition, there could be public announcements of the results of hearings, motions or other interim proceedings or developments, and, if securities analysts or investors perceive these results to be negative, it could have a substantial adverse effect</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79</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bookmarkStart w:id="77" w:name="bkmk_109"/>
      <w:bookmarkEnd w:id="77"/>
      <w:r>
        <w:rPr>
          <w:rFonts w:ascii="Times New Roman;serif" w:hAnsi="Times New Roman;serif"/>
          <w:b w:val="false"/>
          <w:sz w:val="20"/>
        </w:rPr>
        <w:t>on the price of our securities.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w:t>
      </w:r>
      <w:r>
        <w:rPr>
          <w:rFonts w:ascii="Times New Roman" w:hAnsi="Times New Roman"/>
          <w:sz w:val="20"/>
        </w:rPr>
        <w:t xml:space="preserve"> </w:t>
      </w:r>
      <w:r>
        <w:rPr>
          <w:rFonts w:ascii="Times New Roman;serif" w:hAnsi="Times New Roman;serif"/>
          <w:b w:val="false"/>
          <w:sz w:val="20"/>
        </w:rPr>
        <w:t>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pStyle w:val="TextBody"/>
        <w:spacing w:before="360" w:after="0"/>
        <w:jc w:val="left"/>
        <w:rPr>
          <w:rFonts w:ascii="Times New Roman;serif" w:hAnsi="Times New Roman;serif"/>
          <w:b/>
          <w:i/>
          <w:sz w:val="20"/>
        </w:rPr>
      </w:pPr>
      <w:r>
        <w:rPr>
          <w:rFonts w:ascii="Times New Roman;serif" w:hAnsi="Times New Roman;serif"/>
          <w:b/>
          <w:i/>
          <w:sz w:val="20"/>
        </w:rPr>
        <w:t>Third parties may assert that we are employing their proprietary technology without authorization.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may be third-party patents of which we are currently unaware with claims to compositions of matter, materials, formulations, methods of manufacture or methods for treatment that encompass the composition, use or manufacture of REACT. There may be currently pending patent applications of which we are currently unaware which may later result in issued patents that REACT or their use or manufacture may infringe. In addition, third parties may obtain patents in the future and claim that use of our technologies infringes upon these patents. If any third-party patent were held by a court of competent jurisdiction to cover REACT, intermediates used in the manufacture of REACT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REACT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Parties making claims against us may seek and obtain injunctive or other equitable relief, which could effectively block our ability to further develop and commercialize REACT.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REACT. We may fail to obtain any of these licenses at a reasonable cost or on reasonable terms, if at all. In that event, we would be unable to further develop and commercialize REACT, which could harm our business significantly.</w:t>
      </w:r>
    </w:p>
    <w:p>
      <w:pPr>
        <w:pStyle w:val="TextBody"/>
        <w:spacing w:before="360" w:after="0"/>
        <w:jc w:val="left"/>
        <w:rPr>
          <w:rFonts w:ascii="Times New Roman;serif" w:hAnsi="Times New Roman;serif"/>
          <w:b/>
          <w:i/>
          <w:sz w:val="20"/>
        </w:rPr>
      </w:pPr>
      <w:r>
        <w:rPr>
          <w:rFonts w:ascii="Times New Roman;serif" w:hAnsi="Times New Roman;serif"/>
          <w:b/>
          <w:i/>
          <w:sz w:val="20"/>
        </w:rPr>
        <w:t>Third parties may assert that our employees or consultants have wrongfully used or disclosed confidential information or misappropriated trade secrets.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securities.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80</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We may not identify relevant third-party patents or may incorrectly interpret the relevance, scope or expiration of a third-party patent which might adversely affect our ability to develop and market our products.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may be relevant to or necessary for the commercialization of REACT in any jurisdiction.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REACT. Our failure to identify and correctly interpret relevant patents may negatively impact our ability to develop and market our products.</w:t>
      </w:r>
    </w:p>
    <w:p>
      <w:pPr>
        <w:pStyle w:val="TextBody"/>
        <w:spacing w:before="360" w:after="0"/>
        <w:jc w:val="left"/>
        <w:rPr>
          <w:rFonts w:ascii="Times New Roman;serif" w:hAnsi="Times New Roman;serif"/>
          <w:b/>
          <w:i/>
          <w:sz w:val="20"/>
        </w:rPr>
      </w:pPr>
      <w:r>
        <w:rPr>
          <w:rFonts w:ascii="Times New Roman;serif" w:hAnsi="Times New Roman;serif"/>
          <w:b/>
          <w:i/>
          <w:sz w:val="20"/>
        </w:rPr>
        <w:t>We may not be successful in obtaining or maintaining necessary intellectual property rights to develop any future product candidates on acceptable terms.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REACT, our current product candidate, may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REACT.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pStyle w:val="TextBody"/>
        <w:spacing w:before="360" w:after="0"/>
        <w:jc w:val="left"/>
        <w:rPr>
          <w:rFonts w:ascii="Times New Roman;serif" w:hAnsi="Times New Roman;serif"/>
          <w:b/>
          <w:i/>
          <w:sz w:val="20"/>
        </w:rPr>
      </w:pPr>
      <w:r>
        <w:rPr>
          <w:rFonts w:ascii="Times New Roman;serif" w:hAnsi="Times New Roman;serif"/>
          <w:b/>
          <w:i/>
          <w:sz w:val="20"/>
        </w:rPr>
        <w:t>We may be involved in lawsuits to protect or enforce our patents or the patents of our licensors, or challenging the patent rights of others, which could be expensive, time-consuming and unsuccessful.</w:t>
      </w:r>
    </w:p>
    <w:p>
      <w:pPr>
        <w:pStyle w:val="TextBody"/>
        <w:spacing w:before="120" w:after="0"/>
        <w:jc w:val="left"/>
        <w:rPr>
          <w:rFonts w:ascii="Times New Roman" w:hAnsi="Times New Roman"/>
          <w:sz w:val="20"/>
        </w:rPr>
      </w:pPr>
      <w:bookmarkStart w:id="78" w:name="bkmk_111"/>
      <w:bookmarkEnd w:id="78"/>
      <w:r>
        <w:rPr>
          <w:rFonts w:ascii="Times New Roman;serif" w:hAnsi="Times New Roman;serif"/>
          <w:b w:val="false"/>
          <w:sz w:val="20"/>
        </w:rPr>
        <w:t>Competitors may infringe our patents or the patents of our current or future licensors. To counter infringement or unauthorized use, we may be required to file infringement claims, which can be expensive and</w:t>
      </w:r>
      <w:r>
        <w:rPr>
          <w:rFonts w:ascii="Times New Roman" w:hAnsi="Times New Roman"/>
          <w:sz w:val="20"/>
        </w:rPr>
        <w:t xml:space="preserve"> </w:t>
      </w:r>
      <w:r>
        <w:rPr>
          <w:rFonts w:ascii="Times New Roman;serif" w:hAnsi="Times New Roman;serif"/>
          <w:b w:val="false"/>
          <w:sz w:val="20"/>
        </w:rPr>
        <w:t>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pStyle w:val="TextBody"/>
        <w:spacing w:before="120" w:after="0"/>
        <w:jc w:val="left"/>
        <w:rPr>
          <w:rFonts w:ascii="Times New Roman" w:hAnsi="Times New Roman"/>
          <w:sz w:val="20"/>
        </w:rPr>
      </w:pPr>
      <w:r>
        <w:rPr>
          <w:rFonts w:ascii="Times New Roman;serif" w:hAnsi="Times New Roman;serif"/>
          <w:b w:val="false"/>
          <w:sz w:val="20"/>
        </w:rPr>
        <w:t xml:space="preserve">We may choose to challenge the patentability of claims in a third-party’s U.S. patent by requesting that the USPTO review the patent claims in an ex-parte re-examination, </w:t>
      </w:r>
      <w:r>
        <w:rPr>
          <w:rFonts w:ascii="Times New Roman;serif" w:hAnsi="Times New Roman;serif"/>
          <w:b w:val="false"/>
          <w:i/>
          <w:sz w:val="20"/>
        </w:rPr>
        <w:t xml:space="preserve">inter partes </w:t>
      </w:r>
      <w:r>
        <w:rPr>
          <w:rFonts w:ascii="Times New Roman;serif" w:hAnsi="Times New Roman;serif"/>
          <w:b w:val="false"/>
          <w:sz w:val="20"/>
        </w:rPr>
        <w:t>review or post-grant review proceedings. These proceedings are expensive and may consume our time or other resources. We may choose to challenge a third-party’s patent in patent opposition proceedings in the European Patent Office (the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REACT or our proprietary technologies.</w:t>
      </w:r>
    </w:p>
    <w:p>
      <w:pPr>
        <w:pStyle w:val="TextBody"/>
        <w:spacing w:before="120" w:after="0"/>
        <w:jc w:val="left"/>
        <w:rPr>
          <w:rFonts w:ascii="Times New Roman" w:hAnsi="Times New Roman"/>
          <w:sz w:val="20"/>
        </w:rPr>
      </w:pPr>
      <w:r>
        <w:rPr>
          <w:rFonts w:ascii="Times New Roman;serif" w:hAnsi="Times New Roman;serif"/>
          <w:b w:val="false"/>
          <w:sz w:val="20"/>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81</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pStyle w:val="TextBody"/>
        <w:spacing w:before="120" w:after="0"/>
        <w:jc w:val="left"/>
        <w:rPr>
          <w:rFonts w:ascii="Times New Roman;serif" w:hAnsi="Times New Roman;serif"/>
          <w:b w:val="false"/>
          <w:sz w:val="20"/>
        </w:rPr>
      </w:pPr>
      <w:bookmarkStart w:id="79" w:name="bkmk_112"/>
      <w:bookmarkEnd w:id="79"/>
      <w:r>
        <w:rPr>
          <w:rFonts w:ascii="Times New Roman;serif" w:hAnsi="Times New Roman;serif"/>
          <w:b w:val="false"/>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securities.</w:t>
      </w:r>
    </w:p>
    <w:p>
      <w:pPr>
        <w:pStyle w:val="TextBody"/>
        <w:spacing w:before="360" w:after="0"/>
        <w:jc w:val="left"/>
        <w:rPr>
          <w:rFonts w:ascii="Times New Roman;serif" w:hAnsi="Times New Roman;serif"/>
          <w:b/>
          <w:i/>
          <w:sz w:val="20"/>
        </w:rPr>
      </w:pPr>
      <w:r>
        <w:rPr>
          <w:rFonts w:ascii="Times New Roman;serif" w:hAnsi="Times New Roman;serif"/>
          <w:b/>
          <w:i/>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Periodic maintenance fees, renewal fees, annuity fees and various other governmental fees on our owned and in-licensed issued patents and patent applications are or will be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pStyle w:val="TextBody"/>
        <w:spacing w:before="360" w:after="0"/>
        <w:jc w:val="left"/>
        <w:rPr>
          <w:rFonts w:ascii="Times New Roman;serif" w:hAnsi="Times New Roman;serif"/>
          <w:b/>
          <w:i/>
          <w:sz w:val="20"/>
        </w:rPr>
      </w:pPr>
      <w:r>
        <w:rPr>
          <w:rFonts w:ascii="Times New Roman;serif" w:hAnsi="Times New Roman;serif"/>
          <w:b/>
          <w:i/>
          <w:sz w:val="20"/>
        </w:rPr>
        <w:t>Certain patents covering REACT could be found invalid or unenforceable if challenged in court or the USPTO.</w:t>
      </w:r>
    </w:p>
    <w:p>
      <w:pPr>
        <w:pStyle w:val="TextBody"/>
        <w:spacing w:before="120" w:after="0"/>
        <w:jc w:val="left"/>
        <w:rPr>
          <w:rFonts w:ascii="Times New Roman" w:hAnsi="Times New Roman"/>
          <w:sz w:val="20"/>
        </w:rPr>
      </w:pPr>
      <w:r>
        <w:rPr>
          <w:rFonts w:ascii="Times New Roman;serif" w:hAnsi="Times New Roman;serif"/>
          <w:b w:val="false"/>
          <w:sz w:val="20"/>
        </w:rPr>
        <w:t xml:space="preserve">If we or one of our licensors initiate legal proceedings against a third-party to enforce a patent covering REACT, the defendant could counterclaim that the patent covering REACT,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w:t>
      </w:r>
      <w:r>
        <w:rPr>
          <w:rFonts w:ascii="Times New Roman;serif" w:hAnsi="Times New Roman;serif"/>
          <w:b w:val="false"/>
          <w:i/>
          <w:sz w:val="20"/>
        </w:rPr>
        <w:t xml:space="preserve">inter partes </w:t>
      </w:r>
      <w:r>
        <w:rPr>
          <w:rFonts w:ascii="Times New Roman;serif" w:hAnsi="Times New Roman;serif"/>
          <w:b w:val="false"/>
          <w:sz w:val="20"/>
        </w:rPr>
        <w:t>review, post-grant review, and equivalent proceedings in foreign jurisdictions (e.g., opposition proceedings). Such proceedings could result in revocation or amendment to our patents in such a way that they no longer cover REACT.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REACT. Such a loss of patent protection could have a material adverse impact on our business and our ability to commercialize or license our technology and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have a similar material adverse effect on our business, results of operations, financial condition and prospects.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82</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Changes in patent law in the United States, changes in the administration’s interpretation of the law, or changes in the law in other jurisdictions could diminish the value of patents in general, thereby impairing our ability to protect our products.</w:t>
      </w:r>
    </w:p>
    <w:p>
      <w:pPr>
        <w:pStyle w:val="TextBody"/>
        <w:spacing w:before="120" w:after="0"/>
        <w:jc w:val="left"/>
        <w:rPr>
          <w:rFonts w:ascii="Times New Roman" w:hAnsi="Times New Roman"/>
          <w:sz w:val="20"/>
        </w:rPr>
      </w:pPr>
      <w:bookmarkStart w:id="80" w:name="bkmk_113"/>
      <w:bookmarkEnd w:id="80"/>
      <w:r>
        <w:rPr>
          <w:rFonts w:ascii="Times New Roman;serif" w:hAnsi="Times New Roman;serif"/>
          <w:b w:val="false"/>
          <w:sz w:val="20"/>
        </w:rPr>
        <w:t>Changes in either the patent laws or interpretation of the patent laws in the United States or in other jurisdictions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America Invents Act, enacted in September 2011, the United States transitioned to a first inventor to</w:t>
      </w:r>
      <w:r>
        <w:rPr>
          <w:rFonts w:ascii="Times New Roman" w:hAnsi="Times New Roman"/>
          <w:sz w:val="20"/>
        </w:rPr>
        <w:t xml:space="preserve"> </w:t>
      </w:r>
      <w:r>
        <w:rPr>
          <w:rFonts w:ascii="Times New Roman;serif" w:hAnsi="Times New Roman;serif"/>
          <w:b w:val="false"/>
          <w:sz w:val="20"/>
        </w:rPr>
        <w:t>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pStyle w:val="TextBody"/>
        <w:spacing w:before="120" w:after="0"/>
        <w:jc w:val="left"/>
        <w:rPr>
          <w:rFonts w:ascii="Times New Roman" w:hAnsi="Times New Roman"/>
          <w:sz w:val="20"/>
        </w:rPr>
      </w:pPr>
      <w:r>
        <w:rPr>
          <w:rFonts w:ascii="Times New Roman;serif" w:hAnsi="Times New Roman;serif"/>
          <w:b w:val="false"/>
          <w:sz w:val="20"/>
        </w:rPr>
        <w:t xml:space="preserve">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w:t>
      </w:r>
      <w:r>
        <w:rPr>
          <w:rFonts w:ascii="Times New Roman;serif" w:hAnsi="Times New Roman;serif"/>
          <w:b w:val="false"/>
          <w:i/>
          <w:sz w:val="20"/>
        </w:rPr>
        <w:t xml:space="preserve">inter partes </w:t>
      </w:r>
      <w:r>
        <w:rPr>
          <w:rFonts w:ascii="Times New Roman;serif" w:hAnsi="Times New Roman;serif"/>
          <w:b w:val="false"/>
          <w:sz w:val="20"/>
        </w:rPr>
        <w:t>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pStyle w:val="TextBody"/>
        <w:spacing w:before="360" w:after="0"/>
        <w:jc w:val="left"/>
        <w:rPr>
          <w:rFonts w:ascii="Times New Roman;serif" w:hAnsi="Times New Roman;serif"/>
          <w:b/>
          <w:i/>
          <w:sz w:val="20"/>
        </w:rPr>
      </w:pPr>
      <w:r>
        <w:rPr>
          <w:rFonts w:ascii="Times New Roman;serif" w:hAnsi="Times New Roman;serif"/>
          <w:b/>
          <w:i/>
          <w:sz w:val="20"/>
        </w:rPr>
        <w:t>We have limited foreign intellectual property rights and may not be able to protect and enforce our intellectual property rights throughout the world.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Although we have multiple patents in countries outside of the United States, we do not have intellectual property rights in all potential markets outside the United States where CKD is prevalent.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pStyle w:val="TextBody"/>
        <w:spacing w:before="120" w:after="0"/>
        <w:jc w:val="left"/>
        <w:rPr>
          <w:rFonts w:ascii="Times New Roman" w:hAnsi="Times New Roman"/>
          <w:sz w:val="20"/>
        </w:rPr>
      </w:pPr>
      <w:bookmarkStart w:id="81" w:name="bkmk_114"/>
      <w:bookmarkEnd w:id="81"/>
      <w:r>
        <w:rPr>
          <w:rFonts w:ascii="Times New Roman;serif" w:hAnsi="Times New Roman;serif"/>
          <w:b w:val="false"/>
          <w:sz w:val="20"/>
        </w:rPr>
        <w:t>Many companies have encountered significant problems in protecting and defending intellectual property rights in foreign jurisdictions. The legal systems of certain countries, particularly certain developing countries, do</w:t>
      </w:r>
      <w:r>
        <w:rPr>
          <w:rFonts w:ascii="Times New Roman" w:hAnsi="Times New Roman"/>
          <w:sz w:val="20"/>
        </w:rPr>
        <w:t xml:space="preserve"> </w:t>
      </w:r>
      <w:r>
        <w:rPr>
          <w:rFonts w:ascii="Times New Roman;serif" w:hAnsi="Times New Roman;serif"/>
          <w:b w:val="false"/>
          <w:sz w:val="20"/>
        </w:rPr>
        <w:t>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83</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commercially meaningful. Accordingly, our efforts to enforce our intellectual property rights around the world may be inadequate to obtain a significant commercial advantage from the intellectual property that we develop or license.</w:t>
      </w:r>
    </w:p>
    <w:p>
      <w:pPr>
        <w:pStyle w:val="TextBody"/>
        <w:spacing w:before="360" w:after="0"/>
        <w:jc w:val="left"/>
        <w:rPr>
          <w:rFonts w:ascii="Times New Roman;serif" w:hAnsi="Times New Roman;serif"/>
          <w:b/>
          <w:i/>
          <w:sz w:val="20"/>
        </w:rPr>
      </w:pPr>
      <w:r>
        <w:rPr>
          <w:rFonts w:ascii="Times New Roman;serif" w:hAnsi="Times New Roman;serif"/>
          <w:b/>
          <w:i/>
          <w:sz w:val="20"/>
        </w:rPr>
        <w:t>Patent terms may be inadequate to protect our competitive position on REACT or our future product candidates for an adequate amount of time, and if we do not obtain protection under the Hatch-Waxman Amendments and similar non-United States legislation for extending the term of patents covering REACT or our future product candidates, our business may be materially harmed.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Patents have a limited lifespan. In the United States, if all maintenance fees are timely paid, the natural expiration of a patent is generally 20 years from its earliest claimed U.S. non-provisional filing date. Various extensions such as patent term adjustments and/or extensions, may be available, but the life of a patent, and the protection it affords, is limited. Even if patents covering REACT or any of our future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also known as the Hatch-Waxman Amendments. The Hatch-Waxman Amendments permit a patent extension term of up to five additional years beyond the expiration date as compensation for patent term lost during the FDA regulatory review process. A patent term extension cannot extend the remaining term of a patent beyond a total of 14 years from the date of product approval, only one patent may be extended. However, we may not be granted the full extension because of, for example, failing to exercise due diligence during the testing phase or regulatory review process. Also, we may not be granted any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and could have a material adverse effect on our business.</w:t>
      </w:r>
    </w:p>
    <w:p>
      <w:pPr>
        <w:pStyle w:val="TextBody"/>
        <w:spacing w:before="360" w:after="0"/>
        <w:jc w:val="left"/>
        <w:rPr>
          <w:rFonts w:ascii="Times New Roman;serif" w:hAnsi="Times New Roman;serif"/>
          <w:b/>
          <w:i/>
          <w:sz w:val="20"/>
        </w:rPr>
      </w:pPr>
      <w:r>
        <w:rPr>
          <w:rFonts w:ascii="Times New Roman;serif" w:hAnsi="Times New Roman;serif"/>
          <w:b/>
          <w:i/>
          <w:sz w:val="20"/>
        </w:rPr>
        <w:t>Any trademarks we have obtained or may obtain may be infringed or otherwise violated, or successfully challenged, resulting in harm to our business.</w:t>
      </w:r>
    </w:p>
    <w:p>
      <w:pPr>
        <w:pStyle w:val="TextBody"/>
        <w:spacing w:before="120" w:after="0"/>
        <w:jc w:val="left"/>
        <w:rPr>
          <w:rFonts w:ascii="Times New Roman" w:hAnsi="Times New Roman"/>
          <w:sz w:val="20"/>
        </w:rPr>
      </w:pPr>
      <w:bookmarkStart w:id="82" w:name="bkmk_115"/>
      <w:bookmarkEnd w:id="82"/>
      <w:r>
        <w:rPr>
          <w:rFonts w:ascii="Times New Roman;serif" w:hAnsi="Times New Roman;serif"/>
          <w:b w:val="false"/>
          <w:sz w:val="20"/>
        </w:rPr>
        <w:t>We expect to rely on trademarks as one means to distinguish REACT, if approved for marketing, from the products of our competitors. Once we select new trademarks and apply to register them, our trademark applications may not be approved. Although we would be given an opportunity to respond to those rejections, we may be unable to overcome such rejections. Third parties may oppose or attempt to cancel our trademark applications or trademarks,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w:t>
      </w:r>
      <w:r>
        <w:rPr>
          <w:rFonts w:ascii="Times New Roman" w:hAnsi="Times New Roman"/>
          <w:sz w:val="20"/>
        </w:rPr>
        <w:t xml:space="preserve"> </w:t>
      </w:r>
      <w:r>
        <w:rPr>
          <w:rFonts w:ascii="Times New Roman;serif" w:hAnsi="Times New Roman;serif"/>
          <w:b w:val="false"/>
          <w:sz w:val="20"/>
        </w:rPr>
        <w:t>may infringe or otherwise violate our trademarks and we may not have adequate resources to enforce our trademarks. Any of the foregoing events may have a material adverse effect on our business. Moreover, any name we propose to use with REACT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pStyle w:val="TextBody"/>
        <w:spacing w:before="360" w:after="0"/>
        <w:jc w:val="left"/>
        <w:rPr>
          <w:rFonts w:ascii="Times New Roman;serif" w:hAnsi="Times New Roman;serif"/>
          <w:b/>
          <w:sz w:val="20"/>
        </w:rPr>
      </w:pPr>
      <w:r>
        <w:rPr>
          <w:rFonts w:ascii="Times New Roman;serif" w:hAnsi="Times New Roman;serif"/>
          <w:b/>
          <w:sz w:val="20"/>
        </w:rPr>
        <w:t>Risks Related to Managing Our Business and Operations</w:t>
      </w:r>
    </w:p>
    <w:p>
      <w:pPr>
        <w:pStyle w:val="TextBody"/>
        <w:spacing w:before="120" w:after="0"/>
        <w:jc w:val="left"/>
        <w:rPr>
          <w:rFonts w:ascii="Times New Roman;serif" w:hAnsi="Times New Roman;serif"/>
          <w:b/>
          <w:i/>
          <w:sz w:val="20"/>
        </w:rPr>
      </w:pPr>
      <w:r>
        <w:rPr>
          <w:rFonts w:ascii="Times New Roman;serif" w:hAnsi="Times New Roman;serif"/>
          <w:b/>
          <w:i/>
          <w:sz w:val="20"/>
        </w:rPr>
        <w:t>We expect to expand our clinical development and research and regulatory capabilities, our manufacturing and administrative capacities, and potentially implement sales, marketing and distribution capabilities, and as a result, we may encounter difficulties in managing our growth, which could adversely affect our operations.</w:t>
      </w:r>
    </w:p>
    <w:p>
      <w:pPr>
        <w:pStyle w:val="TextBody"/>
        <w:spacing w:before="108" w:after="0"/>
        <w:jc w:val="left"/>
        <w:rPr>
          <w:rFonts w:ascii="Times New Roman;serif" w:hAnsi="Times New Roman;serif"/>
          <w:b w:val="false"/>
          <w:sz w:val="20"/>
        </w:rPr>
      </w:pPr>
      <w:r>
        <w:rPr>
          <w:rFonts w:ascii="Times New Roman;serif" w:hAnsi="Times New Roman;serif"/>
          <w:b w:val="false"/>
          <w:sz w:val="20"/>
        </w:rPr>
        <w:t>As of December 31, 2022, we had approximately 87 full-time employees. As our clinical development and commercialization plans and strategies develop, and as we transition into operating as a public company, we will need to expand our managerial, clinical, regulatory, manufacturing, sales, marketing, financial, development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pStyle w:val="TextBody"/>
        <w:spacing w:before="0" w:after="0"/>
        <w:jc w:val="left"/>
        <w:rPr/>
      </w:pPr>
      <w:r>
        <w:rPr/>
        <w:t> </w:t>
      </w:r>
    </w:p>
    <w:tbl>
      <w:tblPr>
        <w:tblW w:w="7798" w:type="dxa"/>
        <w:jc w:val="left"/>
        <w:tblInd w:w="0" w:type="dxa"/>
        <w:tblCellMar>
          <w:top w:w="28" w:type="dxa"/>
          <w:left w:w="28" w:type="dxa"/>
          <w:bottom w:w="28" w:type="dxa"/>
          <w:right w:w="28" w:type="dxa"/>
        </w:tblCellMar>
      </w:tblPr>
      <w:tblGrid>
        <w:gridCol w:w="177"/>
        <w:gridCol w:w="272"/>
        <w:gridCol w:w="162"/>
        <w:gridCol w:w="718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718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718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identifying, recruiting, integrating, maintaining and motivating additional employees;</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84</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managing our development and commercialization efforts effectively, including the clinical and FDA review process for REACT and any other product candidates, while complying with our contractual obligations to contractors and other third parties; and</w:t>
            </w:r>
          </w:p>
        </w:tc>
      </w:tr>
    </w:tbl>
    <w:p>
      <w:pPr>
        <w:pStyle w:val="TextBody"/>
        <w:spacing w:before="0" w:after="0"/>
        <w:jc w:val="left"/>
        <w:rPr/>
      </w:pPr>
      <w:r>
        <w:rPr/>
        <w:t> </w:t>
      </w:r>
    </w:p>
    <w:tbl>
      <w:tblPr>
        <w:tblW w:w="8698" w:type="dxa"/>
        <w:jc w:val="left"/>
        <w:tblInd w:w="0" w:type="dxa"/>
        <w:tblCellMar>
          <w:top w:w="28" w:type="dxa"/>
          <w:left w:w="28" w:type="dxa"/>
          <w:bottom w:w="28" w:type="dxa"/>
          <w:right w:w="28" w:type="dxa"/>
        </w:tblCellMar>
      </w:tblPr>
      <w:tblGrid>
        <w:gridCol w:w="177"/>
        <w:gridCol w:w="272"/>
        <w:gridCol w:w="162"/>
        <w:gridCol w:w="808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08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808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improving our operational, financial and management controls, reporting systems and procedures.</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continue to develop and, if approved, commercialize REACT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currently rely, and for the foreseeable future will continue to rely, in substantial part on certain independent organizations, advisors and consultants to provide certain services.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accuracy or quantity of the services provided is compromised for any reason, our clinical trials may be extended, delayed or terminated, and we may not be able to obtain, or may be substantially delayed in obtaining, regulatory approval of REACT or any of our future product candidates or otherwise advance our business. There can be no assurance that we will be able to manage our existing consultants or find other competent outside contractors and consultants on economically reasonable terms, or at all.</w:t>
      </w:r>
    </w:p>
    <w:p>
      <w:pPr>
        <w:pStyle w:val="TextBody"/>
        <w:spacing w:before="120" w:after="0"/>
        <w:jc w:val="left"/>
        <w:rPr>
          <w:rFonts w:ascii="Times New Roman;serif" w:hAnsi="Times New Roman;serif"/>
          <w:b w:val="false"/>
          <w:sz w:val="20"/>
        </w:rPr>
      </w:pPr>
      <w:bookmarkStart w:id="83" w:name="bkmk_116"/>
      <w:bookmarkEnd w:id="83"/>
      <w:r>
        <w:rPr>
          <w:rFonts w:ascii="Times New Roman;serif" w:hAnsi="Times New Roman;serif"/>
          <w:b w:val="false"/>
          <w:sz w:val="20"/>
        </w:rPr>
        <w:t>If we are not able to effectively expand our organization by hiring new employees and expanding our groups of consultants and contractors, we may not be able to successfully implement the tasks necessary to further develop and commercialize REACT or any other product candidates and, accordingly, may not achieve our research, development and commercialization goals.</w:t>
      </w:r>
    </w:p>
    <w:p>
      <w:pPr>
        <w:pStyle w:val="TextBody"/>
        <w:spacing w:before="360" w:after="0"/>
        <w:jc w:val="left"/>
        <w:rPr>
          <w:rFonts w:ascii="Times New Roman;serif" w:hAnsi="Times New Roman;serif"/>
          <w:b/>
          <w:i/>
          <w:sz w:val="20"/>
        </w:rPr>
      </w:pPr>
      <w:r>
        <w:rPr>
          <w:rFonts w:ascii="Times New Roman;serif" w:hAnsi="Times New Roman;serif"/>
          <w:b/>
          <w:i/>
          <w:sz w:val="20"/>
        </w:rPr>
        <w:t>If we lose key management personnel, or if we fail to recruit additional highly skilled personnel, our ability to continue developing REACT or identify and develop new product candidates will be impaired, which could result in loss of markets or market share and could make us less competitive.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compete in the highly competitive biotechnology and biopharmaceutical industries depends upon our ability to attract and retain highly qualified managerial, scientific and medical personnel. We are highly dependent on our management, scientific and medical personnel, including Tim Bertram, our Chief Executive Officer; Deepak Jain, our Chief Operating Officer; James Coulston, our Chief Financial Officer; Joseph Stavas, our SVP Global Head of Clinical Development and Interventional Procedures; Darin J. Weber, our Senior Vice President of Regulatory Development; Ashley Johns, our Senior Vice President, Head of Global Clinical Operations; Mary Weger, our Chief People Officer and Todd C. Girolamo, our Chief Legal Officer. The loss of the services of any of our executive officers, other key employees, and other scientific and medical advisors, and our inability to find suitable replacements could result in delays in product development and harm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conduct our operations globally from several locations, including the United States and the Cayman Islands. Competition for skilled personnel in our industry is intense and may limit our ability to hire and retain highly qualified personnel on acceptable terms or at all.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 induce valuable employees to remain at our company, in addition to salary and cash incentives, we intend to provide equity awards that vest over time, some of which may be in the form of unregistered shares and may dilute the voting and economic rights of our shareholders. The value to employees of such equity awards that vest over time may be significantly affected by movements in our share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Our success also depends on our ability to continue to attract, retain and motivate highly skilled junior, mid-level and senior scientific and medical personnel.</w:t>
      </w:r>
    </w:p>
    <w:p>
      <w:pPr>
        <w:pStyle w:val="TextBody"/>
        <w:spacing w:before="360" w:after="0"/>
        <w:jc w:val="left"/>
        <w:rPr>
          <w:rFonts w:ascii="Times New Roman;serif" w:hAnsi="Times New Roman;serif"/>
          <w:b/>
          <w:i/>
          <w:sz w:val="20"/>
        </w:rPr>
      </w:pPr>
      <w:r>
        <w:rPr>
          <w:rFonts w:ascii="Times New Roman;serif" w:hAnsi="Times New Roman;serif"/>
          <w:b/>
          <w:i/>
          <w:sz w:val="20"/>
        </w:rPr>
        <w:t>Our employees, independent contractors, consultants, collaborators, principal investigators, CROs, suppliers and vendors may engage in misconduct or other improper activities, including non-compliance with regulatory standards and requirements.</w:t>
      </w:r>
    </w:p>
    <w:p>
      <w:pPr>
        <w:pStyle w:val="TextBody"/>
        <w:spacing w:before="120" w:after="0"/>
        <w:jc w:val="left"/>
        <w:rPr>
          <w:rFonts w:ascii="Times New Roman" w:hAnsi="Times New Roman"/>
          <w:sz w:val="20"/>
        </w:rPr>
      </w:pPr>
      <w:r>
        <w:rPr>
          <w:rFonts w:ascii="Times New Roman;serif" w:hAnsi="Times New Roman;serif"/>
          <w:b w:val="false"/>
          <w:sz w:val="20"/>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 care laws and regulations, and laws that require the true, complete and accurate reporting of financial information or data. In particular, sales, marketing and business arrangements in the health 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It is not always possible to identify and deter misconduct, and the precautions we take to detect and prevent this activity</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85</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bookmarkStart w:id="84" w:name="bkmk_117"/>
      <w:bookmarkEnd w:id="84"/>
      <w:r>
        <w:rPr>
          <w:rFonts w:ascii="Times New Roman;serif" w:hAnsi="Times New Roman;serif"/>
          <w:b w:val="false"/>
          <w:sz w:val="20"/>
        </w:rPr>
        <w:t>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 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pStyle w:val="TextBody"/>
        <w:spacing w:before="360" w:after="0"/>
        <w:jc w:val="left"/>
        <w:rPr>
          <w:rFonts w:ascii="Times New Roman;serif" w:hAnsi="Times New Roman;serif"/>
          <w:b/>
          <w:i/>
          <w:sz w:val="20"/>
        </w:rPr>
      </w:pPr>
      <w:r>
        <w:rPr>
          <w:rFonts w:ascii="Times New Roman;serif" w:hAnsi="Times New Roman;serif"/>
          <w:b/>
          <w:i/>
          <w:sz w:val="20"/>
        </w:rPr>
        <w:t>Our internal computer systems, or those of our collaborators or other contractors or consultants, may fail or suffer security breaches, which could result in a material disruption of our product development programs.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internal computer systems and those of any future collaborators and other contractors or consultants are vulnerable to damage from computer viruses, unauthorized access, natural disasters, terrorism, war and telecommunication and electrical failures.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REACT or any of our future product candidates could be delayed.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 The number and complexity of these threats continue to increase over time. If a material breach of, or accidental or intentional loss of data from,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pStyle w:val="TextBody"/>
        <w:spacing w:before="360" w:after="0"/>
        <w:jc w:val="left"/>
        <w:rPr>
          <w:rFonts w:ascii="Times New Roman;serif" w:hAnsi="Times New Roman;serif"/>
          <w:b/>
          <w:i/>
          <w:sz w:val="20"/>
        </w:rPr>
      </w:pPr>
      <w:r>
        <w:rPr>
          <w:rFonts w:ascii="Times New Roman;serif" w:hAnsi="Times New Roman;serif"/>
          <w:b/>
          <w:i/>
          <w:sz w:val="20"/>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pStyle w:val="TextBody"/>
        <w:spacing w:before="120" w:after="0"/>
        <w:jc w:val="left"/>
        <w:rPr>
          <w:rFonts w:ascii="Times New Roman" w:hAnsi="Times New Roman"/>
          <w:sz w:val="20"/>
        </w:rPr>
      </w:pPr>
      <w:bookmarkStart w:id="85" w:name="bkmk_118"/>
      <w:bookmarkEnd w:id="85"/>
      <w:r>
        <w:rPr>
          <w:rFonts w:ascii="Times New Roman;serif" w:hAnsi="Times New Roman;serif"/>
          <w:b w:val="false"/>
          <w:sz w:val="20"/>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privacy and health information privacy laws and federal and state consumer protection laws (e.g., Section 5 of the Federal Trade Commission Act), that govern the collection, use, disclosure and</w:t>
      </w:r>
      <w:r>
        <w:rPr>
          <w:rFonts w:ascii="Times New Roman" w:hAnsi="Times New Roman"/>
          <w:sz w:val="20"/>
        </w:rPr>
        <w:t xml:space="preserve"> </w:t>
      </w:r>
      <w:r>
        <w:rPr>
          <w:rFonts w:ascii="Times New Roman;serif" w:hAnsi="Times New Roman;serif"/>
          <w:b w:val="false"/>
          <w:sz w:val="20"/>
        </w:rPr>
        <w:t>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Depending on the facts and circumstances, we could be subject to civil or criminal penalties if we obtain, use, or disclose individually identifiable health information maintained by a HIPAA-covered entity in a manner that is not authorized or permitted by HIPAA.</w:t>
      </w:r>
    </w:p>
    <w:p>
      <w:pPr>
        <w:pStyle w:val="TextBody"/>
        <w:spacing w:before="120" w:after="0"/>
        <w:jc w:val="left"/>
        <w:rPr>
          <w:rFonts w:ascii="Times New Roman" w:hAnsi="Times New Roman"/>
          <w:sz w:val="20"/>
        </w:rPr>
      </w:pPr>
      <w:r>
        <w:rPr>
          <w:rFonts w:ascii="Times New Roman;serif" w:hAnsi="Times New Roman;serif"/>
          <w:b w:val="false"/>
          <w:sz w:val="20"/>
        </w:rPr>
        <w:t>International data protection laws, including GDPR, may also apply to health-related and other personal information obtained outside of the United States. The GDPR will increase our responsibility and liability in relation to personal data that we process,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86</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and we may be required to put in place additional mechanisms to ensure compliance with the new EU (which also includes the EEA) data protection rules. Further, the Brexit has created more uncertainty with regard to data protection regulation in the United Kingdom. The United Kingdom retained the GDPR in UK law, which sits alongside the amended version of the Data Protection Act 2018. The European Union adopted an adequacy decision so that data can be transferred from the European Union to the United Kingdom. Additionally, there are no new requirements for transfer from the United Kingdom to the European Union. However, going forward, the European Union’s and United Kingdom’s data protection rules could diverge, and data transfers may not be possible and/or new arrangements may need to be put in place. In particular, it is unclear to what extent the United Kingdom regime will begin diverging from the GDPR and how data transfers to and from the United Kingdom will be regulated.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California recently enacted the CCPA, which creates new individual privacy rights for California consumers (as defined in the law) and places increased privacy and security obligations on entities handling personal data of consumers or households. The CCPA became effective on January 1, 2020, but the CPRA was recently enacted to strengthen elements of the CCPA effective January 1, 2023. In addition, there are a number of other states that have considered similar privacy proposals, with states like Virginia and Colorado enacting their own privacy laws (also scheduled to come into effect on January 1, 2023 and July 1, 2023, respectively). These privacy laws may impact our business activities and exemplify the vulnerability of our business to the evolving regulatory environment related to personal data.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and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pStyle w:val="TextBody"/>
        <w:spacing w:before="360" w:after="0"/>
        <w:jc w:val="left"/>
        <w:rPr>
          <w:rFonts w:ascii="Times New Roman;serif" w:hAnsi="Times New Roman;serif"/>
          <w:b/>
          <w:i/>
          <w:sz w:val="20"/>
        </w:rPr>
      </w:pPr>
      <w:r>
        <w:rPr>
          <w:rFonts w:ascii="Times New Roman;serif" w:hAnsi="Times New Roman;serif"/>
          <w:b/>
          <w:i/>
          <w:sz w:val="20"/>
        </w:rPr>
        <w:t>Changes in tax law or policy could increase our effective tax rate and tax liability or the taxes payable by holders of our ordinary shares, each of which could have a material adverse effect on our business, financial condition and results of operations.</w:t>
      </w:r>
    </w:p>
    <w:p>
      <w:pPr>
        <w:pStyle w:val="TextBody"/>
        <w:spacing w:before="120" w:after="0"/>
        <w:jc w:val="left"/>
        <w:rPr>
          <w:rFonts w:ascii="Times New Roman" w:hAnsi="Times New Roman"/>
          <w:sz w:val="20"/>
        </w:rPr>
      </w:pPr>
      <w:bookmarkStart w:id="86" w:name="bkmk_119"/>
      <w:bookmarkEnd w:id="86"/>
      <w:r>
        <w:rPr>
          <w:rFonts w:ascii="Times New Roman;serif" w:hAnsi="Times New Roman;serif"/>
          <w:b w:val="false"/>
          <w:sz w:val="20"/>
        </w:rPr>
        <w:t>We could be adversely affected by changes in applicable tax laws, regulations, or administrative interpretations thereof. For example, the U.S. federal tax legislation commonly referred to as the Tax Cuts and Jobs Act (the “Tax Act”), enacted in December 2017, resulted in fundamental changes to the Internal Revenue Code of 1986, as amended (the “Code”) including, among many other things, a reduction to the federal corporate income tax rate, a partial limitation on the deductibility of business interest expense, a limitation on the deductibility of certain director and officer compensation expense, limitations on net operating loss carrybacks and carryovers and changes relating to the scope and timing of U.S. taxation on earnings from international business operations. Subsequent legislation, the Coronavirus Aid, Relief, and Economic Security Act (the</w:t>
      </w:r>
      <w:r>
        <w:rPr>
          <w:rFonts w:ascii="Times New Roman" w:hAnsi="Times New Roman"/>
          <w:sz w:val="20"/>
        </w:rPr>
        <w:t xml:space="preserve"> “</w:t>
      </w:r>
      <w:r>
        <w:rPr>
          <w:rFonts w:ascii="Times New Roman;serif" w:hAnsi="Times New Roman;serif"/>
          <w:b w:val="false"/>
          <w:sz w:val="20"/>
        </w:rPr>
        <w:t>CARES Act”) enacted on March 27, 2020, relaxed certain of the limitations imposed by the Tax Act for certain taxable years, including the limitation on the use and carryback of net operating losses and the limitation on the deductibility of business interest expense. The exact impact of the Tax Act and the CARES Act for future years is difficult to quantify, but these changes could materially affect our investors, the companies in which our clients invest, or us. Legislative proposals in the U.S., if adopted, would increase the corporate income tax rate and capital gains tax rate. In addition, other changes could be enacted in the future to limit further the deductibility of interest, subject carried interests to more onerous taxation or effect other changes that could have a material adverse effect on our business, results of operations and financial condition. Such changes could also include increases in state taxes and other changes to state tax laws to replenish state and local government finances depleted by costs attributable to the COVID-19 pandemic and the reduction in tax revenues due to the accompanying economic downturn.</w:t>
      </w:r>
    </w:p>
    <w:p>
      <w:pPr>
        <w:pStyle w:val="TextBody"/>
        <w:spacing w:before="360" w:after="0"/>
        <w:jc w:val="left"/>
        <w:rPr>
          <w:rFonts w:ascii="Times New Roman;serif" w:hAnsi="Times New Roman;serif"/>
          <w:b/>
          <w:i/>
          <w:sz w:val="20"/>
        </w:rPr>
      </w:pPr>
      <w:r>
        <w:rPr>
          <w:rFonts w:ascii="Times New Roman;serif" w:hAnsi="Times New Roman;serif"/>
          <w:b/>
          <w:i/>
          <w:sz w:val="20"/>
        </w:rPr>
        <w:t>Our effective tax rate may fluctuate, and we may incur obligations in tax jurisdictions in excess of accrued amounts.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or may become subject to taxation in more than one tax jurisdiction. As a result, our effective tax rate is derived from a combination of applicable tax rates in the various places that we operate. In preparing our financial statements, we estimate the amount of tax that will become payable in each of such places. Nevertheless, our effective tax rate may be different than experienced in the past due to numerous factors, including passage of newly enacted tax legislation, changes in the mix of our profitability from jurisdiction to jurisdiction,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87</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We may be a passive foreign investment company, or “PFIC,” which could result in adverse U.S. federal income tax consequences to U.S. investors.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ProKidney believes that it is likely classified as a PFIC for U.S. federal income tax purposes. If we are a PFIC for any taxable year (or portion thereof) that is included in the holding period of a U.S. Holder of our Class A ordinary shares, such U.S. Holder may be subject to adverse U.S. federal income tax consequences and may be subject to additional reporting requirements. There can be no assurances with respect to our status as a PFIC for our current taxable year or any subsequent taxable year. Our actual PFIC status for any taxable year, moreover, will not be determinable until after the end of such taxable year. If we determine we are a PFIC for any taxable year (of which there can be no assurance), we will endeavor to provide to a U.S. Holder such information as the IRS may require, including a PFIC Annual Information Statement, upon request, in order to enable a U.S. Holder to make and maintain a “qualified electing fund” election. There can be no assurance, however, that ProKidney will timely provide such information. We urge U.S. investors to consult their own tax advisors regarding the possible application of the PFIC rules.</w:t>
      </w:r>
    </w:p>
    <w:p>
      <w:pPr>
        <w:pStyle w:val="TextBody"/>
        <w:spacing w:before="360" w:after="0"/>
        <w:jc w:val="left"/>
        <w:rPr>
          <w:rFonts w:ascii="Times New Roman;serif" w:hAnsi="Times New Roman;serif"/>
          <w:b/>
          <w:i/>
          <w:sz w:val="20"/>
        </w:rPr>
      </w:pPr>
      <w:r>
        <w:rPr>
          <w:rFonts w:ascii="Times New Roman;serif" w:hAnsi="Times New Roman;serif"/>
          <w:b/>
          <w:i/>
          <w:sz w:val="20"/>
        </w:rPr>
        <w:t>Unanticipated changes in effective tax rates or adverse outcomes resulting from examination of our income or other tax returns could adversely affect our financial condition and results of operations.</w:t>
      </w:r>
    </w:p>
    <w:p>
      <w:pPr>
        <w:pStyle w:val="TextBody"/>
        <w:spacing w:before="108" w:after="0"/>
        <w:jc w:val="left"/>
        <w:rPr>
          <w:rFonts w:ascii="Times New Roman;serif" w:hAnsi="Times New Roman;serif"/>
          <w:b w:val="false"/>
          <w:sz w:val="20"/>
        </w:rPr>
      </w:pPr>
      <w:r>
        <w:rPr>
          <w:rFonts w:ascii="Times New Roman;serif" w:hAnsi="Times New Roman;serif"/>
          <w:b w:val="false"/>
          <w:sz w:val="20"/>
        </w:rPr>
        <w:t>We will be subject, directly or indirectly, to income taxes in various jurisdictions, and our tax liabilities will be subject to the allocation of expenses in differing jurisdictions. Our future effective tax rates could be subject to volatility or adversely affected by a number of factors, including:</w:t>
      </w:r>
    </w:p>
    <w:p>
      <w:pPr>
        <w:pStyle w:val="TextBody"/>
        <w:spacing w:before="0" w:after="0"/>
        <w:jc w:val="left"/>
        <w:rPr/>
      </w:pPr>
      <w:r>
        <w:rPr/>
        <w:t> </w:t>
      </w:r>
    </w:p>
    <w:tbl>
      <w:tblPr>
        <w:tblW w:w="6043" w:type="dxa"/>
        <w:jc w:val="left"/>
        <w:tblInd w:w="0" w:type="dxa"/>
        <w:tblCellMar>
          <w:top w:w="28" w:type="dxa"/>
          <w:left w:w="28" w:type="dxa"/>
          <w:bottom w:w="28" w:type="dxa"/>
          <w:right w:w="28" w:type="dxa"/>
        </w:tblCellMar>
      </w:tblPr>
      <w:tblGrid>
        <w:gridCol w:w="177"/>
        <w:gridCol w:w="272"/>
        <w:gridCol w:w="162"/>
        <w:gridCol w:w="543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43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543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changes in the valuation of our deferred tax assets and liabilities;</w:t>
            </w:r>
          </w:p>
        </w:tc>
      </w:tr>
    </w:tbl>
    <w:p>
      <w:pPr>
        <w:pStyle w:val="TextBody"/>
        <w:spacing w:before="0" w:after="0"/>
        <w:jc w:val="left"/>
        <w:rPr/>
      </w:pPr>
      <w:r>
        <w:rPr/>
        <w:t> </w:t>
      </w:r>
    </w:p>
    <w:tbl>
      <w:tblPr>
        <w:tblW w:w="6898" w:type="dxa"/>
        <w:jc w:val="left"/>
        <w:tblInd w:w="0" w:type="dxa"/>
        <w:tblCellMar>
          <w:top w:w="28" w:type="dxa"/>
          <w:left w:w="28" w:type="dxa"/>
          <w:bottom w:w="28" w:type="dxa"/>
          <w:right w:w="28" w:type="dxa"/>
        </w:tblCellMar>
      </w:tblPr>
      <w:tblGrid>
        <w:gridCol w:w="177"/>
        <w:gridCol w:w="272"/>
        <w:gridCol w:w="162"/>
        <w:gridCol w:w="628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28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628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expected timing and amount of the release of any tax valuation allowances;</w:t>
            </w:r>
          </w:p>
        </w:tc>
      </w:tr>
    </w:tbl>
    <w:p>
      <w:pPr>
        <w:pStyle w:val="TextBody"/>
        <w:spacing w:before="0" w:after="0"/>
        <w:jc w:val="left"/>
        <w:rPr/>
      </w:pPr>
      <w:r>
        <w:rPr/>
        <w:t> </w:t>
      </w:r>
    </w:p>
    <w:tbl>
      <w:tblPr>
        <w:tblW w:w="4048" w:type="dxa"/>
        <w:jc w:val="left"/>
        <w:tblInd w:w="0" w:type="dxa"/>
        <w:tblCellMar>
          <w:top w:w="28" w:type="dxa"/>
          <w:left w:w="28" w:type="dxa"/>
          <w:bottom w:w="28" w:type="dxa"/>
          <w:right w:w="28" w:type="dxa"/>
        </w:tblCellMar>
      </w:tblPr>
      <w:tblGrid>
        <w:gridCol w:w="177"/>
        <w:gridCol w:w="272"/>
        <w:gridCol w:w="162"/>
        <w:gridCol w:w="343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43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343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tax effects of share-based compensation;</w:t>
            </w:r>
          </w:p>
        </w:tc>
      </w:tr>
    </w:tbl>
    <w:p>
      <w:pPr>
        <w:pStyle w:val="TextBody"/>
        <w:spacing w:before="0" w:after="0"/>
        <w:jc w:val="left"/>
        <w:rPr/>
      </w:pPr>
      <w:r>
        <w:rPr/>
        <w:t> </w:t>
      </w:r>
    </w:p>
    <w:tbl>
      <w:tblPr>
        <w:tblW w:w="4378" w:type="dxa"/>
        <w:jc w:val="left"/>
        <w:tblInd w:w="0" w:type="dxa"/>
        <w:tblCellMar>
          <w:top w:w="28" w:type="dxa"/>
          <w:left w:w="28" w:type="dxa"/>
          <w:bottom w:w="28" w:type="dxa"/>
          <w:right w:w="28" w:type="dxa"/>
        </w:tblCellMar>
      </w:tblPr>
      <w:tblGrid>
        <w:gridCol w:w="177"/>
        <w:gridCol w:w="272"/>
        <w:gridCol w:w="162"/>
        <w:gridCol w:w="3767"/>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767"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bookmarkStart w:id="87" w:name="bkmk_120"/>
            <w:bookmarkEnd w:id="87"/>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376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costs related to intercompany restructurings;</w:t>
            </w:r>
          </w:p>
        </w:tc>
      </w:tr>
    </w:tbl>
    <w:p>
      <w:pPr>
        <w:pStyle w:val="TextBody"/>
        <w:spacing w:before="0" w:after="0"/>
        <w:jc w:val="left"/>
        <w:rPr/>
      </w:pPr>
      <w:r>
        <w:rPr/>
        <w:t> </w:t>
      </w:r>
    </w:p>
    <w:tbl>
      <w:tblPr>
        <w:tblW w:w="5683" w:type="dxa"/>
        <w:jc w:val="left"/>
        <w:tblInd w:w="0" w:type="dxa"/>
        <w:tblCellMar>
          <w:top w:w="28" w:type="dxa"/>
          <w:left w:w="28" w:type="dxa"/>
          <w:bottom w:w="28" w:type="dxa"/>
          <w:right w:w="28" w:type="dxa"/>
        </w:tblCellMar>
      </w:tblPr>
      <w:tblGrid>
        <w:gridCol w:w="177"/>
        <w:gridCol w:w="272"/>
        <w:gridCol w:w="162"/>
        <w:gridCol w:w="507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07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50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changes in tax laws, regulations or interpretations thereof; or</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lower-than-anticipated future earnings in jurisdictions where we have lower statutory tax rates and higher-than-anticipated future earnings in jurisdictions where we have higher statutory tax rates.</w:t>
            </w:r>
          </w:p>
        </w:tc>
      </w:tr>
    </w:tbl>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we may be subject to audits of our income, sales and other transaction taxes by taxing authorities. Outcomes from these audits could have an adverse effect on our financial condition and results of operations.</w:t>
      </w:r>
    </w:p>
    <w:p>
      <w:pPr>
        <w:pStyle w:val="TextBody"/>
        <w:spacing w:before="360" w:after="0"/>
        <w:jc w:val="left"/>
        <w:rPr>
          <w:rFonts w:ascii="Times New Roman;serif" w:hAnsi="Times New Roman;serif"/>
          <w:b/>
          <w:i/>
          <w:sz w:val="20"/>
        </w:rPr>
      </w:pPr>
      <w:r>
        <w:rPr>
          <w:rFonts w:ascii="Times New Roman;serif" w:hAnsi="Times New Roman;serif"/>
          <w:b/>
          <w:i/>
          <w:sz w:val="20"/>
        </w:rPr>
        <w:t>Our principal shareholders have significant influence over us, including over decisions that require the approval of shareholders, and their interests may conflict with the interests of holders of ProKidney Corp. Class A ordinary shares.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Deed of Undertaking, dated February 14, 2022, made by Control Empresarial de Capitales, S.A. de C.V. (“CEC”) (the “Voting Agreement”) provides, with respect to the election, appointment or removal of any director of the Company, that, until the third anniversary of the Closing, CEC will vote all of its voting shares in the capital of the Company in a manner proportionate to the manner in which all other ProKidney Class B ordinary shares not held by CEC are voted. As a result, Tolerantia LLC (“Tolerantia”) effectively controls a majority of the voting power of ProKidney Corp. with respect to the election, appointment or removal of any director. Additionally, Pablo Legorreta, as Chairperson of the Board, is affiliated with and majority owns and controls Tolerantia. As a result, Tolerantia and its affiliates have significant influence over the management and affairs of the Company, and, acting together, effectively control the election, appointment or removal of any director and have indirect control over the approval of significant corporate transactions, including any merger, consolidation or sale of all or substantially all of our assets and the issuance or redemption of equity interests in certain circumstances, to the extent such matters require approval of the Board.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interests of Tolerantia and CEC may not always coincide with, and in some cases may conflict with, our interests and the interests of our other shareholders, including the holders of ProKidney Class A ordinary shares. This concentration of ownership may also affect the prevailing market price of our ProKidney Class A ordinary shares due to investors’ perceptions that conflicts of interest may exist or arise. As a result, this concentration of ownership may not be in your best interests.</w:t>
      </w:r>
    </w:p>
    <w:p>
      <w:pPr>
        <w:pStyle w:val="TextBody"/>
        <w:spacing w:before="120" w:after="0"/>
        <w:jc w:val="left"/>
        <w:rPr>
          <w:rFonts w:ascii="Times New Roman;serif" w:hAnsi="Times New Roman;serif"/>
          <w:b w:val="false"/>
          <w:sz w:val="20"/>
        </w:rPr>
      </w:pPr>
      <w:bookmarkStart w:id="88" w:name="bkmk_121"/>
      <w:bookmarkEnd w:id="88"/>
      <w:r>
        <w:rPr>
          <w:rFonts w:ascii="Times New Roman;serif" w:hAnsi="Times New Roman;serif"/>
          <w:b w:val="false"/>
          <w:sz w:val="20"/>
        </w:rPr>
        <w:t>Further, because these shareholders hold their economic interest in our business through PKLP, rather than through ProKidney Corp., their interests may further conflict with the interests of holders of ProKidney Class A ordinary shares. These holders’ significant ownership in ProKidney Corp. and resulting ability, acting together, to effectively control us may discourage someone from making a significant equity investment in ProKidney Corp., or could discourage transactions involving a change in control, including transactions in which a holder of ProKidney Class A ordinary shares might otherwise receive a premium for their shares over the then-current market price.</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88</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Because we are a “controlled company” within the meaning of the Nasdaq rules, our shareholders may not have certain corporate governance protections that are available to shareholders of companies that are not controlled companies.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So long as more than 50% of the voting power for the election of directors is held by an individual, a group or another company, we will qualify as a “controlled company” within the meaning of the Nasdaq corporate governance standards. Pursuant to the terms of the Voting Agreement, Tolerantia effectively controls a majority of the voting power of all of our outstanding ordinary shares with respect to the election, appointment or removal of any director. As a result, we are a “controlled company” within the meaning of the Nasdaq corporate governance standards and are not subject to the requirements that would otherwise require us to have: (i) a majority of our board of directors consist of independent directors, (ii) subject to the exception pursuant to Nasdaq Listing Rule 5605(b)(2), our board of directors have a compensation committee that is composed of at least two members, each of whom is an independent director, with a written charter addressing the committee’s purpose and responsibilities and (iii) director nominees must be selected, or recommended for the board’s selection, either by independent directors constituting a majority of the board’s independent directors in a vote in which only independent directors participate, or by a nominating and corporate governance committee comprised solely of independent directors with a written charter addressing the committee’s purpose and responsibilities. Pursuant to the requirements under the Business Combination Agreement, a majority of the directors of the Board are “independent” directors for the purposes of the Nasdaq Listing Rules, but for at least some period following the Business Combination, we may utilize the other exemptions described above.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Tolerantia may have its interest in the Company diluted due to future equity issuances or its own actions in selling shares of the Company, in each case, which could result in a loss of the “controlled company” exemption under the Nasdaq listing rules. We would then be required to comply with those provisions of the Nasdaq listing requirements.</w:t>
      </w:r>
    </w:p>
    <w:p>
      <w:pPr>
        <w:pStyle w:val="TextBody"/>
        <w:spacing w:before="360" w:after="0"/>
        <w:jc w:val="left"/>
        <w:rPr>
          <w:rFonts w:ascii="Times New Roman;serif" w:hAnsi="Times New Roman;serif"/>
          <w:b/>
          <w:i/>
          <w:sz w:val="20"/>
        </w:rPr>
      </w:pPr>
      <w:r>
        <w:rPr>
          <w:rFonts w:ascii="Times New Roman;serif" w:hAnsi="Times New Roman;serif"/>
          <w:b/>
          <w:i/>
          <w:sz w:val="20"/>
        </w:rPr>
        <w:t>Antitakeover provisions contained in our Charter, as well as provisions of Cayman Islands law, could impair a takeover attempt.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Charter contains provisions that may discourage unsolicited takeover proposals that shareholders may consider to be in their best interests. These provisions may make more difficult the removal of management and may discourage transactions that otherwise could involve payment of a premium over prevailing market prices for our securities. These provisions will include, among other things: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no cumulative voting in the election of directors, which limits the ability of minority shareholders to elect director candidates;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 classified board of directors with three-year staggered terms, which could delay the ability of shareholders to change the membership of a majority of the Board;</w:t>
            </w:r>
          </w:p>
        </w:tc>
      </w:tr>
    </w:tbl>
    <w:p>
      <w:pPr>
        <w:pStyle w:val="TextBody"/>
        <w:spacing w:before="0" w:after="0"/>
        <w:jc w:val="left"/>
        <w:rPr/>
      </w:pPr>
      <w:r>
        <w:rPr/>
        <w:t> </w:t>
      </w:r>
    </w:p>
    <w:tbl>
      <w:tblPr>
        <w:tblW w:w="8023" w:type="dxa"/>
        <w:jc w:val="left"/>
        <w:tblInd w:w="0" w:type="dxa"/>
        <w:tblCellMar>
          <w:top w:w="28" w:type="dxa"/>
          <w:left w:w="28" w:type="dxa"/>
          <w:bottom w:w="28" w:type="dxa"/>
          <w:right w:w="28" w:type="dxa"/>
        </w:tblCellMar>
      </w:tblPr>
      <w:tblGrid>
        <w:gridCol w:w="177"/>
        <w:gridCol w:w="272"/>
        <w:gridCol w:w="162"/>
        <w:gridCol w:w="741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741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741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requirement that directors may only be removed from the Board by special resolution;</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right of the Board to elect a director to fill a vacancy of the Board created by the expansion of the Board or the resignation, death, or removal of a director in certain circumstances, which prevents shareholders from being able to fill vacancies on the Board;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 prohibition on shareholders calling an extraordinary general meeting and the requirement that a meeting of shareholders may only be called by members of the Board, which may delay the ability of our shareholders to force consideration of a proposal or to take action, including the removal of directors; and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before="0" w:after="0"/>
              <w:ind w:left="0" w:right="16" w:hanging="0"/>
              <w:jc w:val="left"/>
              <w:rPr/>
            </w:pPr>
            <w:r>
              <w:rPr/>
              <w:t> </w:t>
            </w:r>
          </w:p>
        </w:tc>
        <w:tc>
          <w:tcPr>
            <w:tcW w:w="27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w:t>
            </w:r>
          </w:p>
        </w:tc>
        <w:tc>
          <w:tcPr>
            <w:tcW w:w="162" w:type="dxa"/>
            <w:tcBorders/>
            <w:shd w:fill="auto" w:val="clear"/>
            <w:vAlign w:val="center"/>
          </w:tcPr>
          <w:p>
            <w:pPr>
              <w:pStyle w:val="TableContents"/>
              <w:spacing w:before="0" w:after="0"/>
              <w:ind w:left="0" w:right="16" w:hanging="0"/>
              <w:jc w:val="left"/>
              <w:rPr/>
            </w:pPr>
            <w:r>
              <w:rPr/>
              <w:t> </w:t>
            </w:r>
          </w:p>
        </w:tc>
        <w:tc>
          <w:tcPr>
            <w:tcW w:w="9594"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the right of the Board to issue and set the voting and other rights of preference shares, which could adversely affect the voting power and other rights of the holders of ordinary shares.</w:t>
            </w:r>
          </w:p>
        </w:tc>
      </w:tr>
    </w:tbl>
    <w:p>
      <w:pPr>
        <w:pStyle w:val="TextBody"/>
        <w:spacing w:before="0" w:after="0"/>
        <w:jc w:val="left"/>
        <w:rPr/>
      </w:pPr>
      <w:r>
        <w:rPr/>
        <w:t> </w:t>
      </w:r>
    </w:p>
    <w:p>
      <w:pPr>
        <w:pStyle w:val="TextBody"/>
        <w:spacing w:before="360" w:after="0"/>
        <w:jc w:val="left"/>
        <w:rPr>
          <w:rFonts w:ascii="Times New Roman;serif" w:hAnsi="Times New Roman;serif"/>
          <w:b/>
          <w:i/>
          <w:sz w:val="20"/>
        </w:rPr>
      </w:pPr>
      <w:bookmarkStart w:id="89" w:name="bkmk_122"/>
      <w:bookmarkEnd w:id="89"/>
      <w:r>
        <w:rPr>
          <w:rFonts w:ascii="Times New Roman;serif" w:hAnsi="Times New Roman;serif"/>
          <w:b/>
          <w:i/>
          <w:sz w:val="20"/>
        </w:rPr>
        <w:t>The JOBS Act permits “emerging growth companies” like us to take advantage of certain exemptions from various reporting requirements applicable to other public companies that are not emerging growth companies.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SOX; (ii) the exemptions from say-on-pay, say-on-frequency and say-on-golden parachute voting requirements; and (iii) reduced disclosure obligations regarding executive compensation in our periodic reports and proxy statements. As a result, our shareholders may not have access to certain information they deem important. We will remain an emerging growth company until the earliest of (i) the last day of the fiscal year: (a) following July 2, 2026, the fifth (5th) anniversary of our initial public offering (consummated as Social Capital Suvretta Holdings Corp. III); (b) in which we have total annual gross revenue of at least $1.235 billion; or (c) in which we are deemed to be a large accelerated filer, which means the market value of our Class A ordinary shares that is held by non-affiliates equals or exceeds $700 million as of the last business day of our prior second fiscal quarter, and (ii) the date on which we have issued more than $1.0 billion in non-convertible debt during the prior three-year period.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89</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that is held by non-affiliates exceeds $250 million as of the last business day of the prior fiscal quarter, or (ii) our annual revenues equaled or exceeded $100 million during such completed fiscal year, and the market value of our ordinary shares that is held by non-affiliates equals or exceeds $700 million as of the last business day of the prior second fiscal quarter.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cannot predict if investors will find our Class A ordinary shares less attractive because we rely on these exemptions. If some investors find our Class A ordinary shares less attractive as a result, there may be a less active trading market for our Class A ordinary shares, and our share price may be more volatile.</w:t>
      </w:r>
    </w:p>
    <w:p>
      <w:pPr>
        <w:pStyle w:val="TextBody"/>
        <w:spacing w:before="360" w:after="0"/>
        <w:jc w:val="left"/>
        <w:rPr>
          <w:rFonts w:ascii="Times New Roman;serif" w:hAnsi="Times New Roman;serif"/>
          <w:b/>
          <w:i/>
          <w:sz w:val="20"/>
        </w:rPr>
      </w:pPr>
      <w:r>
        <w:rPr>
          <w:rFonts w:ascii="Times New Roman;serif" w:hAnsi="Times New Roman;serif"/>
          <w:b/>
          <w:i/>
          <w:sz w:val="20"/>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pStyle w:val="TextBody"/>
        <w:spacing w:before="120" w:after="0"/>
        <w:jc w:val="left"/>
        <w:rPr>
          <w:rFonts w:ascii="Times New Roman;serif" w:hAnsi="Times New Roman;serif"/>
          <w:b w:val="false"/>
          <w:sz w:val="20"/>
        </w:rPr>
      </w:pPr>
      <w:bookmarkStart w:id="90" w:name="bkmk_123"/>
      <w:bookmarkEnd w:id="90"/>
      <w:r>
        <w:rPr>
          <w:rFonts w:ascii="Times New Roman;serif" w:hAnsi="Times New Roman;serif"/>
          <w:b w:val="false"/>
          <w:sz w:val="20"/>
        </w:rPr>
        <w:t>As a public company, we are required to comply with the SEC’s rules implementing Sections 302 and 404 of the Sarbanes-Oxley Act of 2022, as amended, which require management to certify financial and other information in our quarterly and annual reports and provide an annual management report on the effectiveness of internal control over financial reporting. To comply with the requirements of being a public company, we may need to undertake various actions, such as implementing additional internal controls and procedures and hiring additional accounting or internal audit staff.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our controls are documented, designed or operating.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Testing and maintaining these controls can divert our management’s attention from other matters that are important to the operation of our business. If we identify material weaknesses in our internal control over financial reporting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ordinary shares could be negatively affected, and we could become subject to investigations by the SEC or other regulatory authorities, which could require additional financial and management resources.</w:t>
      </w:r>
    </w:p>
    <w:p>
      <w:pPr>
        <w:pStyle w:val="TextBody"/>
        <w:spacing w:before="360" w:after="0"/>
        <w:jc w:val="left"/>
        <w:rPr>
          <w:rFonts w:ascii="Times New Roman;serif" w:hAnsi="Times New Roman;serif"/>
          <w:b/>
          <w:i/>
          <w:sz w:val="20"/>
        </w:rPr>
      </w:pPr>
      <w:r>
        <w:rPr>
          <w:rFonts w:ascii="Times New Roman;serif" w:hAnsi="Times New Roman;serif"/>
          <w:b/>
          <w:i/>
          <w:sz w:val="20"/>
        </w:rPr>
        <w:t>Increased prices and inflation could negatively impact our margin performance and our financial results.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Increased inflation, including rising prices for raw materials, parts and components, freight, packaging, labor and energy increases, the costs to manufacture and distribute our products, and we may be unable to pass these costs on to our customers. Additionally, we are exposed to fluctuations in other costs such as packaging, freight, labor and energy prices. If inflation in these costs increases beyond our ability to control for them through measures such as implementing operating efficiencies, we may not be able to increase prices to sufficiently offset the effect of various cost increases without negatively impacting customer demand, thereby negatively impacting our margin performance and results of operations.</w:t>
      </w:r>
    </w:p>
    <w:p>
      <w:pPr>
        <w:pStyle w:val="TextBody"/>
        <w:spacing w:before="360" w:after="0"/>
        <w:jc w:val="left"/>
        <w:rPr>
          <w:rFonts w:ascii="Times New Roman;serif" w:hAnsi="Times New Roman;serif"/>
          <w:b/>
          <w:i/>
          <w:sz w:val="20"/>
        </w:rPr>
      </w:pPr>
      <w:r>
        <w:rPr>
          <w:rFonts w:ascii="Times New Roman;serif" w:hAnsi="Times New Roman;serif"/>
          <w:b/>
          <w:i/>
          <w:sz w:val="20"/>
        </w:rPr>
        <w:t>Geopolitical risks associated with Russia’s invasion of Ukraine could result in increased market volatility and uncertainty, which could negatively impact our business, financial condition, and results of operations.</w:t>
      </w:r>
    </w:p>
    <w:p>
      <w:pPr>
        <w:pStyle w:val="TextBody"/>
        <w:spacing w:before="120" w:after="0"/>
        <w:jc w:val="left"/>
        <w:rPr>
          <w:rFonts w:ascii="Times New Roman" w:hAnsi="Times New Roman"/>
          <w:sz w:val="20"/>
        </w:rPr>
      </w:pPr>
      <w:r>
        <w:rPr>
          <w:rFonts w:ascii="Times New Roman;serif" w:hAnsi="Times New Roman;serif"/>
          <w:b w:val="false"/>
          <w:sz w:val="20"/>
        </w:rPr>
        <w:t>The uncertain nature, scope, magnitude, and duration of hostilities stemming from Russia’s recent military invasion of Ukraine, including the potential effects of such hostilities as well as sanctions, embargoes, asset freezes, cyberattacks and other actions taken in response to such hostilities on the world economy and markets, have disrupted global markets and contributed to increased market</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90</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volatility and uncertainty, which could have an adverse impact on macroeconomic and other factors that affect our business and supply chain. Any disruption in our supply chain could reduce our revenue and adversely impact our financial results. Such a disruption could occur as a result of any number of events, including, but not limited to, military conflicts, geopolitical developments, war or terrorism, including the ongoing conflict in Ukraine, regional or global pandemics like COVID-19, and disruptions in utility and other services. Any inability to obtain adequate deliveries or any other circumstance that would require us to seek alternative sources of supply or to manufacture, assemble, and test such components internally could significantly delay our ability to ship our products, which could damage relationships with current and prospective customers and could harm our reputation and brand and could adversely affect our business, financial condition, and results of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February 2022, in response to the military conflict between Russia and Ukraine, the United States and other North Atlantic Treaty Organization member states, as well as non-member states, announced targeted economic sanctions on Russia, including certain Russian citizens and enterprises, and the continuation of the conflict may trigger additional economic and other sanctions. The potential impacts of the conflict and related sanctions could include supply chain and logistics disruptions, macro financial impacts resulting from the exclusion of Russian financial institutions from the global banking system, volatility in foreign exchange rates and interest rates, inflationary pressures on raw materials and energy and heightened cybersecurity threats. We do not and cannot know if the conflict, which remains ongoing, could escalate and result in broader economic and security concerns which could adversely affect our supply chain, suppliers, customers, and potential customers. It is not possible to predict the broader consequences of this conflict, which could include further sanctions, embargoes, regional instability, geopolitical shifts and adverse effects on macroeconomic conditions, the availability and cost of materials, supplies, labor, currency exchange rates and financial markets, all of which could have a material adverse effect on our business, financial condition and results of operations.</w:t>
      </w:r>
    </w:p>
    <w:p>
      <w:pPr>
        <w:pStyle w:val="TextBody"/>
        <w:spacing w:before="360" w:after="0"/>
        <w:jc w:val="left"/>
        <w:rPr>
          <w:rFonts w:ascii="Times New Roman;serif" w:hAnsi="Times New Roman;serif"/>
          <w:b/>
          <w:sz w:val="20"/>
        </w:rPr>
      </w:pPr>
      <w:r>
        <w:rPr>
          <w:rFonts w:ascii="Times New Roman;serif" w:hAnsi="Times New Roman;serif"/>
          <w:b/>
          <w:sz w:val="20"/>
        </w:rPr>
        <w:t>Risks Related to our Organizational Structure</w:t>
      </w:r>
    </w:p>
    <w:p>
      <w:pPr>
        <w:pStyle w:val="TextBody"/>
        <w:spacing w:before="120" w:after="0"/>
        <w:jc w:val="left"/>
        <w:rPr>
          <w:rFonts w:ascii="Times New Roman;serif" w:hAnsi="Times New Roman;serif"/>
          <w:b/>
          <w:i/>
          <w:sz w:val="20"/>
        </w:rPr>
      </w:pPr>
      <w:r>
        <w:rPr>
          <w:rFonts w:ascii="Times New Roman;serif" w:hAnsi="Times New Roman;serif"/>
          <w:b/>
          <w:i/>
          <w:sz w:val="20"/>
        </w:rPr>
        <w:t>We are a limited partner of PKLP but may, in certain circumstances, lose the benefit of limited liability.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 limited partner of PKLP, a limited partnership registered under the laws of Ireland.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Under the Irish LP Act, limited partners of Irish limited partnerships will not be liable for the debts or obligations of the partnership beyond the amount of capital they have contributed. However, the Irish LP Act also provides that such limited liability may be lost if (i) a limited partner (such as ProKidney Corp.) takes part in the management of the business of the partnership, (ii) there is a failure to register PKLP as a limited partnership or any change to the registration details of PKLP, including changes to the name of PKLP, the general nature of the business of PKLP, the principal place of business of PKLP, the partners or the name of any partner of PKLP, the term of character of PKLP, the sum contributed by any limited partner or the liability of any partner by reason of his becoming a limited instead of a general partner or a general instead of a limited partner; and (iii) a limited partner withdraws some or a part of his, her or its capital, in which circumstance he, she or it will be liable for the debts and obligations of the firm up to the amount so withdrawn.</w:t>
      </w:r>
    </w:p>
    <w:p>
      <w:pPr>
        <w:pStyle w:val="TextBody"/>
        <w:spacing w:before="360" w:after="0"/>
        <w:jc w:val="left"/>
        <w:rPr>
          <w:rFonts w:ascii="Times New Roman;serif" w:hAnsi="Times New Roman;serif"/>
          <w:b/>
          <w:i/>
          <w:sz w:val="20"/>
        </w:rPr>
      </w:pPr>
      <w:r>
        <w:rPr>
          <w:rFonts w:ascii="Times New Roman;serif" w:hAnsi="Times New Roman;serif"/>
          <w:b/>
          <w:i/>
          <w:sz w:val="20"/>
        </w:rPr>
        <w:t>We are a holding company, and our only material asset is our interest in PKLP, and we are accordingly dependent upon distributions made by our subsidiaries to pay taxes, make payments under the Tax Receivable Agreement and pay dividends.</w:t>
      </w:r>
    </w:p>
    <w:p>
      <w:pPr>
        <w:pStyle w:val="TextBody"/>
        <w:spacing w:before="120" w:after="0"/>
        <w:jc w:val="left"/>
        <w:rPr>
          <w:rFonts w:ascii="Times New Roman;serif" w:hAnsi="Times New Roman;serif"/>
          <w:b w:val="false"/>
          <w:sz w:val="20"/>
        </w:rPr>
      </w:pPr>
      <w:bookmarkStart w:id="91" w:name="bkmk_124"/>
      <w:bookmarkEnd w:id="91"/>
      <w:r>
        <w:rPr>
          <w:rFonts w:ascii="Times New Roman;serif" w:hAnsi="Times New Roman;serif"/>
          <w:b w:val="false"/>
          <w:sz w:val="20"/>
        </w:rPr>
        <w:t>We are a holding company with no material assets other than our ownership interest in PKLP. As a result, we have no independent means of generating revenue or cash flow. Our ability to pay taxes, make payments under the Tax Receivable Agreement, dated as of July 11, 2022, by and among Social Capital Suvretta Holdings Corp. III, the TRA party representative (as defined in the Tax Receivable Agreement) and the holders of PKLP prior to the closing of the Business Combination (the “Tax Receivable Agreement”) and pay dividends, if any, will depend on the financial results and cash flows of PKLP and its subsidiaries and the distributions we receive from PKLP. Deterioration in the financial condition, earnings or cash flow of PKLP and its subsidiaries, for any reason, could limit or impair our ability to pay such distributions. Additionally, to the extent that we need funds and PKLP and/or any of its subsidiaries are restricted from making such distributions under applicable law or regulation or under the terms of any financing arrangements, or PKLP is otherwise unable to provide such funds, it could materially adversely affect our liquidity and financial condition.</w:t>
      </w:r>
    </w:p>
    <w:p>
      <w:pPr>
        <w:pStyle w:val="TextBody"/>
        <w:spacing w:before="120" w:after="0"/>
        <w:jc w:val="left"/>
        <w:rPr>
          <w:rFonts w:ascii="Times New Roman" w:hAnsi="Times New Roman"/>
          <w:sz w:val="20"/>
        </w:rPr>
      </w:pPr>
      <w:r>
        <w:rPr>
          <w:rFonts w:ascii="Times New Roman;serif" w:hAnsi="Times New Roman;serif"/>
          <w:b w:val="false"/>
          <w:sz w:val="20"/>
        </w:rPr>
        <w:t>PKLP will continue to be treated as a partnership for U.S. federal income tax purposes and, as such, generally will not be subject to any entity-level U.S. federal income tax. Instead, the taxable income of PKLP will be allocated to holders of common units of PKLP (the “ProKidney Common Units”), including ProKidney Corp. Accordingly, we may be required to pay income taxes on our allocable share of any net taxable income of PKLP (e.g., U.S. federal income and branch profits tax to the extent such net taxable income is effectively connected to the conduct of a trade or business in the United States). Under the terms of the second amended and restated limited partnership agreement of PKLP, which went into effect upon the completion of the Business Combination (the “Second Amended and Restated ProKidney Limited Partnership Agreement”), PKLP is obligated to make tax distributions to holders of ProKidney Common Units (including ProKidney Corp.) calculated at certain assumed tax rates. In addition to tax expenses, we will also incur expenses related to our operations, including payment obligations under the Tax Receivable Agreement (and the cost of administering such payment obligations), which could be significant and some of which may be reimbursed by PKLP (excluding payment obligations under the Tax Receivable Agreement). We intend to cause PKLP to</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91</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make distributions to holders of ProKidney Common Units pro rata, in amounts sufficient to cover all applicable income taxes (calculated at assumed tax rates), relevant operating expenses, payments required to be made by us under the Tax Receivable Agreement and dividends, if any, declared by us. However, as discussed below, PKLP’s ability to make such distributions may be subject to various limitations and restrictions including, but not limited to, restrictions on distributions that would either violate any contract or agreement to which PKLP is then a party, including debt agreements, or any applicable law, or that would have the effect of rendering PKLP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its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 which could be substantial.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although PKLP generally will not be subject to any entity-level U.S. federal income tax, it may be liable under federal tax legislation for adjustments to its tax return, absent an election to the contrary. In the event PKLP’s calculations of taxable income are incorrect, its members, including ProKidney Corp., in later years may be subject to material liabilities pursuant to this federal legislation and its related guidance.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anticipate that the distributions we will receive from PKLP may, in certain periods, exceed our actual tax liabilities and obligations to make payments under the Tax Receivable Agreement. The Board, in its sole discretion, may make any determination from time to time with respect to the use of any such excess cash so accumulated, which may include, among other uses, to pay dividends on ProKidney Class A ordinary shares. We will have no obligation to distribute such cash (or other available cash other than any declared dividend) to our shareholders.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Dividends on ProKidney Class A ordinary shares, if any, will be paid at the discretion of the Board, which will consider, among other things, our business, operating results, financial condition, current and expected cash needs, plans for expansion and any legal or contractual limitations on our ability to pay such dividends. Financing arrangements may include restrictive covenants that restrict our ability to pay dividends or make other distributions to our shareholders. Under the Irish LP Act, a limited partner of PKLP may lose its limited liability where such limited partner withdraws some or a part of his, her or its contribution to PKLP, in which circumstance he, she or it will be liable for debts and obligations of ProKidney up to the amount so withdrawn.</w:t>
      </w:r>
    </w:p>
    <w:p>
      <w:pPr>
        <w:pStyle w:val="TextBody"/>
        <w:spacing w:before="120" w:after="0"/>
        <w:jc w:val="left"/>
        <w:rPr>
          <w:rFonts w:ascii="Times New Roman;serif" w:hAnsi="Times New Roman;serif"/>
          <w:b w:val="false"/>
          <w:sz w:val="20"/>
        </w:rPr>
      </w:pPr>
      <w:bookmarkStart w:id="92" w:name="bkmk_125"/>
      <w:bookmarkEnd w:id="92"/>
      <w:r>
        <w:rPr>
          <w:rFonts w:ascii="Times New Roman;serif" w:hAnsi="Times New Roman;serif"/>
          <w:b w:val="false"/>
          <w:sz w:val="20"/>
        </w:rPr>
        <w:t>ProKidney’s subsidiaries are generally subject to similar legal limitations on their ability to make distributions to ProKidney. If ProKidney does not have sufficient funds to make distributions, our ability to declare and pay cash dividends may also be restricted or impaired.</w:t>
      </w:r>
    </w:p>
    <w:p>
      <w:pPr>
        <w:pStyle w:val="TextBody"/>
        <w:spacing w:before="360" w:after="0"/>
        <w:jc w:val="left"/>
        <w:rPr>
          <w:rFonts w:ascii="Times New Roman;serif" w:hAnsi="Times New Roman;serif"/>
          <w:b/>
          <w:i/>
          <w:sz w:val="20"/>
        </w:rPr>
      </w:pPr>
      <w:r>
        <w:rPr>
          <w:rFonts w:ascii="Times New Roman;serif" w:hAnsi="Times New Roman;serif"/>
          <w:b/>
          <w:i/>
          <w:sz w:val="20"/>
        </w:rPr>
        <w:t>In certain circumstances, PKLP will be required to make distributions to us and the other holders of ProKidney Common Units, and the distributions that PKLP will be required to make may be substantial.</w:t>
      </w:r>
    </w:p>
    <w:p>
      <w:pPr>
        <w:pStyle w:val="TextBody"/>
        <w:spacing w:before="108" w:after="0"/>
        <w:jc w:val="left"/>
        <w:rPr>
          <w:rFonts w:ascii="Times New Roman;serif" w:hAnsi="Times New Roman;serif"/>
          <w:b w:val="false"/>
          <w:sz w:val="20"/>
        </w:rPr>
      </w:pPr>
      <w:r>
        <w:rPr>
          <w:rFonts w:ascii="Times New Roman;serif" w:hAnsi="Times New Roman;serif"/>
          <w:b w:val="false"/>
          <w:sz w:val="20"/>
        </w:rPr>
        <w:t>PKLP will generally be required from time to time to make pro rata distributions in cash to us and the other holders of ProKidney Common Units at certain assumed tax rates in amounts that are intended to be sufficient to cover the taxes on our and the other holders of ProKidney Common Units respective allocable shares of the taxable income of PKLP. As a result of (i) potential differences in the amount of net taxable income allocable to us and the other holders of ProKidney Common Units, (ii) the lower tax rate applicable to corporations than individuals, (iii) our status as a non-U.S. person and (iv) the use of an assumed tax rate (the highest effective marginal combined U.S. federal, state and local income tax rate prescribed for an individual or corporate resident of New York, New York) in calculating PKLP’s distribution obligations, we may receive tax distributions significantly in excess of our tax liabilities and obligations to make payments under the Tax Receivable Agreement. We will determine in its sole discretion the appropriate uses for any excess cash so accumulated, which may include, among other uses, dividends, the payment of obligations under the Tax Receivable Agreement and the payment of other expenses. We will have no obligation to distribute such excess cash (or other available cash other than any declared dividend) to the holders of ProKidney Class A ordinary shares. No adjustments to the redemption or exchange ratio of ProKidney Common Units for ProKidney Class A ordinary shares will be made as a result of either (i) any cash dividend by us or (ii) any cash that we retain and do not distribute to our shareholders. To the extent that we do not distribute such excess cash as dividends on ProKidney Class A ordinary shares and instead, for example, holds such cash balances or lends them to PKLP, holders of ProKidney Common Units would benefit from any value attributable to such cash balances as a result of their ownership of ProKidney Class A ordinary shares following a redemption or exchange of their ProKidney Common Units.</w:t>
      </w:r>
    </w:p>
    <w:p>
      <w:pPr>
        <w:pStyle w:val="TextBody"/>
        <w:spacing w:before="360" w:after="0"/>
        <w:jc w:val="left"/>
        <w:rPr>
          <w:rFonts w:ascii="Times New Roman;serif" w:hAnsi="Times New Roman;serif"/>
          <w:b/>
          <w:i/>
          <w:sz w:val="20"/>
        </w:rPr>
      </w:pPr>
      <w:r>
        <w:rPr>
          <w:rFonts w:ascii="Times New Roman;serif" w:hAnsi="Times New Roman;serif"/>
          <w:b/>
          <w:i/>
          <w:sz w:val="20"/>
        </w:rPr>
        <w:t>Governmental authorities may question our intercompany transfer pricing policies or change their laws in a manner that could increase our effective tax rate or otherwise harm our business.</w:t>
      </w:r>
    </w:p>
    <w:p>
      <w:pPr>
        <w:pStyle w:val="TextBody"/>
        <w:spacing w:before="120" w:after="0"/>
        <w:jc w:val="left"/>
        <w:rPr>
          <w:rFonts w:ascii="Times New Roman" w:hAnsi="Times New Roman"/>
          <w:sz w:val="20"/>
        </w:rPr>
      </w:pPr>
      <w:r>
        <w:rPr>
          <w:rFonts w:ascii="Times New Roman;serif" w:hAnsi="Times New Roman;serif"/>
          <w:b w:val="false"/>
          <w:sz w:val="20"/>
        </w:rPr>
        <w:t>As a company with an international structure, we are subject to U.S. and foreign tax and transfer pricing laws, including those relating to the flow of funds and allocation of profit between subsidiaries. If tax authorities challenge our intercompany transfer pricing, our operations may be negatively impacted and our effective tax rate may increase. Tax rates vary from country to</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92</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country and if regulators determine that our profits in one jurisdiction should be increased, we might not be able to fully offset any associated increase in tax expense in the other jurisdiction, which would increase our effective tax rate. Additionally, within the Organization for Economic Cooperation and Development (“OECD”)/G20 Inclusive Framework on BEPS (“base erosion and profit shifting”) over 135 jurisdictions have agreed to implement minimum taxation. As separate taxing jurisdictions begin adopting these rules, we may need to change our international tax structure to maintain compliance with the new rules. Our effective tax rate may change as a result of the implementation of minimum taxation, depending on the footprint of global operations at the time of the change. Finally, we might not always be in compliance with all applicable customs, exchange control, value added tax and transfer pricing laws despite our efforts to be aware of and to comply with such laws. In such case, we may need to adjust our operating procedures and our business could be adversely affected.</w:t>
        <w:br/>
      </w:r>
      <w:r>
        <w:rPr>
          <w:rFonts w:ascii="Times New Roman" w:hAnsi="Times New Roman"/>
          <w:sz w:val="20"/>
        </w:rPr>
        <w:t> </w:t>
      </w:r>
    </w:p>
    <w:p>
      <w:pPr>
        <w:pStyle w:val="TextBody"/>
        <w:spacing w:before="360" w:after="0"/>
        <w:jc w:val="left"/>
        <w:rPr>
          <w:rFonts w:ascii="Times New Roman;serif" w:hAnsi="Times New Roman;serif"/>
          <w:b/>
          <w:i/>
          <w:sz w:val="20"/>
        </w:rPr>
      </w:pPr>
      <w:r>
        <w:rPr>
          <w:rFonts w:ascii="Times New Roman;serif" w:hAnsi="Times New Roman;serif"/>
          <w:b/>
          <w:i/>
          <w:sz w:val="20"/>
        </w:rPr>
        <w:t>Under the Tax Receivable Agreement, we are required to pay 85% of certain tax savings recognized by ProKidney Corp. as a result of the increases in tax basis of ProKidney assets attributable to the exchanges of ProKidney Common Units for ProKidney Class A ordinary shares and certain other tax benefits, and those payments may be substantial.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Holders of PKLP prior to the Closing (“Closing ProKidney Unitholders”) may exchange their ProKidney Common Units for ProKidney Class A ordinary shares or, subject to certain restrictions, cash, pursuant to the Exchange Agreement, dated as of July 11, 2022, by and among us, PKLP and the Closing ProKidney Unitholders (the “Exchange Agreement”), subject to certain conditions and transfer restrictions as set forth therein and in the Second Amended and Restated ProKidney Limited Partnership Agreement. These exchanges are expected to result in increases in our allocable share of the tax basis of the tangible and intangible assets of PKLP. These increases in tax basis may increase (for tax purposes) depreciation and amortization deductions and therefore reduce the amount of income or franchise tax that we would otherwise be required to pay in the future had such exchanges never occurred.</w:t>
      </w:r>
    </w:p>
    <w:p>
      <w:pPr>
        <w:pStyle w:val="TextBody"/>
        <w:spacing w:before="120" w:after="0"/>
        <w:jc w:val="left"/>
        <w:rPr>
          <w:rFonts w:ascii="Times New Roman" w:hAnsi="Times New Roman"/>
          <w:sz w:val="20"/>
        </w:rPr>
      </w:pPr>
      <w:bookmarkStart w:id="93" w:name="bkmk_126"/>
      <w:bookmarkEnd w:id="93"/>
      <w:r>
        <w:rPr>
          <w:rFonts w:ascii="Times New Roman;serif" w:hAnsi="Times New Roman;serif"/>
          <w:b w:val="false"/>
          <w:sz w:val="20"/>
        </w:rPr>
        <w:t>In connection with the Business Combination, we entered into the Tax Receivable Agreement, which generally provides for the payment by it of 85% of certain tax savings, if any, that we recognize as a result of these increases in tax basis and certain other tax attributes of PKLP and tax benefits related to entering into the Tax Receivable Agreement. These payments are the obligation of ProKidney Corp. and not of PKLP. The actual increase in our allocable share of ProKidney’s tax basis in its assets, as well as the amount and timing of any payments under the Tax Receivable Agreement, will vary depending upon a number of factors, including the timing of exchanges, the market price of the Class A ordinary share at the time of the exchange, the extent to which such exchanges are taxable and the amount and timing of the recognition of our income. Many of the factors that will determine the amount of payments that we will make under the Tax Receivable Agreement are outside of our control and such payments, if any, could be substantial and could have a material adverse effect on our financial condition. Even assuming, among other things, that there are no material changes in relevant tax law, that PKLP’s enterprise value is equal to the enterprise value that was agreed to in the</w:t>
      </w:r>
      <w:r>
        <w:rPr>
          <w:rFonts w:ascii="Times New Roman" w:hAnsi="Times New Roman"/>
          <w:sz w:val="20"/>
        </w:rPr>
        <w:t xml:space="preserve"> </w:t>
      </w:r>
      <w:r>
        <w:rPr>
          <w:rFonts w:ascii="Times New Roman;serif" w:hAnsi="Times New Roman;serif"/>
          <w:b w:val="false"/>
          <w:sz w:val="20"/>
        </w:rPr>
        <w:t>Business Combination at the time all ProKidney Common Units are exchanged, and that there are significant future redemptions or exchanges of ProKidney Common Units, payments under the Tax Receivable Agreement are not expected to be material because PKLP does not currently (i) plan to migrate business operations to the United States, or (ii) otherwise anticipate tax benefits outside of the United States from redemptions or exchanges of ProKidney Common Units that would trigger obligations under the Tax Receivable Agreement based upon the intended operations of PKLP outside the United States. In addition, because PKLP does not currently have business operations in the United States and does not expect to generate significant operating revenues in the near future, if at all, payments under the Tax Receivable Agreement in the near future, if any, are not expected to be material. If, contrary to current intended business operations and strategy, the business operations are migrated to the United States, the business operations outside of the United States change, or there are material changes in relevant tax law, then payments under the Tax Receivable Agreement could be material. Any payments made by us under the Tax Receivable Agreement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Furthermore, our future obligation to make payments under the Tax Receivable Agreement could make it a less attractive target for an acquisition, particularly in the case of an acquirer that cannot use some or all of the tax benefits that may be deemed realized under the Tax Receivable Agreement.</w:t>
      </w:r>
    </w:p>
    <w:p>
      <w:pPr>
        <w:pStyle w:val="TextBody"/>
        <w:spacing w:before="360" w:after="0"/>
        <w:jc w:val="left"/>
        <w:rPr>
          <w:rFonts w:ascii="Times New Roman;serif" w:hAnsi="Times New Roman;serif"/>
          <w:b/>
          <w:i/>
          <w:sz w:val="20"/>
        </w:rPr>
      </w:pPr>
      <w:r>
        <w:rPr>
          <w:rFonts w:ascii="Times New Roman;serif" w:hAnsi="Times New Roman;serif"/>
          <w:b/>
          <w:i/>
          <w:sz w:val="20"/>
        </w:rPr>
        <w:t>In certain cases, payments under the Tax Receivable Agreement may exceed the actual tax benefits we realize or may be accelerated.</w:t>
      </w:r>
    </w:p>
    <w:p>
      <w:pPr>
        <w:pStyle w:val="TextBody"/>
        <w:spacing w:before="120" w:after="0"/>
        <w:jc w:val="left"/>
        <w:rPr>
          <w:rFonts w:ascii="Times New Roman" w:hAnsi="Times New Roman"/>
          <w:sz w:val="20"/>
        </w:rPr>
      </w:pPr>
      <w:r>
        <w:rPr>
          <w:rFonts w:ascii="Times New Roman;serif" w:hAnsi="Times New Roman;serif"/>
          <w:b w:val="false"/>
          <w:sz w:val="20"/>
        </w:rPr>
        <w:t>Payments under the Tax Receivable Agreement will be based on the tax reporting positions that we determine, and the IRS or any other taxing authorities may challenge all or any part of the tax basis increases, as well as other tax positions that we take, and a court may sustain such a challenge. In the event any tax benefits initially claimed by us are disallowed, the current Closing ProKidney Unitholders will not be required to reimburse us for any excess payments that may previously have been made under the Tax Receivable Agreement, for example, due to adjustments resulting from examinations by taxing authorities. Rather, excess payments made to such holders will be netted against any future cash payments otherwise required to be made by us, if any, after the determination of such excess. However, a challenge to any tax benefits initially claimed by us may not arise for a number of</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93</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future cash payments from which to net against. As a result, in certain circumstances we could make payments under the Tax Receivable Agreement in excess of our actual income or franchise tax savings, which could materially impair our financial condition.</w:t>
      </w:r>
    </w:p>
    <w:p>
      <w:pPr>
        <w:pStyle w:val="TextBody"/>
        <w:spacing w:before="120" w:after="0"/>
        <w:jc w:val="left"/>
        <w:rPr>
          <w:rFonts w:ascii="Times New Roman" w:hAnsi="Times New Roman"/>
          <w:sz w:val="20"/>
        </w:rPr>
      </w:pPr>
      <w:bookmarkStart w:id="94" w:name="bkmk_127"/>
      <w:bookmarkEnd w:id="94"/>
      <w:r>
        <w:rPr>
          <w:rFonts w:ascii="Times New Roman;serif" w:hAnsi="Times New Roman;serif"/>
          <w:b w:val="false"/>
          <w:sz w:val="20"/>
        </w:rPr>
        <w:t>Moreover, the Tax Receivable Agreement provides that, in the event that (i) we exercise our early termination rights under the Tax Receivable Agreement, (ii) the Tax Receivable Agreement is rejected by operation of law in a bankruptcy case, (iii) certain changes of control of ProKidney Corp. occur (as described in the Tax Receivable Agreement) or (iv) we are more than three months late in making a payment due under the Tax Receivable Agreement (unless we in good faith determine that we have insufficient funds to make such payment) or otherwise materially breach any of our material obligations under the Tax Receivable Agreement, our obligations under the Tax Receivable Agreement will accelerate, and we will be required to make an immediate lump-sum cash payment to the Closing ProKidney Unitholders equal to the present value of all forecasted future payments that would have otherwise been made under the Tax Receivable Agreement, which lump-sum payment would be based on certain assumptions, including those relating to our future taxable income. The lump-sum payment to the Closing ProKidney Unitholders could be substantial and could exceed the actual tax benefits that we realize subsequent to such payment because such payment would be calculated assuming, among other things, that we would be able to use the assumed potential tax benefits in future years, and that tax rates applicable to us would be the same as they were in the year of the termination.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may be a material negative effect on our liquidity if the payments under the Tax Receivable Agreement exceed the actual income or franchise tax savings that we realize. Furthermore, our obligations to make payments under the Tax Receivable Agreement could also have the effect of delaying, deferring or preventing certain mergers, asset sales, other forms of business combinations or other changes of control. We may need to incur additional indebtedness to finance payments under the Tax Receivable Agreement to the extent our cash resources are insufficient to meet our obligations under the Tax Receivable Agreement as a result of timing discrepancies or otherwise. Such indebtedness may have a material adverse effect on our financial condition.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Finally, because we are a holding company with no operations of our own, our ability to make payments under the Tax Receivable Agreement depends on the ability of PKLP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pStyle w:val="TextBody"/>
        <w:spacing w:before="360" w:after="0"/>
        <w:jc w:val="left"/>
        <w:rPr>
          <w:rFonts w:ascii="Times New Roman;serif" w:hAnsi="Times New Roman;serif"/>
          <w:b/>
          <w:i/>
          <w:sz w:val="20"/>
        </w:rPr>
      </w:pPr>
      <w:r>
        <w:rPr>
          <w:rFonts w:ascii="Times New Roman;serif" w:hAnsi="Times New Roman;serif"/>
          <w:b/>
          <w:i/>
          <w:sz w:val="20"/>
        </w:rPr>
        <w:t>We are a Cayman Islands exempted company. The rights of our shareholders may be different from the rights of shareholders governed by the laws of U.S. jurisdictions.</w:t>
      </w:r>
    </w:p>
    <w:p>
      <w:pPr>
        <w:pStyle w:val="TextBody"/>
        <w:spacing w:before="120" w:after="0"/>
        <w:jc w:val="left"/>
        <w:rPr>
          <w:rFonts w:ascii="Times New Roman;serif" w:hAnsi="Times New Roman;serif"/>
          <w:b w:val="false"/>
          <w:sz w:val="20"/>
        </w:rPr>
      </w:pPr>
      <w:bookmarkStart w:id="95" w:name="bkmk_128"/>
      <w:bookmarkEnd w:id="95"/>
      <w:r>
        <w:rPr>
          <w:rFonts w:ascii="Times New Roman;serif" w:hAnsi="Times New Roman;serif"/>
          <w:b w:val="false"/>
          <w:sz w:val="20"/>
        </w:rPr>
        <w:t>We are a Cayman Islands exempted company. Our corporate affairs will continue to be governed by our Charter and by the laws of the Cayman Islands. The rights of shareholders and the responsibilities of members of the Board may be different from the rights of shareholders and responsibilities of directors in companies governed by the laws of U.S. jurisdictions. In the performance of its duties, the board of directors of a solvent Cayman Islands exempted company is required to consider that company’s best interests, which may differ from the interests of one or more of its individual shareholders.</w:t>
      </w:r>
    </w:p>
    <w:p>
      <w:pPr>
        <w:pStyle w:val="TextBody"/>
        <w:spacing w:before="360" w:after="0"/>
        <w:jc w:val="left"/>
        <w:rPr>
          <w:rFonts w:ascii="Times New Roman" w:hAnsi="Times New Roman"/>
          <w:sz w:val="20"/>
        </w:rPr>
      </w:pPr>
      <w:bookmarkStart w:id="96" w:name="bkmk_129"/>
      <w:bookmarkEnd w:id="96"/>
      <w:r>
        <w:rPr>
          <w:rFonts w:ascii="Times New Roman;serif" w:hAnsi="Times New Roman;serif"/>
          <w:b/>
          <w:sz w:val="20"/>
        </w:rPr>
        <w:t>Item 1B</w:t>
      </w:r>
      <w:bookmarkStart w:id="97" w:name="item1b"/>
      <w:bookmarkEnd w:id="97"/>
      <w:r>
        <w:rPr>
          <w:rFonts w:ascii="Times New Roman;serif" w:hAnsi="Times New Roman;serif"/>
          <w:b/>
          <w:sz w:val="20"/>
        </w:rPr>
        <w:t>. Unresolved Staff Comments.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spacing w:before="360" w:after="0"/>
        <w:jc w:val="left"/>
        <w:rPr>
          <w:rFonts w:ascii="Times New Roman" w:hAnsi="Times New Roman"/>
          <w:sz w:val="20"/>
        </w:rPr>
      </w:pPr>
      <w:bookmarkStart w:id="98" w:name="item2"/>
      <w:bookmarkEnd w:id="98"/>
      <w:r>
        <w:rPr>
          <w:rFonts w:ascii="Times New Roman;serif" w:hAnsi="Times New Roman;serif"/>
          <w:b/>
          <w:sz w:val="20"/>
        </w:rPr>
        <w:t>Item 2. Properties.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headquarters are located in Winston-Salem, North Carolina, where we lease approximately 38,400 square feet of office, manufacturing and research space, under a lease that expires in September 2026. We have leased approximately 2,700 square feet of additional office space in Winston-Salem, which serves as our principal executive offices. This lease commenced in April 2022 and is expected to expire in April 2027. There is an additional office located in Raleigh, North Carolina where we lease approximately 7,900 square feet, under a lease that expires in July 2027. We have also leased an additional 12,000 square feet of warehouse and office space in Winston-Salem, North Carolina under a lease which will expire in November 2027. Finally we have leased approximately 4,500 square feet of additional laboratory space in Morrisville, North Carolina under a lease which will expire in March 2028. We believe our facilities are adequate for our current needs and that suitable additional substitute space would be available if needed.</w:t>
      </w:r>
      <w:r>
        <w:rPr>
          <w:rFonts w:ascii="Times New Roman" w:hAnsi="Times New Roman"/>
          <w:sz w:val="20"/>
        </w:rPr>
        <w:t xml:space="preserve"> </w:t>
      </w:r>
    </w:p>
    <w:p>
      <w:pPr>
        <w:pStyle w:val="TextBody"/>
        <w:spacing w:before="360" w:after="0"/>
        <w:jc w:val="left"/>
        <w:rPr>
          <w:rFonts w:ascii="Times New Roman" w:hAnsi="Times New Roman"/>
          <w:sz w:val="20"/>
        </w:rPr>
      </w:pPr>
      <w:bookmarkStart w:id="99" w:name="item3"/>
      <w:bookmarkEnd w:id="99"/>
      <w:r>
        <w:rPr>
          <w:rFonts w:ascii="Times New Roman;serif" w:hAnsi="Times New Roman;serif"/>
          <w:b/>
          <w:sz w:val="20"/>
        </w:rPr>
        <w:t>Item 3. Legal Proceedings.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From time to time, we may become involved in litigation or other legal proceedings. We are not currently a party to any litigation or legal proceedings that, in the opinion of our management, are likely to have a material adverse effect on our business.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94</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Regardless of outcome, litigation can have an adverse impact on us because of defense and settlement costs, diversion of management resources and other factors.</w:t>
      </w:r>
    </w:p>
    <w:p>
      <w:pPr>
        <w:pStyle w:val="TextBody"/>
        <w:spacing w:before="360" w:after="0"/>
        <w:jc w:val="left"/>
        <w:rPr>
          <w:rFonts w:ascii="Times New Roman;serif" w:hAnsi="Times New Roman;serif"/>
          <w:b/>
          <w:sz w:val="20"/>
        </w:rPr>
      </w:pPr>
      <w:bookmarkStart w:id="100" w:name="item4"/>
      <w:bookmarkEnd w:id="100"/>
      <w:r>
        <w:rPr>
          <w:rFonts w:ascii="Times New Roman;serif" w:hAnsi="Times New Roman;serif"/>
          <w:b/>
          <w:sz w:val="20"/>
        </w:rPr>
        <w:t>Item 4. Mine Safety Disclosures.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12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95</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PART II</w:t>
      </w:r>
    </w:p>
    <w:p>
      <w:pPr>
        <w:pStyle w:val="TextBody"/>
        <w:spacing w:before="360" w:after="0"/>
        <w:jc w:val="left"/>
        <w:rPr>
          <w:rFonts w:ascii="Times New Roman" w:hAnsi="Times New Roman"/>
          <w:sz w:val="20"/>
        </w:rPr>
      </w:pPr>
      <w:bookmarkStart w:id="101" w:name="item5"/>
      <w:bookmarkEnd w:id="101"/>
      <w:r>
        <w:rPr>
          <w:rFonts w:ascii="Times New Roman;serif" w:hAnsi="Times New Roman;serif"/>
          <w:b/>
          <w:sz w:val="20"/>
        </w:rPr>
        <w:t>Item 5. Market for Registrant’s Common Equity, Related Stockholder Matters and Issuer Purchases of Equity Securities.</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Market 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Class A ordinary shares are listed on the Nasdaq Capital Market under the symbol “PROK”.</w:t>
      </w:r>
    </w:p>
    <w:p>
      <w:pPr>
        <w:pStyle w:val="TextBody"/>
        <w:spacing w:before="360" w:after="0"/>
        <w:jc w:val="left"/>
        <w:rPr>
          <w:rFonts w:ascii="Times New Roman;serif" w:hAnsi="Times New Roman;serif"/>
          <w:b/>
          <w:sz w:val="20"/>
        </w:rPr>
      </w:pPr>
      <w:r>
        <w:rPr>
          <w:rFonts w:ascii="Times New Roman;serif" w:hAnsi="Times New Roman;serif"/>
          <w:b/>
          <w:sz w:val="20"/>
        </w:rPr>
        <w:t>Dividend Policy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 cash dividends have ever been declared or paid on the common equity to date by the Company.</w:t>
      </w:r>
    </w:p>
    <w:p>
      <w:pPr>
        <w:pStyle w:val="TextBody"/>
        <w:spacing w:before="360" w:after="0"/>
        <w:jc w:val="left"/>
        <w:rPr>
          <w:rFonts w:ascii="Times New Roman;serif" w:hAnsi="Times New Roman;serif"/>
          <w:b/>
          <w:sz w:val="20"/>
        </w:rPr>
      </w:pPr>
      <w:r>
        <w:rPr>
          <w:rFonts w:ascii="Times New Roman;serif" w:hAnsi="Times New Roman;serif"/>
          <w:b/>
          <w:sz w:val="20"/>
        </w:rPr>
        <w:t>Holders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March 28, 2023, we had approximately 61,540,231 Class A ordinary shares issued and outstanding held by 39 holders of record and approximately 173,381,731 Class B ordinary shares issued and outstanding held by three holders of record. Because a large portion of our Class A ordinary shares are held by brokers, nominees and other institutions on behalf of shareholders, we are unable to estimate the total number of shareholders represented by these record holders. There is no public market for our Class B ordinary shares.</w:t>
      </w:r>
    </w:p>
    <w:p>
      <w:pPr>
        <w:pStyle w:val="TextBody"/>
        <w:spacing w:before="360" w:after="0"/>
        <w:jc w:val="left"/>
        <w:rPr>
          <w:rFonts w:ascii="Times New Roman;serif" w:hAnsi="Times New Roman;serif"/>
          <w:b/>
          <w:sz w:val="20"/>
        </w:rPr>
      </w:pPr>
      <w:r>
        <w:rPr>
          <w:rFonts w:ascii="Times New Roman;serif" w:hAnsi="Times New Roman;serif"/>
          <w:b/>
          <w:sz w:val="20"/>
        </w:rPr>
        <w:t>Unregistered Sales of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360" w:after="0"/>
        <w:jc w:val="left"/>
        <w:rPr>
          <w:rFonts w:ascii="Times New Roman;serif" w:hAnsi="Times New Roman;serif"/>
          <w:b/>
          <w:sz w:val="20"/>
        </w:rPr>
      </w:pPr>
      <w:r>
        <w:rPr>
          <w:rFonts w:ascii="Times New Roman;serif" w:hAnsi="Times New Roman;serif"/>
          <w:b/>
          <w:sz w:val="20"/>
        </w:rPr>
        <w:t>Securities Authorized for Issuance under Equity Compensation Plans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information about our equity compensation plans as of December 31, 2022. The only awards that have been granted under the plan below are in the form of options and restricted stock unit awards related to our Class A ordinary shares.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04"/>
        <w:gridCol w:w="321"/>
        <w:gridCol w:w="2026"/>
        <w:gridCol w:w="146"/>
        <w:gridCol w:w="146"/>
        <w:gridCol w:w="578"/>
        <w:gridCol w:w="1513"/>
        <w:gridCol w:w="146"/>
        <w:gridCol w:w="146"/>
        <w:gridCol w:w="437"/>
        <w:gridCol w:w="2748"/>
        <w:gridCol w:w="394"/>
      </w:tblGrid>
      <w:tr>
        <w:trPr/>
        <w:tc>
          <w:tcPr>
            <w:tcW w:w="1604"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5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2748"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r>
      <w:tr>
        <w:trPr/>
        <w:tc>
          <w:tcPr>
            <w:tcW w:w="1604" w:type="dxa"/>
            <w:tcBorders/>
            <w:shd w:fill="auto" w:val="clear"/>
            <w:vAlign w:val="center"/>
          </w:tcPr>
          <w:p>
            <w:pPr>
              <w:pStyle w:val="TableContents"/>
              <w:spacing w:before="0" w:after="0"/>
              <w:ind w:left="0" w:right="0" w:hanging="0"/>
              <w:jc w:val="center"/>
              <w:rPr/>
            </w:pPr>
            <w:r>
              <w:rPr/>
              <w:t> </w:t>
            </w:r>
          </w:p>
        </w:tc>
        <w:tc>
          <w:tcPr>
            <w:tcW w:w="23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Number of Securities to be Issued Upon Exercise of Outstanding Options, Warrants and Rights</w:t>
              <w:br/>
              <w:t>(a)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Weighted average Exercise Price of Outstanding Options, Warrants and Rights</w:t>
              <w:br/>
              <w:t>(b)</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Number of Securities Remaining Available for Future Issuance Under Equity Compensation Plans (excluding securities reflected in column (a))</w:t>
              <w:br/>
              <w:t>(c)</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04"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Equity compensation plans approved by</w:t>
              <w:br/>
              <w:t>   security holders</w:t>
            </w:r>
          </w:p>
        </w:tc>
        <w:tc>
          <w:tcPr>
            <w:tcW w:w="234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85" w:type="dxa"/>
            <w:gridSpan w:val="2"/>
            <w:tcBorders/>
            <w:shd w:fill="auto" w:val="clear"/>
            <w:vAlign w:val="center"/>
          </w:tcPr>
          <w:p>
            <w:pPr>
              <w:pStyle w:val="TableContents"/>
              <w:spacing w:before="0" w:after="0"/>
              <w:ind w:left="0" w:right="0" w:hanging="0"/>
              <w:jc w:val="right"/>
              <w:rPr/>
            </w:pPr>
            <w:r>
              <w:rPr/>
              <w:t> </w:t>
            </w:r>
          </w:p>
        </w:tc>
        <w:tc>
          <w:tcPr>
            <w:tcW w:w="394" w:type="dxa"/>
            <w:tcBorders/>
            <w:shd w:fill="auto" w:val="clear"/>
            <w:vAlign w:val="center"/>
          </w:tcPr>
          <w:p>
            <w:pPr>
              <w:pStyle w:val="TableContents"/>
              <w:spacing w:before="0" w:after="0"/>
              <w:ind w:left="0" w:right="0" w:firstLine="200"/>
              <w:jc w:val="right"/>
              <w:rPr/>
            </w:pPr>
            <w:r>
              <w:rPr/>
              <w:t> </w:t>
            </w:r>
          </w:p>
        </w:tc>
      </w:tr>
      <w:tr>
        <w:trPr/>
        <w:tc>
          <w:tcPr>
            <w:tcW w:w="1604" w:type="dxa"/>
            <w:tcBorders/>
            <w:shd w:fill="auto" w:val="clear"/>
            <w:vAlign w:val="center"/>
          </w:tcPr>
          <w:p>
            <w:pPr>
              <w:pStyle w:val="TableContents"/>
              <w:spacing w:before="0" w:after="0"/>
              <w:ind w:left="200" w:right="0" w:hanging="0"/>
              <w:jc w:val="left"/>
              <w:rPr/>
            </w:pPr>
            <w:r>
              <w:rPr/>
              <w:t> </w:t>
            </w:r>
            <w:r>
              <w:rPr>
                <w:rFonts w:ascii="Times New Roman;serif" w:hAnsi="Times New Roman;serif"/>
                <w:b w:val="false"/>
                <w:sz w:val="18"/>
              </w:rPr>
              <w:t>ProKidney Corp. 2022 Incentive Equity Plan</w:t>
            </w:r>
          </w:p>
        </w:tc>
        <w:tc>
          <w:tcPr>
            <w:tcW w:w="321" w:type="dxa"/>
            <w:tcBorders/>
            <w:shd w:fill="auto" w:val="clear"/>
            <w:vAlign w:val="center"/>
          </w:tcPr>
          <w:p>
            <w:pPr>
              <w:pStyle w:val="TableContents"/>
              <w:spacing w:before="0" w:after="0"/>
              <w:ind w:left="0" w:right="0" w:hanging="0"/>
              <w:jc w:val="left"/>
              <w:rPr/>
            </w:pPr>
            <w:r>
              <w:rPr/>
              <w:t> </w:t>
            </w:r>
          </w:p>
        </w:tc>
        <w:tc>
          <w:tcPr>
            <w:tcW w:w="20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5,865,108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8"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51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pPr>
            <w:r>
              <w:rPr/>
              <w:t> </w:t>
            </w:r>
          </w:p>
        </w:tc>
        <w:tc>
          <w:tcPr>
            <w:tcW w:w="274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18,288,915</w:t>
            </w:r>
          </w:p>
        </w:tc>
        <w:tc>
          <w:tcPr>
            <w:tcW w:w="394" w:type="dxa"/>
            <w:tcBorders/>
            <w:shd w:fill="auto" w:val="clear"/>
            <w:vAlign w:val="center"/>
          </w:tcPr>
          <w:p>
            <w:pPr>
              <w:pStyle w:val="TableContents"/>
              <w:spacing w:before="0" w:after="0"/>
              <w:ind w:left="0" w:right="0" w:firstLine="200"/>
              <w:jc w:val="left"/>
              <w:rPr/>
            </w:pPr>
            <w:r>
              <w:rPr/>
              <w:t> </w:t>
            </w:r>
          </w:p>
        </w:tc>
      </w:tr>
      <w:tr>
        <w:trPr/>
        <w:tc>
          <w:tcPr>
            <w:tcW w:w="1604" w:type="dxa"/>
            <w:tcBorders/>
            <w:shd w:fill="auto" w:val="clear"/>
            <w:vAlign w:val="center"/>
          </w:tcPr>
          <w:p>
            <w:pPr>
              <w:pStyle w:val="TableContents"/>
              <w:spacing w:before="0" w:after="0"/>
              <w:ind w:left="200" w:right="0" w:hanging="0"/>
              <w:jc w:val="left"/>
              <w:rPr/>
            </w:pPr>
            <w:r>
              <w:rPr/>
              <w:t> </w:t>
            </w:r>
            <w:r>
              <w:rPr>
                <w:rFonts w:ascii="Times New Roman;serif" w:hAnsi="Times New Roman;serif"/>
                <w:b w:val="false"/>
                <w:sz w:val="18"/>
              </w:rPr>
              <w:t>ProKidney Corp. Employee Stock Purchase Plan</w:t>
            </w:r>
          </w:p>
        </w:tc>
        <w:tc>
          <w:tcPr>
            <w:tcW w:w="321" w:type="dxa"/>
            <w:tcBorders/>
            <w:shd w:fill="auto" w:val="clear"/>
            <w:vAlign w:val="center"/>
          </w:tcPr>
          <w:p>
            <w:pPr>
              <w:pStyle w:val="TableContents"/>
              <w:spacing w:before="0" w:after="0"/>
              <w:ind w:left="0" w:right="0" w:hanging="0"/>
              <w:jc w:val="left"/>
              <w:rPr/>
            </w:pPr>
            <w:r>
              <w:rPr/>
              <w:t> </w:t>
            </w:r>
          </w:p>
        </w:tc>
        <w:tc>
          <w:tcPr>
            <w:tcW w:w="20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8" w:type="dxa"/>
            <w:tcBorders/>
            <w:shd w:fill="auto" w:val="clear"/>
            <w:vAlign w:val="center"/>
          </w:tcPr>
          <w:p>
            <w:pPr>
              <w:pStyle w:val="TableContents"/>
              <w:spacing w:before="0" w:after="0"/>
              <w:ind w:left="0" w:right="0" w:hanging="0"/>
              <w:jc w:val="left"/>
              <w:rPr/>
            </w:pPr>
            <w:r>
              <w:rPr/>
              <w:t> </w:t>
            </w:r>
          </w:p>
        </w:tc>
        <w:tc>
          <w:tcPr>
            <w:tcW w:w="151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pPr>
            <w:r>
              <w:rPr/>
              <w:t> </w:t>
            </w:r>
          </w:p>
        </w:tc>
        <w:tc>
          <w:tcPr>
            <w:tcW w:w="274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4,830,806</w:t>
            </w:r>
          </w:p>
        </w:tc>
        <w:tc>
          <w:tcPr>
            <w:tcW w:w="394" w:type="dxa"/>
            <w:tcBorders/>
            <w:shd w:fill="auto" w:val="clear"/>
            <w:vAlign w:val="center"/>
          </w:tcPr>
          <w:p>
            <w:pPr>
              <w:pStyle w:val="TableContents"/>
              <w:spacing w:before="0" w:after="0"/>
              <w:ind w:left="0" w:right="0" w:hanging="0"/>
              <w:jc w:val="left"/>
              <w:rPr/>
            </w:pPr>
            <w:r>
              <w:rPr/>
              <w:t> </w:t>
            </w:r>
          </w:p>
        </w:tc>
      </w:tr>
      <w:tr>
        <w:trPr/>
        <w:tc>
          <w:tcPr>
            <w:tcW w:w="1604"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Equity compensation plans not approved by</w:t>
              <w:br/>
              <w:t>   security holders</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8,369,795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8" w:type="dxa"/>
            <w:tcBorders/>
            <w:shd w:fill="auto" w:val="clear"/>
            <w:vAlign w:val="center"/>
          </w:tcPr>
          <w:p>
            <w:pPr>
              <w:pStyle w:val="TableContents"/>
              <w:spacing w:before="0" w:after="0"/>
              <w:ind w:left="0" w:right="0" w:hanging="0"/>
              <w:jc w:val="left"/>
              <w:rPr/>
            </w:pPr>
            <w:r>
              <w:rPr/>
              <w:t> </w:t>
            </w:r>
          </w:p>
        </w:tc>
        <w:tc>
          <w:tcPr>
            <w:tcW w:w="151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604" w:type="dxa"/>
            <w:tcBorders/>
            <w:shd w:fill="auto" w:val="clear"/>
            <w:vAlign w:val="center"/>
          </w:tcPr>
          <w:p>
            <w:pPr>
              <w:pStyle w:val="TableContents"/>
              <w:spacing w:before="0" w:after="0"/>
              <w:ind w:left="200" w:right="0" w:hanging="0"/>
              <w:jc w:val="left"/>
              <w:rPr/>
            </w:pPr>
            <w:r>
              <w:rPr/>
              <w:t> </w:t>
            </w:r>
            <w:r>
              <w:rPr>
                <w:rFonts w:ascii="Times New Roman;serif" w:hAnsi="Times New Roman;serif"/>
                <w:b w:val="false"/>
                <w:sz w:val="18"/>
              </w:rPr>
              <w:t>Total</w:t>
            </w:r>
          </w:p>
        </w:tc>
        <w:tc>
          <w:tcPr>
            <w:tcW w:w="321" w:type="dxa"/>
            <w:tcBorders/>
            <w:shd w:fill="auto" w:val="clear"/>
            <w:vAlign w:val="center"/>
          </w:tcPr>
          <w:p>
            <w:pPr>
              <w:pStyle w:val="TableContents"/>
              <w:spacing w:before="0" w:after="0"/>
              <w:ind w:left="0" w:right="0" w:hanging="0"/>
              <w:jc w:val="left"/>
              <w:rPr/>
            </w:pPr>
            <w:r>
              <w:rPr/>
              <w:t> </w:t>
            </w:r>
          </w:p>
        </w:tc>
        <w:tc>
          <w:tcPr>
            <w:tcW w:w="20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14,234,903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 w:type="dxa"/>
            <w:tcBorders/>
            <w:shd w:fill="auto" w:val="clear"/>
            <w:vAlign w:val="center"/>
          </w:tcPr>
          <w:p>
            <w:pPr>
              <w:pStyle w:val="TableContents"/>
              <w:spacing w:before="0" w:after="0"/>
              <w:ind w:left="0" w:right="0" w:hanging="0"/>
              <w:jc w:val="left"/>
              <w:rPr/>
            </w:pPr>
            <w:r>
              <w:rPr/>
              <w:t> </w:t>
            </w:r>
          </w:p>
        </w:tc>
        <w:tc>
          <w:tcPr>
            <w:tcW w:w="2748"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23,119,721</w:t>
            </w:r>
          </w:p>
        </w:tc>
        <w:tc>
          <w:tcPr>
            <w:tcW w:w="394" w:type="dxa"/>
            <w:tcBorders/>
            <w:shd w:fill="auto" w:val="clear"/>
            <w:vAlign w:val="center"/>
          </w:tcPr>
          <w:p>
            <w:pPr>
              <w:pStyle w:val="TableContents"/>
              <w:spacing w:before="0" w:after="0"/>
              <w:ind w:left="0" w:right="0" w:hanging="0"/>
              <w:jc w:val="left"/>
              <w:rPr/>
            </w:pPr>
            <w:r>
              <w:rPr/>
              <w:t> </w:t>
            </w:r>
          </w:p>
        </w:tc>
      </w:tr>
    </w:tbl>
    <w:p>
      <w:pPr>
        <w:pStyle w:val="TextBody"/>
        <w:spacing w:before="360" w:after="0"/>
        <w:jc w:val="left"/>
        <w:rPr>
          <w:rFonts w:ascii="Times New Roman;serif" w:hAnsi="Times New Roman;serif"/>
          <w:b/>
          <w:sz w:val="20"/>
        </w:rPr>
      </w:pPr>
      <w:r>
        <w:rPr>
          <w:rFonts w:ascii="Times New Roman;serif" w:hAnsi="Times New Roman;serif"/>
          <w:b/>
          <w:sz w:val="20"/>
        </w:rPr>
        <w:t>Issuer Purchases of Equity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have been no repurchases of the Company’s Class A ordinary shares during the fourth quarter of the fiscal year 2022.</w:t>
      </w:r>
    </w:p>
    <w:p>
      <w:pPr>
        <w:pStyle w:val="TextBody"/>
        <w:spacing w:before="360" w:after="0"/>
        <w:jc w:val="left"/>
        <w:rPr>
          <w:rFonts w:ascii="Times New Roman" w:hAnsi="Times New Roman"/>
          <w:sz w:val="20"/>
        </w:rPr>
      </w:pPr>
      <w:bookmarkStart w:id="102" w:name="item6"/>
      <w:bookmarkEnd w:id="102"/>
      <w:r>
        <w:rPr>
          <w:rFonts w:ascii="Times New Roman;serif" w:hAnsi="Times New Roman;serif"/>
          <w:b/>
          <w:sz w:val="20"/>
        </w:rPr>
        <w:t>Item 6. RESERVED.</w:t>
      </w:r>
      <w:r>
        <w:rPr>
          <w:rFonts w:ascii="Times New Roman" w:hAnsi="Times New Roman"/>
          <w:sz w:val="20"/>
        </w:rPr>
        <w:t xml:space="preserve"> </w:t>
      </w:r>
    </w:p>
    <w:p>
      <w:pPr>
        <w:pStyle w:val="TextBody"/>
        <w:spacing w:before="360" w:after="120"/>
        <w:jc w:val="left"/>
        <w:rPr>
          <w:rFonts w:ascii="Times New Roman" w:hAnsi="Times New Roman"/>
          <w:sz w:val="20"/>
        </w:rPr>
      </w:pPr>
      <w:bookmarkStart w:id="103" w:name="item7"/>
      <w:bookmarkEnd w:id="103"/>
      <w:r>
        <w:rPr>
          <w:rFonts w:ascii="Times New Roman;serif" w:hAnsi="Times New Roman;serif"/>
          <w:b/>
          <w:sz w:val="20"/>
        </w:rPr>
        <w:t xml:space="preserve">Item </w:t>
      </w:r>
      <w:bookmarkStart w:id="104" w:name="i_item2"/>
      <w:bookmarkEnd w:id="104"/>
      <w:r>
        <w:rPr>
          <w:rFonts w:ascii="Times New Roman;serif" w:hAnsi="Times New Roman;serif"/>
          <w:b/>
          <w:sz w:val="20"/>
        </w:rPr>
        <w:t>7. Management’s Discussion and Analysis of Financial Condition and Results of Operations.</w:t>
      </w:r>
    </w:p>
    <w:p>
      <w:pPr>
        <w:pStyle w:val="TextBody"/>
        <w:spacing w:before="0" w:after="0"/>
        <w:jc w:val="left"/>
        <w:rPr>
          <w:rFonts w:ascii="Times New Roman" w:hAnsi="Times New Roman"/>
          <w:sz w:val="20"/>
        </w:rPr>
      </w:pPr>
      <w:r>
        <w:rPr>
          <w:rFonts w:ascii="Times New Roman;serif" w:hAnsi="Times New Roman;serif"/>
          <w:b w:val="false"/>
          <w:i/>
          <w:sz w:val="20"/>
        </w:rPr>
        <w:t>As used in this Annual Report on Form 10-K, the “Company”, the “Registrant”, “we” or “us” refer to ProKidney Corp. and its subsidiaries.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96</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could differ materially from those discussed in the forward-looking statements. Factors that could cause or contribute to these differences include those discussed elsewhere in this report under “Part I—Item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pStyle w:val="TextBody"/>
        <w:spacing w:before="360" w:after="120"/>
        <w:jc w:val="left"/>
        <w:rPr>
          <w:rFonts w:ascii="Times New Roman;serif" w:hAnsi="Times New Roman;serif"/>
          <w:b/>
          <w:sz w:val="20"/>
        </w:rPr>
      </w:pPr>
      <w:r>
        <w:rPr>
          <w:rFonts w:ascii="Times New Roman;serif" w:hAnsi="Times New Roman;serif"/>
          <w:b/>
          <w:sz w:val="20"/>
        </w:rPr>
        <w:t>Overview</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 clinical-stage biotechnology business with a transformative proprietary cell therapy platform capable of treating multiple chronic kidney diseases using a patient’s own cells isolated from the patient intended for treatment. Our approach seeks to redefine the treatment of chronic kidney disease (“CKD”), shifting the emphasis away from management of kidney failure to the restoration or improvement of kidney function to stop or delay progression of CKD. Our lead product candidate, which we refer to as REACT, is designed to preserve kidney function in a CKD patient’s diseased kidneys. REACT is a product that includes selected renal cells (“SRCs”) prepared from a patient’s own, autologous, renal cells. SRCs are formulated into a product for reinjection into the patient’s kidney using a minimally invasive outpatient procedure that can be repeated if necessary. Because REACT is a personalized treatment composed of cells prepared from a patient’s kidney, there is no need for treatment with immunosuppressive therapies, which are required during a patient’s lifetime when a patient receives a kidney transplant from another, allogeneic donor.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currently conducting a Phase 3 development program and multiple Phase 2 clinical trials for REACT in subjects with moderate to severe diabetic kidney disease. We are also conducting a Phase 1 clinical trial for REACT in subjects with congenital anomalies of the kidney and urinary tract (“CAKUT”). REACT has been generally well tolerated by subjects with moderate to severe diabetic kidney disease in Phase 1 and 2 clinical testing to date. It has also been shown to preserve kidney function in subjects based on measurements of iohexol renal clearance and UACR. REACT has received Regenerative Medicine Advanced Therapy (“RMAT”) designation from the United States Food and Drug Administration (the “FDA”).</w:t>
      </w:r>
    </w:p>
    <w:p>
      <w:pPr>
        <w:pStyle w:val="TextBody"/>
        <w:spacing w:before="120" w:after="0"/>
        <w:jc w:val="left"/>
        <w:rPr>
          <w:rFonts w:ascii="Times New Roman" w:hAnsi="Times New Roman"/>
          <w:sz w:val="20"/>
        </w:rPr>
      </w:pPr>
      <w:r>
        <w:rPr>
          <w:rFonts w:ascii="Times New Roman;serif" w:hAnsi="Times New Roman;serif"/>
          <w:b w:val="false"/>
          <w:sz w:val="20"/>
        </w:rPr>
        <w:t>Since our inception, we have devoted substantially all of our resources to raising capital, organizing and staffing our company, business and scientific planning, conducting discovery and research activities, acquiring or discovering product candidates, establishing and protecting our intellectual property portfolio, developing and progressing REACT and preparing for clinical trials, establishing arrangements with third parties for the manufacture of component materials, and providing general and administrative support for these operations. We do not have any product candidates approved for sale and have not generated any revenue from product sales.</w:t>
      </w:r>
      <w:r>
        <w:rPr>
          <w:rFonts w:ascii="Times New Roman" w:hAnsi="Times New Roman"/>
          <w:sz w:val="20"/>
        </w:rPr>
        <w:t xml:space="preserve"> </w:t>
      </w:r>
    </w:p>
    <w:p>
      <w:pPr>
        <w:pStyle w:val="TextBody"/>
        <w:spacing w:before="360" w:after="120"/>
        <w:jc w:val="left"/>
        <w:rPr>
          <w:rFonts w:ascii="Times New Roman;serif" w:hAnsi="Times New Roman;serif"/>
          <w:b/>
          <w:sz w:val="20"/>
        </w:rPr>
      </w:pPr>
      <w:r>
        <w:rPr>
          <w:rFonts w:ascii="Times New Roman;serif" w:hAnsi="Times New Roman;serif"/>
          <w:b/>
          <w:sz w:val="20"/>
        </w:rPr>
        <w:t>The Business Combination</w:t>
      </w:r>
    </w:p>
    <w:p>
      <w:pPr>
        <w:pStyle w:val="TextBody"/>
        <w:spacing w:before="120" w:after="0"/>
        <w:jc w:val="left"/>
        <w:rPr>
          <w:rFonts w:ascii="Times New Roman" w:hAnsi="Times New Roman"/>
          <w:sz w:val="20"/>
        </w:rPr>
      </w:pPr>
      <w:r>
        <w:rPr>
          <w:rFonts w:ascii="Times New Roman;serif" w:hAnsi="Times New Roman;serif"/>
          <w:b w:val="false"/>
          <w:sz w:val="20"/>
        </w:rPr>
        <w:t>We entered into the business combination agreement, dated as of January 18, 2022 (the “Business Combination Agreement”) with Social Capital Suvretta Holdings Corp. III (“SCS”), a special purpose acquisition company, on January 18, 2022 (the “Business Combination”). Pursuant to the Business Combination Agreement, and upon the close of the transaction on July 11, 2022, SCS acquired ProKidney LP (“PKLP”) and its subsidiaries. As a result of the closing (the “Closing”) of the Business Combination, SCS’s name was changed to ProKidney Corp. After the Closing, the combined company is organized in an umbrella partnership-C corporation (a so called “Up-C”) structure, and the Company’s direct assets consist of common units in the combined company (“Post-Combination ProKidney Common Units”) and all of the issued and outstanding equity interests of ProKidney Corp. GP Limited (“New GP”), which became the general partner of PKLP upon the Closing. Substantially all of the operating assets and business of the Company are held or conducted indirectly through PKLP.</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Business Combination was accounted for as a common control transaction in accordance with accounting principles generally accepted in the United States of America (“GAAP”). Under the guidance in ASC 805, SCS was treated as the “acquired” company for financial reporting purposes. Accordingly, the Business Combination is reflected as the equivalent of PKLP issuing stock for the net assets of SCS, accompanied by a recapitalization whereby no goodwill or other intangible assets are recorded. Operations following the Business Combination are those of ProKidney Corp. The Business Combination had a significant impact on our future reported financial position and results as a consequence of the reverse capitalization.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Business Combination resulted in gross proceeds of approximately $596,537,000. This amount reflected a contribution of $21,737,000 of cash held in SCS’ trust account, net of redemptions, and a $574,800,000 concurrent private placement of Class A ordinary shares of the combined company, priced at $10.00 per share (the “PIPE Placement”). Upon close, these proceeds were used to repay the outstanding balance of $35,000,000 under the Company’s two promissory note agreements with certain holders of its Class A Units and related accrued interest. Additionally, the proceeds were used to pay those expenses previously incurred by SCS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97</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related to the business combination of approximately $21,029,000 as well as advisory and placement fees of approximately $29,389,000 incurred in connection with the PIPE Placement.</w:t>
      </w:r>
    </w:p>
    <w:p>
      <w:pPr>
        <w:pStyle w:val="TextBody"/>
        <w:spacing w:before="360" w:after="120"/>
        <w:jc w:val="left"/>
        <w:rPr>
          <w:rFonts w:ascii="Times New Roman;serif" w:hAnsi="Times New Roman;serif"/>
          <w:b/>
          <w:sz w:val="20"/>
        </w:rPr>
      </w:pPr>
      <w:r>
        <w:rPr>
          <w:rFonts w:ascii="Times New Roman;serif" w:hAnsi="Times New Roman;serif"/>
          <w:b/>
          <w:sz w:val="20"/>
        </w:rPr>
        <w:t>Business Impact of the COVID-19 Pandemic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global COVID-19 pandemic continues to rapidly evolve, and we will continue to monitor the COVID-19 situation closely. To date, our financial condition and operations have not been significantly impacted by the COVID-19 pandemic. However, we cannot, at this time, predict the specific extent, duration or full impact that the COVID-19 pandemic will have on our financial condition and operations, including our ongoing and planned clinical trials. The extent of the impact of the COVID-19 on our business, operations and clinical development timelines and plans remains uncertain and will depend on certain developments, including the duration and spread of the outbreak and its impact on our clinical trial enrollment, trial sites, contract research organizations (“CROs”), and other third parties with whom we do business, as well as its impact on regulatory authorities and our key scientific and management personnel. To the extent possible, we are conducting business as usual, with necessary or advisable modifications to employee travel as some of our employees are working remotely.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The development of our product candidates could be disrupted and materially adversely affected in the future by the COVID-19 pandemic. Our planned clinical trials also could be delayed due to government orders and site policies on account of the pandemic, and some patients may be unwilling or unable to travel to study sites,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 and commercialize REACT or any future product candidates. Furthermore, COVID-19 could affect our employees or the employees of research sites and service providers on whom we rely, including CROs, as well as those of companies with which we do business, including our suppliers, thereby disrupting our business operations. These and other events resulting from the COVID-19 pandemic could disrupt, delay, or otherwise adversely impact our business.</w:t>
      </w:r>
    </w:p>
    <w:p>
      <w:pPr>
        <w:pStyle w:val="TextBody"/>
        <w:spacing w:before="360" w:after="120"/>
        <w:jc w:val="left"/>
        <w:rPr>
          <w:rFonts w:ascii="Times New Roman;serif" w:hAnsi="Times New Roman;serif"/>
          <w:b/>
          <w:sz w:val="20"/>
        </w:rPr>
      </w:pPr>
      <w:r>
        <w:rPr>
          <w:rFonts w:ascii="Times New Roman;serif" w:hAnsi="Times New Roman;serif"/>
          <w:b/>
          <w:sz w:val="20"/>
        </w:rPr>
        <w:t>Other Trends and Uncertainties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2022, various central banks around the world (including the Federal Reserve in the United States) raised interest rates. While these rate increases have not had a significant adverse impact on the Company to date, the impact of such rate increases on the overall financial markets and the economy may adversely impact the Company in the future. In addition, the global economy has experienced and is continuing to experience high levels of inflation and global supply chain disruptions. We continue to monitor these supply chain, inflation and interest rate factors, as well as the uncertainty resulting from the overall economic environment.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although we have no operations in or direct exposure to Russia, Belarus and Ukraine, we have experienced limited constraints in availability and increasing costs required to obtain some materials and supplies due, in part, to the negative impact of the Russia-Ukraine military conflict on the global economy. To date, our business has not been materially impacted by the conflict, however, as the conflict continues or worsens, it may impact our business, financial condition or results of operations.</w:t>
      </w:r>
    </w:p>
    <w:p>
      <w:pPr>
        <w:pStyle w:val="TextBody"/>
        <w:spacing w:before="360" w:after="120"/>
        <w:jc w:val="left"/>
        <w:rPr>
          <w:rFonts w:ascii="Times New Roman;serif" w:hAnsi="Times New Roman;serif"/>
          <w:b/>
          <w:sz w:val="20"/>
        </w:rPr>
      </w:pPr>
      <w:r>
        <w:rPr>
          <w:rFonts w:ascii="Times New Roman;serif" w:hAnsi="Times New Roman;serif"/>
          <w:b/>
          <w:sz w:val="20"/>
        </w:rPr>
        <w:t>Financial Operations Overview</w:t>
      </w:r>
    </w:p>
    <w:p>
      <w:pPr>
        <w:pStyle w:val="TextBody"/>
        <w:spacing w:before="120" w:after="0"/>
        <w:jc w:val="left"/>
        <w:rPr>
          <w:rFonts w:ascii="Times New Roman;serif" w:hAnsi="Times New Roman;serif"/>
          <w:b/>
          <w:i/>
          <w:sz w:val="20"/>
        </w:rPr>
      </w:pPr>
      <w:r>
        <w:rPr>
          <w:rFonts w:ascii="Times New Roman;serif" w:hAnsi="Times New Roman;serif"/>
          <w:b/>
          <w:i/>
          <w:sz w:val="20"/>
        </w:rPr>
        <w:t>Revenue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not generated any revenue since our inception and do not expect to generate any revenue from the sale of products in the near future, if at all. If our development efforts for REACT or any other product candidates are successful and result in marketing approval, or if we enter into collaboration or license agreements with third parties, we may generate revenue in the future from a combination of product sales or payments from such agreements.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Expenses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Research and Development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Research and development expenses consist primarily of costs incurred in connection with our research and development activities, including the development of REACT.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Research and development costs include: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external research and development expenses incurred under agreements with CROs and other scientific development services;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costs of other outside consultants, including their fees and related travel expenses;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costs related to compliance with quality and regulatory requirements;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98</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costs of laboratory supplies and acquiring and developing clinical trial materials;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payments made under third-party licensing agreements;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personnel-related expenses, including salaries, bonuses, benefits and stock-based compensation expenses, for individuals involved in research and development activities;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facilities, depreciation and other allocated expenses, which include direct and allocated expenses for rent, insurance and other internal operating costs.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expense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balance sheets as prepaid clinical or as a component of total accrued expenses and other. Nonrefundable advance payments for goods or services to be received in the future for use in research and development activities are deferred and capitalized, even when there is no alternative future use for the research and development. The capitalized amounts are recorded as prepaid clinical and are expensed as the related goods are delivered or the services are performed.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Research and development activities are central to our business model. We expect that our research and development expenses will increase significantly for the foreseeable future as REACT moves into later stages of clinical development.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successful development of REACT and any product candidates we may develop in the future is highly uncertain. Therefore, we cannot reasonably estimate or know the nature, timing and estimated costs of the efforts that will be necessary to complete the development and commercialization of any of our product candidates. We are also unable to predict when, if ever, material net cash inflows will commence from the sale of REACT or potential future product candidates, if approved. This is due to the numerous risks and uncertainties associated with developing product candidates, many of which are outside of our control, including the uncertainty of:</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and progress of non-clinical and clinical development activities;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number and scope of non-clinical and clinical programs we decide to pursue;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maintain our current research and development programs and to establish new ones;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establishing an appropriate safety profile;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number of sites and patients involved in our clinical trials;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countries in which the clinical trials are conducted;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per patient trial costs;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successful patient enrollment in, and the initiation of, clinical trials, as well as drop out or discontinuation rates, particularly in light of the current COVID-19 pandemic environment;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successful completion of clinical trials with safety, tolerability and efficacy profiles that are satisfactory to the FDA and comparable foreign regulatory authorities;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number of trials required for regulatory approval;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receipt and terms of any regulatory approvals from applicable regulatory authorities;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establish new licensing or collaboration arrangements;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performance of our future collaborators, if any;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establishing commercial manufacturing capabilities or making arrangements with third-party manufacturers;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significant and changing government regulation and regulatory guidance;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impact of any business interruptions to our operations or to those of the third parties with whom we work, particularly in light of the current COVID-19 pandemic environment;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obtaining, maintaining, defending and enforcing patient claims or other intellectual property rights;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potential benefits of REACT over other therapies;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launching commercial sales of REACT, if approved, whether alone or in collaboration with others; and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99</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maintaining a continued acceptable safety profile of REACT following approval.</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Any changes in the outcome of any of these variables could mean a significant change in the costs and timing associated with the development of our product candidates.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product candidates.</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General and Administrative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consist primarily of personnel-related costs, including salaries, bonuses, benefits and equity-based compensation expenses for individuals involved in our executive, finance, corporate and administrative functions, as well as expenses for outside professional services, including legal, audit, accounting and tax-related services and other consulting fees, facility-related expenses, which include depreciation costs and other allocated expenses for rent and maintenance of facilities, insurance costs, recruiting costs, travel expenses and other general administrative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expect that our general and administrative expenses will increase significantly for the foreseeable future as our business expands and we hire additional personnel to support our operations. We also anticipate increased expenses associated with being a public company, including costs for legal, audit, accounting, investor and public relations, tax-related services, director and officer insurance, and regulatory costs related to compliance with the rules and regulations of the United States Securities and Exchange Commission (the “SEC”) as well as listing standards applicable to companies listed on a national securities exchange.</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Other Income (Expense)</w:t>
      </w:r>
    </w:p>
    <w:p>
      <w:pPr>
        <w:pStyle w:val="TextBody"/>
        <w:spacing w:before="120" w:after="0"/>
        <w:jc w:val="left"/>
        <w:rPr>
          <w:rFonts w:ascii="Times New Roman" w:hAnsi="Times New Roman"/>
          <w:sz w:val="20"/>
        </w:rPr>
      </w:pPr>
      <w:r>
        <w:rPr>
          <w:rFonts w:ascii="Times New Roman;serif" w:hAnsi="Times New Roman;serif"/>
          <w:b w:val="false"/>
          <w:sz w:val="20"/>
        </w:rPr>
        <w:t>Other income consists primarily of interest income earned on cash and cash equivalents held in financial institutions.</w:t>
      </w:r>
      <w:r>
        <w:rPr>
          <w:rFonts w:ascii="Times New Roman" w:hAnsi="Times New Roman"/>
          <w:sz w:val="20"/>
        </w:rPr>
        <w:t xml:space="preserve"> </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Income Tax (Expense) Benefit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Income tax expense reflects federal and state taxes on income earned by our subsidiary that is organized as a C corporation for U.S. income tax purposes.</w:t>
      </w:r>
    </w:p>
    <w:p>
      <w:pPr>
        <w:pStyle w:val="TextBody"/>
        <w:spacing w:before="360" w:after="120"/>
        <w:jc w:val="left"/>
        <w:rPr>
          <w:rFonts w:ascii="Times New Roman;serif" w:hAnsi="Times New Roman;serif"/>
          <w:b/>
          <w:sz w:val="20"/>
        </w:rPr>
      </w:pPr>
      <w:r>
        <w:rPr>
          <w:rFonts w:ascii="Times New Roman;serif" w:hAnsi="Times New Roman;serif"/>
          <w:b/>
          <w:sz w:val="20"/>
        </w:rPr>
        <w:t>Results of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this section we discuss the results of our operations for the year ended December 31, 2022 compared to the year ended December 31, 2021. For a discussion of the year ended December 31, 2021 compared to December 31, 2020, please refer to the “Management’s Discussion and Analysis of Financial Condition and Results of Operations” section of our Registration Statement on Form S-1 filed with the U.S. Securities and Exchange Commission on August 9, 2022.</w:t>
      </w:r>
    </w:p>
    <w:p>
      <w:pPr>
        <w:pStyle w:val="TextBody"/>
        <w:spacing w:before="360" w:after="0"/>
        <w:jc w:val="left"/>
        <w:rPr>
          <w:rFonts w:ascii="Times New Roman;serif" w:hAnsi="Times New Roman;serif"/>
          <w:b/>
          <w:i/>
          <w:sz w:val="20"/>
        </w:rPr>
      </w:pPr>
      <w:r>
        <w:rPr>
          <w:rFonts w:ascii="Times New Roman;serif" w:hAnsi="Times New Roman;serif"/>
          <w:b/>
          <w:i/>
          <w:sz w:val="20"/>
        </w:rPr>
        <w:t>Comparison of Years Ended December 31, 2022 and 2021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our results of operations for the years ended December 31, 2022 and 2021 (in thousands):</w:t>
      </w:r>
    </w:p>
    <w:p>
      <w:pPr>
        <w:pStyle w:val="TextBody"/>
        <w:spacing w:before="0" w:after="0"/>
        <w:jc w:val="left"/>
        <w:rPr/>
      </w:pPr>
      <w:r>
        <w:rPr/>
        <w:t> </w:t>
      </w:r>
    </w:p>
    <w:tbl>
      <w:tblPr>
        <w:tblW w:w="8718" w:type="dxa"/>
        <w:jc w:val="left"/>
        <w:tblInd w:w="0" w:type="dxa"/>
        <w:tblCellMar>
          <w:top w:w="28" w:type="dxa"/>
          <w:left w:w="28" w:type="dxa"/>
          <w:bottom w:w="28" w:type="dxa"/>
          <w:right w:w="28" w:type="dxa"/>
        </w:tblCellMar>
      </w:tblPr>
      <w:tblGrid>
        <w:gridCol w:w="4411"/>
        <w:gridCol w:w="146"/>
        <w:gridCol w:w="211"/>
        <w:gridCol w:w="841"/>
        <w:gridCol w:w="166"/>
        <w:gridCol w:w="146"/>
        <w:gridCol w:w="211"/>
        <w:gridCol w:w="736"/>
        <w:gridCol w:w="166"/>
        <w:gridCol w:w="146"/>
        <w:gridCol w:w="211"/>
        <w:gridCol w:w="736"/>
        <w:gridCol w:w="591"/>
      </w:tblGrid>
      <w:tr>
        <w:trPr/>
        <w:tc>
          <w:tcPr>
            <w:tcW w:w="44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44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Years Ended December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44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82,070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46,255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35,815</w:t>
            </w:r>
          </w:p>
        </w:tc>
        <w:tc>
          <w:tcPr>
            <w:tcW w:w="591" w:type="dxa"/>
            <w:tcBorders/>
            <w:shd w:fill="auto" w:val="clear"/>
            <w:vAlign w:val="center"/>
          </w:tcPr>
          <w:p>
            <w:pPr>
              <w:pStyle w:val="TableContents"/>
              <w:spacing w:before="0" w:after="0"/>
              <w:ind w:left="0" w:right="0" w:firstLine="200"/>
              <w:jc w:val="left"/>
              <w:rPr/>
            </w:pPr>
            <w:r>
              <w:rPr/>
              <w:t> </w:t>
            </w:r>
          </w:p>
        </w:tc>
      </w:tr>
      <w:tr>
        <w:trPr/>
        <w:tc>
          <w:tcPr>
            <w:tcW w:w="44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70,937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8,855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62,082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441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153,007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97,897</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(153,007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(97,897</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5,983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5,981</w:t>
            </w:r>
          </w:p>
        </w:tc>
        <w:tc>
          <w:tcPr>
            <w:tcW w:w="591" w:type="dxa"/>
            <w:tcBorders/>
            <w:shd w:fill="auto" w:val="clear"/>
            <w:vAlign w:val="center"/>
          </w:tcPr>
          <w:p>
            <w:pPr>
              <w:pStyle w:val="TableContents"/>
              <w:spacing w:before="0" w:after="0"/>
              <w:ind w:left="0" w:right="0" w:firstLine="200"/>
              <w:jc w:val="left"/>
              <w:rPr/>
            </w:pPr>
            <w:r>
              <w:rPr/>
              <w:t> </w:t>
            </w:r>
          </w:p>
        </w:tc>
      </w:tr>
      <w:tr>
        <w:trPr/>
        <w:tc>
          <w:tcPr>
            <w:tcW w:w="44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before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(147,239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(92,131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858</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and comprehensive loss before noncontrolling</w:t>
              <w:br/>
              <w:t>   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(148,135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(55,146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(92,989</w:t>
            </w:r>
          </w:p>
        </w:tc>
        <w:tc>
          <w:tcPr>
            <w:tcW w:w="5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Net loss and comprehensive loss attributable to </w:t>
              <w:br/>
              <w:t>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(40,103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(40,103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and comprehensive loss available to Class A</w:t>
              <w:br/>
              <w:t>   ordinary shareholders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(108,032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(55,146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(52,886</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100</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160" w:after="0"/>
        <w:jc w:val="left"/>
        <w:rPr>
          <w:rFonts w:ascii="Times New Roman;serif" w:hAnsi="Times New Roman;serif"/>
          <w:b w:val="false"/>
          <w:i/>
          <w:sz w:val="20"/>
        </w:rPr>
      </w:pPr>
      <w:r>
        <w:rPr>
          <w:rFonts w:ascii="Times New Roman;serif" w:hAnsi="Times New Roman;serif"/>
          <w:b w:val="false"/>
          <w:i/>
          <w:sz w:val="20"/>
        </w:rPr>
        <w:t>Research and development expenses</w:t>
      </w:r>
    </w:p>
    <w:p>
      <w:pPr>
        <w:pStyle w:val="TextBody"/>
        <w:spacing w:before="120" w:after="0"/>
        <w:jc w:val="left"/>
        <w:rPr>
          <w:rFonts w:ascii="Times New Roman" w:hAnsi="Times New Roman"/>
          <w:sz w:val="20"/>
        </w:rPr>
      </w:pPr>
      <w:r>
        <w:rPr>
          <w:rFonts w:ascii="Times New Roman;serif" w:hAnsi="Times New Roman;serif"/>
          <w:b w:val="false"/>
          <w:sz w:val="20"/>
        </w:rPr>
        <w:t>The increase in research and development expenses of approximately $35.8 million for the year ended December 31, 2022 compared to the year ended December 31, 2021 was primarily driven by the following: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increase in costs of $14.1 million related to equity-based payments for services rendered by a third-party in prior periods, as the cost of those payments was adjusted to the fair value of the awards issued upon their grant date in 2022;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increases in equity-based compensation costs of approximately $9.6 million due to additional awards granted to employees during 2022;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increases in depreciation of $1.0 million related to the completion of certain leasehold improvements in 2021;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increases in cash-based compensation and recruitment costs of approximately $6.5 million related to the hiring of additional employees in 2022;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increases in costs related to manufacturing improvements of approximately $3.8 million; and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increases in other research and development costs related to professional fees and quality control of approximately $2.0 million; offset by: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decreases in the cost of clinical trials of approximately $1.5 million related primarily to decreased costs for the Phase 3 trials which were incurring start-up costs in 2021.</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General and administrative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increase in general and administrative expenses of approximately $62.1 million for the year ended December 31, 2022 compared to the year ended December 31, 2021 was primarily driven by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increases in equity-based compensation of approximately $33.0 million for Class B-1 Units sold at less than their fair value to employees, board members and other service providers of the Company;</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increases in equity-based compensation expense of approximately $17.7 million which was driven by a modification to the existing awards as well as the grant of additional awards during 2022;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increases in cash-based compensation and recruitment costs of approximately $2.2 million due to the hiring of additional personnel;</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increases in professional service fees of approximately $2.0 million incurred in connection with the Business Combination;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increases of approximately $4.8 million related to increases in director and officer insurance costs as related to operating as a public company; and</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increases in legal and professional fees of approximately $2.5 million attributable, in part, to operating as a public company.</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Interest income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increase in interest income of approximately $6.0 million for the year ended December 31, 2022 as compared to the year ended December 31, 2021, was driven by interest received on cash balances raised through the Business Combination and related PIPE financing coupled with higher interest rates.</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Income tax expense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increase in income tax expense of approximately $0.9 million for the year ended December 31, 2022 as compared to the year ended December 31, 2021, was driven primarily by the impact of a provision of the Tax Cuts and Jobs Act of 2017 (the “TCJA”) which became effective for tax years beginning after December 31, 2021. This provision requires specified research and development expenses to be capitalized and amortized ratably over a five-year period. The increase in the valuation allowance related to this capitalized expense is the primary driver of the income tax expense recognized during the year ended December 31, 2022.</w:t>
      </w:r>
    </w:p>
    <w:p>
      <w:pPr>
        <w:pStyle w:val="TextBody"/>
        <w:spacing w:before="360" w:after="0"/>
        <w:jc w:val="left"/>
        <w:rPr>
          <w:rFonts w:ascii="Times New Roman;serif" w:hAnsi="Times New Roman;serif"/>
          <w:b/>
          <w:i/>
          <w:sz w:val="20"/>
        </w:rPr>
      </w:pPr>
      <w:r>
        <w:rPr>
          <w:rFonts w:ascii="Times New Roman;serif" w:hAnsi="Times New Roman;serif"/>
          <w:b/>
          <w:i/>
          <w:sz w:val="20"/>
        </w:rPr>
        <w:t>Liquidity and Capital Resources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Sources of liquidity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From our inception through December 31, 2022, we funded our operations primarily through capital contributions from the holders of PKLP prior to the Closing and the proceeds obtained through the Business Combination and related PIPE financing.</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101</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expect that the net proceeds from the Business Combination, together with our existing cash and cash equivalents at December 31, 2022, will enable us to fund our operating expenses and capital expenditure requirements through 2024. We have based this estimate on assumptions that may prove to be wrong and we could exhaust our capital resources sooner than we expect.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expect our expenses to increase substantially if, and as, we: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initiate and continue research and clinical development of our product candidates, including in particular our clinical trials for REACT;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incur third-party manufacturing costs to support our non-clinical studies and clinical trials of our product candidate and, if approved, its commercialization;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seek to identify and develop additional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make investment in developing internal manufacturing capabilities;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seek regulatory and marketing approvals for our product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we expect to incur additional costs associated with operating as a public company, including significant legal, audit, accounting, investor and public relations, regulatory, tax-related, director and officer insurance premiums and other expenses. Developing pharmaceutical products, including conducting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product candidates, if approved, may not achieve commercial success. Our commercial revenues, if any, will be derived from sales of product that we do not expect to be commercially available for at least several years, if ever.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a result, we will need substantial additional funding to support our continuing operations and pursue our growth strategy. 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 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unitholders. Debt financing and equity financing, if available, may involve agreements that include covenants limiting or restricting our ability to take specific actions, such as incurring additional debt, making capital expenditures or declaring dividends.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 parties, we may have to relinquish valuable rights to our technology, future revenue streams, research programs or product candidates or may have to grant licenses on terms that may not be favorable to us and/or may reduce the value of our shares. Our ability to raise additional funds may be adversely impacted by potential worsening global economic conditions and disruptions to and volatility in the credit and financial markets in the United States and worldwide resulting from the ongoing COVID-19 pandemic or otherwise. Because of the numerous risks and uncertainties associated with product development, we cannot predict the timing or amount of increased expenses, and there is no assurance that we will ever be profitable or generate positive cash flow from operating activities.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Cash Flows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Cash Flows for the Years Ended December 31, 2022 and 2021</w:t>
      </w:r>
    </w:p>
    <w:p>
      <w:pPr>
        <w:pStyle w:val="TextBody"/>
        <w:spacing w:before="120" w:after="0"/>
        <w:jc w:val="left"/>
        <w:rPr>
          <w:rFonts w:ascii="Times New Roman" w:hAnsi="Times New Roman"/>
          <w:sz w:val="20"/>
        </w:rPr>
      </w:pPr>
      <w:r>
        <w:rPr>
          <w:rFonts w:ascii="Times New Roman;serif" w:hAnsi="Times New Roman;serif"/>
          <w:b w:val="false"/>
          <w:sz w:val="20"/>
        </w:rPr>
        <w:t>The following table provides information regarding our cash flows for the years ended December 31, 2022 and 2021 (in thousands):</w:t>
      </w:r>
      <w:r>
        <w:rPr>
          <w:rFonts w:ascii="Times New Roman" w:hAnsi="Times New Roman"/>
          <w:sz w:val="20"/>
        </w:rPr>
        <w:t xml:space="preserve"> </w:t>
      </w:r>
    </w:p>
    <w:p>
      <w:pPr>
        <w:pStyle w:val="TextBody"/>
        <w:spacing w:before="0" w:after="0"/>
        <w:jc w:val="left"/>
        <w:rPr/>
      </w:pPr>
      <w:r>
        <w:rPr/>
        <w:t> </w:t>
      </w:r>
    </w:p>
    <w:tbl>
      <w:tblPr>
        <w:tblW w:w="6865" w:type="dxa"/>
        <w:jc w:val="left"/>
        <w:tblInd w:w="0" w:type="dxa"/>
        <w:tblCellMar>
          <w:top w:w="28" w:type="dxa"/>
          <w:left w:w="28" w:type="dxa"/>
          <w:bottom w:w="28" w:type="dxa"/>
          <w:right w:w="28" w:type="dxa"/>
        </w:tblCellMar>
      </w:tblPr>
      <w:tblGrid>
        <w:gridCol w:w="3946"/>
        <w:gridCol w:w="146"/>
        <w:gridCol w:w="223"/>
        <w:gridCol w:w="827"/>
        <w:gridCol w:w="175"/>
        <w:gridCol w:w="154"/>
        <w:gridCol w:w="223"/>
        <w:gridCol w:w="780"/>
        <w:gridCol w:w="391"/>
      </w:tblGrid>
      <w:tr>
        <w:trPr/>
        <w:tc>
          <w:tcPr>
            <w:tcW w:w="3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9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Years Ended December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center"/>
              <w:rPr/>
            </w:pPr>
            <w:r>
              <w:rPr/>
              <w:t> </w:t>
            </w:r>
          </w:p>
        </w:tc>
        <w:tc>
          <w:tcPr>
            <w:tcW w:w="100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flows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(77,089</w:t>
            </w:r>
          </w:p>
        </w:tc>
        <w:tc>
          <w:tcPr>
            <w:tcW w:w="1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shd w:fill="auto" w:val="clear"/>
            <w:vAlign w:val="center"/>
          </w:tcPr>
          <w:p>
            <w:pPr>
              <w:pStyle w:val="TableContents"/>
              <w:spacing w:before="0" w:after="0"/>
              <w:ind w:left="0" w:right="0" w:hanging="0"/>
              <w:jc w:val="right"/>
              <w:rPr/>
            </w:pPr>
            <w:r>
              <w:rPr/>
              <w:t> </w:t>
            </w:r>
          </w:p>
        </w:tc>
        <w:tc>
          <w:tcPr>
            <w:tcW w:w="2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(50,299</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flows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2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(1,738</w:t>
            </w:r>
          </w:p>
        </w:tc>
        <w:tc>
          <w:tcPr>
            <w:tcW w:w="1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shd w:fill="auto" w:val="clear"/>
            <w:vAlign w:val="center"/>
          </w:tcPr>
          <w:p>
            <w:pPr>
              <w:pStyle w:val="TableContents"/>
              <w:spacing w:before="0" w:after="0"/>
              <w:ind w:left="0" w:right="0" w:hanging="0"/>
              <w:jc w:val="righ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7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(5,191</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flows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548,521</w:t>
            </w:r>
          </w:p>
        </w:tc>
        <w:tc>
          <w:tcPr>
            <w:tcW w:w="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righ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71,470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9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change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469,694</w:t>
            </w:r>
          </w:p>
        </w:tc>
        <w:tc>
          <w:tcPr>
            <w:tcW w:w="1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right"/>
              <w:rPr/>
            </w:pPr>
            <w:r>
              <w:rPr/>
              <w:t> </w:t>
            </w:r>
          </w:p>
        </w:tc>
        <w:tc>
          <w:tcPr>
            <w:tcW w:w="2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15,980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serif" w:hAnsi="Times New Roman;serif"/>
          <w:b w:val="false"/>
          <w:i/>
          <w:sz w:val="20"/>
        </w:rPr>
      </w:pPr>
      <w:r>
        <w:rPr>
          <w:rFonts w:ascii="Times New Roman;serif" w:hAnsi="Times New Roman;serif"/>
          <w:b w:val="false"/>
          <w:i/>
          <w:sz w:val="20"/>
        </w:rPr>
        <w:t>Operating Activities</w:t>
      </w:r>
    </w:p>
    <w:p>
      <w:pPr>
        <w:pStyle w:val="TextBody"/>
        <w:spacing w:before="120" w:after="0"/>
        <w:jc w:val="left"/>
        <w:rPr>
          <w:rFonts w:ascii="Times New Roman" w:hAnsi="Times New Roman"/>
          <w:sz w:val="20"/>
        </w:rPr>
      </w:pPr>
      <w:r>
        <w:rPr>
          <w:rFonts w:ascii="Times New Roman;serif" w:hAnsi="Times New Roman;serif"/>
          <w:b w:val="false"/>
          <w:sz w:val="20"/>
        </w:rPr>
        <w:t>Net cash used in operating activities was approximately $77.1 million for the year ended December 31, 2022, reflecting a net loss of approximately $148.1 million and uses driven by changes in working capital of approximately $6.5 million. Such uses were partially offset by non-cash charges of $77.5 million. The non-cash charges primarily consisted of equity-based compensation expense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102</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of $74.5 million and depreciation and amortization expense of $3.0 million. The changes in working capital primarily relate to the timing of payments made to our vendors for services performed.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cash used in operating activities was approximately $50.3 million for the year ended December 31, 2021, reflecting a net loss of $55.1 million, partially offset by non-cash charges of $2.7 million and a net change of $2.2 million in our net working capital. The non-cash charges primarily consisted of depreciation and amortization of $2.0 million and equity-based compensation expense of $0.7 million.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approximate $26.8 million increase in cash used in operating activities for the year ended December 31, 2022 compared to the year ended December 31, 2021 was primarily driven by an increase in net loss after adjusting for the non-cash charges of approximately $18.2 million coupled with the increased use of cash related to the timing of payments to our vendors.</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Investing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cash used in investing activities were approximately $1.7 million and $5.2 million for the years ended December 31, 2022 and 2021, respectively, which was primarily due to purchases of equipment and facility expansion.</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Financing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cash provided by financing activities was $548.5 million and $71.5 million for the years ended December 31, 2022 and 2021, respectively. The primary driver of the financing activities for the year ended December 31, 2022 was the proceeds received from the Business Combination. The driver of the financing activities for the 2021 period was the sales of Class A and B-1 Units in PKLP during the period.</w:t>
      </w:r>
    </w:p>
    <w:p>
      <w:pPr>
        <w:pStyle w:val="TextBody"/>
        <w:spacing w:before="360" w:after="120"/>
        <w:jc w:val="left"/>
        <w:rPr>
          <w:rFonts w:ascii="Times New Roman;serif" w:hAnsi="Times New Roman;serif"/>
          <w:b/>
          <w:sz w:val="20"/>
        </w:rPr>
      </w:pPr>
      <w:r>
        <w:rPr>
          <w:rFonts w:ascii="Times New Roman;serif" w:hAnsi="Times New Roman;serif"/>
          <w:b/>
          <w:sz w:val="20"/>
        </w:rPr>
        <w:t>Critical Accounting Policies and Significant Judgments and Estimates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management’s discussion and analysis of financial condition and results of operations is based on our consolidated financial statements. Our consolidated financial statements are prepared in accordance with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significant accounting policies are described in Note 2 to our audited consolidated financial statements included elsewhere in this Annual Report.</w:t>
      </w:r>
    </w:p>
    <w:p>
      <w:pPr>
        <w:pStyle w:val="TextBody"/>
        <w:spacing w:before="360" w:after="120"/>
        <w:jc w:val="left"/>
        <w:rPr>
          <w:rFonts w:ascii="Times New Roman;serif" w:hAnsi="Times New Roman;serif"/>
          <w:b/>
          <w:sz w:val="20"/>
        </w:rPr>
      </w:pPr>
      <w:r>
        <w:rPr>
          <w:rFonts w:ascii="Times New Roman;serif" w:hAnsi="Times New Roman;serif"/>
          <w:b/>
          <w:sz w:val="20"/>
        </w:rPr>
        <w:t>Recent Accounting Pronouncements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description of recently issued accounting pronouncements that may potentially impact our financial position and results of operations is disclosed in Note 2 to our consolidated financial statements included in this Annual Report.</w:t>
      </w:r>
    </w:p>
    <w:p>
      <w:pPr>
        <w:pStyle w:val="TextBody"/>
        <w:spacing w:before="360" w:after="120"/>
        <w:jc w:val="left"/>
        <w:rPr>
          <w:rFonts w:ascii="Times New Roman;serif" w:hAnsi="Times New Roman;serif"/>
          <w:b/>
          <w:sz w:val="20"/>
        </w:rPr>
      </w:pPr>
      <w:r>
        <w:rPr>
          <w:rFonts w:ascii="Times New Roman;serif" w:hAnsi="Times New Roman;serif"/>
          <w:b/>
          <w:sz w:val="20"/>
        </w:rPr>
        <w:t>Off-Balance Sheet Arrangements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did not have during the periods presented, and we do not currently have, any off-balance sheet arrangements, as defined in the rules and regulations of the SEC.</w:t>
      </w:r>
    </w:p>
    <w:p>
      <w:pPr>
        <w:pStyle w:val="TextBody"/>
        <w:spacing w:before="360" w:after="120"/>
        <w:jc w:val="left"/>
        <w:rPr>
          <w:rFonts w:ascii="Times New Roman;serif" w:hAnsi="Times New Roman;serif"/>
          <w:b/>
          <w:sz w:val="20"/>
        </w:rPr>
      </w:pPr>
      <w:r>
        <w:rPr>
          <w:rFonts w:ascii="Times New Roman;serif" w:hAnsi="Times New Roman;serif"/>
          <w:b/>
          <w:sz w:val="20"/>
        </w:rPr>
        <w:t>JOBS Act Accounting Election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an emerging growth company, as defined in the Jumpstart Our Business Startups Act of 2012, as amended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our consolidated financial statements may not be comparable to the financial statements of companies that are required to comply with the effective dates for new or revised accounting standards that are applicable to public companies, which may make our ordinary shares less attractive to investors.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103</w:t>
      </w:r>
    </w:p>
    <w:p>
      <w:pPr>
        <w:pStyle w:val="HorizontalLine"/>
        <w:rPr/>
      </w:pPr>
      <w:r>
        <w:rPr/>
      </w:r>
    </w:p>
    <w:p>
      <w:pPr>
        <w:pStyle w:val="TextBody"/>
        <w:spacing w:before="0" w:after="0"/>
        <w:jc w:val="left"/>
        <w:rPr/>
      </w:pPr>
      <w:r>
        <w:rPr/>
        <w:t> </w:t>
      </w:r>
    </w:p>
    <w:p>
      <w:pPr>
        <w:pStyle w:val="TextBody"/>
        <w:spacing w:before="360" w:after="120"/>
        <w:jc w:val="left"/>
        <w:rPr>
          <w:rFonts w:ascii="Times New Roman" w:hAnsi="Times New Roman"/>
          <w:sz w:val="20"/>
        </w:rPr>
      </w:pPr>
      <w:bookmarkStart w:id="105" w:name="item7a"/>
      <w:bookmarkEnd w:id="105"/>
      <w:r>
        <w:rPr>
          <w:rFonts w:ascii="Times New Roman;serif" w:hAnsi="Times New Roman;serif"/>
          <w:b/>
          <w:sz w:val="20"/>
        </w:rPr>
        <w:t>Item 7A. Quantitative and Qualitative Disclosures About Market Risk.</w:t>
      </w:r>
      <w:r>
        <w:rPr>
          <w:rFonts w:ascii="Times New Roman" w:hAnsi="Times New Roman"/>
          <w:sz w:val="20"/>
        </w:rPr>
        <w:t xml:space="preserve"> </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We are a smaller reporting company as defined by Rule 12b-2 of the Exchange Act and are not required to provide the information otherwise required under this item.</w:t>
      </w:r>
    </w:p>
    <w:p>
      <w:pPr>
        <w:pStyle w:val="TextBody"/>
        <w:spacing w:before="360" w:after="120"/>
        <w:jc w:val="left"/>
        <w:rPr>
          <w:rFonts w:ascii="Times New Roman" w:hAnsi="Times New Roman"/>
          <w:sz w:val="20"/>
        </w:rPr>
      </w:pPr>
      <w:bookmarkStart w:id="106" w:name="item8"/>
      <w:bookmarkEnd w:id="106"/>
      <w:r>
        <w:rPr>
          <w:rFonts w:ascii="Times New Roman;serif" w:hAnsi="Times New Roman;serif"/>
          <w:b/>
          <w:sz w:val="20"/>
        </w:rPr>
        <w:t>Item 8. Financial Statements and Supplementary Data.</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information required by this Item is included in our Financial Statements and Supplementary Data listed in Item 15 of Part IV of this Annual Report.</w:t>
      </w:r>
    </w:p>
    <w:p>
      <w:pPr>
        <w:pStyle w:val="TextBody"/>
        <w:spacing w:before="360" w:after="120"/>
        <w:jc w:val="left"/>
        <w:rPr>
          <w:rFonts w:ascii="Times New Roman;serif" w:hAnsi="Times New Roman;serif"/>
          <w:b/>
          <w:sz w:val="20"/>
        </w:rPr>
      </w:pPr>
      <w:bookmarkStart w:id="107" w:name="item9"/>
      <w:bookmarkEnd w:id="107"/>
      <w:r>
        <w:rPr>
          <w:rFonts w:ascii="Times New Roman;serif" w:hAnsi="Times New Roman;serif"/>
          <w:b/>
          <w:sz w:val="20"/>
        </w:rPr>
        <w:t>Item 9. Changes in and Disagreements With Accountants on Accounting and Financial Disclosure.</w:t>
      </w:r>
    </w:p>
    <w:p>
      <w:pPr>
        <w:pStyle w:val="TextBody"/>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360" w:after="120"/>
        <w:jc w:val="left"/>
        <w:rPr>
          <w:rFonts w:ascii="Times New Roman" w:hAnsi="Times New Roman"/>
          <w:sz w:val="20"/>
        </w:rPr>
      </w:pPr>
      <w:bookmarkStart w:id="108" w:name="item9a"/>
      <w:bookmarkEnd w:id="108"/>
      <w:r>
        <w:rPr>
          <w:rFonts w:ascii="Times New Roman;serif" w:hAnsi="Times New Roman;serif"/>
          <w:b/>
          <w:sz w:val="20"/>
        </w:rPr>
        <w:t>Item 9A. Controls and Procedures.</w:t>
      </w:r>
      <w:r>
        <w:rPr>
          <w:rFonts w:ascii="Times New Roman" w:hAnsi="Times New Roman"/>
          <w:sz w:val="20"/>
        </w:rPr>
        <w:t xml:space="preserve"> </w:t>
      </w:r>
    </w:p>
    <w:p>
      <w:pPr>
        <w:pStyle w:val="TextBody"/>
        <w:spacing w:before="12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of December 31, 2022. Based upon that evaluation, our Chief Executive Officer and Chief Financial Officer concluded that, as of December 31, 2022,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with SEC disclosure obligations.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pStyle w:val="TextBody"/>
        <w:spacing w:before="120" w:after="0"/>
        <w:jc w:val="left"/>
        <w:rPr>
          <w:rFonts w:ascii="Times New Roman;serif" w:hAnsi="Times New Roman;serif"/>
          <w:b/>
          <w:sz w:val="20"/>
        </w:rPr>
      </w:pPr>
      <w:r>
        <w:rPr>
          <w:rFonts w:ascii="Times New Roman;serif" w:hAnsi="Times New Roman;serif"/>
          <w:b/>
          <w:sz w:val="20"/>
        </w:rPr>
        <w:t>Management’s Annual Report on Internal Control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reporting purposes in accordance with generally accepted accounting principles. Our internal control over financial reporting includes those written policies and procedures that: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pertain to the maintenance of records that, in reasonable detail, accurately and fairly reflect the transactions and dispositions of assets;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provide reasonable assurance that transactions are recorded as necessary to permit preparation of financial statements in accordance with generally accepted accounting principles;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provide reasonable assurance that receipts and expenditures are being made only in accordance with management and director authorization;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provide reasonable assurance regarding prevention or timely detection of unauthorized acquisition, use or disposition of assets that could have a material effect on the consolidated financial statements.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104</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Management assessed the effectiveness of our internal control over financial reporting as of December 31, 2022. Management based this assessment on criteria described in Internal Control - Integrated Framework (2013) issued by the Committee of Sponsoring Organizations of the Treadway Commission (COSO). Based on this assessment, management determined that as of December 31, 2022, we maintained effective internal control over financial reporting.</w:t>
      </w:r>
    </w:p>
    <w:p>
      <w:pPr>
        <w:pStyle w:val="TextBody"/>
        <w:spacing w:before="120" w:after="0"/>
        <w:jc w:val="left"/>
        <w:rPr>
          <w:rFonts w:ascii="Times New Roman;serif" w:hAnsi="Times New Roman;serif"/>
          <w:b/>
          <w:sz w:val="20"/>
        </w:rPr>
      </w:pPr>
      <w:r>
        <w:rPr>
          <w:rFonts w:ascii="Times New Roman;serif" w:hAnsi="Times New Roman;serif"/>
          <w:b/>
          <w:sz w:val="20"/>
        </w:rPr>
        <w:t>Changes to Internal Control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have been no changes in our internal control over financial reporting during our most recent fiscal quarter that have materially affected, or are reasonably likely to materially affect, our internal control over financial reporting.</w:t>
      </w:r>
    </w:p>
    <w:p>
      <w:pPr>
        <w:pStyle w:val="TextBody"/>
        <w:spacing w:before="120" w:after="0"/>
        <w:jc w:val="left"/>
        <w:rPr>
          <w:rFonts w:ascii="Times New Roman;serif" w:hAnsi="Times New Roman;serif"/>
          <w:b/>
          <w:sz w:val="20"/>
        </w:rPr>
      </w:pPr>
      <w:r>
        <w:rPr>
          <w:rFonts w:ascii="Times New Roman;serif" w:hAnsi="Times New Roman;serif"/>
          <w:b/>
          <w:sz w:val="20"/>
        </w:rPr>
        <w:t>Website Availability of Reports and other Corporate Governance Information</w:t>
      </w:r>
    </w:p>
    <w:p>
      <w:pPr>
        <w:pStyle w:val="TextBody"/>
        <w:spacing w:before="120" w:after="0"/>
        <w:jc w:val="left"/>
        <w:rPr>
          <w:rFonts w:ascii="Times New Roman" w:hAnsi="Times New Roman"/>
          <w:sz w:val="20"/>
        </w:rPr>
      </w:pPr>
      <w:r>
        <w:rPr>
          <w:rFonts w:ascii="Times New Roman;serif" w:hAnsi="Times New Roman;serif"/>
          <w:b w:val="false"/>
          <w:sz w:val="20"/>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website, www.prokidney.com,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Annual Report.</w:t>
      </w:r>
      <w:r>
        <w:rPr>
          <w:rFonts w:ascii="Times New Roman" w:hAnsi="Times New Roman"/>
          <w:sz w:val="20"/>
        </w:rPr>
        <w:t xml:space="preserve"> </w:t>
      </w:r>
    </w:p>
    <w:p>
      <w:pPr>
        <w:pStyle w:val="TextBody"/>
        <w:spacing w:before="360" w:after="0"/>
        <w:jc w:val="left"/>
        <w:rPr>
          <w:rFonts w:ascii="Times New Roman" w:hAnsi="Times New Roman"/>
          <w:sz w:val="20"/>
        </w:rPr>
      </w:pPr>
      <w:bookmarkStart w:id="109" w:name="item9b"/>
      <w:bookmarkEnd w:id="109"/>
      <w:r>
        <w:rPr>
          <w:rFonts w:ascii="Times New Roman;serif" w:hAnsi="Times New Roman;serif"/>
          <w:b/>
          <w:sz w:val="20"/>
        </w:rPr>
        <w:t>Item 9B. Other Information.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360" w:after="0"/>
        <w:jc w:val="left"/>
        <w:rPr>
          <w:rFonts w:ascii="Times New Roman" w:hAnsi="Times New Roman"/>
          <w:sz w:val="20"/>
        </w:rPr>
      </w:pPr>
      <w:bookmarkStart w:id="110" w:name="item_9c"/>
      <w:bookmarkEnd w:id="110"/>
      <w:r>
        <w:rPr>
          <w:rFonts w:ascii="Times New Roman;serif" w:hAnsi="Times New Roman;serif"/>
          <w:b/>
          <w:sz w:val="20"/>
        </w:rPr>
        <w:t>Item 9C. Disclosure Regarding Foreign Jurisdictions That Prevent Inspections.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105</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111" w:name="part_iii"/>
      <w:bookmarkEnd w:id="111"/>
      <w:r>
        <w:rPr>
          <w:rFonts w:ascii="Times New Roman;serif" w:hAnsi="Times New Roman;serif"/>
          <w:b/>
          <w:sz w:val="20"/>
        </w:rPr>
        <w:t>PA</w:t>
      </w:r>
      <w:bookmarkStart w:id="112" w:name="part_ii"/>
      <w:bookmarkEnd w:id="112"/>
      <w:r>
        <w:rPr>
          <w:rFonts w:ascii="Times New Roman;serif" w:hAnsi="Times New Roman;serif"/>
          <w:b/>
          <w:sz w:val="20"/>
        </w:rPr>
        <w:t>RT III</w:t>
      </w:r>
      <w:r>
        <w:rPr>
          <w:rFonts w:ascii="Times New Roman" w:hAnsi="Times New Roman"/>
          <w:sz w:val="20"/>
        </w:rPr>
        <w:t xml:space="preserve"> </w:t>
      </w:r>
    </w:p>
    <w:p>
      <w:pPr>
        <w:pStyle w:val="TextBody"/>
        <w:spacing w:before="360" w:after="0"/>
        <w:jc w:val="left"/>
        <w:rPr>
          <w:rFonts w:ascii="Times New Roman" w:hAnsi="Times New Roman"/>
          <w:sz w:val="20"/>
        </w:rPr>
      </w:pPr>
      <w:bookmarkStart w:id="113" w:name="item10"/>
      <w:bookmarkEnd w:id="113"/>
      <w:r>
        <w:rPr>
          <w:rFonts w:ascii="Times New Roman;serif" w:hAnsi="Times New Roman;serif"/>
          <w:b/>
          <w:sz w:val="20"/>
        </w:rPr>
        <w:t>Item 10. Directors, Executive Officers and Corporate Governance.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information required by this item is incorporated by reference to our Proxy Statement for the 2023 Annual Meeting of Shareholders to be filed with the SEC within 120 days of the fiscal year ended December 31, 2022. If the Proxy Statement is not filed within 120 days after the end of our fiscal year ended December 31, 2022, the information required by this item will be contained in the Form 10-K/A.</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following is a list of our directors and executive officers as of the date of this Annual Report.</w:t>
      </w:r>
    </w:p>
    <w:p>
      <w:pPr>
        <w:pStyle w:val="TextBody"/>
        <w:spacing w:before="0" w:after="0"/>
        <w:jc w:val="left"/>
        <w:rPr/>
      </w:pPr>
      <w:r>
        <w:rPr/>
        <w:t> </w:t>
      </w:r>
    </w:p>
    <w:tbl>
      <w:tblPr>
        <w:tblW w:w="8773" w:type="dxa"/>
        <w:jc w:val="left"/>
        <w:tblInd w:w="0" w:type="dxa"/>
        <w:tblCellMar>
          <w:top w:w="28" w:type="dxa"/>
          <w:left w:w="28" w:type="dxa"/>
          <w:bottom w:w="28" w:type="dxa"/>
          <w:right w:w="28" w:type="dxa"/>
        </w:tblCellMar>
      </w:tblPr>
      <w:tblGrid>
        <w:gridCol w:w="2416"/>
        <w:gridCol w:w="146"/>
        <w:gridCol w:w="6211"/>
      </w:tblGrid>
      <w:tr>
        <w:trPr/>
        <w:tc>
          <w:tcPr>
            <w:tcW w:w="24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211" w:type="dxa"/>
            <w:tcBorders/>
            <w:shd w:fill="auto" w:val="clear"/>
            <w:vAlign w:val="center"/>
          </w:tcPr>
          <w:p>
            <w:pPr>
              <w:pStyle w:val="TableContents"/>
              <w:spacing w:before="0" w:after="283"/>
              <w:rPr>
                <w:sz w:val="4"/>
                <w:szCs w:val="4"/>
              </w:rPr>
            </w:pPr>
            <w:r>
              <w:rPr>
                <w:sz w:val="4"/>
                <w:szCs w:val="4"/>
              </w:rPr>
            </w:r>
          </w:p>
        </w:tc>
      </w:tr>
      <w:tr>
        <w:trPr/>
        <w:tc>
          <w:tcPr>
            <w:tcW w:w="2416" w:type="dxa"/>
            <w:tcBorders/>
            <w:shd w:fill="auto" w:val="clear"/>
            <w:vAlign w:val="center"/>
          </w:tcPr>
          <w:p>
            <w:pPr>
              <w:pStyle w:val="TableContents"/>
              <w:pBdr>
                <w:bottom w:val="single" w:sz="8" w:space="1" w:color="000000"/>
              </w:pBdr>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6357" w:type="dxa"/>
            <w:gridSpan w:val="2"/>
            <w:tcBorders/>
            <w:shd w:fill="auto" w:val="clear"/>
            <w:vAlign w:val="center"/>
          </w:tcPr>
          <w:p>
            <w:pPr>
              <w:pStyle w:val="TableContents"/>
              <w:pBdr>
                <w:bottom w:val="single" w:sz="8" w:space="1" w:color="000000"/>
              </w:pBdr>
              <w:spacing w:before="0" w:after="0"/>
              <w:ind w:left="0" w:right="0" w:hanging="0"/>
              <w:jc w:val="left"/>
              <w:rPr>
                <w:rFonts w:ascii="Times New Roman;serif" w:hAnsi="Times New Roman;serif"/>
                <w:b/>
                <w:sz w:val="16"/>
              </w:rPr>
            </w:pPr>
            <w:r>
              <w:rPr>
                <w:rFonts w:ascii="Times New Roman;serif" w:hAnsi="Times New Roman;serif"/>
                <w:b/>
                <w:sz w:val="16"/>
              </w:rPr>
              <w:t>Position</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Executive Officers:</w:t>
            </w:r>
          </w:p>
        </w:tc>
        <w:tc>
          <w:tcPr>
            <w:tcW w:w="146" w:type="dxa"/>
            <w:tcBorders/>
            <w:shd w:fill="auto" w:val="clear"/>
            <w:vAlign w:val="center"/>
          </w:tcPr>
          <w:p>
            <w:pPr>
              <w:pStyle w:val="TableContents"/>
              <w:spacing w:before="0" w:after="0"/>
              <w:ind w:left="0" w:right="0" w:hanging="0"/>
              <w:jc w:val="left"/>
              <w:rPr/>
            </w:pPr>
            <w:r>
              <w:rPr/>
              <w:t> </w:t>
            </w:r>
          </w:p>
        </w:tc>
        <w:tc>
          <w:tcPr>
            <w:tcW w:w="6211" w:type="dxa"/>
            <w:tcBorders/>
            <w:shd w:fill="auto" w:val="clear"/>
            <w:vAlign w:val="center"/>
          </w:tcPr>
          <w:p>
            <w:pPr>
              <w:pStyle w:val="TableContents"/>
              <w:spacing w:before="0" w:after="0"/>
              <w:ind w:left="0" w:right="0" w:hanging="0"/>
              <w:jc w:val="left"/>
              <w:rPr/>
            </w:pPr>
            <w:r>
              <w:rPr/>
              <w:t> </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 Bertram, Ph.D.</w:t>
            </w:r>
          </w:p>
        </w:tc>
        <w:tc>
          <w:tcPr>
            <w:tcW w:w="146" w:type="dxa"/>
            <w:tcBorders/>
            <w:shd w:fill="auto" w:val="clear"/>
            <w:vAlign w:val="center"/>
          </w:tcPr>
          <w:p>
            <w:pPr>
              <w:pStyle w:val="TableContents"/>
              <w:spacing w:before="0" w:after="0"/>
              <w:ind w:left="0" w:right="0" w:hanging="0"/>
              <w:jc w:val="left"/>
              <w:rPr/>
            </w:pPr>
            <w:r>
              <w:rPr/>
              <w:t> </w:t>
            </w:r>
          </w:p>
        </w:tc>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 and Director</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James Coulston, CPA</w:t>
            </w:r>
          </w:p>
        </w:tc>
        <w:tc>
          <w:tcPr>
            <w:tcW w:w="146" w:type="dxa"/>
            <w:tcBorders/>
            <w:shd w:fill="auto" w:val="clear"/>
            <w:vAlign w:val="center"/>
          </w:tcPr>
          <w:p>
            <w:pPr>
              <w:pStyle w:val="TableContents"/>
              <w:spacing w:before="0" w:after="0"/>
              <w:ind w:left="0" w:right="0" w:hanging="0"/>
              <w:jc w:val="left"/>
              <w:rPr/>
            </w:pPr>
            <w:r>
              <w:rPr/>
              <w:t> </w:t>
            </w:r>
          </w:p>
        </w:tc>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Deepak Jain, Ph.D.</w:t>
            </w:r>
          </w:p>
        </w:tc>
        <w:tc>
          <w:tcPr>
            <w:tcW w:w="146" w:type="dxa"/>
            <w:tcBorders/>
            <w:shd w:fill="auto" w:val="clear"/>
            <w:vAlign w:val="center"/>
          </w:tcPr>
          <w:p>
            <w:pPr>
              <w:pStyle w:val="TableContents"/>
              <w:spacing w:before="0" w:after="0"/>
              <w:ind w:left="0" w:right="0" w:hanging="0"/>
              <w:jc w:val="left"/>
              <w:rPr/>
            </w:pPr>
            <w:r>
              <w:rPr/>
              <w:t> </w:t>
            </w:r>
          </w:p>
        </w:tc>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Operating Officer</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Darin J. Weber, Ph.D.</w:t>
            </w:r>
          </w:p>
        </w:tc>
        <w:tc>
          <w:tcPr>
            <w:tcW w:w="146" w:type="dxa"/>
            <w:tcBorders/>
            <w:shd w:fill="auto" w:val="clear"/>
            <w:vAlign w:val="center"/>
          </w:tcPr>
          <w:p>
            <w:pPr>
              <w:pStyle w:val="TableContents"/>
              <w:spacing w:before="0" w:after="0"/>
              <w:ind w:left="0" w:right="0" w:hanging="0"/>
              <w:jc w:val="left"/>
              <w:rPr/>
            </w:pPr>
            <w:r>
              <w:rPr/>
              <w:t> </w:t>
            </w:r>
          </w:p>
        </w:tc>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Regulatory Officer, SVP, Global Regulatory, Quality Management &amp;</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Todd C. Girolamo</w:t>
            </w:r>
          </w:p>
        </w:tc>
        <w:tc>
          <w:tcPr>
            <w:tcW w:w="146" w:type="dxa"/>
            <w:tcBorders/>
            <w:shd w:fill="auto" w:val="clear"/>
            <w:vAlign w:val="center"/>
          </w:tcPr>
          <w:p>
            <w:pPr>
              <w:pStyle w:val="TableContents"/>
              <w:spacing w:before="0" w:after="0"/>
              <w:ind w:left="0" w:right="0" w:hanging="0"/>
              <w:jc w:val="left"/>
              <w:rPr/>
            </w:pPr>
            <w:r>
              <w:rPr/>
              <w:t> </w:t>
            </w:r>
          </w:p>
        </w:tc>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Legal Officer</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Mary Weger</w:t>
            </w:r>
          </w:p>
        </w:tc>
        <w:tc>
          <w:tcPr>
            <w:tcW w:w="146" w:type="dxa"/>
            <w:tcBorders/>
            <w:shd w:fill="auto" w:val="clear"/>
            <w:vAlign w:val="center"/>
          </w:tcPr>
          <w:p>
            <w:pPr>
              <w:pStyle w:val="TableContents"/>
              <w:spacing w:before="0" w:after="0"/>
              <w:ind w:left="0" w:right="0" w:hanging="0"/>
              <w:jc w:val="left"/>
              <w:rPr/>
            </w:pPr>
            <w:r>
              <w:rPr/>
              <w:t> </w:t>
            </w:r>
          </w:p>
        </w:tc>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People Officer</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Joseph Stavas</w:t>
            </w:r>
          </w:p>
        </w:tc>
        <w:tc>
          <w:tcPr>
            <w:tcW w:w="146" w:type="dxa"/>
            <w:tcBorders/>
            <w:shd w:fill="auto" w:val="clear"/>
            <w:vAlign w:val="center"/>
          </w:tcPr>
          <w:p>
            <w:pPr>
              <w:pStyle w:val="TableContents"/>
              <w:spacing w:before="0" w:after="0"/>
              <w:ind w:left="0" w:right="0" w:hanging="0"/>
              <w:jc w:val="left"/>
              <w:rPr/>
            </w:pPr>
            <w:r>
              <w:rPr/>
              <w:t> </w:t>
            </w:r>
          </w:p>
        </w:tc>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SVP, Global Head of Clinical Development and Interventional Procedures</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Ashley Johns</w:t>
            </w:r>
          </w:p>
        </w:tc>
        <w:tc>
          <w:tcPr>
            <w:tcW w:w="146" w:type="dxa"/>
            <w:tcBorders/>
            <w:shd w:fill="auto" w:val="clear"/>
            <w:vAlign w:val="center"/>
          </w:tcPr>
          <w:p>
            <w:pPr>
              <w:pStyle w:val="TableContents"/>
              <w:spacing w:before="0" w:after="0"/>
              <w:ind w:left="0" w:right="0" w:hanging="0"/>
              <w:jc w:val="left"/>
              <w:rPr/>
            </w:pPr>
            <w:r>
              <w:rPr/>
              <w:t> </w:t>
            </w:r>
          </w:p>
        </w:tc>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SVP, Head of Global Clinical Operations</w:t>
            </w:r>
          </w:p>
        </w:tc>
      </w:tr>
      <w:tr>
        <w:trPr/>
        <w:tc>
          <w:tcPr>
            <w:tcW w:w="8773" w:type="dxa"/>
            <w:gridSpan w:val="3"/>
            <w:tcBorders/>
            <w:shd w:fill="auto" w:val="clear"/>
            <w:vAlign w:val="center"/>
          </w:tcPr>
          <w:p>
            <w:pPr>
              <w:pStyle w:val="TableContents"/>
              <w:spacing w:before="0" w:after="0"/>
              <w:ind w:left="0" w:right="0" w:hanging="0"/>
              <w:jc w:val="left"/>
              <w:rPr/>
            </w:pPr>
            <w:r>
              <w:rPr/>
              <w:t> </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Non-Employee Directors:</w:t>
            </w:r>
          </w:p>
        </w:tc>
        <w:tc>
          <w:tcPr>
            <w:tcW w:w="146" w:type="dxa"/>
            <w:tcBorders/>
            <w:shd w:fill="auto" w:val="clear"/>
            <w:vAlign w:val="center"/>
          </w:tcPr>
          <w:p>
            <w:pPr>
              <w:pStyle w:val="TableContents"/>
              <w:spacing w:before="0" w:after="0"/>
              <w:ind w:left="0" w:right="0" w:hanging="0"/>
              <w:jc w:val="left"/>
              <w:rPr/>
            </w:pPr>
            <w:r>
              <w:rPr/>
              <w:t> </w:t>
            </w:r>
          </w:p>
        </w:tc>
        <w:tc>
          <w:tcPr>
            <w:tcW w:w="6211" w:type="dxa"/>
            <w:tcBorders/>
            <w:shd w:fill="auto" w:val="clear"/>
            <w:vAlign w:val="center"/>
          </w:tcPr>
          <w:p>
            <w:pPr>
              <w:pStyle w:val="TableContents"/>
              <w:spacing w:before="0" w:after="0"/>
              <w:ind w:left="0" w:right="0" w:hanging="0"/>
              <w:jc w:val="left"/>
              <w:rPr/>
            </w:pPr>
            <w:r>
              <w:rPr/>
              <w:t> </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Pablo Legorreta</w:t>
            </w:r>
          </w:p>
        </w:tc>
        <w:tc>
          <w:tcPr>
            <w:tcW w:w="146" w:type="dxa"/>
            <w:tcBorders/>
            <w:shd w:fill="auto" w:val="clear"/>
            <w:vAlign w:val="center"/>
          </w:tcPr>
          <w:p>
            <w:pPr>
              <w:pStyle w:val="TableContents"/>
              <w:spacing w:before="0" w:after="0"/>
              <w:ind w:left="0" w:right="0" w:hanging="0"/>
              <w:jc w:val="left"/>
              <w:rPr/>
            </w:pPr>
            <w:r>
              <w:rPr/>
              <w:t> </w:t>
            </w:r>
          </w:p>
        </w:tc>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Chairman of the Board, Director</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William F. Doyle</w:t>
            </w:r>
          </w:p>
        </w:tc>
        <w:tc>
          <w:tcPr>
            <w:tcW w:w="146" w:type="dxa"/>
            <w:tcBorders/>
            <w:shd w:fill="auto" w:val="clear"/>
            <w:vAlign w:val="center"/>
          </w:tcPr>
          <w:p>
            <w:pPr>
              <w:pStyle w:val="TableContents"/>
              <w:spacing w:before="0" w:after="0"/>
              <w:ind w:left="0" w:right="0" w:hanging="0"/>
              <w:jc w:val="left"/>
              <w:rPr/>
            </w:pPr>
            <w:r>
              <w:rPr/>
              <w:t> </w:t>
            </w:r>
          </w:p>
        </w:tc>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Alan M. Lotvin, M.D.</w:t>
            </w:r>
          </w:p>
        </w:tc>
        <w:tc>
          <w:tcPr>
            <w:tcW w:w="146" w:type="dxa"/>
            <w:tcBorders/>
            <w:shd w:fill="auto" w:val="clear"/>
            <w:vAlign w:val="center"/>
          </w:tcPr>
          <w:p>
            <w:pPr>
              <w:pStyle w:val="TableContents"/>
              <w:spacing w:before="0" w:after="0"/>
              <w:ind w:left="0" w:right="0" w:hanging="0"/>
              <w:jc w:val="left"/>
              <w:rPr/>
            </w:pPr>
            <w:r>
              <w:rPr/>
              <w:t> </w:t>
            </w:r>
          </w:p>
        </w:tc>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Brian J.G. Pereira, M.D.</w:t>
            </w:r>
          </w:p>
        </w:tc>
        <w:tc>
          <w:tcPr>
            <w:tcW w:w="146" w:type="dxa"/>
            <w:tcBorders/>
            <w:shd w:fill="auto" w:val="clear"/>
            <w:vAlign w:val="center"/>
          </w:tcPr>
          <w:p>
            <w:pPr>
              <w:pStyle w:val="TableContents"/>
              <w:spacing w:before="0" w:after="0"/>
              <w:ind w:left="0" w:right="0" w:hanging="0"/>
              <w:jc w:val="left"/>
              <w:rPr/>
            </w:pPr>
            <w:r>
              <w:rPr/>
              <w:t> </w:t>
            </w:r>
          </w:p>
        </w:tc>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Uma Sinha, Ph.D.</w:t>
            </w:r>
          </w:p>
        </w:tc>
        <w:tc>
          <w:tcPr>
            <w:tcW w:w="146" w:type="dxa"/>
            <w:tcBorders/>
            <w:shd w:fill="auto" w:val="clear"/>
            <w:vAlign w:val="center"/>
          </w:tcPr>
          <w:p>
            <w:pPr>
              <w:pStyle w:val="TableContents"/>
              <w:spacing w:before="0" w:after="0"/>
              <w:ind w:left="0" w:right="0" w:hanging="0"/>
              <w:jc w:val="left"/>
              <w:rPr/>
            </w:pPr>
            <w:r>
              <w:rPr/>
              <w:t> </w:t>
            </w:r>
          </w:p>
        </w:tc>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M. Maraganore, Ph.D.</w:t>
            </w:r>
          </w:p>
        </w:tc>
        <w:tc>
          <w:tcPr>
            <w:tcW w:w="146" w:type="dxa"/>
            <w:tcBorders/>
            <w:shd w:fill="auto" w:val="clear"/>
            <w:vAlign w:val="center"/>
          </w:tcPr>
          <w:p>
            <w:pPr>
              <w:pStyle w:val="TableContents"/>
              <w:spacing w:before="0" w:after="0"/>
              <w:ind w:left="0" w:right="0" w:hanging="0"/>
              <w:jc w:val="left"/>
              <w:rPr/>
            </w:pPr>
            <w:r>
              <w:rPr/>
              <w:t> </w:t>
            </w:r>
          </w:p>
        </w:tc>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José Ignacio Jimenez Santos</w:t>
            </w:r>
          </w:p>
        </w:tc>
        <w:tc>
          <w:tcPr>
            <w:tcW w:w="146" w:type="dxa"/>
            <w:tcBorders/>
            <w:shd w:fill="auto" w:val="clear"/>
            <w:vAlign w:val="center"/>
          </w:tcPr>
          <w:p>
            <w:pPr>
              <w:pStyle w:val="TableContents"/>
              <w:spacing w:before="0" w:after="0"/>
              <w:ind w:left="0" w:right="0" w:hanging="0"/>
              <w:jc w:val="left"/>
              <w:rPr/>
            </w:pPr>
            <w:r>
              <w:rPr/>
              <w:t> </w:t>
            </w:r>
          </w:p>
        </w:tc>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r>
        <w:trPr/>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Jennifer Fox</w:t>
            </w:r>
          </w:p>
        </w:tc>
        <w:tc>
          <w:tcPr>
            <w:tcW w:w="146" w:type="dxa"/>
            <w:tcBorders/>
            <w:shd w:fill="auto" w:val="clear"/>
            <w:vAlign w:val="center"/>
          </w:tcPr>
          <w:p>
            <w:pPr>
              <w:pStyle w:val="TableContents"/>
              <w:spacing w:before="0" w:after="0"/>
              <w:ind w:left="0" w:right="0" w:hanging="0"/>
              <w:jc w:val="left"/>
              <w:rPr/>
            </w:pPr>
            <w:r>
              <w:rPr/>
              <w:t> </w:t>
            </w:r>
          </w:p>
        </w:tc>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w:t>
            </w:r>
          </w:p>
        </w:tc>
      </w:tr>
    </w:tbl>
    <w:p>
      <w:pPr>
        <w:pStyle w:val="TextBody"/>
        <w:spacing w:before="360" w:after="0"/>
        <w:jc w:val="left"/>
        <w:rPr>
          <w:rFonts w:ascii="Times New Roman" w:hAnsi="Times New Roman"/>
          <w:sz w:val="20"/>
        </w:rPr>
      </w:pPr>
      <w:bookmarkStart w:id="114" w:name="item11"/>
      <w:bookmarkEnd w:id="114"/>
      <w:r>
        <w:rPr>
          <w:rFonts w:ascii="Times New Roman;serif" w:hAnsi="Times New Roman;serif"/>
          <w:b/>
          <w:sz w:val="20"/>
        </w:rPr>
        <w:t>Item 11. Executive Compensation.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information required by this item is incorporated by reference to our Proxy Statement for the 2023 Annual Meeting of Shareholders to be filed with the SEC within 120 days of the fiscal year ended December 31, 2022. If the Proxy Statement is not filed within 120 days after the end of our fiscal year ended December 31, 2022, the information required by this item will be contained in the Form 10-K/A.</w:t>
      </w:r>
    </w:p>
    <w:p>
      <w:pPr>
        <w:pStyle w:val="TextBody"/>
        <w:spacing w:before="360" w:after="0"/>
        <w:jc w:val="left"/>
        <w:rPr>
          <w:rFonts w:ascii="Times New Roman" w:hAnsi="Times New Roman"/>
          <w:sz w:val="20"/>
        </w:rPr>
      </w:pPr>
      <w:bookmarkStart w:id="115" w:name="item12"/>
      <w:bookmarkEnd w:id="115"/>
      <w:r>
        <w:rPr>
          <w:rFonts w:ascii="Times New Roman;serif" w:hAnsi="Times New Roman;serif"/>
          <w:b/>
          <w:sz w:val="20"/>
        </w:rPr>
        <w:t>Item 12. Security Ownership of Certain Beneficial Owners and Management and Related Stockholder Matters.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information required by this item is incorporated by reference to our Proxy Statement for the 2023 Annual Meeting of Shareholders to be filed with the SEC within 120 days of the fiscal year ended December 31, 2022. If the Proxy Statement is not filed within 120 days after the end of our fiscal year ended December 31, 2022, the information required by this item will be contained in the Form 10-K/A.</w:t>
      </w:r>
    </w:p>
    <w:p>
      <w:pPr>
        <w:pStyle w:val="TextBody"/>
        <w:spacing w:before="360" w:after="0"/>
        <w:jc w:val="left"/>
        <w:rPr>
          <w:rFonts w:ascii="Times New Roman" w:hAnsi="Times New Roman"/>
          <w:sz w:val="20"/>
        </w:rPr>
      </w:pPr>
      <w:bookmarkStart w:id="116" w:name="item13"/>
      <w:bookmarkEnd w:id="116"/>
      <w:r>
        <w:rPr>
          <w:rFonts w:ascii="Times New Roman;serif" w:hAnsi="Times New Roman;serif"/>
          <w:b/>
          <w:sz w:val="20"/>
        </w:rPr>
        <w:t>Item 13. Certain Relationships and Related Transactions, and Director Independence.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information required by this item is incorporated by reference to our Proxy Statement for the 2023 Annual Meeting of Shareholders to be filed with the SEC within 120 days of the fiscal year ended December 31, 2022. If the Proxy Statement is not filed within 120 days after the end of our fiscal year ended December 31, 2022, the information required by this item will be contained in the Form 10-K/A.</w:t>
      </w:r>
    </w:p>
    <w:p>
      <w:pPr>
        <w:pStyle w:val="TextBody"/>
        <w:spacing w:before="360" w:after="0"/>
        <w:jc w:val="left"/>
        <w:rPr>
          <w:rFonts w:ascii="Times New Roman" w:hAnsi="Times New Roman"/>
          <w:sz w:val="20"/>
        </w:rPr>
      </w:pPr>
      <w:bookmarkStart w:id="117" w:name="item14"/>
      <w:bookmarkEnd w:id="117"/>
      <w:r>
        <w:rPr>
          <w:rFonts w:ascii="Times New Roman;serif" w:hAnsi="Times New Roman;serif"/>
          <w:b/>
          <w:sz w:val="20"/>
        </w:rPr>
        <w:t>Item 14. Principal Accounting Fees and Services.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information required by this item is incorporated by reference to our Proxy Statement for the 2023 Annual Meeting of Shareholders to be filed with the SEC within 120 days of the fiscal year ended December 31, 2022. If the Proxy Statement is not filed within 120 days after the end of our fiscal year ended December 31, 2022, the information required by this item will be contained in the Form 10-K/A.</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106</w:t>
      </w:r>
    </w:p>
    <w:p>
      <w:pPr>
        <w:pStyle w:val="HorizontalLine"/>
        <w:rPr/>
      </w:pPr>
      <w:r>
        <w:rPr/>
      </w:r>
    </w:p>
    <w:p>
      <w:pPr>
        <w:pStyle w:val="TextBody"/>
        <w:spacing w:before="0" w:after="0"/>
        <w:jc w:val="left"/>
        <w:rPr/>
      </w:pPr>
      <w:r>
        <w:rPr/>
        <w:t> </w:t>
      </w:r>
    </w:p>
    <w:p>
      <w:pPr>
        <w:pStyle w:val="TextBody"/>
        <w:spacing w:before="0" w:after="0"/>
        <w:jc w:val="left"/>
        <w:rPr/>
      </w:pPr>
      <w:bookmarkStart w:id="118" w:name="part_iv"/>
      <w:bookmarkEnd w:id="118"/>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107</w:t>
      </w:r>
    </w:p>
    <w:p>
      <w:pPr>
        <w:pStyle w:val="HorizontalLine"/>
        <w:rPr/>
      </w:pPr>
      <w:r>
        <w:rPr/>
      </w:r>
    </w:p>
    <w:p>
      <w:pPr>
        <w:pStyle w:val="TextBody"/>
        <w:spacing w:before="0" w:after="0"/>
        <w:jc w:val="left"/>
        <w:rPr/>
      </w:pPr>
      <w:r>
        <w:rPr/>
        <w:t> </w:t>
      </w:r>
    </w:p>
    <w:p>
      <w:pPr>
        <w:pStyle w:val="TextBody"/>
        <w:spacing w:before="120" w:after="0"/>
        <w:jc w:val="center"/>
        <w:rPr>
          <w:rFonts w:ascii="Times New Roman" w:hAnsi="Times New Roman"/>
          <w:sz w:val="20"/>
        </w:rPr>
      </w:pPr>
      <w:r>
        <w:rPr>
          <w:rFonts w:ascii="Times New Roman;serif" w:hAnsi="Times New Roman;serif"/>
          <w:b/>
          <w:sz w:val="20"/>
        </w:rPr>
        <w:t>PART IV</w:t>
      </w:r>
      <w:r>
        <w:rPr>
          <w:rFonts w:ascii="Times New Roman" w:hAnsi="Times New Roman"/>
          <w:sz w:val="20"/>
        </w:rPr>
        <w:t xml:space="preserve"> </w:t>
      </w:r>
    </w:p>
    <w:p>
      <w:pPr>
        <w:pStyle w:val="TextBody"/>
        <w:spacing w:before="360" w:after="0"/>
        <w:jc w:val="left"/>
        <w:rPr>
          <w:rFonts w:ascii="Times New Roman" w:hAnsi="Times New Roman"/>
          <w:sz w:val="20"/>
        </w:rPr>
      </w:pPr>
      <w:bookmarkStart w:id="119" w:name="item15"/>
      <w:bookmarkEnd w:id="119"/>
      <w:r>
        <w:rPr>
          <w:rFonts w:ascii="Times New Roman;serif" w:hAnsi="Times New Roman;serif"/>
          <w:b/>
          <w:sz w:val="20"/>
        </w:rPr>
        <w:t>Item 15. Exhibits and Financial Statement Schedules.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(a)(1) Financial Statements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documents are included on pages F-1 through F-22 attached hereto and are filed as part of this Annual Report on Form 10-K:</w:t>
      </w:r>
    </w:p>
    <w:tbl>
      <w:tblPr>
        <w:tblW w:w="10205" w:type="dxa"/>
        <w:jc w:val="left"/>
        <w:tblInd w:w="0" w:type="dxa"/>
        <w:tblCellMar>
          <w:top w:w="28" w:type="dxa"/>
          <w:left w:w="28" w:type="dxa"/>
          <w:bottom w:w="28" w:type="dxa"/>
          <w:right w:w="28" w:type="dxa"/>
        </w:tblCellMar>
      </w:tblPr>
      <w:tblGrid>
        <w:gridCol w:w="9821"/>
        <w:gridCol w:w="384"/>
      </w:tblGrid>
      <w:tr>
        <w:trPr/>
        <w:tc>
          <w:tcPr>
            <w:tcW w:w="9821"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r>
      <w:tr>
        <w:trPr/>
        <w:tc>
          <w:tcPr>
            <w:tcW w:w="98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auditor_report">
              <w:r>
                <w:rPr>
                  <w:rStyle w:val="InternetLink"/>
                  <w:rFonts w:ascii="Times New Roman;serif" w:hAnsi="Times New Roman;serif"/>
                  <w:b w:val="false"/>
                  <w:sz w:val="20"/>
                  <w:u w:val="single"/>
                </w:rPr>
                <w:t>Report of Independent Registered Public Accounting Firm</w:t>
              </w:r>
            </w:hyperlink>
          </w:p>
        </w:tc>
        <w:tc>
          <w:tcPr>
            <w:tcW w:w="38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F-2</w:t>
            </w:r>
          </w:p>
        </w:tc>
      </w:tr>
      <w:tr>
        <w:trPr/>
        <w:tc>
          <w:tcPr>
            <w:tcW w:w="98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8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8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balance_sheets">
              <w:r>
                <w:rPr>
                  <w:rStyle w:val="InternetLink"/>
                  <w:rFonts w:ascii="Times New Roman;serif" w:hAnsi="Times New Roman;serif"/>
                  <w:b w:val="false"/>
                  <w:sz w:val="20"/>
                  <w:u w:val="single"/>
                </w:rPr>
                <w:t>Consolidated Balance Sheets as of December 31, 2022 and 2021</w:t>
              </w:r>
            </w:hyperlink>
          </w:p>
        </w:tc>
        <w:tc>
          <w:tcPr>
            <w:tcW w:w="38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F-3</w:t>
            </w:r>
          </w:p>
        </w:tc>
      </w:tr>
      <w:tr>
        <w:trPr/>
        <w:tc>
          <w:tcPr>
            <w:tcW w:w="98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8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8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solidated_statements_of_operations">
              <w:r>
                <w:rPr>
                  <w:rStyle w:val="InternetLink"/>
                  <w:rFonts w:ascii="Times New Roman;serif" w:hAnsi="Times New Roman;serif"/>
                  <w:b w:val="false"/>
                  <w:sz w:val="20"/>
                  <w:u w:val="single"/>
                </w:rPr>
                <w:t>Consolidated Statements of Operations and Comprehensive Loss for the years ended December 31, 2022, 2021, and 2020</w:t>
              </w:r>
            </w:hyperlink>
          </w:p>
        </w:tc>
        <w:tc>
          <w:tcPr>
            <w:tcW w:w="38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F-4</w:t>
            </w:r>
          </w:p>
        </w:tc>
      </w:tr>
      <w:tr>
        <w:trPr/>
        <w:tc>
          <w:tcPr>
            <w:tcW w:w="98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8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8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tockholders_deficit">
              <w:r>
                <w:rPr>
                  <w:rStyle w:val="InternetLink"/>
                  <w:rFonts w:ascii="Times New Roman;serif" w:hAnsi="Times New Roman;serif"/>
                  <w:b w:val="false"/>
                  <w:sz w:val="20"/>
                  <w:u w:val="single"/>
                </w:rPr>
                <w:t>Consolidated Statements of Changes in Redeemable Noncontrolling Interest and Shareholders’ Deficit / Members’ Equity for the years ended December 31, 2022, 2021, and 2020</w:t>
              </w:r>
            </w:hyperlink>
          </w:p>
        </w:tc>
        <w:tc>
          <w:tcPr>
            <w:tcW w:w="38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F-5</w:t>
            </w:r>
          </w:p>
        </w:tc>
      </w:tr>
      <w:tr>
        <w:trPr/>
        <w:tc>
          <w:tcPr>
            <w:tcW w:w="98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8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8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ash_flows">
              <w:r>
                <w:rPr>
                  <w:rStyle w:val="InternetLink"/>
                  <w:rFonts w:ascii="Times New Roman;serif" w:hAnsi="Times New Roman;serif"/>
                  <w:b w:val="false"/>
                  <w:sz w:val="20"/>
                  <w:u w:val="single"/>
                </w:rPr>
                <w:t>Consolidated Statements of Cash Flows for the Years ended December 31, 2022, 2021, and 2020</w:t>
              </w:r>
            </w:hyperlink>
          </w:p>
        </w:tc>
        <w:tc>
          <w:tcPr>
            <w:tcW w:w="38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F-6</w:t>
            </w:r>
          </w:p>
        </w:tc>
      </w:tr>
      <w:tr>
        <w:trPr/>
        <w:tc>
          <w:tcPr>
            <w:tcW w:w="98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8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8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es_to_unaudited_condensed">
              <w:r>
                <w:rPr>
                  <w:rStyle w:val="InternetLink"/>
                  <w:rFonts w:ascii="Times New Roman;serif" w:hAnsi="Times New Roman;serif"/>
                  <w:b w:val="false"/>
                  <w:sz w:val="20"/>
                  <w:u w:val="single"/>
                </w:rPr>
                <w:t>Notes to Consolidated Financial Statements</w:t>
              </w:r>
            </w:hyperlink>
          </w:p>
        </w:tc>
        <w:tc>
          <w:tcPr>
            <w:tcW w:w="38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F-7</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(a)(2) Financial Statement Schedules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(a)(3) List of Exhibits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811"/>
        <w:gridCol w:w="146"/>
        <w:gridCol w:w="9248"/>
      </w:tblGrid>
      <w:tr>
        <w:trPr/>
        <w:tc>
          <w:tcPr>
            <w:tcW w:w="8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248" w:type="dxa"/>
            <w:tcBorders/>
            <w:shd w:fill="auto" w:val="clear"/>
            <w:vAlign w:val="center"/>
          </w:tcPr>
          <w:p>
            <w:pPr>
              <w:pStyle w:val="TableContents"/>
              <w:spacing w:before="0" w:after="283"/>
              <w:rPr>
                <w:sz w:val="4"/>
                <w:szCs w:val="4"/>
              </w:rPr>
            </w:pPr>
            <w:r>
              <w:rPr>
                <w:sz w:val="4"/>
                <w:szCs w:val="4"/>
              </w:rPr>
            </w:r>
          </w:p>
        </w:tc>
      </w:tr>
      <w:tr>
        <w:trPr/>
        <w:tc>
          <w:tcPr>
            <w:tcW w:w="8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Exhibit</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Description</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6">
              <w:r>
                <w:rPr>
                  <w:rStyle w:val="InternetLink"/>
                  <w:rFonts w:ascii="Times New Roman;serif" w:hAnsi="Times New Roman;serif"/>
                  <w:b w:val="false"/>
                  <w:sz w:val="20"/>
                  <w:u w:val="single"/>
                </w:rPr>
                <w:t>Business Combination Agreement, dated as of January 18, 2022, by and between ProKidney Corp. (formerly known as Social Capital Suvretta Holdings Corp. III) and ProKidney LP. (incorporated by reference from Exhibit 2.1 to Form 8-K filed with the SEC on January 21, 2022) (File No. 001-40560).</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fldChar w:fldCharType="begin"/>
            </w:r>
            <w:r>
              <w:rPr>
                <w:rStyle w:val="InternetLink"/>
                <w:sz w:val="20"/>
                <w:u w:val="single"/>
                <w:b w:val="false"/>
                <w:rFonts w:ascii="Times New Roman;serif" w:hAnsi="Times New Roman;serif"/>
              </w:rPr>
              <w:instrText> HYPERLINK "https://www.sec.gov/Archives/edgar/data/1850270/000119312522172036/d546367ddefm14a.htm" \l "toc546367_44"</w:instrText>
            </w:r>
            <w:r>
              <w:rPr>
                <w:rStyle w:val="InternetLink"/>
                <w:sz w:val="20"/>
                <w:u w:val="single"/>
                <w:b w:val="false"/>
                <w:rFonts w:ascii="Times New Roman;serif" w:hAnsi="Times New Roman;serif"/>
              </w:rPr>
              <w:fldChar w:fldCharType="separate"/>
            </w:r>
            <w:r>
              <w:rPr>
                <w:rStyle w:val="InternetLink"/>
                <w:rFonts w:ascii="Times New Roman;serif" w:hAnsi="Times New Roman;serif"/>
                <w:b w:val="false"/>
                <w:sz w:val="20"/>
                <w:u w:val="single"/>
              </w:rPr>
              <w:t>New GP Joinder, dated as of June 7, 2022 (incorporated by reference from Exhibit 2.2 to Form 8-K filed with the SEC on July 15, 2022) (File No. 001-40560).</w:t>
            </w:r>
            <w:r>
              <w:rPr>
                <w:rStyle w:val="InternetLink"/>
                <w:sz w:val="20"/>
                <w:u w:val="single"/>
                <w:b w:val="false"/>
                <w:rFonts w:ascii="Times New Roman;serif" w:hAnsi="Times New Roman;serif"/>
              </w:rPr>
              <w:fldChar w:fldCharType="end"/>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7">
              <w:r>
                <w:rPr>
                  <w:rStyle w:val="InternetLink"/>
                  <w:rFonts w:ascii="Times New Roman;serif" w:hAnsi="Times New Roman;serif"/>
                  <w:b w:val="false"/>
                  <w:sz w:val="20"/>
                  <w:u w:val="single"/>
                </w:rPr>
                <w:t>Second Amended &amp; Restated Memorandum and Articles of Association of ProKidney Corp. (incorporated by reference from Exhibit 3.1 to Form 8-K filed with the SEC on July 15, 2022) (File No. 001-40560).</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k-ex4_1.htm">
              <w:r>
                <w:rPr>
                  <w:rStyle w:val="InternetLink"/>
                  <w:rFonts w:ascii="Times New Roman;serif" w:hAnsi="Times New Roman;serif"/>
                  <w:b w:val="false"/>
                  <w:sz w:val="20"/>
                  <w:u w:val="single"/>
                </w:rPr>
                <w:t>Description of registered securities</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8">
              <w:r>
                <w:rPr>
                  <w:rStyle w:val="InternetLink"/>
                  <w:rFonts w:ascii="Times New Roman;serif" w:hAnsi="Times New Roman;serif"/>
                  <w:b w:val="false"/>
                  <w:sz w:val="20"/>
                  <w:u w:val="single"/>
                </w:rPr>
                <w:t>Tax Receivable Agreement, dated as of July 11, 2022, by and among ProKidney Corp. (formerly known as Social Capital Suvretta Holdings Corp. III), the TRA Party Representative (as defined therein) and the TRA Parties (as defined therein) (incorporated by reference from Exhibit 10.1 to Form 8-K filed with the SEC on July 15, 2022) (File No. 001-40560).</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9">
              <w:r>
                <w:rPr>
                  <w:rStyle w:val="InternetLink"/>
                  <w:rFonts w:ascii="Times New Roman;serif" w:hAnsi="Times New Roman;serif"/>
                  <w:b w:val="false"/>
                  <w:sz w:val="20"/>
                  <w:u w:val="single"/>
                </w:rPr>
                <w:t>Exchange Agreement, dated as of July 11, 2022, by and among ProKidney Corp. (formerly known as Social Capital Suvretta Holdings Corp. III), ProKidney LP, acting through its general partner ProKidney Corp. GP Limited, and certain holders named therein (incorporated by reference from Exhibit 10.2 to Form 8-K filed with the SEC on July 15, 2022) (File No. 001-40560).</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0">
              <w:r>
                <w:rPr>
                  <w:rStyle w:val="InternetLink"/>
                  <w:rFonts w:ascii="Times New Roman;serif" w:hAnsi="Times New Roman;serif"/>
                  <w:b w:val="false"/>
                  <w:sz w:val="20"/>
                  <w:u w:val="single"/>
                </w:rPr>
                <w:t>Lock-up Agreement, dated as of July 11, 2022, by and among ProKidney Corp. (formerly known as Social Capital Suvretta Holdings Corp. III), SCS Sponsor III LLC, the Sponsor Key Holders (as defined therein) and the ProKidney Holders (as defined therein) (incorporated by reference from Exhibit 10.3 to Form 8-K filed with the SEC on July 15, 2022) (File No. 001-40560).</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1">
              <w:r>
                <w:rPr>
                  <w:rStyle w:val="InternetLink"/>
                  <w:rFonts w:ascii="Times New Roman;serif" w:hAnsi="Times New Roman;serif"/>
                  <w:b w:val="false"/>
                  <w:sz w:val="20"/>
                  <w:u w:val="single"/>
                </w:rPr>
                <w:t>Amended and Restated Registration Rights Agreement, dated as of July 11, 2022, by and among ProKidney Corp. (formerly known as Social Capital Suvretta Holdings Corp. III), SCS Sponsor III LLC, the ProKidney Holders (as defined therein), Marc Semigran, Uma Sinha, Sukumar Nagendran, David Spiegel and the Investor Stockholders (as defined therein) (incorporated by reference from Exhibit 10.4 to Form 8-K filed with the SEC on July 15, 2022) (File No. 001-40560).</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10.5</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2">
              <w:r>
                <w:rPr>
                  <w:rStyle w:val="InternetLink"/>
                  <w:rFonts w:ascii="Times New Roman;serif" w:hAnsi="Times New Roman;serif"/>
                  <w:b w:val="false"/>
                  <w:sz w:val="20"/>
                  <w:u w:val="single"/>
                </w:rPr>
                <w:t>Second Amended and Restated Limited Partnership Agreement for a Limited Partnership Called ProKidney LP, dated as of July 11, 2022, by and among Tolerantia, LLC, Control Empresarial de Capitales, S.A. de C.V., ProKidney Management Equity LLC, ProKidney Corp. (formerly known as Social Capital Suvretta Holdings Corp. III), ProKidney Corp. GP Limited and ProKidney GP Limited (incorporated by reference from Exhibit 10.5 to Form 8-K filed with the SEC on July 15, 2022) (File No. 001-40560).</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108</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59"/>
        <w:gridCol w:w="146"/>
        <w:gridCol w:w="9400"/>
      </w:tblGrid>
      <w:tr>
        <w:trPr/>
        <w:tc>
          <w:tcPr>
            <w:tcW w:w="65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00" w:type="dxa"/>
            <w:tcBorders/>
            <w:shd w:fill="auto" w:val="clear"/>
            <w:vAlign w:val="center"/>
          </w:tcPr>
          <w:p>
            <w:pPr>
              <w:pStyle w:val="TableContents"/>
              <w:spacing w:before="0" w:after="283"/>
              <w:rPr>
                <w:sz w:val="4"/>
                <w:szCs w:val="4"/>
              </w:rPr>
            </w:pPr>
            <w:r>
              <w:rPr>
                <w:sz w:val="4"/>
                <w:szCs w:val="4"/>
              </w:rPr>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10.6</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3">
              <w:r>
                <w:rPr>
                  <w:rStyle w:val="InternetLink"/>
                  <w:rFonts w:ascii="Times New Roman;serif" w:hAnsi="Times New Roman;serif"/>
                  <w:b w:val="false"/>
                  <w:sz w:val="20"/>
                  <w:u w:val="single"/>
                </w:rPr>
                <w:t>Form of Subscription Agreement for Institutional Investors, dated as of January 18, 2022, by and between ProKidney Corp. (formerly known as Social Capital Suvretta Holdings Corp. III) and the subscriber partiers thereto (incorporated by reference from Exhibit 10.1 to Form 8-K/A filed with the SEC on January 21, 2022) (File No. 001-40560).</w:t>
              </w:r>
            </w:hyperlink>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10.7</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4">
              <w:r>
                <w:rPr>
                  <w:rStyle w:val="InternetLink"/>
                  <w:rFonts w:ascii="Times New Roman;serif" w:hAnsi="Times New Roman;serif"/>
                  <w:b w:val="false"/>
                  <w:sz w:val="20"/>
                  <w:u w:val="single"/>
                </w:rPr>
                <w:t>Form of Subscription Agreement for Individual Investors, dated as of January 18, 2022, by and between ProKidney Corp. (formerly known as Social Capital Suvretta Holdings Corp. III) and the subscriber parties thereto (incorporated by reference from Exhibit 10.2 to Form 8-K/A filed with the SEC on January 21, 2022) (File No. 001-40560).</w:t>
              </w:r>
            </w:hyperlink>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10.8</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5">
              <w:r>
                <w:rPr>
                  <w:rStyle w:val="InternetLink"/>
                  <w:rFonts w:ascii="Times New Roman;serif" w:hAnsi="Times New Roman;serif"/>
                  <w:b w:val="false"/>
                  <w:sz w:val="20"/>
                  <w:u w:val="single"/>
                </w:rPr>
                <w:t>Sponsor Support Agreement, dated as of January 18, 2022, by and among ProKidney Corp. (formerly known as Social Capital Suvretta Holdings Corp. III), SCS Sponsor III LLC, ProKidney LP and the directors and officers named therein (incorporated by reference from Exhibit 10.3 to Form 8-K/A filed with the SEC on January 21, 2022) (File No. 001-40560).</w:t>
              </w:r>
            </w:hyperlink>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10.9</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fldChar w:fldCharType="begin"/>
            </w:r>
            <w:r>
              <w:rPr>
                <w:rStyle w:val="InternetLink"/>
                <w:sz w:val="20"/>
                <w:u w:val="single"/>
                <w:b w:val="false"/>
                <w:rFonts w:ascii="Times New Roman;serif" w:hAnsi="Times New Roman;serif"/>
              </w:rPr>
              <w:instrText> HYPERLINK "https://www.sec.gov/Archives/edgar/data/1850270/000119312522172036/d546367ddefm14a.htm" \l "toc546367_56b"</w:instrText>
            </w:r>
            <w:r>
              <w:rPr>
                <w:rStyle w:val="InternetLink"/>
                <w:sz w:val="20"/>
                <w:u w:val="single"/>
                <w:b w:val="false"/>
                <w:rFonts w:ascii="Times New Roman;serif" w:hAnsi="Times New Roman;serif"/>
              </w:rPr>
              <w:fldChar w:fldCharType="separate"/>
            </w:r>
            <w:r>
              <w:rPr>
                <w:rStyle w:val="InternetLink"/>
                <w:rFonts w:ascii="Times New Roman;serif" w:hAnsi="Times New Roman;serif"/>
                <w:b w:val="false"/>
                <w:sz w:val="20"/>
                <w:u w:val="single"/>
              </w:rPr>
              <w:t>Company Unitholder Support Agreement, dated as of January 18, 2022, by and among ProKidney Corp. (formerly known as Social Capital Suvretta Holdings Corp. III), ProKidney LP and the persons named therein (incorporated by reference from Exhibit 10.10 to Form 8-K filed with the SEC on July 15, 2022) (File No. 001-40560).</w:t>
            </w:r>
            <w:r>
              <w:rPr>
                <w:rStyle w:val="InternetLink"/>
                <w:sz w:val="20"/>
                <w:u w:val="single"/>
                <w:b w:val="false"/>
                <w:rFonts w:ascii="Times New Roman;serif" w:hAnsi="Times New Roman;serif"/>
              </w:rPr>
              <w:fldChar w:fldCharType="end"/>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6">
              <w:r>
                <w:rPr>
                  <w:rStyle w:val="InternetLink"/>
                  <w:rFonts w:ascii="Times New Roman;serif" w:hAnsi="Times New Roman;serif"/>
                  <w:b w:val="false"/>
                  <w:sz w:val="20"/>
                  <w:u w:val="single"/>
                </w:rPr>
                <w:t>ProKidney Corp. 2022 Incentive Equity Plan (incorporated by reference from Exhibit 10.11 to Form 8-K filed with the SEC on July 15, 2022) (File No. 001-40560).</w:t>
              </w:r>
            </w:hyperlink>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7">
              <w:r>
                <w:rPr>
                  <w:rStyle w:val="InternetLink"/>
                  <w:rFonts w:ascii="Times New Roman;serif" w:hAnsi="Times New Roman;serif"/>
                  <w:b w:val="false"/>
                  <w:sz w:val="20"/>
                  <w:u w:val="single"/>
                </w:rPr>
                <w:t>ProKidney Corp. Employee Stock Purchase Plan (incorporated by reference from Exhibit 10.12 to Form 8-K filed with the SEC on July 15, 2022) (File No. 001-40560).</w:t>
              </w:r>
            </w:hyperlink>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8">
              <w:r>
                <w:rPr>
                  <w:rStyle w:val="InternetLink"/>
                  <w:rFonts w:ascii="Times New Roman;serif" w:hAnsi="Times New Roman;serif"/>
                  <w:b w:val="false"/>
                  <w:sz w:val="20"/>
                  <w:u w:val="single"/>
                </w:rPr>
                <w:t>Form of Indemnification Agreement, dated as of July 11, 2022, by and among ProKidney Corp. and its directors and executive officers (incorporated by reference from Exhibit 10.13 to Form 8-K filed with the SEC on July 15, 2022) (File No. 001-40560).</w:t>
              </w:r>
            </w:hyperlink>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k-ex10_13.htm">
              <w:r>
                <w:rPr>
                  <w:rStyle w:val="InternetLink"/>
                  <w:rFonts w:ascii="Times New Roman;serif" w:hAnsi="Times New Roman;serif"/>
                  <w:b w:val="false"/>
                  <w:sz w:val="20"/>
                  <w:u w:val="single"/>
                </w:rPr>
                <w:t>Employment Agreement, dated as of December 3, 2022, by and between Dr. Timothy Bertram and ProKidney, LLC</w:t>
              </w:r>
            </w:hyperlink>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k-ex10_14.htm">
              <w:r>
                <w:rPr>
                  <w:rStyle w:val="InternetLink"/>
                  <w:rFonts w:ascii="Times New Roman;serif" w:hAnsi="Times New Roman;serif"/>
                  <w:b w:val="false"/>
                  <w:sz w:val="20"/>
                  <w:u w:val="single"/>
                </w:rPr>
                <w:t>Employment Agreement, dated as of December 3, 2022 by and between James Coulston and ProKidney, LLC</w:t>
              </w:r>
            </w:hyperlink>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10.15*</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k-ex10_15.htm">
              <w:r>
                <w:rPr>
                  <w:rStyle w:val="InternetLink"/>
                  <w:rFonts w:ascii="Times New Roman;serif" w:hAnsi="Times New Roman;serif"/>
                  <w:b w:val="false"/>
                  <w:sz w:val="20"/>
                  <w:u w:val="single"/>
                </w:rPr>
                <w:t>Employment Agreement, dated as of December 2, 2022 by and between Dr. Deepak Jain and ProKidney, LLC</w:t>
              </w:r>
            </w:hyperlink>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10.16*</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k-ex10_16.htm">
              <w:r>
                <w:rPr>
                  <w:rStyle w:val="InternetLink"/>
                  <w:rFonts w:ascii="Times New Roman;serif" w:hAnsi="Times New Roman;serif"/>
                  <w:b w:val="false"/>
                  <w:sz w:val="20"/>
                  <w:u w:val="single"/>
                </w:rPr>
                <w:t>Employment Agreement, dated as of December 3, 2022 by and between Dr. Joseph Stavas and ProKidney, LLC</w:t>
              </w:r>
            </w:hyperlink>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10.17*</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k-ex10_17.htm">
              <w:r>
                <w:rPr>
                  <w:rStyle w:val="InternetLink"/>
                  <w:rFonts w:ascii="Times New Roman;serif" w:hAnsi="Times New Roman;serif"/>
                  <w:b w:val="false"/>
                  <w:sz w:val="20"/>
                  <w:u w:val="single"/>
                </w:rPr>
                <w:t>Form of Director Stock Option Award</w:t>
              </w:r>
            </w:hyperlink>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10.18*</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k-ex10_18.htm">
              <w:r>
                <w:rPr>
                  <w:rStyle w:val="InternetLink"/>
                  <w:rFonts w:ascii="Times New Roman;serif" w:hAnsi="Times New Roman;serif"/>
                  <w:b w:val="false"/>
                  <w:sz w:val="20"/>
                  <w:u w:val="single"/>
                </w:rPr>
                <w:t>Form of Employee Incentive Stock Option Award</w:t>
              </w:r>
            </w:hyperlink>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10.19*</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k-ex10_19.htm">
              <w:r>
                <w:rPr>
                  <w:rStyle w:val="InternetLink"/>
                  <w:rFonts w:ascii="Times New Roman;serif" w:hAnsi="Times New Roman;serif"/>
                  <w:b w:val="false"/>
                  <w:sz w:val="20"/>
                  <w:u w:val="single"/>
                </w:rPr>
                <w:t>Incentive Stock Option Award Agreement, dated as of October 20, 2022, by and between Dr. Timothy Bertram and ProKidney Corp.</w:t>
              </w:r>
            </w:hyperlink>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k-ex10_20.htm">
              <w:r>
                <w:rPr>
                  <w:rStyle w:val="InternetLink"/>
                  <w:rFonts w:ascii="Times New Roman;serif" w:hAnsi="Times New Roman;serif"/>
                  <w:b w:val="false"/>
                  <w:sz w:val="20"/>
                  <w:u w:val="single"/>
                </w:rPr>
                <w:t>ProKidney Corp. 2022 Director Compensation Policy</w:t>
              </w:r>
            </w:hyperlink>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9">
              <w:r>
                <w:rPr>
                  <w:rStyle w:val="InternetLink"/>
                  <w:rFonts w:ascii="Times New Roman;serif" w:hAnsi="Times New Roman;serif"/>
                  <w:b w:val="false"/>
                  <w:sz w:val="20"/>
                  <w:u w:val="single"/>
                </w:rPr>
                <w:t>Master Services Agreement, dated February 15, 2021, by and between George Clinical PTY Limited and ProKidney (formerly RegenMed (Cayman) Ltd.) (incorporated by reference from Exhibit 10.13 to Form S-1 filed with the SEC on August 9, 2022) (File No. 333-266683).</w:t>
              </w:r>
            </w:hyperlink>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0">
              <w:r>
                <w:rPr>
                  <w:rStyle w:val="InternetLink"/>
                  <w:rFonts w:ascii="Times New Roman;serif" w:hAnsi="Times New Roman;serif"/>
                  <w:b w:val="false"/>
                  <w:sz w:val="20"/>
                  <w:u w:val="single"/>
                </w:rPr>
                <w:t>Research, Development, Engineering Services and License Memorandum and Agreement, dated January 16, 2022, by and between ProKidney (formerly RegenMed (Cayman) Ltd.) and DEKA Products Limited Partnership (incorporated by reference from Exhibit 10.14 to Form S-1 filed with the SEC on August 9, 2022) (File No. 333-266683)</w:t>
              </w:r>
            </w:hyperlink>
            <w:r>
              <w:rPr>
                <w:rFonts w:ascii="Times New Roman;serif" w:hAnsi="Times New Roman;serif"/>
                <w:b w:val="false"/>
                <w:sz w:val="20"/>
              </w:rPr>
              <w:t>.</w:t>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1">
              <w:r>
                <w:rPr>
                  <w:rStyle w:val="InternetLink"/>
                  <w:rFonts w:ascii="Times New Roman;serif" w:hAnsi="Times New Roman;serif"/>
                  <w:b w:val="false"/>
                  <w:sz w:val="20"/>
                  <w:u w:val="single"/>
                </w:rPr>
                <w:t>Master Agreement for Clinical Trials Services, dated April 2, 2020, by and between ProKidney (formerly RegenMed (Cayman) Ltd.) and Frenova, LLC (incorporated by reference from Exhibit 10.16 to Form S-1 filed with the SEC on August 9, 2022) (File No. 333-266683)</w:t>
              </w:r>
            </w:hyperlink>
            <w:r>
              <w:rPr>
                <w:rFonts w:ascii="Times New Roman;serif" w:hAnsi="Times New Roman;serif"/>
                <w:b w:val="false"/>
                <w:sz w:val="20"/>
              </w:rPr>
              <w:t>.</w:t>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2">
              <w:r>
                <w:rPr>
                  <w:rStyle w:val="InternetLink"/>
                  <w:rFonts w:ascii="Times New Roman;serif" w:hAnsi="Times New Roman;serif"/>
                  <w:b w:val="false"/>
                  <w:sz w:val="20"/>
                  <w:u w:val="single"/>
                </w:rPr>
                <w:t>Master Services Agreement, dated May 1, 2019, by and between PPD Development, LP and ProKidney (formerly RegenMed (Cayman) Ltd.) (incorporated by reference from Exhibit 10.17 to Form S-1 filed with the SEC on August 9, 2022) (File No. 333-266683)</w:t>
              </w:r>
            </w:hyperlink>
            <w:r>
              <w:rPr>
                <w:rFonts w:ascii="Times New Roman;serif" w:hAnsi="Times New Roman;serif"/>
                <w:b w:val="false"/>
                <w:sz w:val="20"/>
              </w:rPr>
              <w:t>.</w:t>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10.25</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3">
              <w:r>
                <w:rPr>
                  <w:rStyle w:val="InternetLink"/>
                  <w:rFonts w:ascii="Times New Roman;serif" w:hAnsi="Times New Roman;serif"/>
                  <w:b w:val="false"/>
                  <w:sz w:val="20"/>
                  <w:u w:val="single"/>
                </w:rPr>
                <w:t>Master Services Agreement, dated August 14, 2015, by and between CTI Clinical Trial Services Inc. and RegenMedTX, LLC (incorporated by reference from Exhibit 10.18 to Form S-1 filed with the SEC on August 9, 2022) (File No. 333-266683).</w:t>
              </w:r>
            </w:hyperlink>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10.26</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4">
              <w:r>
                <w:rPr>
                  <w:rStyle w:val="InternetLink"/>
                  <w:rFonts w:ascii="Times New Roman;serif" w:hAnsi="Times New Roman;serif"/>
                  <w:b w:val="false"/>
                  <w:sz w:val="20"/>
                  <w:u w:val="single"/>
                </w:rPr>
                <w:t>Laboratory Service Agreement, dated August 16, 2016, by and among Covance Central Laboratory Services LP, Covance Central Laboratory Services SA` RL and ProKidney (formerly RegenMed (Cayman) Ltd.) (incorporated by reference from Exhibit 10.19 to Form S-1 filed with the SEC on August 9, 2022) (File No. 333-266683).</w:t>
              </w:r>
            </w:hyperlink>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10.27</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5">
              <w:r>
                <w:rPr>
                  <w:rStyle w:val="InternetLink"/>
                  <w:rFonts w:ascii="Times New Roman;serif" w:hAnsi="Times New Roman;serif"/>
                  <w:b w:val="false"/>
                  <w:sz w:val="20"/>
                  <w:u w:val="single"/>
                </w:rPr>
                <w:t>Laboratory Service Agreement, dated August 1, 2017, by and among Covance Central Laboratory Services LP, Covance Central Laboratory Services SA` RL and ProKidney (formerly RegenMed (Cayman) Ltd.) (incorporated by reference from Exhibit 10.20 to Form S-1 filed with the SEC on August 9, 2022) (File No. 333-266683).</w:t>
              </w:r>
            </w:hyperlink>
          </w:p>
        </w:tc>
      </w:tr>
      <w:tr>
        <w:trPr/>
        <w:tc>
          <w:tcPr>
            <w:tcW w:w="65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0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109</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06"/>
        <w:gridCol w:w="146"/>
        <w:gridCol w:w="9453"/>
      </w:tblGrid>
      <w:tr>
        <w:trPr/>
        <w:tc>
          <w:tcPr>
            <w:tcW w:w="6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53" w:type="dxa"/>
            <w:tcBorders/>
            <w:shd w:fill="auto" w:val="clear"/>
            <w:vAlign w:val="center"/>
          </w:tcPr>
          <w:p>
            <w:pPr>
              <w:pStyle w:val="TableContents"/>
              <w:spacing w:before="0" w:after="283"/>
              <w:rPr>
                <w:sz w:val="4"/>
                <w:szCs w:val="4"/>
              </w:rPr>
            </w:pPr>
            <w:r>
              <w:rPr>
                <w:sz w:val="4"/>
                <w:szCs w:val="4"/>
              </w:rPr>
            </w:r>
          </w:p>
        </w:tc>
      </w:tr>
      <w:tr>
        <w:trPr/>
        <w:tc>
          <w:tcPr>
            <w:tcW w:w="6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10.28</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6">
              <w:r>
                <w:rPr>
                  <w:rStyle w:val="InternetLink"/>
                  <w:rFonts w:ascii="Times New Roman;serif" w:hAnsi="Times New Roman;serif"/>
                  <w:b w:val="false"/>
                  <w:sz w:val="20"/>
                  <w:u w:val="single"/>
                </w:rPr>
                <w:t>Laboratory Service Agreement, dated June 21, 2019, by and among Covance Central Laboratory Services LP, Covance Central Laboratory Services SA` RL and ProKidney (formerly RegenMed (Cayman) Ltd.) (incorporated by reference from Exhibit 10.21 to Form S-1 filed with the SEC on August 26, 2022) (File No. 333-266683).</w:t>
              </w:r>
            </w:hyperlink>
          </w:p>
        </w:tc>
      </w:tr>
      <w:tr>
        <w:trPr/>
        <w:tc>
          <w:tcPr>
            <w:tcW w:w="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10.29</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7">
              <w:r>
                <w:rPr>
                  <w:rStyle w:val="InternetLink"/>
                  <w:rFonts w:ascii="Times New Roman;serif" w:hAnsi="Times New Roman;serif"/>
                  <w:b w:val="false"/>
                  <w:sz w:val="20"/>
                  <w:u w:val="single"/>
                </w:rPr>
                <w:t>Laboratory Service Agreement, dated September 16, 2021, by and among Labcorp Central Laboratory Services LP, Labcorp Central Laboratory Services SA` RL and ProKidney (formerly RegenMed (Cayman) Ltd.) (incorporated by reference from Exhibit 10.22 to Form S-1 filed with the SEC on August 26, 2022) (File No. 333-266683).</w:t>
              </w:r>
            </w:hyperlink>
          </w:p>
        </w:tc>
      </w:tr>
      <w:tr>
        <w:trPr/>
        <w:tc>
          <w:tcPr>
            <w:tcW w:w="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10.30*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k-ex10_30.htm">
              <w:r>
                <w:rPr>
                  <w:rStyle w:val="InternetLink"/>
                  <w:rFonts w:ascii="Times New Roman;serif" w:hAnsi="Times New Roman;serif"/>
                  <w:b w:val="false"/>
                  <w:sz w:val="20"/>
                  <w:u w:val="single"/>
                </w:rPr>
                <w:t>Consulting Services Agreement, dated as of January 1, 2020 between ProKidney (formerly known as RegenMed (Cayman) Ltd. (d/b/a inRegen)) and Nefro Health.</w:t>
              </w:r>
            </w:hyperlink>
          </w:p>
        </w:tc>
      </w:tr>
      <w:tr>
        <w:trPr/>
        <w:tc>
          <w:tcPr>
            <w:tcW w:w="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10.31*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k-ex10_31.htm">
              <w:r>
                <w:rPr>
                  <w:rStyle w:val="InternetLink"/>
                  <w:rFonts w:ascii="Times New Roman;serif" w:hAnsi="Times New Roman;serif"/>
                  <w:b w:val="false"/>
                  <w:sz w:val="20"/>
                  <w:u w:val="single"/>
                </w:rPr>
                <w:t>Consulting Services Agreement, dated as of January 1, 2020 between ProKidney, LLC (formerly known as Twin City Bio LLC) and Nefro Health.</w:t>
              </w:r>
            </w:hyperlink>
          </w:p>
        </w:tc>
      </w:tr>
      <w:tr>
        <w:trPr/>
        <w:tc>
          <w:tcPr>
            <w:tcW w:w="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21.1*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k-ex21_1.htm">
              <w:r>
                <w:rPr>
                  <w:rStyle w:val="InternetLink"/>
                  <w:rFonts w:ascii="Times New Roman;serif" w:hAnsi="Times New Roman;serif"/>
                  <w:b w:val="false"/>
                  <w:sz w:val="20"/>
                  <w:u w:val="single"/>
                </w:rPr>
                <w:t>Subsidiaries of the Registrant</w:t>
              </w:r>
            </w:hyperlink>
          </w:p>
        </w:tc>
      </w:tr>
      <w:tr>
        <w:trPr/>
        <w:tc>
          <w:tcPr>
            <w:tcW w:w="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23.1*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k-ex23_1.htm">
              <w:r>
                <w:rPr>
                  <w:rStyle w:val="InternetLink"/>
                  <w:rFonts w:ascii="Times New Roman;serif" w:hAnsi="Times New Roman;serif"/>
                  <w:b w:val="false"/>
                  <w:sz w:val="20"/>
                  <w:u w:val="single"/>
                </w:rPr>
                <w:t>Consent of Ernst &amp; Young LLP</w:t>
              </w:r>
            </w:hyperlink>
          </w:p>
        </w:tc>
      </w:tr>
      <w:tr>
        <w:trPr/>
        <w:tc>
          <w:tcPr>
            <w:tcW w:w="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k-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k-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k-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r>
      <w:tr>
        <w:trPr/>
        <w:tc>
          <w:tcPr>
            <w:tcW w:w="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k-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r>
      <w:tr>
        <w:trPr/>
        <w:tc>
          <w:tcPr>
            <w:tcW w:w="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following materials from the Company’s Annual Report on Form 10-K for the year ended December 31, 2022, formatted in iXBRL (Inline Extensible Business Reporting Language): (i) Consolidated Balance Sheets, (ii) Consolidated Statements of Operations, (iii) Consolidated Statements of Changes in Redeemable Noncontrolling Interest and Stockholders’ Deficit, (iv) Consolidated Statements of Cash Flows and (v) Notes to Consolidated Financial Statements, tagged as blocks of text and including detailed tags.</w:t>
            </w:r>
          </w:p>
        </w:tc>
      </w:tr>
      <w:tr>
        <w:trPr/>
        <w:tc>
          <w:tcPr>
            <w:tcW w:w="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cover page from this Annual Report on Form 10-K for the year ended December 31, 2022, formatted in Inline XBRL.</w:t>
            </w:r>
          </w:p>
        </w:tc>
      </w:tr>
      <w:tr>
        <w:trPr/>
        <w:tc>
          <w:tcPr>
            <w:tcW w:w="6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5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Management contract or compensatory plan or arrangement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Filed herewith.</w:t>
      </w:r>
    </w:p>
    <w:p>
      <w:pPr>
        <w:pStyle w:val="TextBody"/>
        <w:spacing w:before="240" w:after="0"/>
        <w:jc w:val="left"/>
        <w:rPr/>
      </w:pPr>
      <w:r>
        <w:rPr/>
        <w:t> </w:t>
      </w:r>
    </w:p>
    <w:p>
      <w:pPr>
        <w:pStyle w:val="TextBody"/>
        <w:spacing w:before="360" w:after="0"/>
        <w:jc w:val="left"/>
        <w:rPr>
          <w:rFonts w:ascii="Times New Roman;serif" w:hAnsi="Times New Roman;serif"/>
          <w:b/>
          <w:sz w:val="20"/>
        </w:rPr>
      </w:pPr>
      <w:bookmarkStart w:id="120" w:name="item16"/>
      <w:bookmarkEnd w:id="120"/>
      <w:r>
        <w:rPr>
          <w:rFonts w:ascii="Times New Roman;serif" w:hAnsi="Times New Roman;serif"/>
          <w:b/>
          <w:sz w:val="20"/>
        </w:rPr>
        <w:t>Item 16. Form 10-K Summary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110</w:t>
      </w:r>
    </w:p>
    <w:p>
      <w:pPr>
        <w:pStyle w:val="HorizontalLine"/>
        <w:rPr/>
      </w:pPr>
      <w:r>
        <w:rPr/>
      </w:r>
    </w:p>
    <w:p>
      <w:pPr>
        <w:pStyle w:val="TextBody"/>
        <w:spacing w:before="0" w:after="0"/>
        <w:jc w:val="left"/>
        <w:rPr/>
      </w:pPr>
      <w:r>
        <w:rPr/>
        <w:t> </w:t>
      </w:r>
    </w:p>
    <w:p>
      <w:pPr>
        <w:pStyle w:val="TextBody"/>
        <w:spacing w:before="0" w:after="0"/>
        <w:jc w:val="center"/>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111</w:t>
      </w:r>
    </w:p>
    <w:p>
      <w:pPr>
        <w:pStyle w:val="HorizontalLine"/>
        <w:rPr/>
      </w:pPr>
      <w:r>
        <w:rPr/>
      </w:r>
    </w:p>
    <w:p>
      <w:pPr>
        <w:pStyle w:val="TextBody"/>
        <w:spacing w:before="0" w:after="0"/>
        <w:jc w:val="left"/>
        <w:rPr/>
      </w:pPr>
      <w:r>
        <w:rPr/>
        <w:t> </w:t>
      </w:r>
    </w:p>
    <w:p>
      <w:pPr>
        <w:pStyle w:val="TextBody"/>
        <w:spacing w:before="120" w:after="0"/>
        <w:jc w:val="center"/>
        <w:rPr>
          <w:rFonts w:ascii="Times New Roman;serif" w:hAnsi="Times New Roman;serif"/>
          <w:b/>
          <w:sz w:val="20"/>
        </w:rPr>
      </w:pPr>
      <w:r>
        <w:rPr>
          <w:rFonts w:ascii="Times New Roman;serif" w:hAnsi="Times New Roman;serif"/>
          <w:b/>
          <w:sz w:val="20"/>
        </w:rPr>
        <w:t>SIGNATURES</w:t>
      </w:r>
    </w:p>
    <w:p>
      <w:pPr>
        <w:pStyle w:val="TextBody"/>
        <w:spacing w:before="120" w:after="0"/>
        <w:jc w:val="left"/>
        <w:rPr>
          <w:rFonts w:ascii="Times New Roman" w:hAnsi="Times New Roman"/>
          <w:sz w:val="20"/>
        </w:rPr>
      </w:pPr>
      <w:r>
        <w:rPr>
          <w:rFonts w:ascii="Times New Roman;serif" w:hAnsi="Times New Roman;serif"/>
          <w:b w:val="false"/>
          <w:sz w:val="20"/>
        </w:rPr>
        <w:t>Pursuant to the requirements of Section 13 or 15(d) of the Securities Exchange Act of 1934, as amended, the Registrant has duly caused this Report to be signed on its behalf by the undersigned, thereunto duly authorized</w:t>
      </w:r>
      <w:r>
        <w:rPr>
          <w:rFonts w:ascii="Times New Roman;serif" w:hAnsi="Times New Roman;serif"/>
          <w:b/>
          <w:sz w:val="20"/>
        </w:rPr>
        <w:t>.</w:t>
      </w:r>
    </w:p>
    <w:p>
      <w:pPr>
        <w:pStyle w:val="TextBody"/>
        <w:spacing w:before="0" w:after="0"/>
        <w:jc w:val="left"/>
        <w:rPr/>
      </w:pPr>
      <w:r>
        <w:rPr/>
        <w:t> </w:t>
      </w:r>
    </w:p>
    <w:tbl>
      <w:tblPr>
        <w:tblW w:w="4574" w:type="dxa"/>
        <w:jc w:val="left"/>
        <w:tblInd w:w="0" w:type="dxa"/>
        <w:tblCellMar>
          <w:top w:w="28" w:type="dxa"/>
          <w:left w:w="28" w:type="dxa"/>
          <w:bottom w:w="28" w:type="dxa"/>
          <w:right w:w="28" w:type="dxa"/>
        </w:tblCellMar>
      </w:tblPr>
      <w:tblGrid>
        <w:gridCol w:w="1891"/>
        <w:gridCol w:w="146"/>
        <w:gridCol w:w="406"/>
        <w:gridCol w:w="2131"/>
      </w:tblGrid>
      <w:tr>
        <w:trPr/>
        <w:tc>
          <w:tcPr>
            <w:tcW w:w="18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131"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37" w:type="dxa"/>
            <w:gridSpan w:val="2"/>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PROKIDNEY CORP.</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March 28, 2023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Tim Bertram, Ph.D.</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Tim Bertram, Ph.D.</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as amended, this Report has been signed below by the following persons on behalf of the Registrant in the capacities and on the dates indicated.</w:t>
      </w:r>
    </w:p>
    <w:p>
      <w:pPr>
        <w:pStyle w:val="TextBody"/>
        <w:spacing w:before="0" w:after="0"/>
        <w:jc w:val="left"/>
        <w:rPr/>
      </w:pPr>
      <w:r>
        <w:rPr/>
        <w:t> </w:t>
      </w:r>
    </w:p>
    <w:tbl>
      <w:tblPr>
        <w:tblW w:w="8215" w:type="dxa"/>
        <w:jc w:val="left"/>
        <w:tblInd w:w="0" w:type="dxa"/>
        <w:tblCellMar>
          <w:top w:w="28" w:type="dxa"/>
          <w:left w:w="28" w:type="dxa"/>
          <w:bottom w:w="28" w:type="dxa"/>
          <w:right w:w="28" w:type="dxa"/>
        </w:tblCellMar>
      </w:tblPr>
      <w:tblGrid>
        <w:gridCol w:w="2656"/>
        <w:gridCol w:w="146"/>
        <w:gridCol w:w="3766"/>
        <w:gridCol w:w="146"/>
        <w:gridCol w:w="1501"/>
      </w:tblGrid>
      <w:tr>
        <w:trPr/>
        <w:tc>
          <w:tcPr>
            <w:tcW w:w="26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r>
      <w:tr>
        <w:trPr/>
        <w:tc>
          <w:tcPr>
            <w:tcW w:w="26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0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Date</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6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Tim Bertram, Ph.D.</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Executive Officer and Director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28, 2023</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Tim Bertram, Ph.D.</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(Principal Executive Officer)</w:t>
            </w:r>
            <w:r>
              <w:rPr>
                <w:rFonts w:ascii="Times New Roman" w:hAnsi="Times New Roman"/>
                <w:sz w:val="20"/>
              </w:rPr>
              <w:t xml:space="preserve">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James Coulston</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r>
              <w:rPr>
                <w:rFonts w:ascii="Times New Roman;serif" w:hAnsi="Times New Roman;serif"/>
                <w:b w:val="false"/>
                <w:sz w:val="20"/>
              </w:rPr>
              <w:t>Chief Financial Officer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r>
              <w:rPr>
                <w:rFonts w:ascii="Times New Roman;serif" w:hAnsi="Times New Roman;serif"/>
                <w:b w:val="false"/>
                <w:sz w:val="20"/>
              </w:rPr>
              <w:t>March 28, 2023</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James Coulston</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(Principal Financial and Accounting Officer)</w:t>
            </w:r>
            <w:r>
              <w:rPr>
                <w:rFonts w:ascii="Times New Roman" w:hAnsi="Times New Roman"/>
                <w:sz w:val="20"/>
              </w:rPr>
              <w:t xml:space="preserve">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Pablo Legorreta</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r>
              <w:rPr>
                <w:rFonts w:ascii="Times New Roman;serif" w:hAnsi="Times New Roman;serif"/>
                <w:b w:val="false"/>
                <w:sz w:val="20"/>
              </w:rPr>
              <w:t>Chairman</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r>
              <w:rPr>
                <w:rFonts w:ascii="Times New Roman;serif" w:hAnsi="Times New Roman;serif"/>
                <w:b w:val="false"/>
                <w:sz w:val="20"/>
              </w:rPr>
              <w:t>March 28, 2023</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Pablo Legorreta</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William F. Doyle</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Director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r>
              <w:rPr>
                <w:rFonts w:ascii="Times New Roman;serif" w:hAnsi="Times New Roman;serif"/>
                <w:b w:val="false"/>
                <w:sz w:val="20"/>
              </w:rPr>
              <w:t>March 28, 2023</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William F. Doyle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Jennifer Fox</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Director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r>
              <w:rPr>
                <w:rFonts w:ascii="Times New Roman;serif" w:hAnsi="Times New Roman;serif"/>
                <w:b w:val="false"/>
                <w:sz w:val="20"/>
              </w:rPr>
              <w:t>March 28, 2023</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Jennifer Fox</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José Ignacio Jimenez Santos</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Director</w:t>
            </w:r>
            <w:r>
              <w:rPr>
                <w:rFonts w:ascii="Times New Roman" w:hAnsi="Times New Roman"/>
                <w:sz w:val="20"/>
              </w:rPr>
              <w:t xml:space="preserve">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r>
              <w:rPr>
                <w:rFonts w:ascii="Times New Roman;serif" w:hAnsi="Times New Roman;serif"/>
                <w:b w:val="false"/>
                <w:sz w:val="20"/>
              </w:rPr>
              <w:t>March 28, 2023</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José Ignacio Jimenez Santos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Alan M. Lotvin, M.D.</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Director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r>
              <w:rPr>
                <w:rFonts w:ascii="Times New Roman;serif" w:hAnsi="Times New Roman;serif"/>
                <w:b w:val="false"/>
                <w:sz w:val="20"/>
              </w:rPr>
              <w:t>March 28, 2023</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Alan M. Lotvin, M.D.</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John M. Maraganore, Ph.D.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Director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28, 2023</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John M. Maraganore, Ph.D.</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Brian J.G. Pereira, M.D.</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Director</w:t>
            </w:r>
            <w:r>
              <w:rPr>
                <w:rFonts w:ascii="Times New Roman" w:hAnsi="Times New Roman"/>
                <w:sz w:val="20"/>
              </w:rPr>
              <w:t xml:space="preserve">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r>
              <w:rPr>
                <w:rFonts w:ascii="Times New Roman;serif" w:hAnsi="Times New Roman;serif"/>
                <w:b w:val="false"/>
                <w:sz w:val="20"/>
              </w:rPr>
              <w:t>March 28, 2023</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Brian J.G. Pereira, M.D.</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65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Uma Sinha, Ph.D.</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Director</w:t>
            </w:r>
            <w:r>
              <w:rPr>
                <w:rFonts w:ascii="Times New Roman" w:hAnsi="Times New Roman"/>
                <w:sz w:val="20"/>
              </w:rPr>
              <w:t xml:space="preserve">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r>
              <w:rPr>
                <w:rFonts w:ascii="Times New Roman;serif" w:hAnsi="Times New Roman;serif"/>
                <w:b w:val="false"/>
                <w:sz w:val="20"/>
              </w:rPr>
              <w:t>March 28, 2023</w:t>
            </w:r>
          </w:p>
        </w:tc>
      </w:tr>
      <w:tr>
        <w:trPr/>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Uma Sinha, Ph.D.</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0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112</w:t>
      </w:r>
    </w:p>
    <w:p>
      <w:pPr>
        <w:pStyle w:val="HorizontalLine"/>
        <w:rPr/>
      </w:pPr>
      <w:r>
        <w:rPr/>
      </w:r>
    </w:p>
    <w:p>
      <w:pPr>
        <w:pStyle w:val="TextBody"/>
        <w:spacing w:before="0" w:after="0"/>
        <w:jc w:val="left"/>
        <w:rPr/>
      </w:pPr>
      <w:r>
        <w:rPr/>
        <w:t> </w:t>
      </w:r>
    </w:p>
    <w:p>
      <w:pPr>
        <w:pStyle w:val="TextBody"/>
        <w:spacing w:before="240" w:after="0"/>
        <w:jc w:val="center"/>
        <w:rPr>
          <w:rFonts w:ascii="Times New Roman;serif" w:hAnsi="Times New Roman;serif"/>
          <w:b/>
          <w:sz w:val="20"/>
        </w:rPr>
      </w:pPr>
      <w:r>
        <w:rPr>
          <w:rFonts w:ascii="Times New Roman;serif" w:hAnsi="Times New Roman;serif"/>
          <w:b/>
          <w:sz w:val="20"/>
        </w:rPr>
        <w:t>INDEX TO CONSOLIDATED FINANCIAL STATEMENTS</w:t>
      </w:r>
    </w:p>
    <w:p>
      <w:pPr>
        <w:pStyle w:val="TextBody"/>
        <w:spacing w:before="40" w:after="0"/>
        <w:jc w:val="left"/>
        <w:rPr/>
      </w:pPr>
      <w:r>
        <w:rPr/>
        <w:t> </w:t>
      </w:r>
    </w:p>
    <w:tbl>
      <w:tblPr>
        <w:tblW w:w="10205" w:type="dxa"/>
        <w:jc w:val="left"/>
        <w:tblInd w:w="0" w:type="dxa"/>
        <w:tblCellMar>
          <w:top w:w="28" w:type="dxa"/>
          <w:left w:w="28" w:type="dxa"/>
          <w:bottom w:w="28" w:type="dxa"/>
          <w:right w:w="28" w:type="dxa"/>
        </w:tblCellMar>
      </w:tblPr>
      <w:tblGrid>
        <w:gridCol w:w="9821"/>
        <w:gridCol w:w="384"/>
      </w:tblGrid>
      <w:tr>
        <w:trPr/>
        <w:tc>
          <w:tcPr>
            <w:tcW w:w="9821"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r>
      <w:tr>
        <w:trPr/>
        <w:tc>
          <w:tcPr>
            <w:tcW w:w="98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auditor_report">
              <w:r>
                <w:rPr>
                  <w:rStyle w:val="InternetLink"/>
                  <w:rFonts w:ascii="Times New Roman;serif" w:hAnsi="Times New Roman;serif"/>
                  <w:b w:val="false"/>
                  <w:sz w:val="20"/>
                  <w:u w:val="single"/>
                </w:rPr>
                <w:t>Report of Independent Registered Public Accounting Firm (PCAOB ID:42)</w:t>
              </w:r>
            </w:hyperlink>
          </w:p>
        </w:tc>
        <w:tc>
          <w:tcPr>
            <w:tcW w:w="38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F-2</w:t>
            </w:r>
          </w:p>
        </w:tc>
      </w:tr>
      <w:tr>
        <w:trPr/>
        <w:tc>
          <w:tcPr>
            <w:tcW w:w="98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8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8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balance_sheets">
              <w:r>
                <w:rPr>
                  <w:rStyle w:val="InternetLink"/>
                  <w:rFonts w:ascii="Times New Roman;serif" w:hAnsi="Times New Roman;serif"/>
                  <w:b w:val="false"/>
                  <w:sz w:val="20"/>
                  <w:u w:val="single"/>
                </w:rPr>
                <w:t>Consolidated Balance Sheets as of December 31, 2022 and 2021</w:t>
              </w:r>
            </w:hyperlink>
          </w:p>
        </w:tc>
        <w:tc>
          <w:tcPr>
            <w:tcW w:w="38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F-3</w:t>
            </w:r>
          </w:p>
        </w:tc>
      </w:tr>
      <w:tr>
        <w:trPr/>
        <w:tc>
          <w:tcPr>
            <w:tcW w:w="98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8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8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solidated_statements_of_operations">
              <w:r>
                <w:rPr>
                  <w:rStyle w:val="InternetLink"/>
                  <w:rFonts w:ascii="Times New Roman;serif" w:hAnsi="Times New Roman;serif"/>
                  <w:b w:val="false"/>
                  <w:sz w:val="20"/>
                  <w:u w:val="single"/>
                </w:rPr>
                <w:t>Consolidated Statements of Operations and Comprehensive Loss for the years ended December 31, 2022, 2021, and 2020</w:t>
              </w:r>
            </w:hyperlink>
          </w:p>
        </w:tc>
        <w:tc>
          <w:tcPr>
            <w:tcW w:w="38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F-4</w:t>
            </w:r>
          </w:p>
        </w:tc>
      </w:tr>
      <w:tr>
        <w:trPr/>
        <w:tc>
          <w:tcPr>
            <w:tcW w:w="98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8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8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tockholders_deficit">
              <w:r>
                <w:rPr>
                  <w:rStyle w:val="InternetLink"/>
                  <w:rFonts w:ascii="Times New Roman;serif" w:hAnsi="Times New Roman;serif"/>
                  <w:b w:val="false"/>
                  <w:sz w:val="20"/>
                  <w:u w:val="single"/>
                </w:rPr>
                <w:t>Consolidated Statements of Changes in Redeemable Noncontrolling Interest and Shareholders’ Deficit / Members’ Equity for the years ended December 31, 2022, 2021, and 2020</w:t>
              </w:r>
            </w:hyperlink>
          </w:p>
        </w:tc>
        <w:tc>
          <w:tcPr>
            <w:tcW w:w="38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F-5</w:t>
            </w:r>
          </w:p>
        </w:tc>
      </w:tr>
      <w:tr>
        <w:trPr/>
        <w:tc>
          <w:tcPr>
            <w:tcW w:w="98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8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8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ash_flows">
              <w:r>
                <w:rPr>
                  <w:rStyle w:val="InternetLink"/>
                  <w:rFonts w:ascii="Times New Roman;serif" w:hAnsi="Times New Roman;serif"/>
                  <w:b w:val="false"/>
                  <w:sz w:val="20"/>
                  <w:u w:val="single"/>
                </w:rPr>
                <w:t>Consolidated Statements of Cash Flows for the years ended December 31, 2022, 2021, and 2020</w:t>
              </w:r>
            </w:hyperlink>
          </w:p>
        </w:tc>
        <w:tc>
          <w:tcPr>
            <w:tcW w:w="38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F-6</w:t>
            </w:r>
          </w:p>
        </w:tc>
      </w:tr>
      <w:tr>
        <w:trPr/>
        <w:tc>
          <w:tcPr>
            <w:tcW w:w="98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84"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8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es_to_unaudited_condensed">
              <w:r>
                <w:rPr>
                  <w:rStyle w:val="InternetLink"/>
                  <w:rFonts w:ascii="Times New Roman;serif" w:hAnsi="Times New Roman;serif"/>
                  <w:b w:val="false"/>
                  <w:sz w:val="20"/>
                  <w:u w:val="single"/>
                </w:rPr>
                <w:t>Notes to Consolidated Financial Statements</w:t>
              </w:r>
            </w:hyperlink>
          </w:p>
        </w:tc>
        <w:tc>
          <w:tcPr>
            <w:tcW w:w="384"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F-7</w:t>
            </w:r>
          </w:p>
        </w:tc>
      </w:tr>
    </w:tbl>
    <w:p>
      <w:pPr>
        <w:pStyle w:val="TextBody"/>
        <w:spacing w:before="24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F-1</w:t>
      </w:r>
    </w:p>
    <w:p>
      <w:pPr>
        <w:pStyle w:val="HorizontalLine"/>
        <w:rPr/>
      </w:pPr>
      <w:r>
        <w:rPr/>
      </w:r>
    </w:p>
    <w:p>
      <w:pPr>
        <w:pStyle w:val="TextBody"/>
        <w:spacing w:before="0" w:after="0"/>
        <w:jc w:val="left"/>
        <w:rPr/>
      </w:pPr>
      <w:r>
        <w:rPr/>
        <w:t> </w:t>
      </w:r>
    </w:p>
    <w:p>
      <w:pPr>
        <w:pStyle w:val="TextBody"/>
        <w:spacing w:before="240" w:after="0"/>
        <w:jc w:val="center"/>
        <w:rPr>
          <w:rFonts w:ascii="Times New Roman;serif" w:hAnsi="Times New Roman;serif"/>
          <w:b/>
          <w:sz w:val="20"/>
        </w:rPr>
      </w:pPr>
      <w:bookmarkStart w:id="121" w:name="auditor_report"/>
      <w:bookmarkEnd w:id="121"/>
      <w:r>
        <w:rPr>
          <w:rFonts w:ascii="Times New Roman;serif" w:hAnsi="Times New Roman;serif"/>
          <w:b/>
          <w:sz w:val="20"/>
        </w:rPr>
        <w:t>Report of Independent Registered Public Accounting Firm</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To the Shareholders and the Board of ProKidney Corp.</w:t>
      </w:r>
    </w:p>
    <w:p>
      <w:pPr>
        <w:pStyle w:val="TextBody"/>
        <w:spacing w:before="240" w:after="0"/>
        <w:jc w:val="left"/>
        <w:rPr>
          <w:rFonts w:ascii="Times New Roman;serif" w:hAnsi="Times New Roman;serif"/>
          <w:b/>
          <w:sz w:val="20"/>
        </w:rPr>
      </w:pPr>
      <w:r>
        <w:rPr>
          <w:rFonts w:ascii="Times New Roman;serif" w:hAnsi="Times New Roman;serif"/>
          <w:b/>
          <w:sz w:val="20"/>
        </w:rPr>
        <w:t>Opinion on the Financial Statements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audited the accompanying consolidated balance sheets of ProKidney Corp. (the Company) as of December 31, 2022 and 2021, the related consolidated statements of operations and comprehensive loss, changes in redeemable noncontrolling interest and stockholders’ deficit / members’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2022 and 2021, and the consolidated results of its operations and its cash flows for each of the years then ended, in conformity with U.S. generally accepted accounting principles.</w:t>
      </w:r>
    </w:p>
    <w:p>
      <w:pPr>
        <w:pStyle w:val="TextBody"/>
        <w:spacing w:before="240" w:after="0"/>
        <w:jc w:val="left"/>
        <w:rPr>
          <w:rFonts w:ascii="Times New Roman;serif" w:hAnsi="Times New Roman;serif"/>
          <w:b/>
          <w:sz w:val="20"/>
        </w:rPr>
      </w:pPr>
      <w:r>
        <w:rPr>
          <w:rFonts w:ascii="Times New Roman;serif" w:hAnsi="Times New Roman;serif"/>
          <w:b/>
          <w:sz w:val="20"/>
        </w:rPr>
        <w:t>Basis for Opinion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120" w:after="0"/>
        <w:jc w:val="left"/>
        <w:rPr>
          <w:rFonts w:ascii="Times New Roman" w:hAnsi="Times New Roman"/>
          <w:sz w:val="20"/>
        </w:rPr>
      </w:pPr>
      <w:r>
        <w:rPr>
          <w:rFonts w:ascii="Times New Roman;serif" w:hAnsi="Times New Roman;serif"/>
          <w:b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br/>
        <w:br/>
        <w:br/>
        <w:br/>
        <w:t>/s/ Ernst &amp; Young LLP</w:t>
        <w:br/>
        <w:br/>
        <w:br/>
        <w:br/>
        <w:t>We have served as the Company’s auditor since 2019.</w:t>
        <w:br/>
        <w:br/>
        <w:t>Raleigh, North Carolina</w:t>
        <w:br/>
        <w:br/>
        <w:t>March 28, 2023</w:t>
        <w:br/>
      </w:r>
      <w:r>
        <w:rPr>
          <w:rFonts w:ascii="Times New Roman" w:hAnsi="Times New Roman"/>
          <w:sz w:val="20"/>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F-2</w:t>
      </w:r>
    </w:p>
    <w:p>
      <w:pPr>
        <w:pStyle w:val="HorizontalLine"/>
        <w:rPr/>
      </w:pPr>
      <w:r>
        <w:rPr/>
      </w:r>
    </w:p>
    <w:p>
      <w:pPr>
        <w:pStyle w:val="TextBody"/>
        <w:spacing w:before="0" w:after="0"/>
        <w:jc w:val="left"/>
        <w:rPr/>
      </w:pPr>
      <w:r>
        <w:rPr/>
        <w:t> </w:t>
      </w:r>
    </w:p>
    <w:p>
      <w:pPr>
        <w:pStyle w:val="TextBody"/>
        <w:spacing w:before="360" w:after="0"/>
        <w:jc w:val="center"/>
        <w:rPr>
          <w:rFonts w:ascii="Times New Roman;serif" w:hAnsi="Times New Roman;serif"/>
          <w:b/>
          <w:sz w:val="20"/>
        </w:rPr>
      </w:pPr>
      <w:r>
        <w:rPr>
          <w:rFonts w:ascii="Times New Roman;serif" w:hAnsi="Times New Roman;serif"/>
          <w:b/>
          <w:sz w:val="20"/>
        </w:rPr>
        <w:t>ProKidney Corp.</w:t>
      </w:r>
    </w:p>
    <w:p>
      <w:pPr>
        <w:pStyle w:val="TextBody"/>
        <w:spacing w:before="0" w:after="0"/>
        <w:jc w:val="center"/>
        <w:rPr>
          <w:rFonts w:ascii="Times New Roman;serif" w:hAnsi="Times New Roman;serif"/>
          <w:b/>
          <w:sz w:val="20"/>
        </w:rPr>
      </w:pPr>
      <w:bookmarkStart w:id="122" w:name="balance_sheets"/>
      <w:bookmarkEnd w:id="122"/>
      <w:r>
        <w:rPr>
          <w:rFonts w:ascii="Times New Roman;serif" w:hAnsi="Times New Roman;serif"/>
          <w:b/>
          <w:sz w:val="20"/>
        </w:rPr>
        <w:t>Consolidated Balance Sheets</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 data)</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5768"/>
        <w:gridCol w:w="294"/>
        <w:gridCol w:w="1388"/>
        <w:gridCol w:w="246"/>
        <w:gridCol w:w="146"/>
        <w:gridCol w:w="335"/>
        <w:gridCol w:w="1335"/>
        <w:gridCol w:w="693"/>
      </w:tblGrid>
      <w:tr>
        <w:trPr/>
        <w:tc>
          <w:tcPr>
            <w:tcW w:w="5768"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388"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r>
      <w:tr>
        <w:trPr/>
        <w:tc>
          <w:tcPr>
            <w:tcW w:w="5768" w:type="dxa"/>
            <w:tcBorders/>
            <w:shd w:fill="auto" w:val="clear"/>
            <w:vAlign w:val="center"/>
          </w:tcPr>
          <w:p>
            <w:pPr>
              <w:pStyle w:val="TableContents"/>
              <w:spacing w:before="0" w:after="0"/>
              <w:ind w:left="0" w:right="0" w:hanging="0"/>
              <w:jc w:val="both"/>
              <w:rPr/>
            </w:pPr>
            <w:r>
              <w:rPr/>
              <w:t> </w:t>
            </w:r>
          </w:p>
        </w:tc>
        <w:tc>
          <w:tcPr>
            <w:tcW w:w="1682"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2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670"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2021</w:t>
            </w:r>
          </w:p>
        </w:tc>
        <w:tc>
          <w:tcPr>
            <w:tcW w:w="693" w:type="dxa"/>
            <w:tcBorders/>
            <w:shd w:fill="auto" w:val="clear"/>
            <w:vAlign w:val="center"/>
          </w:tcPr>
          <w:p>
            <w:pPr>
              <w:pStyle w:val="TableContents"/>
              <w:spacing w:before="0" w:after="0"/>
              <w:ind w:left="0" w:right="0" w:hanging="0"/>
              <w:jc w:val="center"/>
              <w:rPr/>
            </w:pPr>
            <w:r>
              <w:rPr/>
              <w:t> </w:t>
            </w:r>
          </w:p>
        </w:tc>
      </w:tr>
      <w:tr>
        <w:trPr/>
        <w:tc>
          <w:tcPr>
            <w:tcW w:w="5768"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682"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0" w:type="dxa"/>
            <w:gridSpan w:val="2"/>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both"/>
              <w:rPr/>
            </w:pPr>
            <w:r>
              <w:rPr/>
              <w:t> </w:t>
            </w:r>
          </w:p>
        </w:tc>
        <w:tc>
          <w:tcPr>
            <w:tcW w:w="693" w:type="dxa"/>
            <w:tcBorders>
              <w:top w:val="single" w:sz="4" w:space="0" w:color="000000"/>
            </w:tcBorders>
            <w:shd w:fill="auto" w:val="clear"/>
            <w:tcMar>
              <w:left w:w="0" w:type="dxa"/>
              <w:bottom w:w="0" w:type="dxa"/>
              <w:right w:w="0" w:type="dxa"/>
            </w:tcMar>
            <w:vAlign w:val="center"/>
          </w:tcPr>
          <w:p>
            <w:pPr>
              <w:pStyle w:val="TableContents"/>
              <w:spacing w:before="0" w:after="0"/>
              <w:ind w:left="0" w:right="0" w:firstLine="200"/>
              <w:jc w:val="both"/>
              <w:rPr/>
            </w:pPr>
            <w:r>
              <w:rPr/>
              <w:t> </w:t>
            </w:r>
          </w:p>
        </w:tc>
      </w:tr>
      <w:tr>
        <w:trPr/>
        <w:tc>
          <w:tcPr>
            <w:tcW w:w="576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490,252</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20,558</w:t>
            </w:r>
          </w:p>
        </w:tc>
        <w:tc>
          <w:tcPr>
            <w:tcW w:w="693" w:type="dxa"/>
            <w:tcBorders/>
            <w:shd w:fill="auto" w:val="clear"/>
            <w:vAlign w:val="center"/>
          </w:tcPr>
          <w:p>
            <w:pPr>
              <w:pStyle w:val="TableContents"/>
              <w:spacing w:before="0" w:after="0"/>
              <w:ind w:left="0" w:right="0" w:firstLine="200"/>
              <w:jc w:val="left"/>
              <w:rPr/>
            </w:pPr>
            <w:r>
              <w:rPr/>
              <w:t> </w:t>
            </w:r>
          </w:p>
        </w:tc>
      </w:tr>
      <w:tr>
        <w:trPr/>
        <w:tc>
          <w:tcPr>
            <w:tcW w:w="576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assets</w:t>
            </w:r>
          </w:p>
        </w:tc>
        <w:tc>
          <w:tcPr>
            <w:tcW w:w="294" w:type="dxa"/>
            <w:tcBorders/>
            <w:shd w:fill="auto" w:val="clear"/>
            <w:vAlign w:val="center"/>
          </w:tcPr>
          <w:p>
            <w:pPr>
              <w:pStyle w:val="TableContents"/>
              <w:spacing w:before="0" w:after="0"/>
              <w:ind w:left="0" w:right="0" w:hanging="0"/>
              <w:jc w:val="left"/>
              <w:rPr/>
            </w:pPr>
            <w:r>
              <w:rPr/>
              <w:t> </w:t>
            </w:r>
          </w:p>
        </w:tc>
        <w:tc>
          <w:tcPr>
            <w:tcW w:w="13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2,624</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13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588</w:t>
            </w:r>
          </w:p>
        </w:tc>
        <w:tc>
          <w:tcPr>
            <w:tcW w:w="693" w:type="dxa"/>
            <w:tcBorders/>
            <w:shd w:fill="auto" w:val="clear"/>
            <w:vAlign w:val="center"/>
          </w:tcPr>
          <w:p>
            <w:pPr>
              <w:pStyle w:val="TableContents"/>
              <w:spacing w:before="0" w:after="0"/>
              <w:ind w:left="0" w:right="0" w:firstLine="200"/>
              <w:jc w:val="left"/>
              <w:rPr/>
            </w:pPr>
            <w:r>
              <w:rPr/>
              <w:t> </w:t>
            </w:r>
          </w:p>
        </w:tc>
      </w:tr>
      <w:tr>
        <w:trPr/>
        <w:tc>
          <w:tcPr>
            <w:tcW w:w="576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clinical</w:t>
            </w:r>
          </w:p>
        </w:tc>
        <w:tc>
          <w:tcPr>
            <w:tcW w:w="294" w:type="dxa"/>
            <w:tcBorders/>
            <w:shd w:fill="auto" w:val="clear"/>
            <w:vAlign w:val="center"/>
          </w:tcPr>
          <w:p>
            <w:pPr>
              <w:pStyle w:val="TableContents"/>
              <w:spacing w:before="0" w:after="0"/>
              <w:ind w:left="0" w:right="0" w:hanging="0"/>
              <w:jc w:val="left"/>
              <w:rPr/>
            </w:pPr>
            <w:r>
              <w:rPr/>
              <w:t> </w:t>
            </w:r>
          </w:p>
        </w:tc>
        <w:tc>
          <w:tcPr>
            <w:tcW w:w="13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10,459</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13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6,100</w:t>
            </w:r>
          </w:p>
        </w:tc>
        <w:tc>
          <w:tcPr>
            <w:tcW w:w="693" w:type="dxa"/>
            <w:tcBorders/>
            <w:shd w:fill="auto" w:val="clear"/>
            <w:vAlign w:val="center"/>
          </w:tcPr>
          <w:p>
            <w:pPr>
              <w:pStyle w:val="TableContents"/>
              <w:spacing w:before="0" w:after="0"/>
              <w:ind w:left="0" w:right="0" w:firstLine="200"/>
              <w:jc w:val="left"/>
              <w:rPr/>
            </w:pPr>
            <w:r>
              <w:rPr/>
              <w:t> </w:t>
            </w:r>
          </w:p>
        </w:tc>
      </w:tr>
      <w:tr>
        <w:trPr/>
        <w:tc>
          <w:tcPr>
            <w:tcW w:w="576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1,384</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6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00"/>
              <w:jc w:val="left"/>
              <w:rPr/>
            </w:pPr>
            <w:r>
              <w:rPr/>
              <w:t> </w:t>
            </w:r>
          </w:p>
        </w:tc>
      </w:tr>
      <w:tr>
        <w:trPr/>
        <w:tc>
          <w:tcPr>
            <w:tcW w:w="5768" w:type="dxa"/>
            <w:tcBorders/>
            <w:shd w:fill="auto" w:val="clear"/>
            <w:vAlign w:val="center"/>
          </w:tcPr>
          <w:p>
            <w:pPr>
              <w:pStyle w:val="TableContents"/>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294" w:type="dxa"/>
            <w:tcBorders/>
            <w:shd w:fill="auto" w:val="clear"/>
            <w:vAlign w:val="center"/>
          </w:tcPr>
          <w:p>
            <w:pPr>
              <w:pStyle w:val="TableContents"/>
              <w:spacing w:before="0" w:after="0"/>
              <w:ind w:left="0" w:right="0" w:hanging="0"/>
              <w:jc w:val="left"/>
              <w:rPr/>
            </w:pPr>
            <w:r>
              <w:rPr/>
              <w:t> </w:t>
            </w:r>
          </w:p>
        </w:tc>
        <w:tc>
          <w:tcPr>
            <w:tcW w:w="13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504,719</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13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27,271</w:t>
            </w:r>
          </w:p>
        </w:tc>
        <w:tc>
          <w:tcPr>
            <w:tcW w:w="693" w:type="dxa"/>
            <w:tcBorders/>
            <w:shd w:fill="auto" w:val="clear"/>
            <w:vAlign w:val="center"/>
          </w:tcPr>
          <w:p>
            <w:pPr>
              <w:pStyle w:val="TableContents"/>
              <w:spacing w:before="0" w:after="0"/>
              <w:ind w:left="0" w:right="0" w:firstLine="500"/>
              <w:jc w:val="left"/>
              <w:rPr/>
            </w:pPr>
            <w:r>
              <w:rPr/>
              <w:t> </w:t>
            </w:r>
          </w:p>
        </w:tc>
      </w:tr>
      <w:tr>
        <w:trPr/>
        <w:tc>
          <w:tcPr>
            <w:tcW w:w="5768" w:type="dxa"/>
            <w:tcBorders/>
            <w:shd w:fill="auto" w:val="clear"/>
            <w:vAlign w:val="center"/>
          </w:tcPr>
          <w:p>
            <w:pPr>
              <w:pStyle w:val="TableContents"/>
              <w:spacing w:before="0" w:after="0"/>
              <w:ind w:left="500" w:right="0" w:hanging="0"/>
              <w:jc w:val="left"/>
              <w:rPr/>
            </w:pPr>
            <w:r>
              <w:rPr/>
              <w:t> </w:t>
            </w:r>
          </w:p>
        </w:tc>
        <w:tc>
          <w:tcPr>
            <w:tcW w:w="1682" w:type="dxa"/>
            <w:gridSpan w:val="2"/>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0" w:type="dxa"/>
            <w:gridSpan w:val="2"/>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left"/>
              <w:rPr/>
            </w:pPr>
            <w:r>
              <w:rPr/>
              <w:t> </w:t>
            </w:r>
          </w:p>
        </w:tc>
      </w:tr>
      <w:tr>
        <w:trPr/>
        <w:tc>
          <w:tcPr>
            <w:tcW w:w="5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Fixed assets, net</w:t>
            </w:r>
          </w:p>
        </w:tc>
        <w:tc>
          <w:tcPr>
            <w:tcW w:w="294" w:type="dxa"/>
            <w:tcBorders/>
            <w:shd w:fill="auto" w:val="clear"/>
            <w:vAlign w:val="center"/>
          </w:tcPr>
          <w:p>
            <w:pPr>
              <w:pStyle w:val="TableContents"/>
              <w:spacing w:before="0" w:after="0"/>
              <w:ind w:left="0" w:right="0" w:hanging="0"/>
              <w:jc w:val="left"/>
              <w:rPr/>
            </w:pPr>
            <w:r>
              <w:rPr/>
              <w:t> </w:t>
            </w:r>
          </w:p>
        </w:tc>
        <w:tc>
          <w:tcPr>
            <w:tcW w:w="13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10,708</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13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11,358</w:t>
            </w:r>
          </w:p>
        </w:tc>
        <w:tc>
          <w:tcPr>
            <w:tcW w:w="693" w:type="dxa"/>
            <w:tcBorders/>
            <w:shd w:fill="auto" w:val="clear"/>
            <w:vAlign w:val="center"/>
          </w:tcPr>
          <w:p>
            <w:pPr>
              <w:pStyle w:val="TableContents"/>
              <w:spacing w:before="0" w:after="0"/>
              <w:ind w:left="0" w:right="0" w:hanging="0"/>
              <w:jc w:val="left"/>
              <w:rPr/>
            </w:pPr>
            <w:r>
              <w:rPr/>
              <w:t> </w:t>
            </w:r>
          </w:p>
        </w:tc>
      </w:tr>
      <w:tr>
        <w:trPr/>
        <w:tc>
          <w:tcPr>
            <w:tcW w:w="5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Right of use assets, net</w:t>
            </w:r>
          </w:p>
        </w:tc>
        <w:tc>
          <w:tcPr>
            <w:tcW w:w="294" w:type="dxa"/>
            <w:tcBorders/>
            <w:shd w:fill="auto" w:val="clear"/>
            <w:vAlign w:val="center"/>
          </w:tcPr>
          <w:p>
            <w:pPr>
              <w:pStyle w:val="TableContents"/>
              <w:spacing w:before="0" w:after="0"/>
              <w:ind w:left="0" w:right="0" w:hanging="0"/>
              <w:jc w:val="left"/>
              <w:rPr/>
            </w:pPr>
            <w:r>
              <w:rPr/>
              <w:t> </w:t>
            </w:r>
          </w:p>
        </w:tc>
        <w:tc>
          <w:tcPr>
            <w:tcW w:w="13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2,356</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13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1,241</w:t>
            </w:r>
          </w:p>
        </w:tc>
        <w:tc>
          <w:tcPr>
            <w:tcW w:w="693" w:type="dxa"/>
            <w:tcBorders/>
            <w:shd w:fill="auto" w:val="clear"/>
            <w:vAlign w:val="center"/>
          </w:tcPr>
          <w:p>
            <w:pPr>
              <w:pStyle w:val="TableContents"/>
              <w:spacing w:before="0" w:after="0"/>
              <w:ind w:left="0" w:right="0" w:hanging="0"/>
              <w:jc w:val="left"/>
              <w:rPr/>
            </w:pPr>
            <w:r>
              <w:rPr/>
              <w:t> </w:t>
            </w:r>
          </w:p>
        </w:tc>
      </w:tr>
      <w:tr>
        <w:trPr/>
        <w:tc>
          <w:tcPr>
            <w:tcW w:w="5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428</w:t>
            </w:r>
          </w:p>
        </w:tc>
        <w:tc>
          <w:tcPr>
            <w:tcW w:w="6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00"/>
              <w:jc w:val="left"/>
              <w:rPr/>
            </w:pPr>
            <w:r>
              <w:rPr/>
              <w:t> </w:t>
            </w:r>
          </w:p>
        </w:tc>
      </w:tr>
      <w:tr>
        <w:trPr/>
        <w:tc>
          <w:tcPr>
            <w:tcW w:w="5768" w:type="dxa"/>
            <w:tcBorders/>
            <w:shd w:fill="auto" w:val="clear"/>
            <w:vAlign w:val="center"/>
          </w:tcPr>
          <w:p>
            <w:pPr>
              <w:pStyle w:val="TableContents"/>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assets</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517,996</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40,298</w:t>
            </w:r>
          </w:p>
        </w:tc>
        <w:tc>
          <w:tcPr>
            <w:tcW w:w="6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768" w:type="dxa"/>
            <w:tcBorders/>
            <w:shd w:fill="auto" w:val="clear"/>
            <w:vAlign w:val="center"/>
          </w:tcPr>
          <w:p>
            <w:pPr>
              <w:pStyle w:val="TableContents"/>
              <w:spacing w:before="0" w:after="0"/>
              <w:ind w:left="200" w:right="0" w:hanging="0"/>
              <w:jc w:val="left"/>
              <w:rPr/>
            </w:pPr>
            <w:r>
              <w:rPr/>
              <w:t> </w:t>
            </w:r>
          </w:p>
        </w:tc>
        <w:tc>
          <w:tcPr>
            <w:tcW w:w="1682" w:type="dxa"/>
            <w:gridSpan w:val="2"/>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0" w:type="dxa"/>
            <w:gridSpan w:val="2"/>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left"/>
              <w:rPr/>
            </w:pPr>
            <w:r>
              <w:rPr/>
              <w:t> </w:t>
            </w:r>
          </w:p>
        </w:tc>
      </w:tr>
      <w:tr>
        <w:trPr/>
        <w:tc>
          <w:tcPr>
            <w:tcW w:w="5768"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 and Shareholders' Deficit/Members' Equity</w:t>
            </w:r>
          </w:p>
        </w:tc>
        <w:tc>
          <w:tcPr>
            <w:tcW w:w="1682" w:type="dxa"/>
            <w:gridSpan w:val="2"/>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0" w:type="dxa"/>
            <w:gridSpan w:val="2"/>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firstLine="200"/>
              <w:jc w:val="left"/>
              <w:rPr/>
            </w:pPr>
            <w:r>
              <w:rPr/>
              <w:t> </w:t>
            </w:r>
          </w:p>
        </w:tc>
      </w:tr>
      <w:tr>
        <w:trPr/>
        <w:tc>
          <w:tcPr>
            <w:tcW w:w="576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3,044</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2,834</w:t>
            </w:r>
          </w:p>
        </w:tc>
        <w:tc>
          <w:tcPr>
            <w:tcW w:w="693" w:type="dxa"/>
            <w:tcBorders/>
            <w:shd w:fill="auto" w:val="clear"/>
            <w:vAlign w:val="center"/>
          </w:tcPr>
          <w:p>
            <w:pPr>
              <w:pStyle w:val="TableContents"/>
              <w:spacing w:before="0" w:after="0"/>
              <w:ind w:left="0" w:right="0" w:firstLine="200"/>
              <w:jc w:val="left"/>
              <w:rPr/>
            </w:pPr>
            <w:r>
              <w:rPr/>
              <w:t> </w:t>
            </w:r>
          </w:p>
        </w:tc>
      </w:tr>
      <w:tr>
        <w:trPr/>
        <w:tc>
          <w:tcPr>
            <w:tcW w:w="576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Lease liabilities</w:t>
            </w:r>
          </w:p>
        </w:tc>
        <w:tc>
          <w:tcPr>
            <w:tcW w:w="294" w:type="dxa"/>
            <w:tcBorders/>
            <w:shd w:fill="auto" w:val="clear"/>
            <w:vAlign w:val="center"/>
          </w:tcPr>
          <w:p>
            <w:pPr>
              <w:pStyle w:val="TableContents"/>
              <w:spacing w:before="0" w:after="0"/>
              <w:ind w:left="0" w:right="0" w:hanging="0"/>
              <w:jc w:val="left"/>
              <w:rPr/>
            </w:pPr>
            <w:r>
              <w:rPr/>
              <w:t> </w:t>
            </w:r>
          </w:p>
        </w:tc>
        <w:tc>
          <w:tcPr>
            <w:tcW w:w="13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493</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13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267</w:t>
            </w:r>
          </w:p>
        </w:tc>
        <w:tc>
          <w:tcPr>
            <w:tcW w:w="693" w:type="dxa"/>
            <w:tcBorders/>
            <w:shd w:fill="auto" w:val="clear"/>
            <w:vAlign w:val="center"/>
          </w:tcPr>
          <w:p>
            <w:pPr>
              <w:pStyle w:val="TableContents"/>
              <w:spacing w:before="0" w:after="0"/>
              <w:ind w:left="0" w:right="0" w:firstLine="200"/>
              <w:jc w:val="left"/>
              <w:rPr/>
            </w:pPr>
            <w:r>
              <w:rPr/>
              <w:t> </w:t>
            </w:r>
          </w:p>
        </w:tc>
      </w:tr>
      <w:tr>
        <w:trPr/>
        <w:tc>
          <w:tcPr>
            <w:tcW w:w="576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7,336</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9,213</w:t>
            </w:r>
          </w:p>
        </w:tc>
        <w:tc>
          <w:tcPr>
            <w:tcW w:w="6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00"/>
              <w:jc w:val="left"/>
              <w:rPr/>
            </w:pPr>
            <w:r>
              <w:rPr/>
              <w:t> </w:t>
            </w:r>
          </w:p>
        </w:tc>
      </w:tr>
      <w:tr>
        <w:trPr/>
        <w:tc>
          <w:tcPr>
            <w:tcW w:w="5768" w:type="dxa"/>
            <w:tcBorders/>
            <w:shd w:fill="auto" w:val="clear"/>
            <w:vAlign w:val="center"/>
          </w:tcPr>
          <w:p>
            <w:pPr>
              <w:pStyle w:val="TableContents"/>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294" w:type="dxa"/>
            <w:tcBorders/>
            <w:shd w:fill="auto" w:val="clear"/>
            <w:vAlign w:val="center"/>
          </w:tcPr>
          <w:p>
            <w:pPr>
              <w:pStyle w:val="TableContents"/>
              <w:spacing w:before="0" w:after="0"/>
              <w:ind w:left="0" w:right="0" w:hanging="0"/>
              <w:jc w:val="left"/>
              <w:rPr/>
            </w:pPr>
            <w:r>
              <w:rPr/>
              <w:t> </w:t>
            </w:r>
          </w:p>
        </w:tc>
        <w:tc>
          <w:tcPr>
            <w:tcW w:w="13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10,873</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13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12,314</w:t>
            </w:r>
          </w:p>
        </w:tc>
        <w:tc>
          <w:tcPr>
            <w:tcW w:w="693" w:type="dxa"/>
            <w:tcBorders/>
            <w:shd w:fill="auto" w:val="clear"/>
            <w:vAlign w:val="center"/>
          </w:tcPr>
          <w:p>
            <w:pPr>
              <w:pStyle w:val="TableContents"/>
              <w:spacing w:before="0" w:after="0"/>
              <w:ind w:left="0" w:right="0" w:firstLine="200"/>
              <w:jc w:val="left"/>
              <w:rPr/>
            </w:pPr>
            <w:r>
              <w:rPr/>
              <w:t> </w:t>
            </w:r>
          </w:p>
        </w:tc>
      </w:tr>
      <w:tr>
        <w:trPr/>
        <w:tc>
          <w:tcPr>
            <w:tcW w:w="5768" w:type="dxa"/>
            <w:tcBorders/>
            <w:shd w:fill="auto" w:val="clear"/>
            <w:vAlign w:val="center"/>
          </w:tcPr>
          <w:p>
            <w:pPr>
              <w:pStyle w:val="TableContents"/>
              <w:spacing w:before="0" w:after="0"/>
              <w:ind w:left="200" w:right="0" w:hanging="0"/>
              <w:jc w:val="left"/>
              <w:rPr/>
            </w:pPr>
            <w:r>
              <w:rPr/>
              <w:t> </w:t>
            </w:r>
          </w:p>
        </w:tc>
        <w:tc>
          <w:tcPr>
            <w:tcW w:w="1682" w:type="dxa"/>
            <w:gridSpan w:val="2"/>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0" w:type="dxa"/>
            <w:gridSpan w:val="2"/>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left"/>
              <w:rPr/>
            </w:pPr>
            <w:r>
              <w:rPr/>
              <w:t> </w:t>
            </w:r>
          </w:p>
        </w:tc>
      </w:tr>
      <w:tr>
        <w:trPr/>
        <w:tc>
          <w:tcPr>
            <w:tcW w:w="5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payable, net of current portion</w:t>
            </w:r>
          </w:p>
        </w:tc>
        <w:tc>
          <w:tcPr>
            <w:tcW w:w="294" w:type="dxa"/>
            <w:tcBorders/>
            <w:shd w:fill="auto" w:val="clear"/>
            <w:vAlign w:val="center"/>
          </w:tcPr>
          <w:p>
            <w:pPr>
              <w:pStyle w:val="TableContents"/>
              <w:spacing w:before="0" w:after="0"/>
              <w:ind w:left="0" w:right="0" w:hanging="0"/>
              <w:jc w:val="left"/>
              <w:rPr/>
            </w:pPr>
            <w:r>
              <w:rPr/>
              <w:t> </w:t>
            </w:r>
          </w:p>
        </w:tc>
        <w:tc>
          <w:tcPr>
            <w:tcW w:w="13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1335" w:type="dxa"/>
            <w:tcBorders/>
            <w:shd w:fill="auto" w:val="clear"/>
            <w:vAlign w:val="center"/>
          </w:tcPr>
          <w:p>
            <w:pPr>
              <w:pStyle w:val="TableContents"/>
              <w:spacing w:before="0" w:after="0"/>
              <w:ind w:left="0" w:right="0" w:hanging="0"/>
              <w:jc w:val="right"/>
              <w:rPr/>
            </w:pPr>
            <w:r>
              <w:rPr/>
              <w:t>–</w:t>
            </w:r>
          </w:p>
        </w:tc>
        <w:tc>
          <w:tcPr>
            <w:tcW w:w="693" w:type="dxa"/>
            <w:tcBorders/>
            <w:shd w:fill="auto" w:val="clear"/>
            <w:vAlign w:val="center"/>
          </w:tcPr>
          <w:p>
            <w:pPr>
              <w:pStyle w:val="TableContents"/>
              <w:spacing w:before="0" w:after="0"/>
              <w:ind w:left="0" w:right="0" w:hanging="0"/>
              <w:jc w:val="left"/>
              <w:rPr/>
            </w:pPr>
            <w:r>
              <w:rPr/>
              <w:t> </w:t>
            </w:r>
          </w:p>
        </w:tc>
      </w:tr>
      <w:tr>
        <w:trPr/>
        <w:tc>
          <w:tcPr>
            <w:tcW w:w="5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 liabilities, net of current portion</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1,906</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1,067</w:t>
            </w:r>
          </w:p>
        </w:tc>
        <w:tc>
          <w:tcPr>
            <w:tcW w:w="6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00"/>
              <w:jc w:val="left"/>
              <w:rPr/>
            </w:pPr>
            <w:r>
              <w:rPr/>
              <w:t> </w:t>
            </w:r>
          </w:p>
        </w:tc>
      </w:tr>
      <w:tr>
        <w:trPr/>
        <w:tc>
          <w:tcPr>
            <w:tcW w:w="5768" w:type="dxa"/>
            <w:tcBorders/>
            <w:shd w:fill="auto" w:val="clear"/>
            <w:vAlign w:val="center"/>
          </w:tcPr>
          <w:p>
            <w:pPr>
              <w:pStyle w:val="TableContents"/>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294" w:type="dxa"/>
            <w:tcBorders/>
            <w:shd w:fill="auto" w:val="clear"/>
            <w:vAlign w:val="center"/>
          </w:tcPr>
          <w:p>
            <w:pPr>
              <w:pStyle w:val="TableContents"/>
              <w:spacing w:before="0" w:after="0"/>
              <w:ind w:left="0" w:right="0" w:hanging="0"/>
              <w:jc w:val="left"/>
              <w:rPr/>
            </w:pPr>
            <w:r>
              <w:rPr/>
              <w:t> </w:t>
            </w:r>
          </w:p>
        </w:tc>
        <w:tc>
          <w:tcPr>
            <w:tcW w:w="13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13,057</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13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13,381</w:t>
            </w:r>
          </w:p>
        </w:tc>
        <w:tc>
          <w:tcPr>
            <w:tcW w:w="693" w:type="dxa"/>
            <w:tcBorders/>
            <w:shd w:fill="auto" w:val="clear"/>
            <w:vAlign w:val="center"/>
          </w:tcPr>
          <w:p>
            <w:pPr>
              <w:pStyle w:val="TableContents"/>
              <w:spacing w:before="0" w:after="0"/>
              <w:ind w:left="0" w:right="0" w:hanging="0"/>
              <w:jc w:val="left"/>
              <w:rPr/>
            </w:pPr>
            <w:r>
              <w:rPr/>
              <w:t> </w:t>
            </w:r>
          </w:p>
        </w:tc>
      </w:tr>
      <w:tr>
        <w:trPr/>
        <w:tc>
          <w:tcPr>
            <w:tcW w:w="5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w:t>
            </w:r>
          </w:p>
        </w:tc>
        <w:tc>
          <w:tcPr>
            <w:tcW w:w="1682" w:type="dxa"/>
            <w:gridSpan w:val="2"/>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0" w:type="dxa"/>
            <w:gridSpan w:val="2"/>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left"/>
              <w:rPr/>
            </w:pPr>
            <w:r>
              <w:rPr/>
              <w:t> </w:t>
            </w:r>
          </w:p>
        </w:tc>
      </w:tr>
      <w:tr>
        <w:trPr/>
        <w:tc>
          <w:tcPr>
            <w:tcW w:w="5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Redeemable noncontrolling interest</w:t>
            </w:r>
          </w:p>
        </w:tc>
        <w:tc>
          <w:tcPr>
            <w:tcW w:w="294" w:type="dxa"/>
            <w:tcBorders/>
            <w:shd w:fill="auto" w:val="clear"/>
            <w:vAlign w:val="center"/>
          </w:tcPr>
          <w:p>
            <w:pPr>
              <w:pStyle w:val="TableContents"/>
              <w:spacing w:before="0" w:after="0"/>
              <w:ind w:left="0" w:right="0" w:hanging="0"/>
              <w:jc w:val="left"/>
              <w:rPr/>
            </w:pPr>
            <w:r>
              <w:rPr/>
              <w:t> </w:t>
            </w:r>
          </w:p>
        </w:tc>
        <w:tc>
          <w:tcPr>
            <w:tcW w:w="13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1,601,555</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1335" w:type="dxa"/>
            <w:tcBorders/>
            <w:shd w:fill="auto" w:val="clear"/>
            <w:vAlign w:val="center"/>
          </w:tcPr>
          <w:p>
            <w:pPr>
              <w:pStyle w:val="TableContents"/>
              <w:spacing w:before="0" w:after="0"/>
              <w:ind w:left="0" w:right="0" w:hanging="0"/>
              <w:jc w:val="right"/>
              <w:rPr/>
            </w:pPr>
            <w:r>
              <w:rPr/>
              <w:t>–</w:t>
            </w:r>
          </w:p>
        </w:tc>
        <w:tc>
          <w:tcPr>
            <w:tcW w:w="693" w:type="dxa"/>
            <w:tcBorders/>
            <w:shd w:fill="auto" w:val="clear"/>
            <w:vAlign w:val="center"/>
          </w:tcPr>
          <w:p>
            <w:pPr>
              <w:pStyle w:val="TableContents"/>
              <w:spacing w:before="0" w:after="0"/>
              <w:ind w:left="0" w:right="0" w:hanging="0"/>
              <w:jc w:val="left"/>
              <w:rPr/>
            </w:pPr>
            <w:r>
              <w:rPr/>
              <w:t> </w:t>
            </w:r>
          </w:p>
        </w:tc>
      </w:tr>
      <w:tr>
        <w:trPr/>
        <w:tc>
          <w:tcPr>
            <w:tcW w:w="5768" w:type="dxa"/>
            <w:tcBorders/>
            <w:shd w:fill="auto" w:val="clear"/>
            <w:vAlign w:val="center"/>
          </w:tcPr>
          <w:p>
            <w:pPr>
              <w:pStyle w:val="TableContents"/>
              <w:spacing w:before="0" w:after="0"/>
              <w:ind w:left="0" w:right="0" w:hanging="0"/>
              <w:jc w:val="left"/>
              <w:rPr/>
            </w:pPr>
            <w:r>
              <w:rPr/>
              <w:t> </w:t>
            </w:r>
          </w:p>
        </w:tc>
        <w:tc>
          <w:tcPr>
            <w:tcW w:w="1682" w:type="dxa"/>
            <w:gridSpan w:val="2"/>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0" w:type="dxa"/>
            <w:gridSpan w:val="2"/>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left"/>
              <w:rPr/>
            </w:pPr>
            <w:r>
              <w:rPr/>
              <w:t> </w:t>
            </w:r>
          </w:p>
        </w:tc>
      </w:tr>
      <w:tr>
        <w:trPr/>
        <w:tc>
          <w:tcPr>
            <w:tcW w:w="5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Shareholders’ deficit / members' equity:</w:t>
            </w:r>
          </w:p>
        </w:tc>
        <w:tc>
          <w:tcPr>
            <w:tcW w:w="1682" w:type="dxa"/>
            <w:gridSpan w:val="2"/>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0" w:type="dxa"/>
            <w:gridSpan w:val="2"/>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firstLine="100"/>
              <w:jc w:val="left"/>
              <w:rPr/>
            </w:pPr>
            <w:r>
              <w:rPr/>
              <w:t> </w:t>
            </w:r>
          </w:p>
        </w:tc>
      </w:tr>
      <w:tr>
        <w:trPr/>
        <w:tc>
          <w:tcPr>
            <w:tcW w:w="5768"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20"/>
              </w:rPr>
              <w:t>Class A units (186,500,000</w:t>
            </w:r>
            <w:r>
              <w:rPr>
                <w:rFonts w:ascii="Times New Roman" w:hAnsi="Times New Roman"/>
                <w:sz w:val="20"/>
              </w:rPr>
              <w:t> </w:t>
            </w:r>
            <w:r>
              <w:rPr>
                <w:rFonts w:ascii="Times New Roman;serif" w:hAnsi="Times New Roman;serif"/>
                <w:b w:val="false"/>
                <w:sz w:val="20"/>
              </w:rPr>
              <w:t>issued and outstanding at December 31, 2021)</w:t>
            </w:r>
          </w:p>
        </w:tc>
        <w:tc>
          <w:tcPr>
            <w:tcW w:w="294" w:type="dxa"/>
            <w:tcBorders/>
            <w:shd w:fill="auto" w:val="clear"/>
            <w:vAlign w:val="center"/>
          </w:tcPr>
          <w:p>
            <w:pPr>
              <w:pStyle w:val="TableContents"/>
              <w:spacing w:before="0" w:after="0"/>
              <w:ind w:left="0" w:right="0" w:hanging="0"/>
              <w:jc w:val="left"/>
              <w:rPr/>
            </w:pPr>
            <w:r>
              <w:rPr/>
              <w:t> </w:t>
            </w:r>
          </w:p>
        </w:tc>
        <w:tc>
          <w:tcPr>
            <w:tcW w:w="1388"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13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186,500</w:t>
            </w:r>
          </w:p>
        </w:tc>
        <w:tc>
          <w:tcPr>
            <w:tcW w:w="693" w:type="dxa"/>
            <w:tcBorders/>
            <w:shd w:fill="auto" w:val="clear"/>
            <w:vAlign w:val="center"/>
          </w:tcPr>
          <w:p>
            <w:pPr>
              <w:pStyle w:val="TableContents"/>
              <w:spacing w:before="0" w:after="0"/>
              <w:ind w:left="0" w:right="0" w:firstLine="100"/>
              <w:jc w:val="left"/>
              <w:rPr/>
            </w:pPr>
            <w:r>
              <w:rPr/>
              <w:t> </w:t>
            </w:r>
          </w:p>
        </w:tc>
      </w:tr>
      <w:tr>
        <w:trPr/>
        <w:tc>
          <w:tcPr>
            <w:tcW w:w="5768"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20"/>
              </w:rPr>
              <w:t>Class B units (7,767,122</w:t>
            </w:r>
            <w:r>
              <w:rPr>
                <w:rFonts w:ascii="Times New Roman" w:hAnsi="Times New Roman"/>
                <w:sz w:val="20"/>
              </w:rPr>
              <w:t> </w:t>
            </w:r>
            <w:r>
              <w:rPr>
                <w:rFonts w:ascii="Times New Roman;serif" w:hAnsi="Times New Roman;serif"/>
                <w:b w:val="false"/>
                <w:sz w:val="20"/>
              </w:rPr>
              <w:t>issued and outstanding at December 31, 2021)</w:t>
            </w:r>
          </w:p>
        </w:tc>
        <w:tc>
          <w:tcPr>
            <w:tcW w:w="294" w:type="dxa"/>
            <w:tcBorders/>
            <w:shd w:fill="auto" w:val="clear"/>
            <w:vAlign w:val="center"/>
          </w:tcPr>
          <w:p>
            <w:pPr>
              <w:pStyle w:val="TableContents"/>
              <w:spacing w:before="0" w:after="0"/>
              <w:ind w:left="0" w:right="0" w:hanging="0"/>
              <w:jc w:val="left"/>
              <w:rPr/>
            </w:pPr>
            <w:r>
              <w:rPr/>
              <w:t> </w:t>
            </w:r>
          </w:p>
        </w:tc>
        <w:tc>
          <w:tcPr>
            <w:tcW w:w="1388"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13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1,927</w:t>
            </w:r>
          </w:p>
        </w:tc>
        <w:tc>
          <w:tcPr>
            <w:tcW w:w="693" w:type="dxa"/>
            <w:tcBorders/>
            <w:shd w:fill="auto" w:val="clear"/>
            <w:vAlign w:val="center"/>
          </w:tcPr>
          <w:p>
            <w:pPr>
              <w:pStyle w:val="TableContents"/>
              <w:spacing w:before="0" w:after="0"/>
              <w:ind w:left="0" w:right="0" w:firstLine="100"/>
              <w:jc w:val="left"/>
              <w:rPr/>
            </w:pPr>
            <w:r>
              <w:rPr/>
              <w:t> </w:t>
            </w:r>
          </w:p>
        </w:tc>
      </w:tr>
      <w:tr>
        <w:trPr/>
        <w:tc>
          <w:tcPr>
            <w:tcW w:w="5768"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20"/>
              </w:rPr>
              <w:t>Class A ordinary shares, $0.0001</w:t>
            </w:r>
            <w:r>
              <w:rPr>
                <w:rFonts w:ascii="Times New Roman" w:hAnsi="Times New Roman"/>
                <w:sz w:val="20"/>
              </w:rPr>
              <w:t> </w:t>
            </w:r>
            <w:r>
              <w:rPr>
                <w:rFonts w:ascii="Times New Roman;serif" w:hAnsi="Times New Roman;serif"/>
                <w:b w:val="false"/>
                <w:sz w:val="20"/>
              </w:rPr>
              <w:t>par value; 500,000,000</w:t>
            </w:r>
            <w:r>
              <w:rPr>
                <w:rFonts w:ascii="Times New Roman" w:hAnsi="Times New Roman"/>
                <w:sz w:val="20"/>
              </w:rPr>
              <w:t> </w:t>
            </w:r>
            <w:r>
              <w:rPr>
                <w:rFonts w:ascii="Times New Roman;serif" w:hAnsi="Times New Roman;serif"/>
                <w:b w:val="false"/>
                <w:sz w:val="20"/>
              </w:rPr>
              <w:t xml:space="preserve">shares </w:t>
              <w:br/>
              <w:t>   authorized; 61,540,231</w:t>
            </w:r>
            <w:r>
              <w:rPr>
                <w:rFonts w:ascii="Times New Roman" w:hAnsi="Times New Roman"/>
                <w:sz w:val="20"/>
              </w:rPr>
              <w:t> </w:t>
            </w:r>
            <w:r>
              <w:rPr>
                <w:rFonts w:ascii="Times New Roman;serif" w:hAnsi="Times New Roman;serif"/>
                <w:b w:val="false"/>
                <w:sz w:val="20"/>
              </w:rPr>
              <w:t xml:space="preserve">issued and outstanding as of December </w:t>
              <w:br/>
              <w:t>   31, 2022</w:t>
            </w:r>
          </w:p>
        </w:tc>
        <w:tc>
          <w:tcPr>
            <w:tcW w:w="294" w:type="dxa"/>
            <w:tcBorders/>
            <w:shd w:fill="auto" w:val="clear"/>
            <w:vAlign w:val="center"/>
          </w:tcPr>
          <w:p>
            <w:pPr>
              <w:pStyle w:val="TableContents"/>
              <w:spacing w:before="0" w:after="0"/>
              <w:ind w:left="0" w:right="0" w:hanging="0"/>
              <w:jc w:val="left"/>
              <w:rPr/>
            </w:pPr>
            <w:r>
              <w:rPr/>
              <w:t> </w:t>
            </w:r>
          </w:p>
        </w:tc>
        <w:tc>
          <w:tcPr>
            <w:tcW w:w="13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1335" w:type="dxa"/>
            <w:tcBorders/>
            <w:shd w:fill="auto" w:val="clear"/>
            <w:vAlign w:val="center"/>
          </w:tcPr>
          <w:p>
            <w:pPr>
              <w:pStyle w:val="TableContents"/>
              <w:spacing w:before="0" w:after="0"/>
              <w:ind w:left="0" w:right="0" w:hanging="0"/>
              <w:jc w:val="right"/>
              <w:rPr/>
            </w:pPr>
            <w:r>
              <w:rPr/>
              <w:t>–</w:t>
            </w:r>
          </w:p>
        </w:tc>
        <w:tc>
          <w:tcPr>
            <w:tcW w:w="693" w:type="dxa"/>
            <w:tcBorders/>
            <w:shd w:fill="auto" w:val="clear"/>
            <w:vAlign w:val="center"/>
          </w:tcPr>
          <w:p>
            <w:pPr>
              <w:pStyle w:val="TableContents"/>
              <w:spacing w:before="0" w:after="0"/>
              <w:ind w:left="0" w:right="0" w:firstLine="100"/>
              <w:jc w:val="left"/>
              <w:rPr/>
            </w:pPr>
            <w:r>
              <w:rPr/>
              <w:t> </w:t>
            </w:r>
          </w:p>
        </w:tc>
      </w:tr>
      <w:tr>
        <w:trPr/>
        <w:tc>
          <w:tcPr>
            <w:tcW w:w="5768"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20"/>
              </w:rPr>
              <w:t>Class B ordinary shares, $0.0001</w:t>
            </w:r>
            <w:r>
              <w:rPr>
                <w:rFonts w:ascii="Times New Roman" w:hAnsi="Times New Roman"/>
                <w:sz w:val="20"/>
              </w:rPr>
              <w:t> </w:t>
            </w:r>
            <w:r>
              <w:rPr>
                <w:rFonts w:ascii="Times New Roman;serif" w:hAnsi="Times New Roman;serif"/>
                <w:b w:val="false"/>
                <w:sz w:val="20"/>
              </w:rPr>
              <w:t>par value; 500,000,000</w:t>
            </w:r>
            <w:r>
              <w:rPr>
                <w:rFonts w:ascii="Times New Roman" w:hAnsi="Times New Roman"/>
                <w:sz w:val="20"/>
              </w:rPr>
              <w:t> </w:t>
            </w:r>
            <w:r>
              <w:rPr>
                <w:rFonts w:ascii="Times New Roman;serif" w:hAnsi="Times New Roman;serif"/>
                <w:b w:val="false"/>
                <w:sz w:val="20"/>
              </w:rPr>
              <w:t>shares</w:t>
              <w:br/>
              <w:t>   authorized; 171,578,320</w:t>
            </w:r>
            <w:r>
              <w:rPr>
                <w:rFonts w:ascii="Times New Roman" w:hAnsi="Times New Roman"/>
                <w:sz w:val="20"/>
              </w:rPr>
              <w:t> </w:t>
            </w:r>
            <w:r>
              <w:rPr>
                <w:rFonts w:ascii="Times New Roman;serif" w:hAnsi="Times New Roman;serif"/>
                <w:b w:val="false"/>
                <w:sz w:val="20"/>
              </w:rPr>
              <w:t xml:space="preserve">issued and outstanding as of December </w:t>
              <w:br/>
              <w:t>   31, 2022</w:t>
            </w:r>
          </w:p>
        </w:tc>
        <w:tc>
          <w:tcPr>
            <w:tcW w:w="294" w:type="dxa"/>
            <w:tcBorders/>
            <w:shd w:fill="auto" w:val="clear"/>
            <w:vAlign w:val="center"/>
          </w:tcPr>
          <w:p>
            <w:pPr>
              <w:pStyle w:val="TableContents"/>
              <w:spacing w:before="0" w:after="0"/>
              <w:ind w:left="0" w:right="0" w:hanging="0"/>
              <w:jc w:val="left"/>
              <w:rPr/>
            </w:pPr>
            <w:r>
              <w:rPr/>
              <w:t> </w:t>
            </w:r>
          </w:p>
        </w:tc>
        <w:tc>
          <w:tcPr>
            <w:tcW w:w="13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1335" w:type="dxa"/>
            <w:tcBorders/>
            <w:shd w:fill="auto" w:val="clear"/>
            <w:vAlign w:val="center"/>
          </w:tcPr>
          <w:p>
            <w:pPr>
              <w:pStyle w:val="TableContents"/>
              <w:spacing w:before="0" w:after="0"/>
              <w:ind w:left="0" w:right="0" w:hanging="0"/>
              <w:jc w:val="right"/>
              <w:rPr/>
            </w:pPr>
            <w:r>
              <w:rPr/>
              <w:t>–</w:t>
            </w:r>
          </w:p>
        </w:tc>
        <w:tc>
          <w:tcPr>
            <w:tcW w:w="693" w:type="dxa"/>
            <w:tcBorders/>
            <w:shd w:fill="auto" w:val="clear"/>
            <w:vAlign w:val="center"/>
          </w:tcPr>
          <w:p>
            <w:pPr>
              <w:pStyle w:val="TableContents"/>
              <w:spacing w:before="0" w:after="0"/>
              <w:ind w:left="0" w:right="0" w:firstLine="100"/>
              <w:jc w:val="left"/>
              <w:rPr/>
            </w:pPr>
            <w:r>
              <w:rPr/>
              <w:t> </w:t>
            </w:r>
          </w:p>
        </w:tc>
      </w:tr>
      <w:tr>
        <w:trPr/>
        <w:tc>
          <w:tcPr>
            <w:tcW w:w="5768"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294" w:type="dxa"/>
            <w:tcBorders/>
            <w:shd w:fill="auto" w:val="clear"/>
            <w:vAlign w:val="center"/>
          </w:tcPr>
          <w:p>
            <w:pPr>
              <w:pStyle w:val="TableContents"/>
              <w:spacing w:before="0" w:after="0"/>
              <w:ind w:left="0" w:right="0" w:hanging="0"/>
              <w:jc w:val="left"/>
              <w:rPr/>
            </w:pPr>
            <w:r>
              <w:rPr/>
              <w:t> </w:t>
            </w:r>
          </w:p>
        </w:tc>
        <w:tc>
          <w:tcPr>
            <w:tcW w:w="13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7,476</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1335" w:type="dxa"/>
            <w:tcBorders/>
            <w:shd w:fill="auto" w:val="clear"/>
            <w:vAlign w:val="center"/>
          </w:tcPr>
          <w:p>
            <w:pPr>
              <w:pStyle w:val="TableContents"/>
              <w:spacing w:before="0" w:after="0"/>
              <w:ind w:left="0" w:right="0" w:hanging="0"/>
              <w:jc w:val="right"/>
              <w:rPr/>
            </w:pPr>
            <w:r>
              <w:rPr/>
              <w:t>–</w:t>
            </w:r>
          </w:p>
        </w:tc>
        <w:tc>
          <w:tcPr>
            <w:tcW w:w="693" w:type="dxa"/>
            <w:tcBorders/>
            <w:shd w:fill="auto" w:val="clear"/>
            <w:vAlign w:val="center"/>
          </w:tcPr>
          <w:p>
            <w:pPr>
              <w:pStyle w:val="TableContents"/>
              <w:spacing w:before="0" w:after="0"/>
              <w:ind w:left="0" w:right="0" w:firstLine="100"/>
              <w:jc w:val="left"/>
              <w:rPr/>
            </w:pPr>
            <w:r>
              <w:rPr/>
              <w:t> </w:t>
            </w:r>
          </w:p>
        </w:tc>
      </w:tr>
      <w:tr>
        <w:trPr/>
        <w:tc>
          <w:tcPr>
            <w:tcW w:w="5768"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(1,104,116</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(161,510</w:t>
            </w:r>
          </w:p>
        </w:tc>
        <w:tc>
          <w:tcPr>
            <w:tcW w:w="6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shareholders' deficit / members’ equity</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(1,096,616</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26,917</w:t>
            </w:r>
          </w:p>
        </w:tc>
        <w:tc>
          <w:tcPr>
            <w:tcW w:w="6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76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liabilities and shareholders' deficit/members' equity</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517,996</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40,298</w:t>
            </w:r>
          </w:p>
        </w:tc>
        <w:tc>
          <w:tcPr>
            <w:tcW w:w="6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consolidated financial statements.</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F-3</w:t>
      </w:r>
    </w:p>
    <w:p>
      <w:pPr>
        <w:pStyle w:val="HorizontalLine"/>
        <w:rPr/>
      </w:pPr>
      <w:r>
        <w:rPr/>
      </w:r>
    </w:p>
    <w:p>
      <w:pPr>
        <w:pStyle w:val="TextBody"/>
        <w:spacing w:before="0" w:after="0"/>
        <w:jc w:val="left"/>
        <w:rPr/>
      </w:pPr>
      <w:r>
        <w:rPr/>
        <w:t> </w:t>
      </w:r>
    </w:p>
    <w:p>
      <w:pPr>
        <w:pStyle w:val="TextBody"/>
        <w:spacing w:before="360" w:after="0"/>
        <w:jc w:val="center"/>
        <w:rPr>
          <w:rFonts w:ascii="Times New Roman;serif" w:hAnsi="Times New Roman;serif"/>
          <w:b/>
          <w:sz w:val="20"/>
        </w:rPr>
      </w:pPr>
      <w:r>
        <w:rPr>
          <w:rFonts w:ascii="Times New Roman;serif" w:hAnsi="Times New Roman;serif"/>
          <w:b/>
          <w:sz w:val="20"/>
        </w:rPr>
        <w:t>ProKidney Corp.</w:t>
      </w:r>
    </w:p>
    <w:p>
      <w:pPr>
        <w:pStyle w:val="TextBody"/>
        <w:spacing w:before="0" w:after="0"/>
        <w:jc w:val="center"/>
        <w:rPr>
          <w:rFonts w:ascii="Times New Roman" w:hAnsi="Times New Roman"/>
          <w:sz w:val="20"/>
        </w:rPr>
      </w:pPr>
      <w:bookmarkStart w:id="123" w:name="consolidated_statements_of_operations"/>
      <w:bookmarkEnd w:id="123"/>
      <w:r>
        <w:rPr>
          <w:rFonts w:ascii="Times New Roman;serif" w:hAnsi="Times New Roman;serif"/>
          <w:b/>
          <w:sz w:val="20"/>
        </w:rPr>
        <w:t>Consolidated Statements of Operations</w:t>
      </w:r>
      <w:r>
        <w:rPr>
          <w:rFonts w:ascii="Times New Roman" w:hAnsi="Times New Roman"/>
          <w:sz w:val="20"/>
        </w:rPr>
        <w:t xml:space="preserve"> </w:t>
      </w:r>
      <w:r>
        <w:rPr>
          <w:rFonts w:ascii="Times New Roman;serif" w:hAnsi="Times New Roman;serif"/>
          <w:b/>
          <w:sz w:val="20"/>
        </w:rPr>
        <w:t>and Comprehensive Loss</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for share and per share data)</w:t>
      </w:r>
    </w:p>
    <w:p>
      <w:pPr>
        <w:pStyle w:val="TextBody"/>
        <w:spacing w:before="0" w:after="0"/>
        <w:jc w:val="left"/>
        <w:rPr/>
      </w:pPr>
      <w:r>
        <w:rPr/>
        <w:t> </w:t>
      </w:r>
    </w:p>
    <w:tbl>
      <w:tblPr>
        <w:tblW w:w="9838" w:type="dxa"/>
        <w:jc w:val="left"/>
        <w:tblInd w:w="0" w:type="dxa"/>
        <w:tblCellMar>
          <w:top w:w="28" w:type="dxa"/>
          <w:left w:w="28" w:type="dxa"/>
          <w:bottom w:w="28" w:type="dxa"/>
          <w:right w:w="28" w:type="dxa"/>
        </w:tblCellMar>
      </w:tblPr>
      <w:tblGrid>
        <w:gridCol w:w="4936"/>
        <w:gridCol w:w="146"/>
        <w:gridCol w:w="211"/>
        <w:gridCol w:w="1036"/>
        <w:gridCol w:w="666"/>
        <w:gridCol w:w="146"/>
        <w:gridCol w:w="211"/>
        <w:gridCol w:w="736"/>
        <w:gridCol w:w="166"/>
        <w:gridCol w:w="146"/>
        <w:gridCol w:w="211"/>
        <w:gridCol w:w="736"/>
        <w:gridCol w:w="491"/>
      </w:tblGrid>
      <w:tr>
        <w:trPr/>
        <w:tc>
          <w:tcPr>
            <w:tcW w:w="49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49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6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2020</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6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both"/>
              <w:rPr/>
            </w:pPr>
            <w:r>
              <w:rPr/>
              <w:t> </w:t>
            </w:r>
          </w:p>
        </w:tc>
        <w:tc>
          <w:tcPr>
            <w:tcW w:w="491" w:type="dxa"/>
            <w:tcBorders/>
            <w:shd w:fill="auto" w:val="clear"/>
            <w:vAlign w:val="center"/>
          </w:tcPr>
          <w:p>
            <w:pPr>
              <w:pStyle w:val="TableContents"/>
              <w:spacing w:before="0" w:after="0"/>
              <w:ind w:left="0" w:right="0" w:firstLine="200"/>
              <w:jc w:val="both"/>
              <w:rPr/>
            </w:pPr>
            <w:r>
              <w:rPr/>
              <w:t> </w:t>
            </w:r>
          </w:p>
        </w:tc>
      </w:tr>
      <w:tr>
        <w:trPr/>
        <w:tc>
          <w:tcPr>
            <w:tcW w:w="493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82,070</w:t>
            </w:r>
          </w:p>
        </w:tc>
        <w:tc>
          <w:tcPr>
            <w:tcW w:w="666" w:type="dxa"/>
            <w:tcBorders/>
            <w:shd w:fill="auto" w:val="cle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46,255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21,042</w:t>
            </w:r>
          </w:p>
        </w:tc>
        <w:tc>
          <w:tcPr>
            <w:tcW w:w="491" w:type="dxa"/>
            <w:tcBorders/>
            <w:shd w:fill="auto" w:val="clear"/>
            <w:vAlign w:val="center"/>
          </w:tcPr>
          <w:p>
            <w:pPr>
              <w:pStyle w:val="TableContents"/>
              <w:spacing w:before="0" w:after="0"/>
              <w:ind w:left="0" w:right="0" w:firstLine="200"/>
              <w:jc w:val="left"/>
              <w:rPr/>
            </w:pPr>
            <w:r>
              <w:rPr/>
              <w:t> </w:t>
            </w:r>
          </w:p>
        </w:tc>
      </w:tr>
      <w:tr>
        <w:trPr/>
        <w:tc>
          <w:tcPr>
            <w:tcW w:w="493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70,937</w:t>
            </w:r>
          </w:p>
        </w:tc>
        <w:tc>
          <w:tcPr>
            <w:tcW w:w="6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8,855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5,982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153,007</w:t>
            </w:r>
          </w:p>
        </w:tc>
        <w:tc>
          <w:tcPr>
            <w:tcW w:w="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27,024</w:t>
            </w:r>
          </w:p>
        </w:tc>
        <w:tc>
          <w:tcPr>
            <w:tcW w:w="491" w:type="dxa"/>
            <w:tcBorders/>
            <w:shd w:fill="auto" w:val="clear"/>
            <w:vAlign w:val="center"/>
          </w:tcPr>
          <w:p>
            <w:pPr>
              <w:pStyle w:val="TableContents"/>
              <w:spacing w:before="0" w:after="0"/>
              <w:ind w:left="0" w:right="0" w:hanging="0"/>
              <w:jc w:val="left"/>
              <w:rPr/>
            </w:pPr>
            <w:r>
              <w:rPr/>
              <w:t> </w:t>
            </w:r>
          </w:p>
        </w:tc>
      </w:tr>
      <w:tr>
        <w:trPr/>
        <w:tc>
          <w:tcPr>
            <w:tcW w:w="49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(153,007</w:t>
            </w:r>
          </w:p>
        </w:tc>
        <w:tc>
          <w:tcPr>
            <w:tcW w:w="6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(27,024</w:t>
            </w:r>
          </w:p>
        </w:tc>
        <w:tc>
          <w:tcPr>
            <w:tcW w:w="4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936" w:type="dxa"/>
            <w:tcBorders/>
            <w:shd w:fill="auto" w:val="cle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666" w:type="dxa"/>
            <w:tcBorders/>
            <w:shd w:fill="auto" w:val="clear"/>
            <w:vAlign w:val="center"/>
          </w:tcPr>
          <w:p>
            <w:pPr>
              <w:pStyle w:val="TableContents"/>
              <w:spacing w:before="0" w:after="0"/>
              <w:ind w:left="0" w:right="0" w:firstLine="200"/>
              <w:jc w:val="righ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493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shd w:fill="auto" w:val="clear"/>
            <w:vAlign w:val="center"/>
          </w:tcPr>
          <w:p>
            <w:pPr>
              <w:pStyle w:val="TableContents"/>
              <w:spacing w:before="0" w:after="0"/>
              <w:ind w:left="20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666" w:type="dxa"/>
            <w:tcBorders/>
            <w:shd w:fill="auto" w:val="clear"/>
            <w:vAlign w:val="center"/>
          </w:tcPr>
          <w:p>
            <w:pPr>
              <w:pStyle w:val="TableContents"/>
              <w:spacing w:before="0" w:after="0"/>
              <w:ind w:left="0" w:right="0" w:firstLine="200"/>
              <w:jc w:val="righ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100"/>
              <w:jc w:val="left"/>
              <w:rPr/>
            </w:pPr>
            <w:r>
              <w:rPr/>
              <w:t> </w:t>
            </w:r>
          </w:p>
        </w:tc>
      </w:tr>
      <w:tr>
        <w:trPr/>
        <w:tc>
          <w:tcPr>
            <w:tcW w:w="493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5,983</w:t>
            </w:r>
          </w:p>
        </w:tc>
        <w:tc>
          <w:tcPr>
            <w:tcW w:w="666" w:type="dxa"/>
            <w:tcBorders/>
            <w:shd w:fill="auto" w:val="cle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491" w:type="dxa"/>
            <w:tcBorders/>
            <w:shd w:fill="auto" w:val="clear"/>
            <w:vAlign w:val="center"/>
          </w:tcPr>
          <w:p>
            <w:pPr>
              <w:pStyle w:val="TableContents"/>
              <w:spacing w:before="0" w:after="0"/>
              <w:ind w:left="0" w:right="0" w:firstLine="100"/>
              <w:jc w:val="left"/>
              <w:rPr/>
            </w:pPr>
            <w:r>
              <w:rPr/>
              <w:t> </w:t>
            </w:r>
          </w:p>
        </w:tc>
      </w:tr>
      <w:tr>
        <w:trPr/>
        <w:tc>
          <w:tcPr>
            <w:tcW w:w="493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w:t>
            </w:r>
          </w:p>
        </w:tc>
        <w:tc>
          <w:tcPr>
            <w:tcW w:w="6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493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Net loss before income taxes</w:t>
            </w:r>
          </w:p>
        </w:tc>
        <w:tc>
          <w:tcPr>
            <w:tcW w:w="146" w:type="dxa"/>
            <w:tcBorders/>
            <w:shd w:fill="auto" w:val="clear"/>
            <w:vAlign w:val="center"/>
          </w:tcPr>
          <w:p>
            <w:pPr>
              <w:pStyle w:val="TableContents"/>
              <w:spacing w:before="0" w:after="0"/>
              <w:ind w:left="5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(147,239</w:t>
            </w:r>
          </w:p>
        </w:tc>
        <w:tc>
          <w:tcPr>
            <w:tcW w:w="66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5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(55,108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(26,981</w:t>
            </w:r>
          </w:p>
        </w:tc>
        <w:tc>
          <w:tcPr>
            <w:tcW w:w="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9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 (benefit)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896</w:t>
            </w:r>
          </w:p>
        </w:tc>
        <w:tc>
          <w:tcPr>
            <w:tcW w:w="6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93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Net and comprehensive loss before noncontrolling</w:t>
              <w:br/>
              <w:t>   interest</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(148,135</w:t>
            </w:r>
          </w:p>
        </w:tc>
        <w:tc>
          <w:tcPr>
            <w:tcW w:w="66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(55,146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(26,749</w:t>
            </w:r>
          </w:p>
        </w:tc>
        <w:tc>
          <w:tcPr>
            <w:tcW w:w="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93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 xml:space="preserve">Net loss and comprehensive loss attributable to </w:t>
              <w:br/>
              <w:t>   noncontrolling interest</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(40,103</w:t>
            </w:r>
          </w:p>
        </w:tc>
        <w:tc>
          <w:tcPr>
            <w:tcW w:w="6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93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Net loss and comprehensive loss available to Class A</w:t>
              <w:br/>
              <w:t>   ordinary shareholders</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(108,032</w:t>
            </w:r>
          </w:p>
        </w:tc>
        <w:tc>
          <w:tcPr>
            <w:tcW w:w="6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(55,146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(26,749</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936" w:type="dxa"/>
            <w:tcBorders/>
            <w:shd w:fill="auto" w:val="cle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666" w:type="dxa"/>
            <w:tcBorders/>
            <w:shd w:fill="auto" w:val="clear"/>
            <w:vAlign w:val="center"/>
          </w:tcPr>
          <w:p>
            <w:pPr>
              <w:pStyle w:val="TableContents"/>
              <w:spacing w:before="0" w:after="0"/>
              <w:ind w:left="0" w:right="0" w:firstLine="200"/>
              <w:jc w:val="righ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493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Weighted average Class A ordinary shares outstanding: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6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200"/>
              <w:jc w:val="left"/>
              <w:rPr/>
            </w:pPr>
            <w:r>
              <w:rPr/>
              <w:t> </w:t>
            </w:r>
          </w:p>
        </w:tc>
      </w:tr>
      <w:tr>
        <w:trPr/>
        <w:tc>
          <w:tcPr>
            <w:tcW w:w="493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Basic and diluted</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61,540,231</w:t>
            </w:r>
          </w:p>
        </w:tc>
        <w:tc>
          <w:tcPr>
            <w:tcW w:w="666" w:type="dxa"/>
            <w:tcBorders/>
            <w:shd w:fill="auto" w:val="cle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493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Net loss per share attributable to Class A ordinary shares: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6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both"/>
              <w:rPr/>
            </w:pPr>
            <w:r>
              <w:rPr/>
              <w:t> </w:t>
            </w:r>
          </w:p>
        </w:tc>
        <w:tc>
          <w:tcPr>
            <w:tcW w:w="16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both"/>
              <w:rPr/>
            </w:pPr>
            <w:r>
              <w:rPr/>
              <w:t> </w:t>
            </w:r>
          </w:p>
        </w:tc>
        <w:tc>
          <w:tcPr>
            <w:tcW w:w="491" w:type="dxa"/>
            <w:tcBorders/>
            <w:shd w:fill="auto" w:val="clear"/>
            <w:vAlign w:val="center"/>
          </w:tcPr>
          <w:p>
            <w:pPr>
              <w:pStyle w:val="TableContents"/>
              <w:spacing w:before="0" w:after="0"/>
              <w:ind w:left="0" w:right="0" w:firstLine="200"/>
              <w:jc w:val="both"/>
              <w:rPr/>
            </w:pPr>
            <w:r>
              <w:rPr/>
              <w:t> </w:t>
            </w:r>
          </w:p>
        </w:tc>
      </w:tr>
      <w:tr>
        <w:trPr/>
        <w:tc>
          <w:tcPr>
            <w:tcW w:w="493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Basic and diluted</w:t>
            </w:r>
          </w:p>
        </w:tc>
        <w:tc>
          <w:tcPr>
            <w:tcW w:w="146" w:type="dxa"/>
            <w:tcBorders/>
            <w:shd w:fill="auto" w:val="clear"/>
            <w:vAlign w:val="center"/>
          </w:tcPr>
          <w:p>
            <w:pPr>
              <w:pStyle w:val="TableContents"/>
              <w:spacing w:before="0" w:after="0"/>
              <w:ind w:left="2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(0.23</w:t>
            </w:r>
          </w:p>
        </w:tc>
        <w:tc>
          <w:tcPr>
            <w:tcW w:w="6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20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For the year ended December 31, 2022, net loss per Class A ordinary share and weighted average Class A ordinary shares outstanding reflects the period from July 11, 2022 through December 31, 2022, the period following the Business Combination, as defined in Note 1. For more information refer to Note 8.</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F-4</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ProKidney Corp.</w:t>
      </w:r>
    </w:p>
    <w:p>
      <w:pPr>
        <w:pStyle w:val="TextBody"/>
        <w:spacing w:before="0" w:after="0"/>
        <w:jc w:val="center"/>
        <w:rPr>
          <w:rFonts w:ascii="Times New Roman" w:hAnsi="Times New Roman"/>
          <w:sz w:val="20"/>
        </w:rPr>
      </w:pPr>
      <w:bookmarkStart w:id="124" w:name="stockholders_deficit"/>
      <w:bookmarkEnd w:id="124"/>
      <w:r>
        <w:rPr>
          <w:rFonts w:ascii="Times New Roman;serif" w:hAnsi="Times New Roman;serif"/>
          <w:b/>
          <w:sz w:val="20"/>
        </w:rPr>
        <w:t>Consolidated Statements of Changes in Redeemable Noncontrolling Interest and Shareholders’ Deficit</w:t>
      </w:r>
      <w:r>
        <w:rPr>
          <w:rFonts w:ascii="Times New Roman" w:hAnsi="Times New Roman"/>
          <w:sz w:val="20"/>
        </w:rPr>
        <w:t xml:space="preserve"> </w:t>
      </w:r>
      <w:r>
        <w:rPr>
          <w:rFonts w:ascii="Times New Roman;serif" w:hAnsi="Times New Roman;serif"/>
          <w:b/>
          <w:sz w:val="20"/>
        </w:rPr>
        <w:t>/ Members’ Equity</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for share and per share data)</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tbl>
      <w:tblPr>
        <w:tblW w:w="17590" w:type="dxa"/>
        <w:jc w:val="left"/>
        <w:tblInd w:w="0" w:type="dxa"/>
        <w:tblCellMar>
          <w:top w:w="28" w:type="dxa"/>
          <w:left w:w="28" w:type="dxa"/>
          <w:bottom w:w="28" w:type="dxa"/>
          <w:right w:w="28" w:type="dxa"/>
        </w:tblCellMar>
      </w:tblPr>
      <w:tblGrid>
        <w:gridCol w:w="1451"/>
        <w:gridCol w:w="146"/>
        <w:gridCol w:w="257"/>
        <w:gridCol w:w="1139"/>
        <w:gridCol w:w="166"/>
        <w:gridCol w:w="146"/>
        <w:gridCol w:w="146"/>
        <w:gridCol w:w="146"/>
        <w:gridCol w:w="1201"/>
        <w:gridCol w:w="166"/>
        <w:gridCol w:w="146"/>
        <w:gridCol w:w="211"/>
        <w:gridCol w:w="841"/>
        <w:gridCol w:w="166"/>
        <w:gridCol w:w="146"/>
        <w:gridCol w:w="211"/>
        <w:gridCol w:w="736"/>
        <w:gridCol w:w="166"/>
        <w:gridCol w:w="146"/>
        <w:gridCol w:w="211"/>
        <w:gridCol w:w="1036"/>
        <w:gridCol w:w="146"/>
        <w:gridCol w:w="146"/>
        <w:gridCol w:w="377"/>
        <w:gridCol w:w="404"/>
        <w:gridCol w:w="146"/>
        <w:gridCol w:w="146"/>
        <w:gridCol w:w="211"/>
        <w:gridCol w:w="1141"/>
        <w:gridCol w:w="146"/>
        <w:gridCol w:w="146"/>
        <w:gridCol w:w="312"/>
        <w:gridCol w:w="469"/>
        <w:gridCol w:w="146"/>
        <w:gridCol w:w="146"/>
        <w:gridCol w:w="271"/>
        <w:gridCol w:w="735"/>
        <w:gridCol w:w="146"/>
        <w:gridCol w:w="146"/>
        <w:gridCol w:w="213"/>
        <w:gridCol w:w="1003"/>
        <w:gridCol w:w="166"/>
        <w:gridCol w:w="146"/>
        <w:gridCol w:w="226"/>
        <w:gridCol w:w="1065"/>
        <w:gridCol w:w="411"/>
      </w:tblGrid>
      <w:tr>
        <w:trPr/>
        <w:tc>
          <w:tcPr>
            <w:tcW w:w="1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1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4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5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91"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1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Class A Units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Class B Units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Class A Ordinary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Class B Ordinary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1"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1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Redeemable Noncontrolling Interest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Units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Profits Interests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Additional Paid-in 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Accumulated 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 Shareholders' Deficit / Members' Equity</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December 31, 2019</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95,000,000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(79,615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15,883</w:t>
            </w:r>
          </w:p>
        </w:tc>
        <w:tc>
          <w:tcPr>
            <w:tcW w:w="411" w:type="dxa"/>
            <w:tcBorders/>
            <w:shd w:fill="auto" w:val="clear"/>
            <w:vAlign w:val="center"/>
          </w:tcPr>
          <w:p>
            <w:pPr>
              <w:pStyle w:val="TableContents"/>
              <w:spacing w:before="0" w:after="0"/>
              <w:ind w:left="0" w:right="0" w:firstLine="100"/>
              <w:jc w:val="left"/>
              <w:rPr/>
            </w:pPr>
            <w:r>
              <w:rPr/>
              <w:t> </w:t>
            </w:r>
          </w:p>
        </w:tc>
      </w:tr>
      <w:tr>
        <w:trPr/>
        <w:tc>
          <w:tcPr>
            <w:tcW w:w="145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Capital contribution</w:t>
            </w:r>
          </w:p>
        </w:tc>
        <w:tc>
          <w:tcPr>
            <w:tcW w:w="146" w:type="dxa"/>
            <w:tcBorders/>
            <w:shd w:fill="auto" w:val="clear"/>
            <w:vAlign w:val="center"/>
          </w:tcPr>
          <w:p>
            <w:pPr>
              <w:pStyle w:val="TableContents"/>
              <w:spacing w:before="0" w:after="0"/>
              <w:ind w:left="10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20,000,000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20,000</w:t>
            </w:r>
          </w:p>
        </w:tc>
        <w:tc>
          <w:tcPr>
            <w:tcW w:w="411" w:type="dxa"/>
            <w:tcBorders/>
            <w:shd w:fill="auto" w:val="clear"/>
            <w:vAlign w:val="center"/>
          </w:tcPr>
          <w:p>
            <w:pPr>
              <w:pStyle w:val="TableContents"/>
              <w:spacing w:before="0" w:after="0"/>
              <w:ind w:left="0" w:right="0" w:firstLine="100"/>
              <w:jc w:val="left"/>
              <w:rPr/>
            </w:pPr>
            <w:r>
              <w:rPr/>
              <w:t> </w:t>
            </w:r>
          </w:p>
        </w:tc>
      </w:tr>
      <w:tr>
        <w:trPr/>
        <w:tc>
          <w:tcPr>
            <w:tcW w:w="145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Equity-based compensation</w:t>
            </w:r>
          </w:p>
        </w:tc>
        <w:tc>
          <w:tcPr>
            <w:tcW w:w="146" w:type="dxa"/>
            <w:tcBorders/>
            <w:shd w:fill="auto" w:val="clear"/>
            <w:vAlign w:val="center"/>
          </w:tcPr>
          <w:p>
            <w:pPr>
              <w:pStyle w:val="TableContents"/>
              <w:spacing w:before="0" w:after="0"/>
              <w:ind w:left="10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w:t>
            </w:r>
          </w:p>
        </w:tc>
        <w:tc>
          <w:tcPr>
            <w:tcW w:w="411" w:type="dxa"/>
            <w:tcBorders/>
            <w:shd w:fill="auto" w:val="clear"/>
            <w:vAlign w:val="center"/>
          </w:tcPr>
          <w:p>
            <w:pPr>
              <w:pStyle w:val="TableContents"/>
              <w:spacing w:before="0" w:after="0"/>
              <w:ind w:left="0" w:right="0" w:firstLine="100"/>
              <w:jc w:val="left"/>
              <w:rPr/>
            </w:pPr>
            <w:r>
              <w:rPr/>
              <w:t> </w:t>
            </w:r>
          </w:p>
        </w:tc>
      </w:tr>
      <w:tr>
        <w:trPr/>
        <w:tc>
          <w:tcPr>
            <w:tcW w:w="145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10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(26,749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(26,749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December 31, 2020</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115,000,000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(106,364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9,864</w:t>
            </w:r>
          </w:p>
        </w:tc>
        <w:tc>
          <w:tcPr>
            <w:tcW w:w="411" w:type="dxa"/>
            <w:tcBorders/>
            <w:shd w:fill="auto" w:val="clear"/>
            <w:vAlign w:val="center"/>
          </w:tcPr>
          <w:p>
            <w:pPr>
              <w:pStyle w:val="TableContents"/>
              <w:spacing w:before="0" w:after="0"/>
              <w:ind w:left="0" w:right="0" w:firstLine="100"/>
              <w:jc w:val="left"/>
              <w:rPr/>
            </w:pPr>
            <w:r>
              <w:rPr/>
              <w:t> </w:t>
            </w:r>
          </w:p>
        </w:tc>
      </w:tr>
      <w:tr>
        <w:trPr/>
        <w:tc>
          <w:tcPr>
            <w:tcW w:w="145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Capital contribution</w:t>
            </w:r>
          </w:p>
        </w:tc>
        <w:tc>
          <w:tcPr>
            <w:tcW w:w="146" w:type="dxa"/>
            <w:tcBorders/>
            <w:shd w:fill="auto" w:val="clear"/>
            <w:vAlign w:val="center"/>
          </w:tcPr>
          <w:p>
            <w:pPr>
              <w:pStyle w:val="TableContents"/>
              <w:spacing w:before="0" w:after="0"/>
              <w:ind w:left="10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71,500,000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71,500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71,500</w:t>
            </w:r>
          </w:p>
        </w:tc>
        <w:tc>
          <w:tcPr>
            <w:tcW w:w="411" w:type="dxa"/>
            <w:tcBorders/>
            <w:shd w:fill="auto" w:val="clear"/>
            <w:vAlign w:val="center"/>
          </w:tcPr>
          <w:p>
            <w:pPr>
              <w:pStyle w:val="TableContents"/>
              <w:spacing w:before="0" w:after="0"/>
              <w:ind w:left="0" w:right="0" w:firstLine="100"/>
              <w:jc w:val="left"/>
              <w:rPr/>
            </w:pPr>
            <w:r>
              <w:rPr/>
              <w:t> </w:t>
            </w:r>
          </w:p>
        </w:tc>
      </w:tr>
      <w:tr>
        <w:trPr/>
        <w:tc>
          <w:tcPr>
            <w:tcW w:w="145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Equity-based compensation</w:t>
            </w:r>
          </w:p>
        </w:tc>
        <w:tc>
          <w:tcPr>
            <w:tcW w:w="146" w:type="dxa"/>
            <w:tcBorders/>
            <w:shd w:fill="auto" w:val="clear"/>
            <w:vAlign w:val="center"/>
          </w:tcPr>
          <w:p>
            <w:pPr>
              <w:pStyle w:val="TableContents"/>
              <w:spacing w:before="0" w:after="0"/>
              <w:ind w:left="10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699</w:t>
            </w:r>
          </w:p>
        </w:tc>
        <w:tc>
          <w:tcPr>
            <w:tcW w:w="411" w:type="dxa"/>
            <w:tcBorders/>
            <w:shd w:fill="auto" w:val="clear"/>
            <w:vAlign w:val="center"/>
          </w:tcPr>
          <w:p>
            <w:pPr>
              <w:pStyle w:val="TableContents"/>
              <w:spacing w:before="0" w:after="0"/>
              <w:ind w:left="0" w:right="0" w:firstLine="100"/>
              <w:jc w:val="left"/>
              <w:rPr/>
            </w:pPr>
            <w:r>
              <w:rPr/>
              <w:t> </w:t>
            </w:r>
          </w:p>
        </w:tc>
      </w:tr>
      <w:tr>
        <w:trPr/>
        <w:tc>
          <w:tcPr>
            <w:tcW w:w="145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10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(55,146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(55,146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December 31, 2021</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186,500,000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186,500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(161,510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26,917</w:t>
            </w:r>
          </w:p>
        </w:tc>
        <w:tc>
          <w:tcPr>
            <w:tcW w:w="411" w:type="dxa"/>
            <w:tcBorders/>
            <w:shd w:fill="auto" w:val="clear"/>
            <w:vAlign w:val="center"/>
          </w:tcPr>
          <w:p>
            <w:pPr>
              <w:pStyle w:val="TableContents"/>
              <w:spacing w:before="0" w:after="0"/>
              <w:ind w:left="0" w:right="0" w:firstLine="200"/>
              <w:jc w:val="left"/>
              <w:rPr/>
            </w:pPr>
            <w:r>
              <w:rPr/>
              <w:t> </w:t>
            </w:r>
          </w:p>
        </w:tc>
      </w:tr>
      <w:tr>
        <w:trPr/>
        <w:tc>
          <w:tcPr>
            <w:tcW w:w="145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Capital contribution</w:t>
            </w:r>
          </w:p>
        </w:tc>
        <w:tc>
          <w:tcPr>
            <w:tcW w:w="146" w:type="dxa"/>
            <w:tcBorders/>
            <w:shd w:fill="auto" w:val="clear"/>
            <w:vAlign w:val="center"/>
          </w:tcPr>
          <w:p>
            <w:pPr>
              <w:pStyle w:val="TableContents"/>
              <w:spacing w:before="0" w:after="0"/>
              <w:ind w:left="10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6,050</w:t>
            </w:r>
          </w:p>
        </w:tc>
        <w:tc>
          <w:tcPr>
            <w:tcW w:w="411" w:type="dxa"/>
            <w:tcBorders/>
            <w:shd w:fill="auto" w:val="clear"/>
            <w:vAlign w:val="center"/>
          </w:tcPr>
          <w:p>
            <w:pPr>
              <w:pStyle w:val="TableContents"/>
              <w:spacing w:before="0" w:after="0"/>
              <w:ind w:left="0" w:right="0" w:firstLine="200"/>
              <w:jc w:val="left"/>
              <w:rPr/>
            </w:pPr>
            <w:r>
              <w:rPr/>
              <w:t> </w:t>
            </w:r>
          </w:p>
        </w:tc>
      </w:tr>
      <w:tr>
        <w:trPr/>
        <w:tc>
          <w:tcPr>
            <w:tcW w:w="145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Equity-based compensation / payments prior to Business Combination</w:t>
            </w:r>
          </w:p>
        </w:tc>
        <w:tc>
          <w:tcPr>
            <w:tcW w:w="146" w:type="dxa"/>
            <w:tcBorders/>
            <w:shd w:fill="auto" w:val="clear"/>
            <w:vAlign w:val="center"/>
          </w:tcPr>
          <w:p>
            <w:pPr>
              <w:pStyle w:val="TableContents"/>
              <w:spacing w:before="0" w:after="0"/>
              <w:ind w:left="10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63,667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63,667</w:t>
            </w:r>
          </w:p>
        </w:tc>
        <w:tc>
          <w:tcPr>
            <w:tcW w:w="411" w:type="dxa"/>
            <w:tcBorders/>
            <w:shd w:fill="auto" w:val="clear"/>
            <w:vAlign w:val="center"/>
          </w:tcPr>
          <w:p>
            <w:pPr>
              <w:pStyle w:val="TableContents"/>
              <w:spacing w:before="0" w:after="0"/>
              <w:ind w:left="0" w:right="0" w:firstLine="200"/>
              <w:jc w:val="left"/>
              <w:rPr/>
            </w:pPr>
            <w:r>
              <w:rPr/>
              <w:t> </w:t>
            </w:r>
          </w:p>
        </w:tc>
      </w:tr>
      <w:tr>
        <w:trPr/>
        <w:tc>
          <w:tcPr>
            <w:tcW w:w="145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prior to the Business Combination</w:t>
            </w:r>
          </w:p>
        </w:tc>
        <w:tc>
          <w:tcPr>
            <w:tcW w:w="146" w:type="dxa"/>
            <w:tcBorders/>
            <w:shd w:fill="auto" w:val="clear"/>
            <w:vAlign w:val="center"/>
          </w:tcPr>
          <w:p>
            <w:pPr>
              <w:pStyle w:val="TableContents"/>
              <w:spacing w:before="0" w:after="0"/>
              <w:ind w:left="10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(93,632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(93,632</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45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 xml:space="preserve">Effect of the Business Combination, including net proceeds of shares sold </w:t>
              <w:br/>
              <w:t>   through the PIPE transaction</w:t>
            </w:r>
          </w:p>
        </w:tc>
        <w:tc>
          <w:tcPr>
            <w:tcW w:w="146" w:type="dxa"/>
            <w:tcBorders/>
            <w:shd w:fill="auto" w:val="clear"/>
            <w:vAlign w:val="center"/>
          </w:tcPr>
          <w:p>
            <w:pPr>
              <w:pStyle w:val="TableContents"/>
              <w:spacing w:before="0" w:after="0"/>
              <w:ind w:left="10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1,635,829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(186,500,000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(186,500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(71,644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61,540,231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170,723,961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(834,574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(1,092,694</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45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Equity-based compensation after the Business Combination</w:t>
            </w:r>
          </w:p>
        </w:tc>
        <w:tc>
          <w:tcPr>
            <w:tcW w:w="146" w:type="dxa"/>
            <w:tcBorders/>
            <w:shd w:fill="auto" w:val="clear"/>
            <w:vAlign w:val="center"/>
          </w:tcPr>
          <w:p>
            <w:pPr>
              <w:pStyle w:val="TableContents"/>
              <w:spacing w:before="0" w:after="0"/>
              <w:ind w:left="10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7,155</w:t>
            </w:r>
          </w:p>
        </w:tc>
        <w:tc>
          <w:tcPr>
            <w:tcW w:w="411" w:type="dxa"/>
            <w:tcBorders/>
            <w:shd w:fill="auto" w:val="clear"/>
            <w:vAlign w:val="center"/>
          </w:tcPr>
          <w:p>
            <w:pPr>
              <w:pStyle w:val="TableContents"/>
              <w:spacing w:before="0" w:after="0"/>
              <w:ind w:left="0" w:right="0" w:firstLine="200"/>
              <w:jc w:val="left"/>
              <w:rPr/>
            </w:pPr>
            <w:r>
              <w:rPr/>
              <w:t> </w:t>
            </w:r>
          </w:p>
        </w:tc>
      </w:tr>
      <w:tr>
        <w:trPr/>
        <w:tc>
          <w:tcPr>
            <w:tcW w:w="145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Vesting of Class B restricted stock rights</w:t>
            </w:r>
          </w:p>
        </w:tc>
        <w:tc>
          <w:tcPr>
            <w:tcW w:w="146" w:type="dxa"/>
            <w:tcBorders/>
            <w:shd w:fill="auto" w:val="clear"/>
            <w:vAlign w:val="center"/>
          </w:tcPr>
          <w:p>
            <w:pPr>
              <w:pStyle w:val="TableContents"/>
              <w:spacing w:before="0" w:after="0"/>
              <w:ind w:left="10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854,359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65"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145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Impact of equity transactions on redeemable noncontrolling interest</w:t>
            </w:r>
          </w:p>
        </w:tc>
        <w:tc>
          <w:tcPr>
            <w:tcW w:w="146" w:type="dxa"/>
            <w:tcBorders/>
            <w:shd w:fill="auto" w:val="clear"/>
            <w:vAlign w:val="center"/>
          </w:tcPr>
          <w:p>
            <w:pPr>
              <w:pStyle w:val="TableContents"/>
              <w:spacing w:before="0" w:after="0"/>
              <w:ind w:left="10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11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0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w:t>
            </w:r>
          </w:p>
        </w:tc>
        <w:tc>
          <w:tcPr>
            <w:tcW w:w="411" w:type="dxa"/>
            <w:tcBorders/>
            <w:shd w:fill="auto" w:val="clear"/>
            <w:vAlign w:val="center"/>
          </w:tcPr>
          <w:p>
            <w:pPr>
              <w:pStyle w:val="TableContents"/>
              <w:spacing w:before="0" w:after="0"/>
              <w:ind w:left="0" w:right="0" w:firstLine="200"/>
              <w:jc w:val="left"/>
              <w:rPr/>
            </w:pPr>
            <w:r>
              <w:rPr/>
              <w:t> </w:t>
            </w:r>
          </w:p>
        </w:tc>
      </w:tr>
      <w:tr>
        <w:trPr/>
        <w:tc>
          <w:tcPr>
            <w:tcW w:w="145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after the Business Combination</w:t>
            </w:r>
          </w:p>
        </w:tc>
        <w:tc>
          <w:tcPr>
            <w:tcW w:w="146" w:type="dxa"/>
            <w:tcBorders/>
            <w:shd w:fill="auto" w:val="clear"/>
            <w:vAlign w:val="center"/>
          </w:tcPr>
          <w:p>
            <w:pPr>
              <w:pStyle w:val="TableContents"/>
              <w:spacing w:before="0" w:after="0"/>
              <w:ind w:left="10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(40,103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(14,400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1,601,555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61,540,231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171,578,320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7,476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(1,104,116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(1,096,616</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F-5</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ProKidney Corp.</w:t>
      </w:r>
    </w:p>
    <w:p>
      <w:pPr>
        <w:pStyle w:val="TextBody"/>
        <w:spacing w:before="0" w:after="0"/>
        <w:jc w:val="center"/>
        <w:rPr>
          <w:rFonts w:ascii="Times New Roman;serif" w:hAnsi="Times New Roman;serif"/>
          <w:b/>
          <w:sz w:val="20"/>
        </w:rPr>
      </w:pPr>
      <w:bookmarkStart w:id="125" w:name="cash_flows"/>
      <w:bookmarkEnd w:id="125"/>
      <w:r>
        <w:rPr>
          <w:rFonts w:ascii="Times New Roman;serif" w:hAnsi="Times New Roman;serif"/>
          <w:b/>
          <w:sz w:val="20"/>
        </w:rPr>
        <w:t>Consolidated Statements of Cash Flows</w:t>
      </w:r>
    </w:p>
    <w:p>
      <w:pPr>
        <w:pStyle w:val="TextBody"/>
        <w:spacing w:before="0" w:after="0"/>
        <w:jc w:val="center"/>
        <w:rPr>
          <w:rFonts w:ascii="Times New Roman;serif" w:hAnsi="Times New Roman;serif"/>
          <w:b/>
          <w:sz w:val="20"/>
        </w:rPr>
      </w:pPr>
      <w:r>
        <w:rPr>
          <w:rFonts w:ascii="Times New Roman;serif" w:hAnsi="Times New Roman;serif"/>
          <w:b/>
          <w:sz w:val="20"/>
        </w:rPr>
        <w:t>(in thousands)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5678"/>
        <w:gridCol w:w="146"/>
        <w:gridCol w:w="211"/>
        <w:gridCol w:w="841"/>
        <w:gridCol w:w="166"/>
        <w:gridCol w:w="146"/>
        <w:gridCol w:w="211"/>
        <w:gridCol w:w="736"/>
        <w:gridCol w:w="166"/>
        <w:gridCol w:w="146"/>
        <w:gridCol w:w="211"/>
        <w:gridCol w:w="736"/>
        <w:gridCol w:w="811"/>
      </w:tblGrid>
      <w:tr>
        <w:trPr/>
        <w:tc>
          <w:tcPr>
            <w:tcW w:w="567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r>
      <w:tr>
        <w:trPr/>
        <w:tc>
          <w:tcPr>
            <w:tcW w:w="5678"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3570" w:type="dxa"/>
            <w:gridSpan w:val="10"/>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Years Ended December 31,</w:t>
            </w:r>
          </w:p>
        </w:tc>
        <w:tc>
          <w:tcPr>
            <w:tcW w:w="811" w:type="dxa"/>
            <w:tcBorders/>
            <w:shd w:fill="auto" w:val="clear"/>
            <w:vAlign w:val="center"/>
          </w:tcPr>
          <w:p>
            <w:pPr>
              <w:pStyle w:val="TableContents"/>
              <w:spacing w:before="0" w:after="0"/>
              <w:ind w:left="0" w:right="0" w:hanging="0"/>
              <w:jc w:val="center"/>
              <w:rPr/>
            </w:pPr>
            <w:r>
              <w:rPr/>
              <w:t> </w:t>
            </w:r>
          </w:p>
        </w:tc>
      </w:tr>
      <w:tr>
        <w:trPr/>
        <w:tc>
          <w:tcPr>
            <w:tcW w:w="5678"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2020</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both"/>
              <w:rPr/>
            </w:pPr>
            <w:r>
              <w:rPr/>
              <w:t> </w:t>
            </w:r>
          </w:p>
        </w:tc>
        <w:tc>
          <w:tcPr>
            <w:tcW w:w="811" w:type="dxa"/>
            <w:tcBorders/>
            <w:shd w:fill="auto" w:val="clear"/>
            <w:vAlign w:val="center"/>
          </w:tcPr>
          <w:p>
            <w:pPr>
              <w:pStyle w:val="TableContents"/>
              <w:spacing w:before="0" w:after="0"/>
              <w:ind w:left="0" w:right="0" w:firstLine="200"/>
              <w:jc w:val="both"/>
              <w:rPr/>
            </w:pPr>
            <w:r>
              <w:rPr/>
              <w:t> </w:t>
            </w:r>
          </w:p>
        </w:tc>
      </w:tr>
      <w:tr>
        <w:trPr/>
        <w:tc>
          <w:tcPr>
            <w:tcW w:w="567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 before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(148,135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(55,146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(26,749</w:t>
            </w:r>
          </w:p>
        </w:tc>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6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Adjustments to reconcile net loss before noncontrolling interest to net cash flows used </w:t>
              <w:br/>
              <w:t>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both"/>
              <w:rPr/>
            </w:pPr>
            <w:r>
              <w:rPr/>
              <w:t> </w:t>
            </w:r>
          </w:p>
        </w:tc>
        <w:tc>
          <w:tcPr>
            <w:tcW w:w="811" w:type="dxa"/>
            <w:tcBorders/>
            <w:shd w:fill="auto" w:val="clear"/>
            <w:vAlign w:val="center"/>
          </w:tcPr>
          <w:p>
            <w:pPr>
              <w:pStyle w:val="TableContents"/>
              <w:spacing w:before="0" w:after="0"/>
              <w:ind w:left="0" w:right="0" w:firstLine="400"/>
              <w:jc w:val="both"/>
              <w:rPr/>
            </w:pPr>
            <w:r>
              <w:rPr/>
              <w:t> </w:t>
            </w:r>
          </w:p>
        </w:tc>
      </w:tr>
      <w:tr>
        <w:trPr/>
        <w:tc>
          <w:tcPr>
            <w:tcW w:w="5678"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964</w:t>
            </w:r>
          </w:p>
        </w:tc>
        <w:tc>
          <w:tcPr>
            <w:tcW w:w="811" w:type="dxa"/>
            <w:tcBorders/>
            <w:shd w:fill="auto" w:val="clear"/>
            <w:vAlign w:val="center"/>
          </w:tcPr>
          <w:p>
            <w:pPr>
              <w:pStyle w:val="TableContents"/>
              <w:spacing w:before="0" w:after="0"/>
              <w:ind w:left="0" w:right="0" w:firstLine="400"/>
              <w:jc w:val="left"/>
              <w:rPr/>
            </w:pPr>
            <w:r>
              <w:rPr/>
              <w:t> </w:t>
            </w:r>
          </w:p>
        </w:tc>
      </w:tr>
      <w:tr>
        <w:trPr/>
        <w:tc>
          <w:tcPr>
            <w:tcW w:w="5678"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Equity-based compensation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74,469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w:t>
            </w:r>
          </w:p>
        </w:tc>
        <w:tc>
          <w:tcPr>
            <w:tcW w:w="811" w:type="dxa"/>
            <w:tcBorders/>
            <w:shd w:fill="auto" w:val="clear"/>
            <w:vAlign w:val="center"/>
          </w:tcPr>
          <w:p>
            <w:pPr>
              <w:pStyle w:val="TableContents"/>
              <w:spacing w:before="0" w:after="0"/>
              <w:ind w:left="0" w:right="0" w:firstLine="400"/>
              <w:jc w:val="left"/>
              <w:rPr/>
            </w:pPr>
            <w:r>
              <w:rPr/>
              <w:t> </w:t>
            </w:r>
          </w:p>
        </w:tc>
      </w:tr>
      <w:tr>
        <w:trPr/>
        <w:tc>
          <w:tcPr>
            <w:tcW w:w="5678"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both"/>
              <w:rPr/>
            </w:pPr>
            <w:r>
              <w:rPr/>
              <w:t> </w:t>
            </w:r>
          </w:p>
        </w:tc>
        <w:tc>
          <w:tcPr>
            <w:tcW w:w="811" w:type="dxa"/>
            <w:tcBorders/>
            <w:shd w:fill="auto" w:val="clear"/>
            <w:vAlign w:val="center"/>
          </w:tcPr>
          <w:p>
            <w:pPr>
              <w:pStyle w:val="TableContents"/>
              <w:spacing w:before="0" w:after="0"/>
              <w:ind w:left="0" w:right="0" w:firstLine="600"/>
              <w:jc w:val="both"/>
              <w:rPr/>
            </w:pPr>
            <w:r>
              <w:rPr/>
              <w:t> </w:t>
            </w:r>
          </w:p>
        </w:tc>
      </w:tr>
      <w:tr>
        <w:trPr/>
        <w:tc>
          <w:tcPr>
            <w:tcW w:w="5678"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Prepaid and other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(7,231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(5,704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(809</w:t>
            </w:r>
          </w:p>
        </w:tc>
        <w:tc>
          <w:tcPr>
            <w:tcW w:w="811" w:type="dxa"/>
            <w:tcBorders/>
            <w:shd w:fill="auto" w:val="cle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5678"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Accounts payable and accrued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683</w:t>
            </w:r>
          </w:p>
        </w:tc>
        <w:tc>
          <w:tcPr>
            <w:tcW w:w="811" w:type="dxa"/>
            <w:tcBorders/>
            <w:shd w:fill="auto" w:val="clear"/>
            <w:vAlign w:val="center"/>
          </w:tcPr>
          <w:p>
            <w:pPr>
              <w:pStyle w:val="TableContents"/>
              <w:spacing w:before="0" w:after="0"/>
              <w:ind w:left="0" w:right="0" w:firstLine="600"/>
              <w:jc w:val="left"/>
              <w:rPr/>
            </w:pPr>
            <w:r>
              <w:rPr/>
              <w:t> </w:t>
            </w:r>
          </w:p>
        </w:tc>
      </w:tr>
      <w:tr>
        <w:trPr/>
        <w:tc>
          <w:tcPr>
            <w:tcW w:w="5678"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Income taxes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flows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(77,089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(50,299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(25,181</w:t>
            </w:r>
          </w:p>
        </w:tc>
        <w:tc>
          <w:tcPr>
            <w:tcW w:w="8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678"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both"/>
              <w:rPr/>
            </w:pPr>
            <w:r>
              <w:rPr/>
              <w:t> </w:t>
            </w:r>
          </w:p>
        </w:tc>
        <w:tc>
          <w:tcPr>
            <w:tcW w:w="811" w:type="dxa"/>
            <w:tcBorders/>
            <w:shd w:fill="auto" w:val="clear"/>
            <w:vAlign w:val="center"/>
          </w:tcPr>
          <w:p>
            <w:pPr>
              <w:pStyle w:val="TableContents"/>
              <w:spacing w:before="0" w:after="0"/>
              <w:ind w:left="0" w:right="0" w:hanging="0"/>
              <w:jc w:val="both"/>
              <w:rPr/>
            </w:pPr>
            <w:r>
              <w:rPr/>
              <w:t> </w:t>
            </w:r>
          </w:p>
        </w:tc>
      </w:tr>
      <w:tr>
        <w:trPr/>
        <w:tc>
          <w:tcPr>
            <w:tcW w:w="56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both"/>
              <w:rPr/>
            </w:pPr>
            <w:r>
              <w:rPr/>
              <w:t> </w:t>
            </w:r>
          </w:p>
        </w:tc>
        <w:tc>
          <w:tcPr>
            <w:tcW w:w="811" w:type="dxa"/>
            <w:tcBorders/>
            <w:shd w:fill="auto" w:val="clear"/>
            <w:vAlign w:val="center"/>
          </w:tcPr>
          <w:p>
            <w:pPr>
              <w:pStyle w:val="TableContents"/>
              <w:spacing w:before="0" w:after="0"/>
              <w:ind w:left="0" w:right="0" w:firstLine="200"/>
              <w:jc w:val="both"/>
              <w:rPr/>
            </w:pPr>
            <w:r>
              <w:rPr/>
              <w:t> </w:t>
            </w:r>
          </w:p>
        </w:tc>
      </w:tr>
      <w:tr>
        <w:trPr/>
        <w:tc>
          <w:tcPr>
            <w:tcW w:w="567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sale of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811" w:type="dxa"/>
            <w:tcBorders/>
            <w:shd w:fill="auto" w:val="clear"/>
            <w:vAlign w:val="center"/>
          </w:tcPr>
          <w:p>
            <w:pPr>
              <w:pStyle w:val="TableContents"/>
              <w:spacing w:before="0" w:after="0"/>
              <w:ind w:left="0" w:right="0" w:firstLine="200"/>
              <w:jc w:val="left"/>
              <w:rPr/>
            </w:pPr>
            <w:r>
              <w:rPr/>
              <w:t> </w:t>
            </w:r>
          </w:p>
        </w:tc>
      </w:tr>
      <w:tr>
        <w:trPr/>
        <w:tc>
          <w:tcPr>
            <w:tcW w:w="567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cash from SCS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811" w:type="dxa"/>
            <w:tcBorders/>
            <w:shd w:fill="auto" w:val="clear"/>
            <w:vAlign w:val="center"/>
          </w:tcPr>
          <w:p>
            <w:pPr>
              <w:pStyle w:val="TableContents"/>
              <w:spacing w:before="0" w:after="0"/>
              <w:ind w:left="0" w:right="0" w:firstLine="200"/>
              <w:jc w:val="left"/>
              <w:rPr/>
            </w:pPr>
            <w:r>
              <w:rPr/>
              <w:t> </w:t>
            </w:r>
          </w:p>
        </w:tc>
      </w:tr>
      <w:tr>
        <w:trPr/>
        <w:tc>
          <w:tcPr>
            <w:tcW w:w="567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 of equipment and facility expansion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(5,192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(5,456</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6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flows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(5,191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(5,456</w:t>
            </w:r>
          </w:p>
        </w:tc>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67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both"/>
              <w:rPr/>
            </w:pPr>
            <w:r>
              <w:rPr/>
              <w:t> </w:t>
            </w:r>
          </w:p>
        </w:tc>
        <w:tc>
          <w:tcPr>
            <w:tcW w:w="811" w:type="dxa"/>
            <w:tcBorders/>
            <w:shd w:fill="auto" w:val="clear"/>
            <w:vAlign w:val="center"/>
          </w:tcPr>
          <w:p>
            <w:pPr>
              <w:pStyle w:val="TableContents"/>
              <w:spacing w:before="0" w:after="0"/>
              <w:ind w:left="0" w:right="0" w:hanging="0"/>
              <w:jc w:val="both"/>
              <w:rPr/>
            </w:pPr>
            <w:r>
              <w:rPr/>
              <w:t> </w:t>
            </w:r>
          </w:p>
        </w:tc>
      </w:tr>
      <w:tr>
        <w:trPr/>
        <w:tc>
          <w:tcPr>
            <w:tcW w:w="56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both"/>
              <w:rPr/>
            </w:pPr>
            <w:r>
              <w:rPr/>
              <w:t> </w:t>
            </w:r>
          </w:p>
        </w:tc>
        <w:tc>
          <w:tcPr>
            <w:tcW w:w="811" w:type="dxa"/>
            <w:tcBorders/>
            <w:shd w:fill="auto" w:val="clear"/>
            <w:vAlign w:val="center"/>
          </w:tcPr>
          <w:p>
            <w:pPr>
              <w:pStyle w:val="TableContents"/>
              <w:spacing w:before="0" w:after="0"/>
              <w:ind w:left="0" w:right="0" w:firstLine="200"/>
              <w:jc w:val="both"/>
              <w:rPr/>
            </w:pPr>
            <w:r>
              <w:rPr/>
              <w:t> </w:t>
            </w:r>
          </w:p>
        </w:tc>
      </w:tr>
      <w:tr>
        <w:trPr/>
        <w:tc>
          <w:tcPr>
            <w:tcW w:w="567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 on finance leases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8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67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Business Combination, including PIPE financing, net of associated costs</w:t>
              <w:br/>
              <w:t>   of $37,856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542,503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811" w:type="dxa"/>
            <w:tcBorders/>
            <w:shd w:fill="auto" w:val="clear"/>
            <w:vAlign w:val="center"/>
          </w:tcPr>
          <w:p>
            <w:pPr>
              <w:pStyle w:val="TableContents"/>
              <w:spacing w:before="0" w:after="0"/>
              <w:ind w:left="0" w:right="0" w:firstLine="200"/>
              <w:jc w:val="left"/>
              <w:rPr/>
            </w:pPr>
            <w:r>
              <w:rPr/>
              <w:t> </w:t>
            </w:r>
          </w:p>
        </w:tc>
      </w:tr>
      <w:tr>
        <w:trPr/>
        <w:tc>
          <w:tcPr>
            <w:tcW w:w="567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Borrowings under related party notes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811" w:type="dxa"/>
            <w:tcBorders/>
            <w:shd w:fill="auto" w:val="clear"/>
            <w:vAlign w:val="center"/>
          </w:tcPr>
          <w:p>
            <w:pPr>
              <w:pStyle w:val="TableContents"/>
              <w:spacing w:before="0" w:after="0"/>
              <w:ind w:left="0" w:right="0" w:firstLine="200"/>
              <w:jc w:val="left"/>
              <w:rPr/>
            </w:pPr>
            <w:r>
              <w:rPr/>
              <w:t> </w:t>
            </w:r>
          </w:p>
        </w:tc>
      </w:tr>
      <w:tr>
        <w:trPr/>
        <w:tc>
          <w:tcPr>
            <w:tcW w:w="567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Repayment of related party notes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811" w:type="dxa"/>
            <w:tcBorders/>
            <w:shd w:fill="auto" w:val="clear"/>
            <w:vAlign w:val="center"/>
          </w:tcPr>
          <w:p>
            <w:pPr>
              <w:pStyle w:val="TableContents"/>
              <w:spacing w:before="0" w:after="0"/>
              <w:ind w:left="0" w:right="0" w:firstLine="200"/>
              <w:jc w:val="left"/>
              <w:rPr/>
            </w:pPr>
            <w:r>
              <w:rPr/>
              <w:t> </w:t>
            </w:r>
          </w:p>
        </w:tc>
      </w:tr>
      <w:tr>
        <w:trPr/>
        <w:tc>
          <w:tcPr>
            <w:tcW w:w="567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cash contribution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71,500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20,000</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flows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548,521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71,470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19,989</w:t>
            </w:r>
          </w:p>
        </w:tc>
        <w:tc>
          <w:tcPr>
            <w:tcW w:w="811" w:type="dxa"/>
            <w:tcBorders/>
            <w:shd w:fill="auto" w:val="clear"/>
            <w:vAlign w:val="center"/>
          </w:tcPr>
          <w:p>
            <w:pPr>
              <w:pStyle w:val="TableContents"/>
              <w:spacing w:before="0" w:after="0"/>
              <w:ind w:left="0" w:right="0" w:hanging="0"/>
              <w:jc w:val="left"/>
              <w:rPr/>
            </w:pPr>
            <w:r>
              <w:rPr/>
              <w:t> </w:t>
            </w:r>
          </w:p>
        </w:tc>
      </w:tr>
      <w:tr>
        <w:trPr/>
        <w:tc>
          <w:tcPr>
            <w:tcW w:w="567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both"/>
              <w:rPr/>
            </w:pPr>
            <w:r>
              <w:rPr/>
              <w:t> </w:t>
            </w:r>
          </w:p>
        </w:tc>
        <w:tc>
          <w:tcPr>
            <w:tcW w:w="811" w:type="dxa"/>
            <w:tcBorders/>
            <w:shd w:fill="auto" w:val="clear"/>
            <w:vAlign w:val="center"/>
          </w:tcPr>
          <w:p>
            <w:pPr>
              <w:pStyle w:val="TableContents"/>
              <w:spacing w:before="0" w:after="0"/>
              <w:ind w:left="0" w:right="0" w:hanging="0"/>
              <w:jc w:val="both"/>
              <w:rPr/>
            </w:pPr>
            <w:r>
              <w:rPr/>
              <w:t> </w:t>
            </w:r>
          </w:p>
        </w:tc>
      </w:tr>
      <w:tr>
        <w:trPr/>
        <w:tc>
          <w:tcPr>
            <w:tcW w:w="56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change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469,694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(10,648</w:t>
            </w:r>
          </w:p>
        </w:tc>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6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20,558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15,226</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490,252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20,558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4,578</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7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both"/>
              <w:rPr/>
            </w:pPr>
            <w:r>
              <w:rPr/>
              <w:t> </w:t>
            </w:r>
          </w:p>
        </w:tc>
        <w:tc>
          <w:tcPr>
            <w:tcW w:w="811" w:type="dxa"/>
            <w:tcBorders/>
            <w:shd w:fill="auto" w:val="clear"/>
            <w:vAlign w:val="center"/>
          </w:tcPr>
          <w:p>
            <w:pPr>
              <w:pStyle w:val="TableContents"/>
              <w:spacing w:before="0" w:after="0"/>
              <w:ind w:left="0" w:right="0" w:hanging="0"/>
              <w:jc w:val="both"/>
              <w:rPr/>
            </w:pPr>
            <w:r>
              <w:rPr/>
              <w:t> </w:t>
            </w:r>
          </w:p>
        </w:tc>
      </w:tr>
      <w:tr>
        <w:trPr/>
        <w:tc>
          <w:tcPr>
            <w:tcW w:w="56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cash flow information:</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both"/>
              <w:rPr/>
            </w:pPr>
            <w:r>
              <w:rPr/>
              <w:t> </w:t>
            </w:r>
          </w:p>
        </w:tc>
        <w:tc>
          <w:tcPr>
            <w:tcW w:w="811" w:type="dxa"/>
            <w:tcBorders/>
            <w:shd w:fill="auto" w:val="clear"/>
            <w:vAlign w:val="center"/>
          </w:tcPr>
          <w:p>
            <w:pPr>
              <w:pStyle w:val="TableContents"/>
              <w:spacing w:before="0" w:after="0"/>
              <w:ind w:left="0" w:right="0" w:firstLine="200"/>
              <w:jc w:val="both"/>
              <w:rPr/>
            </w:pPr>
            <w:r>
              <w:rPr/>
              <w:t> </w:t>
            </w:r>
          </w:p>
        </w:tc>
      </w:tr>
      <w:tr>
        <w:trPr/>
        <w:tc>
          <w:tcPr>
            <w:tcW w:w="567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paid during the period for income taxes, net of refunds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7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both"/>
              <w:rPr/>
            </w:pPr>
            <w:r>
              <w:rPr/>
              <w:t> </w:t>
            </w:r>
          </w:p>
        </w:tc>
        <w:tc>
          <w:tcPr>
            <w:tcW w:w="811" w:type="dxa"/>
            <w:tcBorders/>
            <w:shd w:fill="auto" w:val="clear"/>
            <w:vAlign w:val="center"/>
          </w:tcPr>
          <w:p>
            <w:pPr>
              <w:pStyle w:val="TableContents"/>
              <w:spacing w:before="0" w:after="0"/>
              <w:ind w:left="0" w:right="0" w:hanging="0"/>
              <w:jc w:val="both"/>
              <w:rPr/>
            </w:pPr>
            <w:r>
              <w:rPr/>
              <w:t> </w:t>
            </w:r>
          </w:p>
        </w:tc>
      </w:tr>
      <w:tr>
        <w:trPr/>
        <w:tc>
          <w:tcPr>
            <w:tcW w:w="56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disclosure of non-cash investing activities: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both"/>
              <w:rPr/>
            </w:pPr>
            <w:r>
              <w:rPr/>
              <w:t> </w:t>
            </w:r>
          </w:p>
        </w:tc>
        <w:tc>
          <w:tcPr>
            <w:tcW w:w="811" w:type="dxa"/>
            <w:tcBorders/>
            <w:shd w:fill="auto" w:val="clear"/>
            <w:vAlign w:val="center"/>
          </w:tcPr>
          <w:p>
            <w:pPr>
              <w:pStyle w:val="TableContents"/>
              <w:spacing w:before="0" w:after="0"/>
              <w:ind w:left="0" w:right="0" w:firstLine="200"/>
              <w:jc w:val="both"/>
              <w:rPr/>
            </w:pPr>
            <w:r>
              <w:rPr/>
              <w:t> </w:t>
            </w:r>
          </w:p>
        </w:tc>
      </w:tr>
      <w:tr>
        <w:trPr/>
        <w:tc>
          <w:tcPr>
            <w:tcW w:w="567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Right of use assets obtained in exchange for lease obligations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67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Impact of equity transactions and compensation on redeemable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5,828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67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Equipment and facility expansion included in accounts payable and</w:t>
              <w:br/>
              <w:t>   accrued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1,840</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F-6</w:t>
      </w:r>
    </w:p>
    <w:p>
      <w:pPr>
        <w:pStyle w:val="HorizontalLine"/>
        <w:rPr/>
      </w:pPr>
      <w:r>
        <w:rPr/>
      </w:r>
    </w:p>
    <w:p>
      <w:pPr>
        <w:pStyle w:val="TextBody"/>
        <w:spacing w:before="0" w:after="0"/>
        <w:jc w:val="left"/>
        <w:rPr/>
      </w:pPr>
      <w:r>
        <w:rPr/>
        <w:t> </w:t>
      </w:r>
    </w:p>
    <w:p>
      <w:pPr>
        <w:pStyle w:val="TextBody"/>
        <w:spacing w:before="360" w:after="0"/>
        <w:jc w:val="center"/>
        <w:rPr>
          <w:rFonts w:ascii="Times New Roman;serif" w:hAnsi="Times New Roman;serif"/>
          <w:b/>
          <w:sz w:val="20"/>
        </w:rPr>
      </w:pPr>
      <w:r>
        <w:rPr>
          <w:rFonts w:ascii="Times New Roman;serif" w:hAnsi="Times New Roman;serif"/>
          <w:b/>
          <w:sz w:val="20"/>
        </w:rPr>
        <w:t>ProKidney Corp.</w:t>
      </w:r>
    </w:p>
    <w:p>
      <w:pPr>
        <w:pStyle w:val="TextBody"/>
        <w:spacing w:before="0" w:after="0"/>
        <w:jc w:val="center"/>
        <w:rPr>
          <w:rFonts w:ascii="Times New Roman;serif" w:hAnsi="Times New Roman;serif"/>
          <w:b/>
          <w:sz w:val="20"/>
        </w:rPr>
      </w:pPr>
      <w:bookmarkStart w:id="126" w:name="notes_to_unaudited_condensed"/>
      <w:bookmarkEnd w:id="126"/>
      <w:r>
        <w:rPr>
          <w:rFonts w:ascii="Times New Roman;serif" w:hAnsi="Times New Roman;serif"/>
          <w:b/>
          <w:sz w:val="20"/>
        </w:rPr>
        <w:t>Notes to Consolidated Financial Statements</w:t>
      </w:r>
    </w:p>
    <w:p>
      <w:pPr>
        <w:pStyle w:val="TextBody"/>
        <w:spacing w:before="0" w:after="0"/>
        <w:jc w:val="center"/>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Note 1: Description of Business and Basis of Presentation</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Description of Business</w:t>
      </w:r>
    </w:p>
    <w:p>
      <w:pPr>
        <w:pStyle w:val="TextBody"/>
        <w:spacing w:before="120" w:after="0"/>
        <w:jc w:val="left"/>
        <w:rPr>
          <w:rFonts w:ascii="Times New Roman" w:hAnsi="Times New Roman"/>
          <w:sz w:val="20"/>
        </w:rPr>
      </w:pPr>
      <w:r>
        <w:rPr>
          <w:rFonts w:ascii="Times New Roman;serif" w:hAnsi="Times New Roman;serif"/>
          <w:b w:val="false"/>
          <w:sz w:val="20"/>
        </w:rPr>
        <w:t>ProKidney Corp. (the “Company” or “ProKidney”) was originally incorporated as Social Capital Suvretta Holdings Corp. III (“SCS”). SCS was a blank check company incorporated as a Cayman Islands exempted company on February 25, 2021. SCS was incorporated for the purpose of effecting a merger, share exchange, asset acquisition, share purchase, reorganization or similar business combination with one or more businesses.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January 18, 2022, SCS executed a definitive business combination agreement (the “Business Combination Agreement”), with ProKidney LP (“PKLP”), a limited partnership under the laws and regulations of Ireland. Pursuant to the terms of the Business Combination Agreement, PKLP became a subsidiary of SCS and was organized in an umbrella partnership corporation (“Up-C”) structure, which would provide potential future tax benefits for SCS when the equity holders ultimately exchanged their pass-through interests for Class A ordinary shares. The transaction closed (the “Closing”) on July 11, 2022 (the “Closing Date”). Upon consummation of the transaction, SCS changed its name to ProKidney Corp.</w:t>
      </w:r>
    </w:p>
    <w:p>
      <w:pPr>
        <w:pStyle w:val="TextBody"/>
        <w:spacing w:before="120" w:after="0"/>
        <w:jc w:val="left"/>
        <w:rPr>
          <w:rFonts w:ascii="Times New Roman" w:hAnsi="Times New Roman"/>
          <w:sz w:val="20"/>
        </w:rPr>
      </w:pPr>
      <w:r>
        <w:rPr>
          <w:rFonts w:ascii="Times New Roman;serif" w:hAnsi="Times New Roman;serif"/>
          <w:b w:val="false"/>
          <w:sz w:val="20"/>
        </w:rPr>
        <w:t>The business combination between SCS and PKLP (the “Business Combination”) resulted in gross proceeds of approximately $596,537,000. This amount reflected a contribution of $21,737,000</w:t>
      </w:r>
      <w:r>
        <w:rPr>
          <w:rFonts w:ascii="Times New Roman" w:hAnsi="Times New Roman"/>
          <w:sz w:val="20"/>
        </w:rPr>
        <w:t xml:space="preserve"> </w:t>
      </w:r>
      <w:r>
        <w:rPr>
          <w:rFonts w:ascii="Times New Roman;serif" w:hAnsi="Times New Roman;serif"/>
          <w:b w:val="false"/>
          <w:sz w:val="20"/>
        </w:rPr>
        <w:t>of cash held in SCS’ trust account, net of redemptions, and a $574,800,000</w:t>
      </w:r>
      <w:r>
        <w:rPr>
          <w:rFonts w:ascii="Times New Roman" w:hAnsi="Times New Roman"/>
          <w:sz w:val="20"/>
        </w:rPr>
        <w:t xml:space="preserve"> </w:t>
      </w:r>
      <w:r>
        <w:rPr>
          <w:rFonts w:ascii="Times New Roman;serif" w:hAnsi="Times New Roman;serif"/>
          <w:b w:val="false"/>
          <w:sz w:val="20"/>
        </w:rPr>
        <w:t>concurrent private placement of Class A ordinary shares of the combined company, priced at $10.00</w:t>
      </w:r>
      <w:r>
        <w:rPr>
          <w:rFonts w:ascii="Times New Roman" w:hAnsi="Times New Roman"/>
          <w:sz w:val="20"/>
        </w:rPr>
        <w:t xml:space="preserve"> </w:t>
      </w:r>
      <w:r>
        <w:rPr>
          <w:rFonts w:ascii="Times New Roman;serif" w:hAnsi="Times New Roman;serif"/>
          <w:b w:val="false"/>
          <w:sz w:val="20"/>
        </w:rPr>
        <w:t>per share (the “PIPE Placement”). Upon close, these proceeds were used to repay the outstanding balance of $35,000,000</w:t>
      </w:r>
      <w:r>
        <w:rPr>
          <w:rFonts w:ascii="Times New Roman" w:hAnsi="Times New Roman"/>
          <w:sz w:val="20"/>
        </w:rPr>
        <w:t xml:space="preserve"> </w:t>
      </w:r>
      <w:r>
        <w:rPr>
          <w:rFonts w:ascii="Times New Roman;serif" w:hAnsi="Times New Roman;serif"/>
          <w:b w:val="false"/>
          <w:sz w:val="20"/>
        </w:rPr>
        <w:t>under PKLP’s two promissory note agreements with certain holders of its Class A Units (the “Promissory Notes”) and related accrued interest. Additionally, the proceeds were used to pay those expenses previously incurred by SCS related to the Business Combination of approximately $21,029,000</w:t>
      </w:r>
      <w:r>
        <w:rPr>
          <w:rFonts w:ascii="Times New Roman" w:hAnsi="Times New Roman"/>
          <w:sz w:val="20"/>
        </w:rPr>
        <w:t xml:space="preserve"> </w:t>
      </w:r>
      <w:r>
        <w:rPr>
          <w:rFonts w:ascii="Times New Roman;serif" w:hAnsi="Times New Roman;serif"/>
          <w:b w:val="false"/>
          <w:sz w:val="20"/>
        </w:rPr>
        <w:t>as well as advisory and placement fees of approximately $29,389,000</w:t>
      </w:r>
      <w:r>
        <w:rPr>
          <w:rFonts w:ascii="Times New Roman" w:hAnsi="Times New Roman"/>
          <w:sz w:val="20"/>
        </w:rPr>
        <w:t xml:space="preserve"> </w:t>
      </w:r>
      <w:r>
        <w:rPr>
          <w:rFonts w:ascii="Times New Roman;serif" w:hAnsi="Times New Roman;serif"/>
          <w:b w:val="false"/>
          <w:sz w:val="20"/>
        </w:rPr>
        <w:t>incurred in connection with the PIPE Placement.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Business Combination was accounted for as a reverse recapitalization transaction between entities under common control, through which PKLP was considered the accounting acquiror and predecessor entity. The Business Combination was reflected as the equivalent of PKLP issuing stock for the net assets of SCS accompanied by a recapitalization with no goodwill or intangible assets recognized.</w:t>
      </w:r>
    </w:p>
    <w:p>
      <w:pPr>
        <w:pStyle w:val="TextBody"/>
        <w:spacing w:before="120" w:after="0"/>
        <w:jc w:val="left"/>
        <w:rPr>
          <w:rFonts w:ascii="Times New Roman" w:hAnsi="Times New Roman"/>
          <w:sz w:val="20"/>
        </w:rPr>
      </w:pPr>
      <w:r>
        <w:rPr>
          <w:rFonts w:ascii="Times New Roman;serif" w:hAnsi="Times New Roman;serif"/>
          <w:b w:val="false"/>
          <w:sz w:val="20"/>
        </w:rPr>
        <w:t>ProKidney Corp., through its operating subsidiaries, ProKidney, which is incorporated under the Cayman Islands Companies Act (as amended) as an exempted company (“ProKidney-KY”) and ProKidney LLC, a limited liability company under the laws of Delaware (“ProKidney-US”) is focused on the development of its Renal Autologous Cell Therapy, which has the potential to preserve kidney function in patients with chronic kidney disease or delay or eliminate the need for dialysis and organ transplantation.</w:t>
      </w:r>
      <w:r>
        <w:rPr>
          <w:rFonts w:ascii="Times New Roman" w:hAnsi="Times New Roman"/>
          <w:sz w:val="20"/>
        </w:rPr>
        <w:t xml:space="preserve"> </w:t>
      </w:r>
    </w:p>
    <w:p>
      <w:pPr>
        <w:pStyle w:val="TextBody"/>
        <w:spacing w:before="360" w:after="0"/>
        <w:jc w:val="both"/>
        <w:rPr>
          <w:rFonts w:ascii="Times New Roman;serif" w:hAnsi="Times New Roman;serif"/>
          <w:b/>
          <w:i/>
          <w:sz w:val="20"/>
        </w:rPr>
      </w:pPr>
      <w:r>
        <w:rPr>
          <w:rFonts w:ascii="Times New Roman;serif" w:hAnsi="Times New Roman;serif"/>
          <w:b/>
          <w:i/>
          <w:sz w:val="20"/>
        </w:rPr>
        <w:t>Principles of Consolidation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ProKidney is a holding company, and its principal asset is a controlling equity interest in PKLP and its wholly-owned operating subsidiaries ProKidney-KY and ProKidney-US. The Company has determined that PKLP is a variable-interest entity for accounting purposes and that ProKidney is the primary beneficiary of PKLP because (through its managing member interest in PKLP and the fact that the senior management of ProKidney is also the senior management of PKLP) it has the power and benefits to direct all of the activities of PKLP, which include those that most significantly impact PKLP’s economic performance. The Company has therefore consolidated PKLP’s results pursuant to Accounting Standards Codification Topic 810, “Consolidation” in its Consolidated Financial Statements. As of December 31, 2022, various holders own non-voting interests in PKLP, representing a 73.6% economic interest in PKLP, effectively restricting ProKidney’s interest to 26.4% of PKLP’s economic results, subject to increase in the future, should ProKidney purchase additional non-voting common units (“PKLP Units”) of PKLP, or should the holders of PKLP Units decide to exchange such units (together with shares of Class B ordinary shares) for Class A ordinary shares (or cash) pursuant to the Exchange Agreement (as defined in Note 5). The Company will not be required to provide financial or other support for PKLP. However, ProKidney will control its business and other activities through its ownership of 100% of the shares in ProKidney Corp. GP Limited (“New GP”), which is the managing member of PKLP. Nevertheless, because ProKidney will have no material assets other than its interests in PKLP and its subsidiaries, any financial difficulties at PKLP could result in ProKidney recognizing a loss.</w:t>
      </w:r>
    </w:p>
    <w:p>
      <w:pPr>
        <w:pStyle w:val="TextBody"/>
        <w:spacing w:before="120" w:after="0"/>
        <w:jc w:val="left"/>
        <w:rPr>
          <w:rFonts w:ascii="Times New Roman" w:hAnsi="Times New Roman"/>
          <w:sz w:val="20"/>
        </w:rPr>
      </w:pPr>
      <w:r>
        <w:rPr>
          <w:rFonts w:ascii="Times New Roman;serif" w:hAnsi="Times New Roman;serif"/>
          <w:b w:val="false"/>
          <w:sz w:val="20"/>
        </w:rPr>
        <w:t>All intercompany transactions and balances have been eliminated.</w:t>
      </w:r>
      <w:r>
        <w:rPr>
          <w:rFonts w:ascii="Times New Roman" w:hAnsi="Times New Roman"/>
          <w:sz w:val="20"/>
        </w:rPr>
        <w:t xml:space="preserve"> </w:t>
      </w:r>
    </w:p>
    <w:p>
      <w:pPr>
        <w:pStyle w:val="TextBody"/>
        <w:spacing w:before="360" w:after="0"/>
        <w:jc w:val="both"/>
        <w:rPr>
          <w:rFonts w:ascii="Times New Roman;serif" w:hAnsi="Times New Roman;serif"/>
          <w:b/>
          <w:i/>
          <w:sz w:val="20"/>
        </w:rPr>
      </w:pPr>
      <w:r>
        <w:rPr>
          <w:rFonts w:ascii="Times New Roman;serif" w:hAnsi="Times New Roman;serif"/>
          <w:b/>
          <w:i/>
          <w:sz w:val="20"/>
        </w:rPr>
        <w:t>Reclassifications</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To facilitate comparison of information across periods, certain reclassifications have been made to prior period amounts to conform to the current period’s presentation.</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F-7</w:t>
      </w:r>
    </w:p>
    <w:p>
      <w:pPr>
        <w:pStyle w:val="HorizontalLine"/>
        <w:rPr/>
      </w:pPr>
      <w:r>
        <w:rPr/>
      </w:r>
    </w:p>
    <w:p>
      <w:pPr>
        <w:pStyle w:val="TextBody"/>
        <w:spacing w:before="0" w:after="0"/>
        <w:jc w:val="left"/>
        <w:rPr/>
      </w:pPr>
      <w:r>
        <w:rPr/>
        <w:t> </w:t>
      </w:r>
    </w:p>
    <w:p>
      <w:pPr>
        <w:pStyle w:val="TextBody"/>
        <w:spacing w:before="360" w:after="0"/>
        <w:jc w:val="both"/>
        <w:rPr>
          <w:rFonts w:ascii="Times New Roman;serif" w:hAnsi="Times New Roman;serif"/>
          <w:b/>
          <w:i/>
          <w:sz w:val="20"/>
        </w:rPr>
      </w:pPr>
      <w:r>
        <w:rPr>
          <w:rFonts w:ascii="Times New Roman;serif" w:hAnsi="Times New Roman;serif"/>
          <w:b/>
          <w:i/>
          <w:sz w:val="20"/>
        </w:rPr>
        <w:t>Going Concern</w:t>
      </w:r>
    </w:p>
    <w:p>
      <w:pPr>
        <w:pStyle w:val="TextBody"/>
        <w:spacing w:before="120" w:after="0"/>
        <w:jc w:val="left"/>
        <w:rPr>
          <w:rFonts w:ascii="Times New Roman" w:hAnsi="Times New Roman"/>
          <w:sz w:val="20"/>
        </w:rPr>
      </w:pPr>
      <w:r>
        <w:rPr>
          <w:rFonts w:ascii="Times New Roman;serif" w:hAnsi="Times New Roman;serif"/>
          <w:b w:val="false"/>
          <w:sz w:val="20"/>
        </w:rPr>
        <w:t>The accompanying consolidated financial statements have been prepared on a going concern basis, which contemplates the realization of assets and satisfaction of liabilities in the normal course of business. The Company performed an analysis of its ability to continue as a going concern. As of December 31, 2022, the Company had an accumulated deficit of $1,104,116,000. The Company has generated losses from operations for each year since its inception. The Company intends to continue to conduct significant additional research, development, and clinical study activities which, together with expenses incurred for general and administrative purposes, are expected to result in continuing operating losses for the foreseeable future. The amount of future losses and when, if ever, the Company will achieve profitability are uncertain. The Company’s ability to achieve profitability will depend, among other things, on successfully completing clinical studies, obtaining requisite regulatory approvals, establishing appropriate pricing for its product with payers, and raising sufficient funds to finance the Company’s activities. No assurance can be given that the Company’s clinical development efforts will be successful, that regulatory approvals will be obtained, or that the Company will be able to achieve appropriate pricing and market access or that profitability, if achieved, can be sustained.</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Closing provided additional liquidity to the Company totaling approximately $511,912,000. The Company’s primary source of liquidity is its cash and cash equivalents, which as of December 31, 2022, was $490,252,000. This liquidity is considered sufficient to satisfy the Company’s operating liabilities for a period greater than 12 months following the issuance date of these financial statements. As such, management considers that there is not substantial doubt about the Company’s ability to continue as a going concern.</w:t>
        <w:br/>
        <w:br/>
        <w:t>.</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Note 2: Significant Accounting Policies</w:t>
      </w:r>
    </w:p>
    <w:p>
      <w:pPr>
        <w:pStyle w:val="TextBody"/>
        <w:spacing w:before="120" w:after="0"/>
        <w:jc w:val="both"/>
        <w:rPr>
          <w:rFonts w:ascii="Times New Roman;serif" w:hAnsi="Times New Roman;serif"/>
          <w:b/>
          <w:sz w:val="20"/>
        </w:rPr>
      </w:pPr>
      <w:r>
        <w:rPr>
          <w:rFonts w:ascii="Times New Roman;serif" w:hAnsi="Times New Roman;serif"/>
          <w:b/>
          <w:sz w:val="20"/>
        </w:rPr>
        <w:t>Use of Estimates</w:t>
      </w:r>
    </w:p>
    <w:p>
      <w:pPr>
        <w:pStyle w:val="TextBody"/>
        <w:spacing w:before="120" w:after="0"/>
        <w:jc w:val="left"/>
        <w:rPr>
          <w:rFonts w:ascii="Times New Roman" w:hAnsi="Times New Roman"/>
          <w:sz w:val="20"/>
        </w:rPr>
      </w:pPr>
      <w:r>
        <w:rPr>
          <w:rFonts w:ascii="Times New Roman;serif" w:hAnsi="Times New Roman;serif"/>
          <w:b w:val="false"/>
          <w:sz w:val="20"/>
        </w:rPr>
        <w:t>The preparation of consolidated financial statements, in accordance with GAAP, requires management to make certain estimates and assumptions that affect the reported amounts of assets and liabilities and disclosure of contingent liabilities at the date of the consolidated financial statements, and the amounts of expenses during the reported periods. Certain estimates in these consolidated financial statements have been made in connection with the calculation of research and development expenses, equity-based compensation expense and the provision for or benefit from income taxes. The Company bases its estimates on historical experience and various other assumptions, including in certain circumstances future projections, which management believes to be reasonable under the circumstances. Actual results could differ from those estimates. Changes in estimates are reflected in reported results in the period in which they become known.</w:t>
      </w:r>
      <w:r>
        <w:rPr>
          <w:rFonts w:ascii="Times New Roman" w:hAnsi="Times New Roman"/>
          <w:sz w:val="20"/>
        </w:rPr>
        <w:t xml:space="preserve"> </w:t>
      </w:r>
    </w:p>
    <w:p>
      <w:pPr>
        <w:pStyle w:val="TextBody"/>
        <w:spacing w:before="360" w:after="0"/>
        <w:jc w:val="both"/>
        <w:rPr>
          <w:rFonts w:ascii="Times New Roman;serif" w:hAnsi="Times New Roman;serif"/>
          <w:b/>
          <w:sz w:val="20"/>
        </w:rPr>
      </w:pPr>
      <w:r>
        <w:rPr>
          <w:rFonts w:ascii="Times New Roman;serif" w:hAnsi="Times New Roman;serif"/>
          <w:b/>
          <w:sz w:val="20"/>
        </w:rPr>
        <w:t>Cash and Cash Equivalents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considers all highly liquid investments with an original maturity of 90 days or less on the date of purchase to be cash equivalents. The carrying value of cash and cash equivalents approximates fair value due to the short-term nature of these items.</w:t>
      </w:r>
    </w:p>
    <w:p>
      <w:pPr>
        <w:pStyle w:val="TextBody"/>
        <w:spacing w:before="360" w:after="0"/>
        <w:jc w:val="both"/>
        <w:rPr>
          <w:rFonts w:ascii="Times New Roman;serif" w:hAnsi="Times New Roman;serif"/>
          <w:b/>
          <w:sz w:val="20"/>
        </w:rPr>
      </w:pPr>
      <w:r>
        <w:rPr>
          <w:rFonts w:ascii="Times New Roman;serif" w:hAnsi="Times New Roman;serif"/>
          <w:b/>
          <w:sz w:val="20"/>
        </w:rPr>
        <w:t>Concentrations of Credit Risk</w:t>
      </w:r>
    </w:p>
    <w:p>
      <w:pPr>
        <w:pStyle w:val="TextBody"/>
        <w:spacing w:before="120" w:after="0"/>
        <w:jc w:val="left"/>
        <w:rPr>
          <w:rFonts w:ascii="Times New Roman" w:hAnsi="Times New Roman"/>
          <w:sz w:val="20"/>
        </w:rPr>
      </w:pPr>
      <w:r>
        <w:rPr>
          <w:rFonts w:ascii="Times New Roman;serif" w:hAnsi="Times New Roman;serif"/>
          <w:b w:val="false"/>
          <w:sz w:val="20"/>
        </w:rPr>
        <w:t>Cash and equivalents are the primary financial instruments held by the Company that are potentially subject to concentrations of credit risk. The Company’s cash and equivalents are deposited in accounts at large financial institutions, and such amounts may exceed federally insured limits.</w:t>
      </w:r>
      <w:r>
        <w:rPr>
          <w:rFonts w:ascii="Times New Roman" w:hAnsi="Times New Roman"/>
          <w:sz w:val="20"/>
        </w:rPr>
        <w:t xml:space="preserve"> </w:t>
      </w:r>
    </w:p>
    <w:p>
      <w:pPr>
        <w:pStyle w:val="TextBody"/>
        <w:spacing w:before="360" w:after="0"/>
        <w:jc w:val="both"/>
        <w:rPr>
          <w:rFonts w:ascii="Times New Roman;serif" w:hAnsi="Times New Roman;serif"/>
          <w:b/>
          <w:sz w:val="20"/>
        </w:rPr>
      </w:pPr>
      <w:r>
        <w:rPr>
          <w:rFonts w:ascii="Times New Roman;serif" w:hAnsi="Times New Roman;serif"/>
          <w:b/>
          <w:sz w:val="20"/>
        </w:rPr>
        <w:t>Accrued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Accrued expenses as presented in the Consolidated Balance Sheets as of December 31, 2022 and December 31, 2021 consisted of the following (in thousands):</w:t>
      </w:r>
    </w:p>
    <w:p>
      <w:pPr>
        <w:pStyle w:val="TextBody"/>
        <w:spacing w:before="0" w:after="0"/>
        <w:jc w:val="both"/>
        <w:rPr/>
      </w:pPr>
      <w:r>
        <w:rPr/>
        <w:t> </w:t>
      </w:r>
    </w:p>
    <w:tbl>
      <w:tblPr>
        <w:tblW w:w="7484" w:type="dxa"/>
        <w:jc w:val="left"/>
        <w:tblInd w:w="0" w:type="dxa"/>
        <w:tblCellMar>
          <w:top w:w="28" w:type="dxa"/>
          <w:left w:w="28" w:type="dxa"/>
          <w:bottom w:w="28" w:type="dxa"/>
          <w:right w:w="28" w:type="dxa"/>
        </w:tblCellMar>
      </w:tblPr>
      <w:tblGrid>
        <w:gridCol w:w="3451"/>
        <w:gridCol w:w="465"/>
        <w:gridCol w:w="1260"/>
        <w:gridCol w:w="146"/>
        <w:gridCol w:w="146"/>
        <w:gridCol w:w="465"/>
        <w:gridCol w:w="1260"/>
        <w:gridCol w:w="291"/>
      </w:tblGrid>
      <w:tr>
        <w:trPr/>
        <w:tc>
          <w:tcPr>
            <w:tcW w:w="3451"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jc w:val="center"/>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2021</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Compensation</w:t>
            </w:r>
          </w:p>
        </w:tc>
        <w:tc>
          <w:tcPr>
            <w:tcW w:w="4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4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1,832</w:t>
            </w:r>
          </w:p>
        </w:tc>
        <w:tc>
          <w:tcPr>
            <w:tcW w:w="2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Clinical study related costs</w:t>
            </w:r>
          </w:p>
        </w:tc>
        <w:tc>
          <w:tcPr>
            <w:tcW w:w="465"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465"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2,031</w:t>
            </w:r>
          </w:p>
        </w:tc>
        <w:tc>
          <w:tcPr>
            <w:tcW w:w="2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legal costs</w:t>
            </w:r>
          </w:p>
        </w:tc>
        <w:tc>
          <w:tcPr>
            <w:tcW w:w="465"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465"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964</w:t>
            </w:r>
          </w:p>
        </w:tc>
        <w:tc>
          <w:tcPr>
            <w:tcW w:w="2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Manufacturing improvement costs</w:t>
            </w:r>
          </w:p>
        </w:tc>
        <w:tc>
          <w:tcPr>
            <w:tcW w:w="465"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465"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4,164</w:t>
            </w:r>
          </w:p>
        </w:tc>
        <w:tc>
          <w:tcPr>
            <w:tcW w:w="2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consulting and professional fees</w:t>
            </w:r>
          </w:p>
        </w:tc>
        <w:tc>
          <w:tcPr>
            <w:tcW w:w="465"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465"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2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accrued expenses</w:t>
            </w:r>
          </w:p>
        </w:tc>
        <w:tc>
          <w:tcPr>
            <w:tcW w:w="4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4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345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accrued expenses and other</w:t>
            </w:r>
          </w:p>
        </w:tc>
        <w:tc>
          <w:tcPr>
            <w:tcW w:w="4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7,336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4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9,213</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F-8</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Research and Development Costs</w:t>
      </w:r>
    </w:p>
    <w:p>
      <w:pPr>
        <w:pStyle w:val="TextBody"/>
        <w:spacing w:before="120" w:after="0"/>
        <w:jc w:val="left"/>
        <w:rPr>
          <w:rFonts w:ascii="Times New Roman" w:hAnsi="Times New Roman"/>
          <w:sz w:val="20"/>
        </w:rPr>
      </w:pPr>
      <w:r>
        <w:rPr>
          <w:rFonts w:ascii="Times New Roman;serif" w:hAnsi="Times New Roman;serif"/>
          <w:b w:val="false"/>
          <w:sz w:val="20"/>
        </w:rPr>
        <w:t>Research and development costs are expensed as incurred. Research and development expenses are comprised of costs incurred in performing research and development activities, including salaries, benefits, third party license fees, and external costs of outside vendors engaged to conduct manufacturing and preclinical development activities and clinical trials.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records accruals based on estimates of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records nonrefundable advance payments it makes for future research and development activities as prepaid expenses. Prepaid expenses are recognized as expense in the Consolidated Statement of Operations and Comprehensive Loss as the Company receives the related goods or services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Costs incurred in obtaining technology licenses are charged to research and development expense as purchased in-process research and development if the technology licensed has not reached technological feasibility and has no alternative future use.</w:t>
      </w:r>
    </w:p>
    <w:p>
      <w:pPr>
        <w:pStyle w:val="TextBody"/>
        <w:spacing w:before="360" w:after="0"/>
        <w:jc w:val="both"/>
        <w:rPr>
          <w:rFonts w:ascii="Times New Roman;serif" w:hAnsi="Times New Roman;serif"/>
          <w:b/>
          <w:sz w:val="20"/>
        </w:rPr>
      </w:pPr>
      <w:r>
        <w:rPr>
          <w:rFonts w:ascii="Times New Roman;serif" w:hAnsi="Times New Roman;serif"/>
          <w:b/>
          <w:sz w:val="20"/>
        </w:rPr>
        <w:t>Fixed Assets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Fixed assets are stated at cost, less accumulated depreciation. Generally, expenditures for maintenance and repairs are charged to expense and major improvements or replacements are capitalized. The Company computes depreciation and amortization using the straight-line method over the estimated useful life of the asset. Leasehold improvements are amortized over the lesser of, the life of the lease or the estimated useful life of the leasehold improvement. The estimated useful lives are as follows:</w:t>
      </w:r>
    </w:p>
    <w:p>
      <w:pPr>
        <w:pStyle w:val="TextBody"/>
        <w:spacing w:before="0" w:after="0"/>
        <w:jc w:val="both"/>
        <w:rPr/>
      </w:pPr>
      <w:r>
        <w:rPr/>
        <w:t> </w:t>
      </w:r>
    </w:p>
    <w:tbl>
      <w:tblPr>
        <w:tblW w:w="4937" w:type="dxa"/>
        <w:jc w:val="left"/>
        <w:tblInd w:w="0" w:type="dxa"/>
        <w:tblCellMar>
          <w:top w:w="28" w:type="dxa"/>
          <w:left w:w="28" w:type="dxa"/>
          <w:bottom w:w="28" w:type="dxa"/>
          <w:right w:w="28" w:type="dxa"/>
        </w:tblCellMar>
      </w:tblPr>
      <w:tblGrid>
        <w:gridCol w:w="2911"/>
        <w:gridCol w:w="2026"/>
      </w:tblGrid>
      <w:tr>
        <w:trPr/>
        <w:tc>
          <w:tcPr>
            <w:tcW w:w="2911"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r>
      <w:tr>
        <w:trPr/>
        <w:tc>
          <w:tcPr>
            <w:tcW w:w="29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 and software</w:t>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3-5 years</w:t>
            </w:r>
          </w:p>
        </w:tc>
      </w:tr>
      <w:tr>
        <w:trPr/>
        <w:tc>
          <w:tcPr>
            <w:tcW w:w="29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equipment</w:t>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5-7</w:t>
            </w:r>
            <w:r>
              <w:rPr>
                <w:rFonts w:ascii="Times New Roman" w:hAnsi="Times New Roman"/>
                <w:sz w:val="20"/>
              </w:rPr>
              <w:t> </w:t>
            </w:r>
            <w:r>
              <w:rPr>
                <w:rFonts w:ascii="Times New Roman;serif" w:hAnsi="Times New Roman;serif"/>
                <w:b w:val="false"/>
                <w:sz w:val="20"/>
              </w:rPr>
              <w:t>years</w:t>
            </w:r>
          </w:p>
        </w:tc>
      </w:tr>
      <w:tr>
        <w:trPr/>
        <w:tc>
          <w:tcPr>
            <w:tcW w:w="29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lease term</w:t>
            </w:r>
          </w:p>
        </w:tc>
      </w:tr>
    </w:tbl>
    <w:p>
      <w:pPr>
        <w:pStyle w:val="TextBody"/>
        <w:spacing w:before="0" w:after="0"/>
        <w:jc w:val="both"/>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Fixed assets consisted of the following (in thousands):</w:t>
      </w:r>
    </w:p>
    <w:p>
      <w:pPr>
        <w:pStyle w:val="TextBody"/>
        <w:spacing w:before="0" w:after="0"/>
        <w:jc w:val="left"/>
        <w:rPr/>
      </w:pPr>
      <w:r>
        <w:rPr/>
        <w:t> </w:t>
      </w:r>
    </w:p>
    <w:tbl>
      <w:tblPr>
        <w:tblW w:w="7084" w:type="dxa"/>
        <w:jc w:val="left"/>
        <w:tblInd w:w="0" w:type="dxa"/>
        <w:tblCellMar>
          <w:top w:w="28" w:type="dxa"/>
          <w:left w:w="28" w:type="dxa"/>
          <w:bottom w:w="28" w:type="dxa"/>
          <w:right w:w="28" w:type="dxa"/>
        </w:tblCellMar>
      </w:tblPr>
      <w:tblGrid>
        <w:gridCol w:w="2911"/>
        <w:gridCol w:w="409"/>
        <w:gridCol w:w="1316"/>
        <w:gridCol w:w="166"/>
        <w:gridCol w:w="146"/>
        <w:gridCol w:w="409"/>
        <w:gridCol w:w="1316"/>
        <w:gridCol w:w="411"/>
      </w:tblGrid>
      <w:tr>
        <w:trPr/>
        <w:tc>
          <w:tcPr>
            <w:tcW w:w="2911"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911" w:type="dxa"/>
            <w:tcBorders/>
            <w:shd w:fill="auto" w:val="clear"/>
            <w:vAlign w:val="center"/>
          </w:tcPr>
          <w:p>
            <w:pPr>
              <w:pStyle w:val="TableContents"/>
              <w:spacing w:before="0" w:after="0"/>
              <w:ind w:left="0" w:right="0" w:hanging="0"/>
              <w:jc w:val="center"/>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equipment</w:t>
            </w:r>
          </w:p>
        </w:tc>
        <w:tc>
          <w:tcPr>
            <w:tcW w:w="40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40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2,180</w:t>
            </w:r>
          </w:p>
        </w:tc>
        <w:tc>
          <w:tcPr>
            <w:tcW w:w="41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 and software</w:t>
            </w:r>
          </w:p>
        </w:tc>
        <w:tc>
          <w:tcPr>
            <w:tcW w:w="409" w:type="dxa"/>
            <w:tcBorders/>
            <w:shd w:fill="auto" w:val="clear"/>
            <w:vAlign w:val="center"/>
          </w:tcPr>
          <w:p>
            <w:pPr>
              <w:pStyle w:val="TableContents"/>
              <w:spacing w:before="0" w:after="0"/>
              <w:ind w:left="0" w:right="0" w:hanging="0"/>
              <w:jc w:val="left"/>
              <w:rPr/>
            </w:pPr>
            <w:r>
              <w:rPr/>
              <w:t> </w:t>
            </w:r>
          </w:p>
        </w:tc>
        <w:tc>
          <w:tcPr>
            <w:tcW w:w="1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409" w:type="dxa"/>
            <w:tcBorders/>
            <w:shd w:fill="auto" w:val="clear"/>
            <w:vAlign w:val="center"/>
          </w:tcPr>
          <w:p>
            <w:pPr>
              <w:pStyle w:val="TableContents"/>
              <w:spacing w:before="0" w:after="0"/>
              <w:ind w:left="0" w:right="0" w:hanging="0"/>
              <w:jc w:val="left"/>
              <w:rPr/>
            </w:pPr>
            <w:r>
              <w:rPr/>
              <w:t> </w:t>
            </w:r>
          </w:p>
        </w:tc>
        <w:tc>
          <w:tcPr>
            <w:tcW w:w="1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569</w:t>
            </w:r>
          </w:p>
        </w:tc>
        <w:tc>
          <w:tcPr>
            <w:tcW w:w="41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409" w:type="dxa"/>
            <w:tcBorders/>
            <w:shd w:fill="auto" w:val="clear"/>
            <w:vAlign w:val="center"/>
          </w:tcPr>
          <w:p>
            <w:pPr>
              <w:pStyle w:val="TableContents"/>
              <w:spacing w:before="0" w:after="0"/>
              <w:ind w:left="0" w:right="0" w:hanging="0"/>
              <w:jc w:val="left"/>
              <w:rPr/>
            </w:pPr>
            <w:r>
              <w:rPr/>
              <w:t> </w:t>
            </w:r>
          </w:p>
        </w:tc>
        <w:tc>
          <w:tcPr>
            <w:tcW w:w="1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409" w:type="dxa"/>
            <w:tcBorders/>
            <w:shd w:fill="auto" w:val="clear"/>
            <w:vAlign w:val="center"/>
          </w:tcPr>
          <w:p>
            <w:pPr>
              <w:pStyle w:val="TableContents"/>
              <w:spacing w:before="0" w:after="0"/>
              <w:ind w:left="0" w:right="0" w:hanging="0"/>
              <w:jc w:val="left"/>
              <w:rPr/>
            </w:pPr>
            <w:r>
              <w:rPr/>
              <w:t> </w:t>
            </w:r>
          </w:p>
        </w:tc>
        <w:tc>
          <w:tcPr>
            <w:tcW w:w="1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10,517</w:t>
            </w:r>
          </w:p>
        </w:tc>
        <w:tc>
          <w:tcPr>
            <w:tcW w:w="41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409" w:type="dxa"/>
            <w:tcBorders/>
            <w:shd w:fill="auto" w:val="clear"/>
            <w:vAlign w:val="center"/>
          </w:tcPr>
          <w:p>
            <w:pPr>
              <w:pStyle w:val="TableContents"/>
              <w:spacing w:before="0" w:after="0"/>
              <w:ind w:left="0" w:right="0" w:hanging="0"/>
              <w:jc w:val="left"/>
              <w:rPr/>
            </w:pPr>
            <w:r>
              <w:rPr/>
              <w:t> </w:t>
            </w:r>
          </w:p>
        </w:tc>
        <w:tc>
          <w:tcPr>
            <w:tcW w:w="1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409" w:type="dxa"/>
            <w:tcBorders/>
            <w:shd w:fill="auto" w:val="clear"/>
            <w:vAlign w:val="center"/>
          </w:tcPr>
          <w:p>
            <w:pPr>
              <w:pStyle w:val="TableContents"/>
              <w:spacing w:before="0" w:after="0"/>
              <w:ind w:left="0" w:right="0" w:hanging="0"/>
              <w:jc w:val="left"/>
              <w:rPr/>
            </w:pPr>
            <w:r>
              <w:rPr/>
              <w:t> </w:t>
            </w:r>
          </w:p>
        </w:tc>
        <w:tc>
          <w:tcPr>
            <w:tcW w:w="1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351</w:t>
            </w:r>
          </w:p>
        </w:tc>
        <w:tc>
          <w:tcPr>
            <w:tcW w:w="41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4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both"/>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fixed assets, net</w:t>
            </w:r>
          </w:p>
        </w:tc>
        <w:tc>
          <w:tcPr>
            <w:tcW w:w="4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10,708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4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11,358</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Depreciation expense for the years ended December 31, 2022, 2021 and 2020 was $2,448,000, $1,452,000, and $606,000, respectively.</w:t>
      </w:r>
      <w:r>
        <w:rPr>
          <w:rFonts w:ascii="Times New Roman" w:hAnsi="Times New Roman"/>
          <w:sz w:val="20"/>
        </w:rPr>
        <w:t xml:space="preserve"> </w:t>
      </w:r>
    </w:p>
    <w:p>
      <w:pPr>
        <w:pStyle w:val="TextBody"/>
        <w:spacing w:before="360" w:after="0"/>
        <w:jc w:val="both"/>
        <w:rPr>
          <w:rFonts w:ascii="Times New Roman;serif" w:hAnsi="Times New Roman;serif"/>
          <w:b/>
          <w:sz w:val="20"/>
        </w:rPr>
      </w:pPr>
      <w:r>
        <w:rPr>
          <w:rFonts w:ascii="Times New Roman;serif" w:hAnsi="Times New Roman;serif"/>
          <w:b/>
          <w:sz w:val="20"/>
        </w:rPr>
        <w:t>Intangible Assets</w:t>
      </w:r>
    </w:p>
    <w:p>
      <w:pPr>
        <w:pStyle w:val="TextBody"/>
        <w:spacing w:before="120" w:after="0"/>
        <w:jc w:val="left"/>
        <w:rPr>
          <w:rFonts w:ascii="Times New Roman" w:hAnsi="Times New Roman"/>
          <w:sz w:val="20"/>
        </w:rPr>
      </w:pPr>
      <w:r>
        <w:rPr>
          <w:rFonts w:ascii="Times New Roman;serif" w:hAnsi="Times New Roman;serif"/>
          <w:b w:val="false"/>
          <w:sz w:val="20"/>
        </w:rPr>
        <w:t>Intangible assets are comprised of acquired assembled workforce, which are accounted for in accordance with ASC 350 - Intangibles - Goodwill and Other. The acquired assembled workforce is amortized on a straight-line basis over the useful life of five years.</w:t>
      </w:r>
      <w:r>
        <w:rPr>
          <w:rFonts w:ascii="Times New Roman" w:hAnsi="Times New Roman"/>
          <w:sz w:val="20"/>
        </w:rPr>
        <w:t xml:space="preserve"> </w:t>
      </w:r>
      <w:r>
        <w:rPr>
          <w:rFonts w:ascii="Times New Roman;serif" w:hAnsi="Times New Roman;serif"/>
          <w:b w:val="false"/>
          <w:sz w:val="20"/>
        </w:rPr>
        <w:t>The following table summarizes information related to the Company’s assembled workforce intangible asset (in thousands):</w:t>
      </w:r>
    </w:p>
    <w:p>
      <w:pPr>
        <w:pStyle w:val="TextBody"/>
        <w:spacing w:before="0" w:after="0"/>
        <w:jc w:val="left"/>
        <w:rPr/>
      </w:pPr>
      <w:r>
        <w:rPr/>
        <w:t> </w:t>
      </w:r>
    </w:p>
    <w:tbl>
      <w:tblPr>
        <w:tblW w:w="6560" w:type="dxa"/>
        <w:jc w:val="left"/>
        <w:tblInd w:w="0" w:type="dxa"/>
        <w:tblCellMar>
          <w:top w:w="28" w:type="dxa"/>
          <w:left w:w="28" w:type="dxa"/>
          <w:bottom w:w="28" w:type="dxa"/>
          <w:right w:w="28" w:type="dxa"/>
        </w:tblCellMar>
      </w:tblPr>
      <w:tblGrid>
        <w:gridCol w:w="2281"/>
        <w:gridCol w:w="146"/>
        <w:gridCol w:w="465"/>
        <w:gridCol w:w="1260"/>
        <w:gridCol w:w="146"/>
        <w:gridCol w:w="146"/>
        <w:gridCol w:w="465"/>
        <w:gridCol w:w="1260"/>
        <w:gridCol w:w="391"/>
      </w:tblGrid>
      <w:tr>
        <w:trPr/>
        <w:tc>
          <w:tcPr>
            <w:tcW w:w="22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2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carrying amount</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1,073</w:t>
            </w:r>
          </w:p>
        </w:tc>
        <w:tc>
          <w:tcPr>
            <w:tcW w:w="391" w:type="dxa"/>
            <w:tcBorders/>
            <w:shd w:fill="auto" w:val="clear"/>
            <w:vAlign w:val="center"/>
          </w:tcPr>
          <w:p>
            <w:pPr>
              <w:pStyle w:val="TableContents"/>
              <w:spacing w:before="0" w:after="0"/>
              <w:ind w:left="0" w:right="0" w:hanging="0"/>
              <w:jc w:val="left"/>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amortization</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645</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2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carrying amount</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Estimated amortization expense for the years ended December 31, 2023 and 2024 is $208,000</w:t>
      </w:r>
      <w:r>
        <w:rPr>
          <w:rFonts w:ascii="Times New Roman" w:hAnsi="Times New Roman"/>
          <w:sz w:val="20"/>
        </w:rPr>
        <w:t xml:space="preserve"> </w:t>
      </w:r>
      <w:r>
        <w:rPr>
          <w:rFonts w:ascii="Times New Roman;serif" w:hAnsi="Times New Roman;serif"/>
          <w:b w:val="false"/>
          <w:sz w:val="20"/>
        </w:rPr>
        <w:t>and $5,000, respectively. Amortization expense relating to the assembled workforce intangible asset was $215,000, $214,000</w:t>
      </w:r>
      <w:r>
        <w:rPr>
          <w:rFonts w:ascii="Times New Roman" w:hAnsi="Times New Roman"/>
          <w:sz w:val="20"/>
        </w:rPr>
        <w:t xml:space="preserve"> </w:t>
      </w:r>
      <w:r>
        <w:rPr>
          <w:rFonts w:ascii="Times New Roman;serif" w:hAnsi="Times New Roman;serif"/>
          <w:b w:val="false"/>
          <w:sz w:val="20"/>
        </w:rPr>
        <w:t>and $215,000</w:t>
      </w:r>
      <w:r>
        <w:rPr>
          <w:rFonts w:ascii="Times New Roman" w:hAnsi="Times New Roman"/>
          <w:sz w:val="20"/>
        </w:rPr>
        <w:t xml:space="preserve"> </w:t>
      </w:r>
      <w:r>
        <w:rPr>
          <w:rFonts w:ascii="Times New Roman;serif" w:hAnsi="Times New Roman;serif"/>
          <w:b w:val="false"/>
          <w:sz w:val="20"/>
        </w:rPr>
        <w:t>for the years ended December 31, 2022, 2021 and 2020, respectively.</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F-9</w:t>
      </w:r>
    </w:p>
    <w:p>
      <w:pPr>
        <w:pStyle w:val="HorizontalLine"/>
        <w:rPr/>
      </w:pPr>
      <w:r>
        <w:rPr/>
      </w:r>
    </w:p>
    <w:p>
      <w:pPr>
        <w:pStyle w:val="TextBody"/>
        <w:spacing w:before="0" w:after="0"/>
        <w:jc w:val="left"/>
        <w:rPr/>
      </w:pPr>
      <w:r>
        <w:rPr/>
        <w:t> </w:t>
      </w:r>
    </w:p>
    <w:p>
      <w:pPr>
        <w:pStyle w:val="TextBody"/>
        <w:spacing w:before="360" w:after="0"/>
        <w:jc w:val="both"/>
        <w:rPr>
          <w:rFonts w:ascii="Times New Roman;serif" w:hAnsi="Times New Roman;serif"/>
          <w:b/>
          <w:sz w:val="20"/>
        </w:rPr>
      </w:pPr>
      <w:r>
        <w:rPr>
          <w:rFonts w:ascii="Times New Roman;serif" w:hAnsi="Times New Roman;serif"/>
          <w:b/>
          <w:sz w:val="20"/>
        </w:rPr>
        <w:t>Impairment of Long-Lived Assets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Long-lived assets such as fixed assets and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for the amount by which the carrying amount of the asset exceeds the fair value of the asset. No impairment charges have been recorded for the years ended December 31, 2022, 2021 and 2020.</w:t>
      </w:r>
    </w:p>
    <w:p>
      <w:pPr>
        <w:pStyle w:val="TextBody"/>
        <w:spacing w:before="360" w:after="0"/>
        <w:jc w:val="both"/>
        <w:rPr>
          <w:rFonts w:ascii="Times New Roman;serif" w:hAnsi="Times New Roman;serif"/>
          <w:b/>
          <w:sz w:val="20"/>
        </w:rPr>
      </w:pPr>
      <w:r>
        <w:rPr>
          <w:rFonts w:ascii="Times New Roman;serif" w:hAnsi="Times New Roman;serif"/>
          <w:b/>
          <w:sz w:val="20"/>
        </w:rPr>
        <w:t>Income Taxes</w:t>
      </w:r>
    </w:p>
    <w:p>
      <w:pPr>
        <w:pStyle w:val="TextBody"/>
        <w:spacing w:before="120" w:after="0"/>
        <w:jc w:val="left"/>
        <w:rPr>
          <w:rFonts w:ascii="Times New Roman" w:hAnsi="Times New Roman"/>
          <w:sz w:val="20"/>
        </w:rPr>
      </w:pPr>
      <w:r>
        <w:rPr>
          <w:rFonts w:ascii="Times New Roman;serif" w:hAnsi="Times New Roman;serif"/>
          <w:b w:val="false"/>
          <w:sz w:val="20"/>
        </w:rPr>
        <w:t>The Company uses the liability method in accounting for income taxes as required by ASC Topic 740 — Income Taxes, under which deferred tax assets and liabilities are recorded for the future tax consequences attributable to the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unless it is more likely than not that such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Accordingly, the Company has provided a full valuation allowance to offset the net deferred tax assets at December 31, 2022 and December 31, 2021.</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Interest and penalties related to income taxes are included in the benefit (expense) for income taxes in the Company’s Consolidated Statements of Operations and Comprehensive Loss. The Company has not incurred any significant interest or penalties related to income taxes in any of the periods presented.</w:t>
      </w:r>
    </w:p>
    <w:p>
      <w:pPr>
        <w:pStyle w:val="TextBody"/>
        <w:spacing w:before="360" w:after="0"/>
        <w:jc w:val="both"/>
        <w:rPr>
          <w:rFonts w:ascii="Times New Roman;serif" w:hAnsi="Times New Roman;serif"/>
          <w:b/>
          <w:sz w:val="20"/>
        </w:rPr>
      </w:pPr>
      <w:r>
        <w:rPr>
          <w:rFonts w:ascii="Times New Roman;serif" w:hAnsi="Times New Roman;serif"/>
          <w:b/>
          <w:sz w:val="20"/>
        </w:rPr>
        <w:t>Fair Value Measurements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Fair value is defined as the price that would be received to sell an asset or paid to transfer a liability in the principal or most advantageous market for the asset or liability in an orderly transaction between market participants at the measurement date. A three</w:t>
        <w:noBreakHyphen/>
        <w:t>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pStyle w:val="TextBody"/>
        <w:spacing w:before="0" w:after="0"/>
        <w:jc w:val="both"/>
        <w:rPr/>
      </w:pPr>
      <w:r>
        <w:rPr/>
        <w:t>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Level 1 – Unadjusted quoted prices in active markets for identical assets or liabilities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Level 2 – Inputs other than quoted prices included within Level 1 that are either directly or indirectly observable through correlation with market data</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Level 3 – Unobservable inputs that are supported by little or no market data, which require the reporting entity to develop its own assumptions</w:t>
      </w:r>
    </w:p>
    <w:p>
      <w:pPr>
        <w:pStyle w:val="TextBody"/>
        <w:spacing w:before="120" w:after="0"/>
        <w:jc w:val="left"/>
        <w:rPr>
          <w:rFonts w:ascii="Times New Roman" w:hAnsi="Times New Roman"/>
          <w:sz w:val="20"/>
        </w:rPr>
      </w:pPr>
      <w:r>
        <w:rPr>
          <w:rFonts w:ascii="Times New Roman;serif" w:hAnsi="Times New Roman;serif"/>
          <w:b w:val="false"/>
          <w:sz w:val="20"/>
        </w:rPr>
        <w:t>The carrying values of cash equivalents, accounts payable, and accrued liabilities approximate fair value due to the short</w:t>
        <w:noBreakHyphen/>
        <w:t>term nature of these instruments.</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Leases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determines if an arrangement is a lease at inception. Balances recognized related to the Company’s operating and finance leases are included in right-of-use assets, net and lease liabilities in the Consolidated Balance Sheets. Right of use assets and lease liabilities are recognized based on the present value of the future minimum lease payments over the lease term at commencement date. Variable payments directly related to the use of the assets and future adjustments of payments based on indices are recognized in the period of incurrence or change and are not included in the lease payments at the initial measurement date. Lease terms may include options to extend or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right of use asset also includes any lease payments made and excludes lease incentives and initial direct costs incurred. The Company has elected a practical expedient to not separate its lease and non-lease components and instead account for them as a single lease component. Leases with a term of 12 months or less are not recorded on the balance sheet.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F-10</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pStyle w:val="TextBody"/>
        <w:spacing w:before="360" w:after="0"/>
        <w:jc w:val="both"/>
        <w:rPr>
          <w:rFonts w:ascii="Times New Roman;serif" w:hAnsi="Times New Roman;serif"/>
          <w:b/>
          <w:sz w:val="20"/>
        </w:rPr>
      </w:pPr>
      <w:r>
        <w:rPr>
          <w:rFonts w:ascii="Times New Roman;serif" w:hAnsi="Times New Roman;serif"/>
          <w:b/>
          <w:sz w:val="20"/>
        </w:rPr>
        <w:t>Contingent Liabilities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records reserves for contingent liabilities when it is probable that an asset has been impaired or a liability has been incurred at the date of the financial statements, and the amount of the loss can be reasonably estimated.</w:t>
      </w:r>
    </w:p>
    <w:p>
      <w:pPr>
        <w:pStyle w:val="TextBody"/>
        <w:spacing w:before="360" w:after="0"/>
        <w:jc w:val="both"/>
        <w:rPr>
          <w:rFonts w:ascii="Times New Roman;serif" w:hAnsi="Times New Roman;serif"/>
          <w:b/>
          <w:sz w:val="20"/>
        </w:rPr>
      </w:pPr>
      <w:r>
        <w:rPr>
          <w:rFonts w:ascii="Times New Roman;serif" w:hAnsi="Times New Roman;serif"/>
          <w:b/>
          <w:sz w:val="20"/>
        </w:rPr>
        <w:t>Equity-Based Compensation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Compensation expense for share-based compensation awards issued is based on the fair value of the award at the date of grant. The Company records forfeitures of share-based compensation awards as they occur. The Company’s share based compensation program grants awards that have included the following: 1) profits interests in ProKidney LP which, at close of the Business Combination, were converted into paired interests consisting of (i) Class B ordinary shares or Class B restricted stock rights and (ii) Common Units or Restricted Common Units of ProKidney LP (collectively referred to as “Legacy Profits Interests”); 2) restricted stock units issued by SCS (“Legacy SCS Awards”); 3) time-vested stock options issued by ProKidney Corp.; and 4) market-vested stock options issued by ProKidney Corp.</w:t>
      </w:r>
    </w:p>
    <w:p>
      <w:pPr>
        <w:pStyle w:val="TextBody"/>
        <w:spacing w:before="120" w:after="0"/>
        <w:jc w:val="left"/>
        <w:rPr>
          <w:rFonts w:ascii="Times New Roman" w:hAnsi="Times New Roman"/>
          <w:sz w:val="20"/>
        </w:rPr>
      </w:pPr>
      <w:r>
        <w:rPr>
          <w:rFonts w:ascii="Times New Roman;serif" w:hAnsi="Times New Roman;serif"/>
          <w:b w:val="false"/>
          <w:sz w:val="20"/>
        </w:rPr>
        <w:t>The grant date fair value of time-vested stock option awards is estimated using the Black-Scholes option pricing formula. The grant date fair values of the Legacy Profits Interests and Legacy SCS Awards are based on the market value of the issuer’s shares or member units, as applicable, on the date of grant. Compensation expense related to time-vested stock options, Legacy Profits Interests and Legacy SCS Awards are recognized on a straight-line basis over the applicable service period.</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grant date fair value of market-vested stock option awards is estimated using the Geometric Brownian Motion/Monte Carlo model. Share-based compensation expense related to these awards is recognized ratably for each vesting tranche over the derived service period regardless of whether the award achieves the market condition and will only be adjusted to the extent the service condition is not met.</w:t>
      </w:r>
    </w:p>
    <w:p>
      <w:pPr>
        <w:pStyle w:val="TextBody"/>
        <w:spacing w:before="120" w:after="0"/>
        <w:jc w:val="left"/>
        <w:rPr>
          <w:rFonts w:ascii="Times New Roman" w:hAnsi="Times New Roman"/>
          <w:sz w:val="20"/>
        </w:rPr>
      </w:pPr>
      <w:r>
        <w:rPr>
          <w:rFonts w:ascii="Times New Roman;serif" w:hAnsi="Times New Roman;serif"/>
          <w:b w:val="false"/>
          <w:sz w:val="20"/>
        </w:rPr>
        <w:t>Due to the lack of sufficient historical trading information with respect to its own shares, the Company estimates expected volatility based on a portfolio of selected stocks of companies believed to have market and economic characteristics similar to its own. The risk-free rate is based on the U.S. Treasury yield curve in effect at the time of grant. Due to a lack of historical exercise data, the Company estimates the expected life of its outstanding stock options using the simplified method specified under Staff Accounting Bulletin Topic 14.D.2 for awards without market conditions.</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Defined Contribution Plan</w:t>
      </w:r>
    </w:p>
    <w:p>
      <w:pPr>
        <w:pStyle w:val="TextBody"/>
        <w:spacing w:before="120" w:after="0"/>
        <w:jc w:val="left"/>
        <w:rPr>
          <w:rFonts w:ascii="Times New Roman" w:hAnsi="Times New Roman"/>
          <w:sz w:val="20"/>
        </w:rPr>
      </w:pPr>
      <w:r>
        <w:rPr>
          <w:rFonts w:ascii="Times New Roman;serif" w:hAnsi="Times New Roman;serif"/>
          <w:b w:val="false"/>
          <w:sz w:val="20"/>
        </w:rPr>
        <w:t>The Company sponsors a 401(k) plan for its ProKidney-US employees and a defined contribution plan for its ProKidney-KY employees. Full-time employees are eligible to participate in these plans. The Company matches 50% of participating ProKidney-US employees’ contributions up to 8% of salary and contributes 7% of ProKidney-KY employee salaries to the respective plans. The Company’s cost related to these defined contribution plans were $267,000, $169,000</w:t>
      </w:r>
      <w:r>
        <w:rPr>
          <w:rFonts w:ascii="Times New Roman;serif" w:hAnsi="Times New Roman;serif"/>
          <w:sz w:val="20"/>
        </w:rPr>
        <w:t xml:space="preserve"> </w:t>
      </w:r>
      <w:r>
        <w:rPr>
          <w:rFonts w:ascii="Times New Roman;serif" w:hAnsi="Times New Roman;serif"/>
          <w:b w:val="false"/>
          <w:sz w:val="20"/>
        </w:rPr>
        <w:t>and $139,000</w:t>
      </w:r>
      <w:r>
        <w:rPr>
          <w:rFonts w:ascii="Times New Roman;serif" w:hAnsi="Times New Roman;serif"/>
          <w:sz w:val="20"/>
        </w:rPr>
        <w:t xml:space="preserve"> </w:t>
      </w:r>
      <w:r>
        <w:rPr>
          <w:rFonts w:ascii="Times New Roman;serif" w:hAnsi="Times New Roman;serif"/>
          <w:b w:val="false"/>
          <w:sz w:val="20"/>
        </w:rPr>
        <w:t>for the years ended December 31, 2022, 2021 and 2020, respectively.</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Segments</w:t>
      </w:r>
    </w:p>
    <w:p>
      <w:pPr>
        <w:pStyle w:val="TextBody"/>
        <w:spacing w:before="120" w:after="0"/>
        <w:jc w:val="both"/>
        <w:rPr>
          <w:rFonts w:ascii="Times New Roman" w:hAnsi="Times New Roman"/>
          <w:sz w:val="20"/>
        </w:rPr>
      </w:pPr>
      <w:r>
        <w:rPr>
          <w:rFonts w:ascii="Times New Roman;serif" w:hAnsi="Times New Roman;serif"/>
          <w:b w:val="false"/>
          <w:sz w:val="20"/>
        </w:rPr>
        <w:t>The Company operates in only one</w:t>
      </w:r>
      <w:r>
        <w:rPr>
          <w:rFonts w:ascii="Times New Roman" w:hAnsi="Times New Roman"/>
          <w:sz w:val="20"/>
        </w:rPr>
        <w:t xml:space="preserve"> </w:t>
      </w:r>
      <w:r>
        <w:rPr>
          <w:rFonts w:ascii="Times New Roman;serif" w:hAnsi="Times New Roman;serif"/>
          <w:b w:val="false"/>
          <w:sz w:val="20"/>
        </w:rPr>
        <w:t>segment.</w:t>
      </w:r>
    </w:p>
    <w:p>
      <w:pPr>
        <w:pStyle w:val="TextBody"/>
        <w:spacing w:before="360" w:after="0"/>
        <w:jc w:val="both"/>
        <w:rPr>
          <w:rFonts w:ascii="Times New Roman;serif" w:hAnsi="Times New Roman;serif"/>
          <w:b/>
          <w:sz w:val="20"/>
        </w:rPr>
      </w:pPr>
      <w:r>
        <w:rPr>
          <w:rFonts w:ascii="Times New Roman;serif" w:hAnsi="Times New Roman;serif"/>
          <w:b/>
          <w:sz w:val="20"/>
        </w:rPr>
        <w:t>Recently Adopted Accounting Pronouncements</w:t>
      </w:r>
    </w:p>
    <w:p>
      <w:pPr>
        <w:pStyle w:val="TextBody"/>
        <w:spacing w:before="120" w:after="0"/>
        <w:jc w:val="left"/>
        <w:rPr>
          <w:rFonts w:ascii="Times New Roman" w:hAnsi="Times New Roman"/>
          <w:sz w:val="20"/>
        </w:rPr>
      </w:pPr>
      <w:r>
        <w:rPr>
          <w:rFonts w:ascii="Times New Roman;serif" w:hAnsi="Times New Roman;serif"/>
          <w:b w:val="false"/>
          <w:sz w:val="20"/>
        </w:rPr>
        <w:t>In February 2016, the FASB issued ASU No. 2016-02, Leases (Topic 842), which requires lessees to recognize a right-of-use asset and a liability on the balance sheet for all leases, with the exception of short-term leases. The lease liability will be equal to the present value of lease payments, and the right-of-use asset will be based on the lease liability, subject to adjustment such as for initial direct costs. Leases will continue to be classified as either operating or finance leases in the income statement. The Company early adopted ASU No. 2016-02, Leases (Topic 842), as of January 1, 2021. For additional detail, see Note 4, Leases.</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Note 3: Income Taxes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ProKidney is considered to be an exempted Cayman Islands company and is presently not subject to income taxes or income tax filing requirements in the Cayman Islands or the United States.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F-11</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The Company’s subsidiary, PKLP, is organized as a limited partnership and is classified as a partnership for U.S. income tax purposes, and as such, only records a provision for federal and state income taxes on its subsidiaries organized as C corporations or which have elected to be treated as corporations for U.S. federal income tax purposes.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Company’s subsidiary, ProKidney-US, is treated as a C corporation, and therefore a provision for federal and state taxes has been recorded.</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Company’s subsidiary, ProKidney-KY, has been granted, by the Government in Council of the Cayman Islands, tax concessions under an undertaking certificate exempting it from any tax levied on profits, income, gains or appreciations in relation to its operations or in the nature of estate duty or inheritance tax for a period of twenty years from January 20, 2016. ProKidney-KY elected to be treated as an entity disregarded from its owner for U.S. tax purposes, and as a result, it has not recorded an income tax provision.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provision for income tax expense consisted of the following for the years ended December 31, 2022, 2021 and 2020 (in thousands):</w:t>
      </w:r>
    </w:p>
    <w:p>
      <w:pPr>
        <w:pStyle w:val="TextBody"/>
        <w:spacing w:before="0" w:after="0"/>
        <w:jc w:val="left"/>
        <w:rPr/>
      </w:pPr>
      <w:r>
        <w:rPr/>
        <w:t> </w:t>
      </w:r>
    </w:p>
    <w:tbl>
      <w:tblPr>
        <w:tblW w:w="9736" w:type="dxa"/>
        <w:jc w:val="left"/>
        <w:tblInd w:w="0" w:type="dxa"/>
        <w:tblCellMar>
          <w:top w:w="28" w:type="dxa"/>
          <w:left w:w="28" w:type="dxa"/>
          <w:bottom w:w="28" w:type="dxa"/>
          <w:right w:w="28" w:type="dxa"/>
        </w:tblCellMar>
      </w:tblPr>
      <w:tblGrid>
        <w:gridCol w:w="3646"/>
        <w:gridCol w:w="574"/>
        <w:gridCol w:w="1151"/>
        <w:gridCol w:w="146"/>
        <w:gridCol w:w="146"/>
        <w:gridCol w:w="619"/>
        <w:gridCol w:w="1106"/>
        <w:gridCol w:w="166"/>
        <w:gridCol w:w="146"/>
        <w:gridCol w:w="526"/>
        <w:gridCol w:w="1199"/>
        <w:gridCol w:w="311"/>
      </w:tblGrid>
      <w:tr>
        <w:trPr/>
        <w:tc>
          <w:tcPr>
            <w:tcW w:w="3646"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646" w:type="dxa"/>
            <w:tcBorders/>
            <w:shd w:fill="auto" w:val="clear"/>
            <w:vAlign w:val="center"/>
          </w:tcPr>
          <w:p>
            <w:pPr>
              <w:pStyle w:val="TableContents"/>
              <w:spacing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2020</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w:t>
            </w:r>
          </w:p>
        </w:tc>
        <w:tc>
          <w:tcPr>
            <w:tcW w:w="172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firstLine="100"/>
              <w:jc w:val="left"/>
              <w:rPr/>
            </w:pPr>
            <w:r>
              <w:rPr/>
              <w:t> </w:t>
            </w:r>
          </w:p>
        </w:tc>
      </w:tr>
      <w:tr>
        <w:trPr/>
        <w:tc>
          <w:tcPr>
            <w:tcW w:w="364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Federal</w:t>
            </w:r>
          </w:p>
        </w:tc>
        <w:tc>
          <w:tcPr>
            <w:tcW w:w="5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64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State</w:t>
            </w:r>
          </w:p>
        </w:tc>
        <w:tc>
          <w:tcPr>
            <w:tcW w:w="5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income tax expense (benefit)</w:t>
            </w:r>
          </w:p>
        </w:tc>
        <w:tc>
          <w:tcPr>
            <w:tcW w:w="574" w:type="dxa"/>
            <w:tcBorders/>
            <w:shd w:fill="auto" w:val="clear"/>
            <w:vAlign w:val="center"/>
          </w:tcPr>
          <w:p>
            <w:pPr>
              <w:pStyle w:val="TableContents"/>
              <w:spacing w:before="0" w:after="0"/>
              <w:ind w:left="0" w:right="0" w:hanging="0"/>
              <w:jc w:val="left"/>
              <w:rPr/>
            </w:pPr>
            <w:r>
              <w:rPr/>
              <w:t> </w:t>
            </w:r>
          </w:p>
        </w:tc>
        <w:tc>
          <w:tcPr>
            <w:tcW w:w="11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left"/>
              <w:rPr/>
            </w:pPr>
            <w:r>
              <w:rPr/>
              <w:t> </w:t>
            </w:r>
          </w:p>
        </w:tc>
        <w:tc>
          <w:tcPr>
            <w:tcW w:w="11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left"/>
              <w:rPr/>
            </w:pPr>
            <w:r>
              <w:rPr/>
              <w:t> </w:t>
            </w:r>
          </w:p>
        </w:tc>
        <w:tc>
          <w:tcPr>
            <w:tcW w:w="11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w:t>
            </w:r>
          </w:p>
        </w:tc>
        <w:tc>
          <w:tcPr>
            <w:tcW w:w="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r>
      <w:tr>
        <w:trPr/>
        <w:tc>
          <w:tcPr>
            <w:tcW w:w="3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w:t>
            </w:r>
          </w:p>
        </w:tc>
        <w:tc>
          <w:tcPr>
            <w:tcW w:w="172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firstLine="100"/>
              <w:jc w:val="left"/>
              <w:rPr/>
            </w:pPr>
            <w:r>
              <w:rPr/>
              <w:t> </w:t>
            </w:r>
          </w:p>
        </w:tc>
      </w:tr>
      <w:tr>
        <w:trPr/>
        <w:tc>
          <w:tcPr>
            <w:tcW w:w="364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Federal</w:t>
            </w:r>
          </w:p>
        </w:tc>
        <w:tc>
          <w:tcPr>
            <w:tcW w:w="574" w:type="dxa"/>
            <w:tcBorders/>
            <w:shd w:fill="auto" w:val="clear"/>
            <w:vAlign w:val="center"/>
          </w:tcPr>
          <w:p>
            <w:pPr>
              <w:pStyle w:val="TableContents"/>
              <w:spacing w:before="0" w:after="0"/>
              <w:ind w:left="0" w:right="0" w:hanging="0"/>
              <w:jc w:val="left"/>
              <w:rPr/>
            </w:pPr>
            <w:r>
              <w:rPr/>
              <w:t> </w:t>
            </w:r>
          </w:p>
        </w:tc>
        <w:tc>
          <w:tcPr>
            <w:tcW w:w="11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left"/>
              <w:rPr/>
            </w:pPr>
            <w:r>
              <w:rPr/>
              <w:t> </w:t>
            </w:r>
          </w:p>
        </w:tc>
        <w:tc>
          <w:tcPr>
            <w:tcW w:w="110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left"/>
              <w:rPr/>
            </w:pPr>
            <w:r>
              <w:rPr/>
              <w:t> </w:t>
            </w:r>
          </w:p>
        </w:tc>
        <w:tc>
          <w:tcPr>
            <w:tcW w:w="1199" w:type="dxa"/>
            <w:tcBorders/>
            <w:shd w:fill="auto" w:val="clear"/>
            <w:vAlign w:val="center"/>
          </w:tcPr>
          <w:p>
            <w:pPr>
              <w:pStyle w:val="TableContents"/>
              <w:spacing w:before="0" w:after="0"/>
              <w:ind w:left="0" w:right="0" w:hanging="0"/>
              <w:jc w:val="right"/>
              <w:rPr/>
            </w:pPr>
            <w:r>
              <w:rPr/>
              <w:t>–</w:t>
            </w:r>
          </w:p>
        </w:tc>
        <w:tc>
          <w:tcPr>
            <w:tcW w:w="311" w:type="dxa"/>
            <w:tcBorders/>
            <w:shd w:fill="auto" w:val="clear"/>
            <w:vAlign w:val="center"/>
          </w:tcPr>
          <w:p>
            <w:pPr>
              <w:pStyle w:val="TableContents"/>
              <w:spacing w:before="0" w:after="0"/>
              <w:ind w:left="0" w:right="0" w:firstLine="100"/>
              <w:jc w:val="left"/>
              <w:rPr/>
            </w:pPr>
            <w:r>
              <w:rPr/>
              <w:t> </w:t>
            </w:r>
          </w:p>
        </w:tc>
      </w:tr>
      <w:tr>
        <w:trPr/>
        <w:tc>
          <w:tcPr>
            <w:tcW w:w="364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State</w:t>
            </w:r>
          </w:p>
        </w:tc>
        <w:tc>
          <w:tcPr>
            <w:tcW w:w="5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deferred income tax expense (benefit)</w:t>
            </w:r>
          </w:p>
        </w:tc>
        <w:tc>
          <w:tcPr>
            <w:tcW w:w="5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364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Income tax expense (benefit)</w:t>
            </w:r>
          </w:p>
        </w:tc>
        <w:tc>
          <w:tcPr>
            <w:tcW w:w="5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difference between the statutory rate for U.S statutory rate of 21% and the effective income tax rate was as follows:</w:t>
      </w:r>
    </w:p>
    <w:p>
      <w:pPr>
        <w:pStyle w:val="TextBody"/>
        <w:spacing w:before="0" w:after="0"/>
        <w:jc w:val="left"/>
        <w:rPr/>
      </w:pPr>
      <w:r>
        <w:rPr/>
        <w:t> </w:t>
      </w:r>
    </w:p>
    <w:tbl>
      <w:tblPr>
        <w:tblW w:w="9206" w:type="dxa"/>
        <w:jc w:val="left"/>
        <w:tblInd w:w="0" w:type="dxa"/>
        <w:tblCellMar>
          <w:top w:w="28" w:type="dxa"/>
          <w:left w:w="28" w:type="dxa"/>
          <w:bottom w:w="28" w:type="dxa"/>
          <w:right w:w="28" w:type="dxa"/>
        </w:tblCellMar>
      </w:tblPr>
      <w:tblGrid>
        <w:gridCol w:w="2761"/>
        <w:gridCol w:w="373"/>
        <w:gridCol w:w="1352"/>
        <w:gridCol w:w="331"/>
        <w:gridCol w:w="146"/>
        <w:gridCol w:w="373"/>
        <w:gridCol w:w="1352"/>
        <w:gridCol w:w="331"/>
        <w:gridCol w:w="146"/>
        <w:gridCol w:w="373"/>
        <w:gridCol w:w="1352"/>
        <w:gridCol w:w="316"/>
      </w:tblGrid>
      <w:tr>
        <w:trPr/>
        <w:tc>
          <w:tcPr>
            <w:tcW w:w="2761"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761" w:type="dxa"/>
            <w:tcBorders/>
            <w:shd w:fill="auto" w:val="clear"/>
            <w:vAlign w:val="center"/>
          </w:tcPr>
          <w:p>
            <w:pPr>
              <w:pStyle w:val="TableContents"/>
              <w:spacing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2021</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2020</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w:t>
            </w:r>
          </w:p>
        </w:tc>
        <w:tc>
          <w:tcPr>
            <w:tcW w:w="1725" w:type="dxa"/>
            <w:gridSpan w:val="2"/>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taxes at statutory rate</w:t>
            </w:r>
          </w:p>
        </w:tc>
        <w:tc>
          <w:tcPr>
            <w:tcW w:w="373" w:type="dxa"/>
            <w:tcBorders/>
            <w:shd w:fill="auto" w:val="clear"/>
            <w:vAlign w:val="center"/>
          </w:tcPr>
          <w:p>
            <w:pPr>
              <w:pStyle w:val="TableContents"/>
              <w:spacing w:before="0" w:after="0"/>
              <w:ind w:left="0" w:right="0" w:hanging="0"/>
              <w:jc w:val="left"/>
              <w:rPr/>
            </w:pPr>
            <w:r>
              <w:rPr/>
              <w:t> </w:t>
            </w:r>
          </w:p>
        </w:tc>
        <w:tc>
          <w:tcPr>
            <w:tcW w:w="13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3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3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State taxes, net of federal benefit</w:t>
            </w:r>
          </w:p>
        </w:tc>
        <w:tc>
          <w:tcPr>
            <w:tcW w:w="1725" w:type="dxa"/>
            <w:gridSpan w:val="2"/>
            <w:tcBorders/>
            <w:shd w:fill="auto" w:val="clear"/>
            <w:vAlign w:val="center"/>
          </w:tcPr>
          <w:p>
            <w:pPr>
              <w:pStyle w:val="TableContents"/>
              <w:spacing w:before="0" w:after="0"/>
              <w:ind w:left="0" w:right="0" w:hanging="0"/>
              <w:jc w:val="right"/>
              <w:rPr/>
            </w:pPr>
            <w:r>
              <w:rPr/>
              <w:t>–</w:t>
            </w:r>
          </w:p>
        </w:tc>
        <w:tc>
          <w:tcPr>
            <w:tcW w:w="3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right"/>
              <w:rPr/>
            </w:pPr>
            <w:r>
              <w:rPr/>
              <w:t>–</w:t>
            </w:r>
          </w:p>
        </w:tc>
        <w:tc>
          <w:tcPr>
            <w:tcW w:w="3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352" w:type="dxa"/>
            <w:tcBorders/>
            <w:shd w:fill="auto" w:val="clear"/>
            <w:vAlign w:val="center"/>
          </w:tcPr>
          <w:p>
            <w:pPr>
              <w:pStyle w:val="TableContents"/>
              <w:spacing w:before="0" w:after="0"/>
              <w:ind w:left="0" w:right="0" w:hanging="0"/>
              <w:jc w:val="right"/>
              <w:rPr/>
            </w:pPr>
            <w:r>
              <w:rPr/>
              <w:t>–</w:t>
            </w:r>
          </w:p>
        </w:tc>
        <w:tc>
          <w:tcPr>
            <w:tcW w:w="316" w:type="dxa"/>
            <w:tcBorders/>
            <w:shd w:fill="auto" w:val="clear"/>
            <w:vAlign w:val="center"/>
          </w:tcPr>
          <w:p>
            <w:pPr>
              <w:pStyle w:val="TableContents"/>
              <w:spacing w:before="0" w:after="0"/>
              <w:ind w:left="0" w:right="0" w:hanging="0"/>
              <w:jc w:val="left"/>
              <w:rPr/>
            </w:pPr>
            <w:r>
              <w:rPr/>
              <w:t> </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Non-taxed income</w:t>
            </w:r>
          </w:p>
        </w:tc>
        <w:tc>
          <w:tcPr>
            <w:tcW w:w="373" w:type="dxa"/>
            <w:tcBorders/>
            <w:shd w:fill="auto" w:val="clear"/>
            <w:vAlign w:val="center"/>
          </w:tcPr>
          <w:p>
            <w:pPr>
              <w:pStyle w:val="TableContents"/>
              <w:spacing w:before="0" w:after="0"/>
              <w:ind w:left="0" w:right="0" w:hanging="0"/>
              <w:jc w:val="left"/>
              <w:rPr/>
            </w:pPr>
            <w:r>
              <w:rPr/>
              <w:t> </w:t>
            </w:r>
          </w:p>
        </w:tc>
        <w:tc>
          <w:tcPr>
            <w:tcW w:w="13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3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3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Federal Credits</w:t>
            </w:r>
          </w:p>
        </w:tc>
        <w:tc>
          <w:tcPr>
            <w:tcW w:w="373" w:type="dxa"/>
            <w:tcBorders/>
            <w:shd w:fill="auto" w:val="clear"/>
            <w:vAlign w:val="center"/>
          </w:tcPr>
          <w:p>
            <w:pPr>
              <w:pStyle w:val="TableContents"/>
              <w:spacing w:before="0" w:after="0"/>
              <w:ind w:left="0" w:right="0" w:hanging="0"/>
              <w:jc w:val="left"/>
              <w:rPr/>
            </w:pPr>
            <w:r>
              <w:rPr/>
              <w:t> </w:t>
            </w:r>
          </w:p>
        </w:tc>
        <w:tc>
          <w:tcPr>
            <w:tcW w:w="13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3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3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3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3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316" w:type="dxa"/>
            <w:tcBorders/>
            <w:shd w:fill="auto" w:val="clear"/>
            <w:vAlign w:val="center"/>
          </w:tcPr>
          <w:p>
            <w:pPr>
              <w:pStyle w:val="TableContents"/>
              <w:spacing w:before="0" w:after="0"/>
              <w:ind w:left="0" w:right="0" w:hanging="0"/>
              <w:jc w:val="left"/>
              <w:rPr/>
            </w:pPr>
            <w:r>
              <w:rPr/>
              <w:t> </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w:t>
            </w:r>
          </w:p>
        </w:tc>
        <w:tc>
          <w:tcPr>
            <w:tcW w:w="373" w:type="dxa"/>
            <w:tcBorders/>
            <w:shd w:fill="auto" w:val="clear"/>
            <w:vAlign w:val="center"/>
          </w:tcPr>
          <w:p>
            <w:pPr>
              <w:pStyle w:val="TableContents"/>
              <w:spacing w:before="0" w:after="0"/>
              <w:ind w:left="0" w:right="0" w:hanging="0"/>
              <w:jc w:val="left"/>
              <w:rPr/>
            </w:pPr>
            <w:r>
              <w:rPr/>
              <w:t> </w:t>
            </w:r>
          </w:p>
        </w:tc>
        <w:tc>
          <w:tcPr>
            <w:tcW w:w="13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352" w:type="dxa"/>
            <w:tcBorders/>
            <w:shd w:fill="auto" w:val="clear"/>
            <w:vAlign w:val="center"/>
          </w:tcPr>
          <w:p>
            <w:pPr>
              <w:pStyle w:val="TableContents"/>
              <w:spacing w:before="0" w:after="0"/>
              <w:ind w:left="0" w:right="0" w:hanging="0"/>
              <w:jc w:val="right"/>
              <w:rPr/>
            </w:pPr>
            <w:r>
              <w:rPr/>
              <w:t>–</w:t>
            </w:r>
          </w:p>
        </w:tc>
        <w:tc>
          <w:tcPr>
            <w:tcW w:w="3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352" w:type="dxa"/>
            <w:tcBorders/>
            <w:shd w:fill="auto" w:val="clear"/>
            <w:vAlign w:val="center"/>
          </w:tcPr>
          <w:p>
            <w:pPr>
              <w:pStyle w:val="TableContents"/>
              <w:spacing w:before="0" w:after="0"/>
              <w:ind w:left="0" w:right="0" w:hanging="0"/>
              <w:jc w:val="right"/>
              <w:rPr/>
            </w:pPr>
            <w:r>
              <w:rPr/>
              <w:t>–</w:t>
            </w:r>
          </w:p>
        </w:tc>
        <w:tc>
          <w:tcPr>
            <w:tcW w:w="316" w:type="dxa"/>
            <w:tcBorders/>
            <w:shd w:fill="auto" w:val="clear"/>
            <w:vAlign w:val="center"/>
          </w:tcPr>
          <w:p>
            <w:pPr>
              <w:pStyle w:val="TableContents"/>
              <w:spacing w:before="0" w:after="0"/>
              <w:ind w:left="0" w:right="0" w:hanging="0"/>
              <w:jc w:val="left"/>
              <w:rPr/>
            </w:pPr>
            <w:r>
              <w:rPr/>
              <w:t> </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to return adjustment</w:t>
            </w:r>
          </w:p>
        </w:tc>
        <w:tc>
          <w:tcPr>
            <w:tcW w:w="1725" w:type="dxa"/>
            <w:gridSpan w:val="2"/>
            <w:tcBorders/>
            <w:shd w:fill="auto" w:val="clear"/>
            <w:vAlign w:val="center"/>
          </w:tcPr>
          <w:p>
            <w:pPr>
              <w:pStyle w:val="TableContents"/>
              <w:spacing w:before="0" w:after="0"/>
              <w:ind w:left="0" w:right="0" w:hanging="0"/>
              <w:jc w:val="right"/>
              <w:rPr/>
            </w:pPr>
            <w:r>
              <w:rPr/>
              <w:t>–</w:t>
            </w:r>
          </w:p>
        </w:tc>
        <w:tc>
          <w:tcPr>
            <w:tcW w:w="3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right"/>
              <w:rPr/>
            </w:pPr>
            <w:r>
              <w:rPr/>
              <w:t>–</w:t>
            </w:r>
          </w:p>
        </w:tc>
        <w:tc>
          <w:tcPr>
            <w:tcW w:w="3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3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316" w:type="dxa"/>
            <w:tcBorders/>
            <w:shd w:fill="auto" w:val="clear"/>
            <w:vAlign w:val="center"/>
          </w:tcPr>
          <w:p>
            <w:pPr>
              <w:pStyle w:val="TableContents"/>
              <w:spacing w:before="0" w:after="0"/>
              <w:ind w:left="0" w:right="0" w:hanging="0"/>
              <w:jc w:val="left"/>
              <w:rPr/>
            </w:pPr>
            <w:r>
              <w:rPr/>
              <w:t> </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valuation allowance</w:t>
            </w:r>
          </w:p>
        </w:tc>
        <w:tc>
          <w:tcPr>
            <w:tcW w:w="373" w:type="dxa"/>
            <w:tcBorders/>
            <w:shd w:fill="auto" w:val="clear"/>
            <w:vAlign w:val="center"/>
          </w:tcPr>
          <w:p>
            <w:pPr>
              <w:pStyle w:val="TableContents"/>
              <w:spacing w:before="0" w:after="0"/>
              <w:ind w:left="0" w:right="0" w:hanging="0"/>
              <w:jc w:val="left"/>
              <w:rPr/>
            </w:pPr>
            <w:r>
              <w:rPr/>
              <w:t> </w:t>
            </w:r>
          </w:p>
        </w:tc>
        <w:tc>
          <w:tcPr>
            <w:tcW w:w="13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3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3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3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Effective income tax rate</w:t>
            </w:r>
          </w:p>
        </w:tc>
        <w:tc>
          <w:tcPr>
            <w:tcW w:w="373" w:type="dxa"/>
            <w:tcBorders/>
            <w:shd w:fill="auto" w:val="clear"/>
            <w:vAlign w:val="center"/>
          </w:tcPr>
          <w:p>
            <w:pPr>
              <w:pStyle w:val="TableContents"/>
              <w:spacing w:before="0" w:after="0"/>
              <w:ind w:left="0" w:right="0" w:hanging="0"/>
              <w:jc w:val="left"/>
              <w:rPr/>
            </w:pPr>
            <w:r>
              <w:rPr/>
              <w:t> </w:t>
            </w:r>
          </w:p>
        </w:tc>
        <w:tc>
          <w:tcPr>
            <w:tcW w:w="13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3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35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Components of the Company’s deferred tax assets and liabilities included in the consolidated balance sheet consisted of the following (in thousands):</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F-12</w:t>
      </w:r>
    </w:p>
    <w:p>
      <w:pPr>
        <w:pStyle w:val="HorizontalLine"/>
        <w:rPr/>
      </w:pPr>
      <w:r>
        <w:rPr/>
      </w:r>
    </w:p>
    <w:p>
      <w:pPr>
        <w:pStyle w:val="TextBody"/>
        <w:spacing w:before="0" w:after="0"/>
        <w:jc w:val="left"/>
        <w:rPr/>
      </w:pPr>
      <w:r>
        <w:rPr/>
        <w:t> </w:t>
      </w:r>
    </w:p>
    <w:tbl>
      <w:tblPr>
        <w:tblW w:w="8004" w:type="dxa"/>
        <w:jc w:val="left"/>
        <w:tblInd w:w="0" w:type="dxa"/>
        <w:tblCellMar>
          <w:top w:w="28" w:type="dxa"/>
          <w:left w:w="28" w:type="dxa"/>
          <w:bottom w:w="28" w:type="dxa"/>
          <w:right w:w="28" w:type="dxa"/>
        </w:tblCellMar>
      </w:tblPr>
      <w:tblGrid>
        <w:gridCol w:w="3871"/>
        <w:gridCol w:w="465"/>
        <w:gridCol w:w="1260"/>
        <w:gridCol w:w="146"/>
        <w:gridCol w:w="146"/>
        <w:gridCol w:w="465"/>
        <w:gridCol w:w="1260"/>
        <w:gridCol w:w="391"/>
      </w:tblGrid>
      <w:tr>
        <w:trPr/>
        <w:tc>
          <w:tcPr>
            <w:tcW w:w="3871"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871" w:type="dxa"/>
            <w:tcBorders/>
            <w:shd w:fill="auto" w:val="clear"/>
            <w:vAlign w:val="center"/>
          </w:tcPr>
          <w:p>
            <w:pPr>
              <w:pStyle w:val="TableContents"/>
              <w:spacing w:before="0" w:after="0"/>
              <w:ind w:left="0" w:right="0" w:hanging="0"/>
              <w:jc w:val="both"/>
              <w:rPr/>
            </w:pPr>
            <w:r>
              <w:rPr/>
              <w:t> </w:t>
            </w:r>
          </w:p>
        </w:tc>
        <w:tc>
          <w:tcPr>
            <w:tcW w:w="1725"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2021</w:t>
            </w:r>
          </w:p>
        </w:tc>
        <w:tc>
          <w:tcPr>
            <w:tcW w:w="391"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assets:</w:t>
            </w:r>
          </w:p>
        </w:tc>
        <w:tc>
          <w:tcPr>
            <w:tcW w:w="1725" w:type="dxa"/>
            <w:gridSpan w:val="2"/>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725" w:type="dxa"/>
            <w:gridSpan w:val="2"/>
            <w:tcBorders/>
            <w:shd w:fill="auto" w:val="clear"/>
            <w:vAlign w:val="center"/>
          </w:tcPr>
          <w:p>
            <w:pPr>
              <w:pStyle w:val="TableContents"/>
              <w:spacing w:before="0" w:after="0"/>
              <w:ind w:left="0" w:right="0" w:hanging="0"/>
              <w:jc w:val="both"/>
              <w:rPr/>
            </w:pPr>
            <w:r>
              <w:rPr/>
              <w:t> </w:t>
            </w:r>
          </w:p>
        </w:tc>
        <w:tc>
          <w:tcPr>
            <w:tcW w:w="391" w:type="dxa"/>
            <w:tcBorders/>
            <w:shd w:fill="auto" w:val="clear"/>
            <w:vAlign w:val="center"/>
          </w:tcPr>
          <w:p>
            <w:pPr>
              <w:pStyle w:val="TableContents"/>
              <w:spacing w:before="0" w:after="0"/>
              <w:ind w:left="0" w:right="0" w:hanging="0"/>
              <w:jc w:val="both"/>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4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376</w:t>
            </w:r>
          </w:p>
        </w:tc>
        <w:tc>
          <w:tcPr>
            <w:tcW w:w="391" w:type="dxa"/>
            <w:tcBorders/>
            <w:shd w:fill="auto" w:val="cle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Federal credit carryforwards</w:t>
            </w:r>
          </w:p>
        </w:tc>
        <w:tc>
          <w:tcPr>
            <w:tcW w:w="465"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939</w:t>
            </w:r>
          </w:p>
        </w:tc>
        <w:tc>
          <w:tcPr>
            <w:tcW w:w="391" w:type="dxa"/>
            <w:tcBorders/>
            <w:shd w:fill="auto" w:val="cle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Leases</w:t>
            </w:r>
          </w:p>
        </w:tc>
        <w:tc>
          <w:tcPr>
            <w:tcW w:w="465"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391" w:type="dxa"/>
            <w:tcBorders/>
            <w:shd w:fill="auto" w:val="cle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w:t>
            </w:r>
          </w:p>
        </w:tc>
        <w:tc>
          <w:tcPr>
            <w:tcW w:w="465"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experimental costs capitalized</w:t>
            </w:r>
          </w:p>
        </w:tc>
        <w:tc>
          <w:tcPr>
            <w:tcW w:w="465"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Start-up costs</w:t>
            </w:r>
          </w:p>
        </w:tc>
        <w:tc>
          <w:tcPr>
            <w:tcW w:w="4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assets before valuation allowance</w:t>
            </w:r>
          </w:p>
        </w:tc>
        <w:tc>
          <w:tcPr>
            <w:tcW w:w="465"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1,382</w:t>
            </w:r>
          </w:p>
        </w:tc>
        <w:tc>
          <w:tcPr>
            <w:tcW w:w="391" w:type="dxa"/>
            <w:tcBorders/>
            <w:shd w:fill="auto" w:val="cle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Valuation allowance</w:t>
            </w:r>
          </w:p>
        </w:tc>
        <w:tc>
          <w:tcPr>
            <w:tcW w:w="4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deferred tax assets</w:t>
            </w:r>
          </w:p>
        </w:tc>
        <w:tc>
          <w:tcPr>
            <w:tcW w:w="4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liabilities:</w:t>
            </w:r>
          </w:p>
        </w:tc>
        <w:tc>
          <w:tcPr>
            <w:tcW w:w="172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w:t>
            </w:r>
          </w:p>
        </w:tc>
        <w:tc>
          <w:tcPr>
            <w:tcW w:w="4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391" w:type="dxa"/>
            <w:tcBorders/>
            <w:shd w:fill="auto" w:val="cle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Fixed assets</w:t>
            </w:r>
          </w:p>
        </w:tc>
        <w:tc>
          <w:tcPr>
            <w:tcW w:w="465"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391" w:type="dxa"/>
            <w:tcBorders/>
            <w:shd w:fill="auto" w:val="cle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w:t>
            </w:r>
          </w:p>
        </w:tc>
        <w:tc>
          <w:tcPr>
            <w:tcW w:w="4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deferred income tax liabilities</w:t>
            </w:r>
          </w:p>
        </w:tc>
        <w:tc>
          <w:tcPr>
            <w:tcW w:w="4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8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deferred tax asset</w:t>
            </w:r>
          </w:p>
        </w:tc>
        <w:tc>
          <w:tcPr>
            <w:tcW w:w="4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20"/>
        </w:rPr>
        <w:t>For tax years beginning after December 31, 2021, the Tax Cut and Jobs Act of 2017 (the “TCJA”) requires specified research and development expenses to be capitalized and amortized ratably over a five-year period. The increase in the valuation allowance related to this capitalized expense is the primary driver of income tax expense recognized during the year ended December 31, 2022.</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discussed in Note 5, the Company is party to a tax receivable agreement with a related party which provides for the payment by the Company to holders of PKLP prior to the Closing (“Closing ProKidney Unitholders”)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December 31, 2022.</w:t>
      </w:r>
    </w:p>
    <w:p>
      <w:pPr>
        <w:pStyle w:val="TextBody"/>
        <w:spacing w:before="120" w:after="0"/>
        <w:jc w:val="left"/>
        <w:rPr>
          <w:rFonts w:ascii="Times New Roman" w:hAnsi="Times New Roman"/>
          <w:sz w:val="20"/>
        </w:rPr>
      </w:pPr>
      <w:r>
        <w:rPr>
          <w:rFonts w:ascii="Times New Roman;serif" w:hAnsi="Times New Roman;serif"/>
          <w:b w:val="false"/>
          <w:sz w:val="20"/>
        </w:rPr>
        <w:t>In assessing the realizability of deferred tax assets, management considers whether it is more likely than not that some portion of the deferred tax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Accordingly, management has concluded that it is not more likely than not that it will recognize the deferred tax assets, and the Company has provided a valuation allowance of $3,332,000</w:t>
      </w:r>
      <w:r>
        <w:rPr>
          <w:rFonts w:ascii="Times New Roman" w:hAnsi="Times New Roman"/>
          <w:sz w:val="20"/>
        </w:rPr>
        <w:t xml:space="preserve"> </w:t>
      </w:r>
      <w:r>
        <w:rPr>
          <w:rFonts w:ascii="Times New Roman;serif" w:hAnsi="Times New Roman;serif"/>
          <w:b w:val="false"/>
          <w:sz w:val="20"/>
        </w:rPr>
        <w:t>and $1,237,000, respectively for December 31, 2022 and 2021, to offset the net deferred tax assets.</w:t>
      </w:r>
    </w:p>
    <w:p>
      <w:pPr>
        <w:pStyle w:val="TextBody"/>
        <w:spacing w:before="120" w:after="0"/>
        <w:jc w:val="left"/>
        <w:rPr>
          <w:rFonts w:ascii="Times New Roman" w:hAnsi="Times New Roman"/>
          <w:sz w:val="20"/>
        </w:rPr>
      </w:pPr>
      <w:r>
        <w:rPr>
          <w:rFonts w:ascii="Times New Roman;serif" w:hAnsi="Times New Roman;serif"/>
          <w:b w:val="false"/>
          <w:sz w:val="20"/>
        </w:rPr>
        <w:t>The Company has $174,000</w:t>
      </w:r>
      <w:r>
        <w:rPr>
          <w:rFonts w:ascii="Times New Roman" w:hAnsi="Times New Roman"/>
          <w:sz w:val="20"/>
        </w:rPr>
        <w:t xml:space="preserve"> </w:t>
      </w:r>
      <w:r>
        <w:rPr>
          <w:rFonts w:ascii="Times New Roman;serif" w:hAnsi="Times New Roman;serif"/>
          <w:b w:val="false"/>
          <w:sz w:val="20"/>
        </w:rPr>
        <w:t>in Research Credit Carryforwards that begin to expire in 2042.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reconciliation of the beginning and ending amount of total unrecognized tax benefits for the years ended December 31, 2022 and 2021 consisted of the following (in thousands):</w:t>
      </w:r>
    </w:p>
    <w:p>
      <w:pPr>
        <w:pStyle w:val="TextBody"/>
        <w:spacing w:before="0" w:after="0"/>
        <w:jc w:val="left"/>
        <w:rPr/>
      </w:pPr>
      <w:r>
        <w:rPr/>
        <w:t> </w:t>
      </w:r>
    </w:p>
    <w:tbl>
      <w:tblPr>
        <w:tblW w:w="7824" w:type="dxa"/>
        <w:jc w:val="left"/>
        <w:tblInd w:w="0" w:type="dxa"/>
        <w:tblCellMar>
          <w:top w:w="28" w:type="dxa"/>
          <w:left w:w="28" w:type="dxa"/>
          <w:bottom w:w="28" w:type="dxa"/>
          <w:right w:w="28" w:type="dxa"/>
        </w:tblCellMar>
      </w:tblPr>
      <w:tblGrid>
        <w:gridCol w:w="3691"/>
        <w:gridCol w:w="574"/>
        <w:gridCol w:w="1151"/>
        <w:gridCol w:w="146"/>
        <w:gridCol w:w="146"/>
        <w:gridCol w:w="574"/>
        <w:gridCol w:w="1151"/>
        <w:gridCol w:w="391"/>
      </w:tblGrid>
      <w:tr>
        <w:trPr/>
        <w:tc>
          <w:tcPr>
            <w:tcW w:w="3691"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691" w:type="dxa"/>
            <w:tcBorders/>
            <w:shd w:fill="auto" w:val="clear"/>
            <w:vAlign w:val="center"/>
          </w:tcPr>
          <w:p>
            <w:pPr>
              <w:pStyle w:val="TableContents"/>
              <w:spacing w:before="0" w:after="0"/>
              <w:ind w:left="0" w:right="0" w:hanging="0"/>
              <w:jc w:val="both"/>
              <w:rPr/>
            </w:pPr>
            <w:r>
              <w:rPr/>
              <w:t> </w:t>
            </w:r>
          </w:p>
        </w:tc>
        <w:tc>
          <w:tcPr>
            <w:tcW w:w="1725"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2021</w:t>
            </w:r>
          </w:p>
        </w:tc>
        <w:tc>
          <w:tcPr>
            <w:tcW w:w="391"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Unrecognized tax benefits (gross):</w:t>
            </w:r>
          </w:p>
        </w:tc>
        <w:tc>
          <w:tcPr>
            <w:tcW w:w="1725" w:type="dxa"/>
            <w:gridSpan w:val="2"/>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725" w:type="dxa"/>
            <w:gridSpan w:val="2"/>
            <w:tcBorders/>
            <w:shd w:fill="auto" w:val="clear"/>
            <w:vAlign w:val="center"/>
          </w:tcPr>
          <w:p>
            <w:pPr>
              <w:pStyle w:val="TableContents"/>
              <w:spacing w:before="0" w:after="0"/>
              <w:ind w:left="0" w:right="0" w:hanging="0"/>
              <w:jc w:val="both"/>
              <w:rPr/>
            </w:pPr>
            <w:r>
              <w:rPr/>
              <w:t> </w:t>
            </w:r>
          </w:p>
        </w:tc>
        <w:tc>
          <w:tcPr>
            <w:tcW w:w="391" w:type="dxa"/>
            <w:tcBorders/>
            <w:shd w:fill="auto" w:val="clear"/>
            <w:vAlign w:val="center"/>
          </w:tcPr>
          <w:p>
            <w:pPr>
              <w:pStyle w:val="TableContents"/>
              <w:spacing w:before="0" w:after="0"/>
              <w:ind w:left="0" w:right="0" w:firstLine="100"/>
              <w:jc w:val="both"/>
              <w:rPr/>
            </w:pPr>
            <w:r>
              <w:rPr/>
              <w:t> </w:t>
            </w:r>
          </w:p>
        </w:tc>
      </w:tr>
      <w:tr>
        <w:trPr/>
        <w:tc>
          <w:tcPr>
            <w:tcW w:w="369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Benefits at the beginning of the year</w:t>
            </w:r>
          </w:p>
        </w:tc>
        <w:tc>
          <w:tcPr>
            <w:tcW w:w="5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36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Increase related to prior year tax positions</w:t>
            </w:r>
          </w:p>
        </w:tc>
        <w:tc>
          <w:tcPr>
            <w:tcW w:w="574" w:type="dxa"/>
            <w:tcBorders/>
            <w:shd w:fill="auto" w:val="clear"/>
            <w:vAlign w:val="center"/>
          </w:tcPr>
          <w:p>
            <w:pPr>
              <w:pStyle w:val="TableContents"/>
              <w:spacing w:before="0" w:after="0"/>
              <w:ind w:left="0" w:right="0" w:hanging="0"/>
              <w:jc w:val="left"/>
              <w:rPr/>
            </w:pPr>
            <w:r>
              <w:rPr/>
              <w:t> </w:t>
            </w:r>
          </w:p>
        </w:tc>
        <w:tc>
          <w:tcPr>
            <w:tcW w:w="11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4" w:type="dxa"/>
            <w:tcBorders/>
            <w:shd w:fill="auto" w:val="clear"/>
            <w:vAlign w:val="center"/>
          </w:tcPr>
          <w:p>
            <w:pPr>
              <w:pStyle w:val="TableContents"/>
              <w:spacing w:before="0" w:after="0"/>
              <w:ind w:left="0" w:right="0" w:hanging="0"/>
              <w:jc w:val="left"/>
              <w:rPr/>
            </w:pPr>
            <w:r>
              <w:rPr/>
              <w:t> </w:t>
            </w:r>
          </w:p>
        </w:tc>
        <w:tc>
          <w:tcPr>
            <w:tcW w:w="11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391" w:type="dxa"/>
            <w:tcBorders/>
            <w:shd w:fill="auto" w:val="clear"/>
            <w:vAlign w:val="center"/>
          </w:tcPr>
          <w:p>
            <w:pPr>
              <w:pStyle w:val="TableContents"/>
              <w:spacing w:before="0" w:after="0"/>
              <w:ind w:left="0" w:right="0" w:firstLine="200"/>
              <w:jc w:val="left"/>
              <w:rPr/>
            </w:pPr>
            <w:r>
              <w:rPr/>
              <w:t> </w:t>
            </w:r>
          </w:p>
        </w:tc>
      </w:tr>
      <w:tr>
        <w:trPr/>
        <w:tc>
          <w:tcPr>
            <w:tcW w:w="36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Decrease related to prior year tax positions</w:t>
            </w:r>
          </w:p>
        </w:tc>
        <w:tc>
          <w:tcPr>
            <w:tcW w:w="574" w:type="dxa"/>
            <w:tcBorders/>
            <w:shd w:fill="auto" w:val="clear"/>
            <w:vAlign w:val="center"/>
          </w:tcPr>
          <w:p>
            <w:pPr>
              <w:pStyle w:val="TableContents"/>
              <w:spacing w:before="0" w:after="0"/>
              <w:ind w:left="0" w:right="0" w:hanging="0"/>
              <w:jc w:val="left"/>
              <w:rPr/>
            </w:pPr>
            <w:r>
              <w:rPr/>
              <w:t> </w:t>
            </w:r>
          </w:p>
        </w:tc>
        <w:tc>
          <w:tcPr>
            <w:tcW w:w="11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4" w:type="dxa"/>
            <w:tcBorders/>
            <w:shd w:fill="auto" w:val="clear"/>
            <w:vAlign w:val="center"/>
          </w:tcPr>
          <w:p>
            <w:pPr>
              <w:pStyle w:val="TableContents"/>
              <w:spacing w:before="0" w:after="0"/>
              <w:ind w:left="0" w:right="0" w:hanging="0"/>
              <w:jc w:val="left"/>
              <w:rPr/>
            </w:pPr>
            <w:r>
              <w:rPr/>
              <w:t> </w:t>
            </w:r>
          </w:p>
        </w:tc>
        <w:tc>
          <w:tcPr>
            <w:tcW w:w="115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36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Increase related to current year tax positions</w:t>
            </w:r>
          </w:p>
        </w:tc>
        <w:tc>
          <w:tcPr>
            <w:tcW w:w="5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369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Benefits at the end of the year</w:t>
            </w:r>
          </w:p>
        </w:tc>
        <w:tc>
          <w:tcPr>
            <w:tcW w:w="5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net unrecognized tax benefits as of December 31, 2022 which, if recognized, would affect our effective tax rate. We expect none of the gross unrecognized tax benefits will decrease within the next year.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March 2020, the World Health Organization declared coronavirus (COVID-19) a global pandemic. This contagious disease outbreak, which continued to spread, and the related adverse public health developments, have adversely affected work forces, economies and financial markets globally. As a result, governments around the world have enacted legislation to provide aid and stimulate economies. In the U.S., The Coronavirus, Aid, Relief and Economics Security Act (“CARES Act”), was enacted on March 27, 2020, The Consolidated Appropriations Act, 2021 was enacted on December 27, 2020, and the American Rescue Plan Act of 2021 was enacted on March 11, 2021. All of these acts included both income tax and non-income tax provisions to assist companies. No provisions in these acts had a material impact on the income tax provision or any other area of the Company’s financial statements.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Tax years 2019 through 2022 remain subject to examination by federal and state authorities.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F-13</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Note 4: Leases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February 2016, the FASB issued ASU 2016-02: Leases (Topic 842). This ASU requires a lessee to recognize a right-of-use asset and a lease liability on its balance sheet for most operating leases. ASU 2016-02 is effective for annual and interim periods beginning after December 15, 2018, including interim periods within those fiscal years. In July 2018, the FASB issued ASU 2018-11, Leases (Topic 842): Targeted Improvements, which provides companies with an additional optional transition method to apply the new standard to leases in effect at the adoption date through a cumulative effect adjustment. The Company adopted the new lease standard as of January 1, 2021 using the modified retrospective transition method.</w:t>
      </w:r>
    </w:p>
    <w:p>
      <w:pPr>
        <w:pStyle w:val="TextBody"/>
        <w:spacing w:before="120" w:after="0"/>
        <w:jc w:val="left"/>
        <w:rPr>
          <w:rFonts w:ascii="Times New Roman" w:hAnsi="Times New Roman"/>
          <w:sz w:val="20"/>
        </w:rPr>
      </w:pPr>
      <w:r>
        <w:rPr>
          <w:rFonts w:ascii="Times New Roman;serif" w:hAnsi="Times New Roman;serif"/>
          <w:b w:val="false"/>
          <w:sz w:val="20"/>
        </w:rPr>
        <w:t>The Company elected the package of practical expedients referenced in ASU 2016-02, which permits companies to retain original lease identification and classification without reassessing initial direct costs for existing leases. The Company also elected the practical expedient that exempts leases with an initial lease term of twelve months</w:t>
      </w:r>
      <w:r>
        <w:rPr>
          <w:rFonts w:ascii="Times New Roman" w:hAnsi="Times New Roman"/>
          <w:sz w:val="20"/>
        </w:rPr>
        <w:t xml:space="preserve"> </w:t>
      </w:r>
      <w:r>
        <w:rPr>
          <w:rFonts w:ascii="Times New Roman;serif" w:hAnsi="Times New Roman;serif"/>
          <w:b w:val="false"/>
          <w:sz w:val="20"/>
        </w:rPr>
        <w:t>or less, as well as the practical expedient that allows companies to select, by class of underlying asset, not to separate lease and non-lease components. Adoption of this standard resulted in the recognition of a right-of-use asset and a lease liability on the Company’s January 1, 2021 Consolidated Balance Sheet of $1,560,000</w:t>
      </w:r>
      <w:r>
        <w:rPr>
          <w:rFonts w:ascii="Times New Roman" w:hAnsi="Times New Roman"/>
          <w:sz w:val="20"/>
        </w:rPr>
        <w:t xml:space="preserve"> </w:t>
      </w:r>
      <w:r>
        <w:rPr>
          <w:rFonts w:ascii="Times New Roman;serif" w:hAnsi="Times New Roman;serif"/>
          <w:b w:val="false"/>
          <w:sz w:val="20"/>
        </w:rPr>
        <w:t>and $1,559,000, respectively. There was no material impact on the Company’s Consolidated Statement of Operations and Comprehensive Loss.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has operating leases for real estate (primarily office space) and certain equipment with various expiration dates. The Company also has finance leases for certain equipment. For the years ended December 31, 2022, 2021 and 2020, the Company’s operating lease cost was $551,000, $434,000, and $314,000, respectively. During the year ended December 31, 2022, cash paid for operating leases was $514,000.</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the classification of operating and finance lease assets and obligations in the Company's Consolidated Balance Sheets as of December 31, 2022 and December 31, 2021 (in thousands):</w:t>
      </w:r>
    </w:p>
    <w:p>
      <w:pPr>
        <w:pStyle w:val="TextBody"/>
        <w:spacing w:before="0" w:after="0"/>
        <w:jc w:val="left"/>
        <w:rPr/>
      </w:pPr>
      <w:r>
        <w:rPr/>
        <w:t> </w:t>
      </w:r>
    </w:p>
    <w:tbl>
      <w:tblPr>
        <w:tblW w:w="7460" w:type="dxa"/>
        <w:jc w:val="left"/>
        <w:tblInd w:w="0" w:type="dxa"/>
        <w:tblCellMar>
          <w:top w:w="28" w:type="dxa"/>
          <w:left w:w="28" w:type="dxa"/>
          <w:bottom w:w="28" w:type="dxa"/>
          <w:right w:w="28" w:type="dxa"/>
        </w:tblCellMar>
      </w:tblPr>
      <w:tblGrid>
        <w:gridCol w:w="3181"/>
        <w:gridCol w:w="146"/>
        <w:gridCol w:w="465"/>
        <w:gridCol w:w="1260"/>
        <w:gridCol w:w="146"/>
        <w:gridCol w:w="146"/>
        <w:gridCol w:w="465"/>
        <w:gridCol w:w="1260"/>
        <w:gridCol w:w="391"/>
      </w:tblGrid>
      <w:tr>
        <w:trPr/>
        <w:tc>
          <w:tcPr>
            <w:tcW w:w="3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leases:</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18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Right</w:t>
            </w:r>
            <w:r>
              <w:rPr>
                <w:rFonts w:ascii="Times New Roman" w:hAnsi="Times New Roman"/>
                <w:sz w:val="20"/>
              </w:rPr>
              <w:t> </w:t>
            </w:r>
            <w:r>
              <w:rPr>
                <w:rFonts w:ascii="Times New Roman;serif" w:hAnsi="Times New Roman;serif"/>
                <w:b w:val="false"/>
                <w:sz w:val="20"/>
              </w:rPr>
              <w:t>of use assets</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1,139</w:t>
            </w:r>
          </w:p>
        </w:tc>
        <w:tc>
          <w:tcPr>
            <w:tcW w:w="391" w:type="dxa"/>
            <w:tcBorders/>
            <w:shd w:fill="auto" w:val="cle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18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Operating</w:t>
            </w:r>
            <w:r>
              <w:rPr>
                <w:rFonts w:ascii="Times New Roman" w:hAnsi="Times New Roman"/>
                <w:sz w:val="20"/>
              </w:rPr>
              <w:t> </w:t>
            </w:r>
            <w:r>
              <w:rPr>
                <w:rFonts w:ascii="Times New Roman;serif" w:hAnsi="Times New Roman;serif"/>
                <w:b w:val="false"/>
                <w:sz w:val="20"/>
              </w:rPr>
              <w:t>lease liabilities, current</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w:t>
            </w:r>
          </w:p>
        </w:tc>
        <w:tc>
          <w:tcPr>
            <w:tcW w:w="391" w:type="dxa"/>
            <w:tcBorders/>
            <w:shd w:fill="auto" w:val="cle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Operating</w:t>
            </w:r>
            <w:r>
              <w:rPr>
                <w:rFonts w:ascii="Times New Roman" w:hAnsi="Times New Roman"/>
                <w:sz w:val="20"/>
              </w:rPr>
              <w:t> </w:t>
            </w:r>
            <w:r>
              <w:rPr>
                <w:rFonts w:ascii="Times New Roman;serif" w:hAnsi="Times New Roman;serif"/>
                <w:b w:val="false"/>
                <w:sz w:val="20"/>
              </w:rPr>
              <w:t>lease liabilities, noncurrent</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985</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1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1,220</w:t>
            </w:r>
          </w:p>
        </w:tc>
        <w:tc>
          <w:tcPr>
            <w:tcW w:w="391" w:type="dxa"/>
            <w:tcBorders/>
            <w:shd w:fill="auto" w:val="cle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Finance leases:</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18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Right</w:t>
            </w:r>
            <w:r>
              <w:rPr>
                <w:rFonts w:ascii="Times New Roman" w:hAnsi="Times New Roman"/>
                <w:sz w:val="20"/>
              </w:rPr>
              <w:t> </w:t>
            </w:r>
            <w:r>
              <w:rPr>
                <w:rFonts w:ascii="Times New Roman;serif" w:hAnsi="Times New Roman;serif"/>
                <w:b w:val="false"/>
                <w:sz w:val="20"/>
              </w:rPr>
              <w:t>of use assets</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391" w:type="dxa"/>
            <w:tcBorders/>
            <w:shd w:fill="auto" w:val="cle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18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Finance</w:t>
            </w:r>
            <w:r>
              <w:rPr>
                <w:rFonts w:ascii="Times New Roman" w:hAnsi="Times New Roman"/>
                <w:sz w:val="20"/>
              </w:rPr>
              <w:t> </w:t>
            </w:r>
            <w:r>
              <w:rPr>
                <w:rFonts w:ascii="Times New Roman;serif" w:hAnsi="Times New Roman;serif"/>
                <w:b w:val="false"/>
                <w:sz w:val="20"/>
              </w:rPr>
              <w:t>lease liabilities, current</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391" w:type="dxa"/>
            <w:tcBorders/>
            <w:shd w:fill="auto" w:val="cle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Finance</w:t>
            </w:r>
            <w:r>
              <w:rPr>
                <w:rFonts w:ascii="Times New Roman" w:hAnsi="Times New Roman"/>
                <w:sz w:val="20"/>
              </w:rPr>
              <w:t> </w:t>
            </w:r>
            <w:r>
              <w:rPr>
                <w:rFonts w:ascii="Times New Roman;serif" w:hAnsi="Times New Roman;serif"/>
                <w:b w:val="false"/>
                <w:sz w:val="20"/>
              </w:rPr>
              <w:t>lease liabilities, noncurrent</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1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finance lease liabilities</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Maturities of lease liabilities for the Company’s operating and finance leases are as follows as of December 31, 2022 (in thousands):</w:t>
      </w:r>
    </w:p>
    <w:p>
      <w:pPr>
        <w:pStyle w:val="TextBody"/>
        <w:spacing w:before="0" w:after="0"/>
        <w:jc w:val="both"/>
        <w:rPr/>
      </w:pPr>
      <w:r>
        <w:rPr/>
        <w:t> </w:t>
      </w:r>
    </w:p>
    <w:tbl>
      <w:tblPr>
        <w:tblW w:w="7434" w:type="dxa"/>
        <w:jc w:val="left"/>
        <w:tblInd w:w="0" w:type="dxa"/>
        <w:tblCellMar>
          <w:top w:w="28" w:type="dxa"/>
          <w:left w:w="28" w:type="dxa"/>
          <w:bottom w:w="28" w:type="dxa"/>
          <w:right w:w="28" w:type="dxa"/>
        </w:tblCellMar>
      </w:tblPr>
      <w:tblGrid>
        <w:gridCol w:w="2686"/>
        <w:gridCol w:w="146"/>
        <w:gridCol w:w="428"/>
        <w:gridCol w:w="1162"/>
        <w:gridCol w:w="166"/>
        <w:gridCol w:w="146"/>
        <w:gridCol w:w="527"/>
        <w:gridCol w:w="868"/>
        <w:gridCol w:w="166"/>
        <w:gridCol w:w="146"/>
        <w:gridCol w:w="211"/>
        <w:gridCol w:w="571"/>
        <w:gridCol w:w="211"/>
      </w:tblGrid>
      <w:tr>
        <w:trPr/>
        <w:tc>
          <w:tcPr>
            <w:tcW w:w="2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6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Operating Leases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Finance Leases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683</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left"/>
              <w:rPr/>
            </w:pPr>
            <w:r>
              <w:rPr/>
              <w:t> </w:t>
            </w:r>
          </w:p>
        </w:tc>
        <w:tc>
          <w:tcPr>
            <w:tcW w:w="11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700</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left"/>
              <w:rPr/>
            </w:pPr>
            <w:r>
              <w:rPr/>
              <w:t> </w:t>
            </w:r>
          </w:p>
        </w:tc>
        <w:tc>
          <w:tcPr>
            <w:tcW w:w="11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676</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left"/>
              <w:rPr/>
            </w:pPr>
            <w:r>
              <w:rPr/>
              <w:t> </w:t>
            </w:r>
          </w:p>
        </w:tc>
        <w:tc>
          <w:tcPr>
            <w:tcW w:w="11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583</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left"/>
              <w:rPr/>
            </w:pPr>
            <w:r>
              <w:rPr/>
              <w:t> </w:t>
            </w:r>
          </w:p>
        </w:tc>
        <w:tc>
          <w:tcPr>
            <w:tcW w:w="11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payments</w:t>
            </w:r>
          </w:p>
        </w:tc>
        <w:tc>
          <w:tcPr>
            <w:tcW w:w="146"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left"/>
              <w:rPr/>
            </w:pPr>
            <w:r>
              <w:rPr/>
              <w:t> </w:t>
            </w:r>
          </w:p>
        </w:tc>
        <w:tc>
          <w:tcPr>
            <w:tcW w:w="11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7" w:type="dxa"/>
            <w:tcBorders/>
            <w:shd w:fill="auto" w:val="clear"/>
            <w:vAlign w:val="center"/>
          </w:tcPr>
          <w:p>
            <w:pPr>
              <w:pStyle w:val="TableContents"/>
              <w:spacing w:before="0" w:after="0"/>
              <w:ind w:left="0" w:right="0" w:hanging="0"/>
              <w:jc w:val="left"/>
              <w:rPr/>
            </w:pPr>
            <w:r>
              <w:rPr/>
              <w:t> </w:t>
            </w:r>
          </w:p>
        </w:tc>
        <w:tc>
          <w:tcPr>
            <w:tcW w:w="8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2,902</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shd w:fill="auto" w:val="clear"/>
            <w:vAlign w:val="center"/>
          </w:tcPr>
          <w:p>
            <w:pPr>
              <w:pStyle w:val="TableContents"/>
              <w:spacing w:before="0" w:after="0"/>
              <w:ind w:left="0" w:right="0" w:hanging="0"/>
              <w:jc w:val="left"/>
              <w:rPr/>
            </w:pPr>
            <w:r>
              <w:rPr/>
              <w:t> </w:t>
            </w:r>
          </w:p>
        </w:tc>
        <w:tc>
          <w:tcPr>
            <w:tcW w:w="4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Present value of lease liabilities</w:t>
            </w:r>
          </w:p>
        </w:tc>
        <w:tc>
          <w:tcPr>
            <w:tcW w:w="146" w:type="dxa"/>
            <w:tcBorders/>
            <w:shd w:fill="auto" w:val="clear"/>
            <w:vAlign w:val="center"/>
          </w:tcPr>
          <w:p>
            <w:pPr>
              <w:pStyle w:val="TableContents"/>
              <w:spacing w:before="0" w:after="0"/>
              <w:ind w:left="0" w:right="0" w:hanging="0"/>
              <w:jc w:val="left"/>
              <w:rPr/>
            </w:pPr>
            <w:r>
              <w:rPr/>
              <w:t> </w:t>
            </w:r>
          </w:p>
        </w:tc>
        <w:tc>
          <w:tcPr>
            <w:tcW w:w="4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2,399</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weighted average remaining lease term for operating leases is 4.2 years, and 2.3 years for the finance lease. The weighted average discount rate is 8.9% and 8.5% for operating and finance leases, respectively.</w:t>
      </w:r>
    </w:p>
    <w:p>
      <w:pPr>
        <w:pStyle w:val="TextBody"/>
        <w:spacing w:before="360" w:after="0"/>
        <w:jc w:val="both"/>
        <w:rPr>
          <w:rFonts w:ascii="Times New Roman;serif" w:hAnsi="Times New Roman;serif"/>
          <w:b/>
          <w:sz w:val="20"/>
        </w:rPr>
      </w:pPr>
      <w:r>
        <w:rPr>
          <w:rFonts w:ascii="Times New Roman;serif" w:hAnsi="Times New Roman;serif"/>
          <w:b/>
          <w:sz w:val="20"/>
        </w:rPr>
        <w:t>Note 5: Related Party Transactions</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Exchange Agreement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F-14</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the Closing Date, the Company entered into an exchange agreement with PKLP and certain Closing ProKidney Unitholders (the “Exchange Agreement”) pursuant to which, subject to the procedures and restrictions therein, from and after the waiver or expiration of any contractual lock-up period (including pursuant to the Lock-Up Agreement (as defined below)) the holders of Post-Combination ProKidney Common Units as defined in the Exchange Agreement (or certain permitted transferees thereof) would have the right from time to time at and after 180 days following the Closing to exchange their Post-Combination ProKidney Common Units and an equal number of Class B ordinary shares of the Company on a one-for-one basis for Class A ordinary shares of the Company (the “Exchange”); provided, that, subject to certain exceptions, the Company, at its sole election, subject to certain restrictions, may, other than in the case of certain secondary offerings, instead settle all or a portion of the Exchange in cash based on a volume weighted average price (“VWAP”) of a Class A ordinary share. The Exchange Agreement provides that, as a general matter, a holder of Post-Combination ProKidney Common Units will not have the right to exchange Post-Combination ProKidney Common Units if the Company determines that such exchange would be prohibited by law or regulation or would violate other agreements with the Company and its subsidiaries to which the holder of Post-Combination ProKidney Common Units may be subject, including the Second Amended and Restated ProKidney Limited Partnership Agreement and the Exchange Agreement.</w:t>
      </w:r>
    </w:p>
    <w:p>
      <w:pPr>
        <w:pStyle w:val="TextBody"/>
        <w:spacing w:before="360" w:after="0"/>
        <w:jc w:val="left"/>
        <w:rPr>
          <w:rFonts w:ascii="Times New Roman" w:hAnsi="Times New Roman"/>
          <w:sz w:val="20"/>
        </w:rPr>
      </w:pPr>
      <w:r>
        <w:rPr>
          <w:rFonts w:ascii="Times New Roman;serif" w:hAnsi="Times New Roman;serif"/>
          <w:b w:val="false"/>
          <w:i/>
          <w:sz w:val="20"/>
        </w:rPr>
        <w:t>Lock-Up Agreement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the Closing Date, the Company, SCS Sponsor III LLC and certain Closing ProKidney Unitholders entered into a lock-up agreement (the “Lock-Up Agreement”). The Lock-Up Agreement contains certain restrictions on transfer with respect to the SCS Sponsor III LLC and the Closing ProKidney Unitholders party thereto. Such restrictions began at the Closing and would end on the earlier of (i) the date that is 180 days after the Closing and (ii)(a) for 33% of the Lock-Up Shares (other than the Earnout Shares and the Private Placement Shares), the date on which the last reported sale price of a Class A ordinary share of the Company equals or exceeds $12.50 per share for any 20 trading days within any 30-trading day period commencing at least 30 days after the Closing and (b) for an additional 50% of the Lock-Up Shares (other than the Earnout Shares and the Private Placement Shares (as each such term is defined in the Lock-Up Agreement)), the date on which the last reported sale price of a Class A ordinary share of the Company equals or exceeds $15.00 per share for any 20 trading days within any 30-trading day period commencing at least 30 days after the Closing. Notwithstanding the above, (i) the lock-up period for any Earnout Shares will expire not earlier than 180 days after such Earnout Shares are issued; (ii) 50% of the Lock-Up Shares held by certain Closing ProKidney Unitholders and their affiliates will remain locked up until the earlier of four years following the Closing and the date that PKLP receives notice of any regulatory market authorization, including full or conditional authorization, to market its lead product candidate, Renal Autologous Cell Therapy (but, in any event, not earlier than 180 days following the Closing or (in the case of Earnout Shares) the date of issuance); and (iii) the lock-up period for the Private Placement Shares expired 30 days after the Closing. The restrictions on transfer set forth in the Lockup Agreement are subject to customary exceptions.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January 2023, the lock-up period for 50% of the shares held by the Closing ProKidney Unitholders (other than the Earnout Shares) expired.</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Tax Receivable Agreement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the Closing Date, the Company entered into a tax receivable agreement (the “Tax Receivable Agreement”) with the Closing ProKidney Unitholders. Pursuant to the Tax Receivable Agreement, among other things, the Company will be required to pay the Closing ProKidney Unitholders party thereto 85% of certain tax savings recognized by the Company, if any, as a result of the increases in tax basis attributable to exchanges by the Closing ProKidney Unitholders of Post-Combination ProKidney Common Units for Class A ordinary shares of the Company or, subject to certain restrictions, cash, pursuant to the Exchange Agreement and certain other tax attributes of PKLP and tax benefits related to entering into the Tax Receivable Agreement.</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Earnout Rights</w:t>
      </w:r>
    </w:p>
    <w:p>
      <w:pPr>
        <w:pStyle w:val="TextBody"/>
        <w:spacing w:before="120" w:after="0"/>
        <w:jc w:val="left"/>
        <w:rPr>
          <w:rFonts w:ascii="Times New Roman" w:hAnsi="Times New Roman"/>
          <w:sz w:val="20"/>
        </w:rPr>
      </w:pPr>
      <w:r>
        <w:rPr>
          <w:rFonts w:ascii="Times New Roman;serif" w:hAnsi="Times New Roman;serif"/>
          <w:b w:val="false"/>
          <w:sz w:val="20"/>
        </w:rPr>
        <w:t>At the Closing, certain shareholders were issued an aggregate of 17,500,000</w:t>
      </w:r>
      <w:r>
        <w:rPr>
          <w:rFonts w:ascii="Times New Roman" w:hAnsi="Times New Roman"/>
          <w:sz w:val="20"/>
        </w:rPr>
        <w:t xml:space="preserve"> </w:t>
      </w:r>
      <w:r>
        <w:rPr>
          <w:rFonts w:ascii="Times New Roman;serif" w:hAnsi="Times New Roman;serif"/>
          <w:b w:val="false"/>
          <w:sz w:val="20"/>
        </w:rPr>
        <w:t>Earnout Restricted Common Units and 17,500,000</w:t>
      </w:r>
      <w:r>
        <w:rPr>
          <w:rFonts w:ascii="Times New Roman" w:hAnsi="Times New Roman"/>
          <w:sz w:val="20"/>
        </w:rPr>
        <w:t xml:space="preserve"> </w:t>
      </w:r>
      <w:r>
        <w:rPr>
          <w:rFonts w:ascii="Times New Roman;serif" w:hAnsi="Times New Roman;serif"/>
          <w:b w:val="false"/>
          <w:sz w:val="20"/>
        </w:rPr>
        <w:t>Earnout Restricted Stock Rights (collectively, the “Earnout Rights”).</w:t>
      </w:r>
      <w:r>
        <w:rPr>
          <w:rFonts w:ascii="Times New Roman" w:hAnsi="Times New Roman"/>
          <w:sz w:val="20"/>
        </w:rPr>
        <w:t xml:space="preserve"> </w:t>
      </w:r>
      <w:r>
        <w:rPr>
          <w:rFonts w:ascii="Times New Roman;serif" w:hAnsi="Times New Roman;serif"/>
          <w:b w:val="false"/>
          <w:sz w:val="20"/>
        </w:rPr>
        <w:t>The Earnout Rights vest in three equal tranches if, during the five-year</w:t>
      </w:r>
      <w:r>
        <w:rPr>
          <w:rFonts w:ascii="Times New Roman" w:hAnsi="Times New Roman"/>
          <w:sz w:val="20"/>
        </w:rPr>
        <w:t xml:space="preserve"> </w:t>
      </w:r>
      <w:r>
        <w:rPr>
          <w:rFonts w:ascii="Times New Roman;serif" w:hAnsi="Times New Roman;serif"/>
          <w:b w:val="false"/>
          <w:sz w:val="20"/>
        </w:rPr>
        <w:t>period after Closing, the VWAP of a Class A ordinary share reaches $15.00</w:t>
      </w:r>
      <w:r>
        <w:rPr>
          <w:rFonts w:ascii="Times New Roman" w:hAnsi="Times New Roman"/>
          <w:sz w:val="20"/>
        </w:rPr>
        <w:t xml:space="preserve"> </w:t>
      </w:r>
      <w:r>
        <w:rPr>
          <w:rFonts w:ascii="Times New Roman;serif" w:hAnsi="Times New Roman;serif"/>
          <w:b w:val="false"/>
          <w:sz w:val="20"/>
        </w:rPr>
        <w:t>per share, $20.00</w:t>
      </w:r>
      <w:r>
        <w:rPr>
          <w:rFonts w:ascii="Times New Roman" w:hAnsi="Times New Roman"/>
          <w:sz w:val="20"/>
        </w:rPr>
        <w:t xml:space="preserve"> </w:t>
      </w:r>
      <w:r>
        <w:rPr>
          <w:rFonts w:ascii="Times New Roman;serif" w:hAnsi="Times New Roman;serif"/>
          <w:b w:val="false"/>
          <w:sz w:val="20"/>
        </w:rPr>
        <w:t>per share and $25.00</w:t>
      </w:r>
      <w:r>
        <w:rPr>
          <w:rFonts w:ascii="Times New Roman" w:hAnsi="Times New Roman"/>
          <w:sz w:val="20"/>
        </w:rPr>
        <w:t xml:space="preserve"> </w:t>
      </w:r>
      <w:r>
        <w:rPr>
          <w:rFonts w:ascii="Times New Roman;serif" w:hAnsi="Times New Roman;serif"/>
          <w:b w:val="false"/>
          <w:sz w:val="20"/>
        </w:rPr>
        <w:t>per share. Likewise, the Earnout Rights will vest upon a change of control with a per share price exceeding those same VWAP thresholds within a five-year period immediately following the Closing. Upon vesting, the Earnout Rights will automatically convert into Post Combination ProKidney Common Units and Class B ordinary shares.</w:t>
      </w:r>
      <w:r>
        <w:rPr>
          <w:rFonts w:ascii="Times New Roman" w:hAnsi="Times New Roman"/>
          <w:sz w:val="20"/>
        </w:rPr>
        <w:t xml:space="preserve"> </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Related Party Debt</w:t>
      </w:r>
    </w:p>
    <w:p>
      <w:pPr>
        <w:pStyle w:val="TextBody"/>
        <w:spacing w:before="120" w:after="0"/>
        <w:jc w:val="left"/>
        <w:rPr>
          <w:rFonts w:ascii="Times New Roman" w:hAnsi="Times New Roman"/>
          <w:sz w:val="20"/>
        </w:rPr>
      </w:pPr>
      <w:r>
        <w:rPr>
          <w:rFonts w:ascii="Times New Roman;serif" w:hAnsi="Times New Roman;serif"/>
          <w:b w:val="false"/>
          <w:sz w:val="20"/>
        </w:rPr>
        <w:t>On January 18, 2022, in connection with the execution of the Business Combination Agreement, the Company entered into the Promissory Notes. Through such promissory notes, the holders could fund up to $100,000,000</w:t>
      </w:r>
      <w:r>
        <w:rPr>
          <w:rFonts w:ascii="Times New Roman" w:hAnsi="Times New Roman"/>
          <w:sz w:val="20"/>
        </w:rPr>
        <w:t xml:space="preserve"> </w:t>
      </w:r>
      <w:r>
        <w:rPr>
          <w:rFonts w:ascii="Times New Roman;serif" w:hAnsi="Times New Roman;serif"/>
          <w:b w:val="false"/>
          <w:sz w:val="20"/>
        </w:rPr>
        <w:t>to support the operational financing needs of the Company prior to the Closing. These notes bore interest at a rate of 3% per annum and were due upon the earliest of either (i) the date on which the Business Combination closed or (ii) January 17, 2023.</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F-15</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Drawdowns on the Promissory Notes could be made in multiples of $10,000</w:t>
      </w:r>
      <w:r>
        <w:rPr>
          <w:rFonts w:ascii="Times New Roman" w:hAnsi="Times New Roman"/>
          <w:sz w:val="20"/>
        </w:rPr>
        <w:t xml:space="preserve"> </w:t>
      </w:r>
      <w:r>
        <w:rPr>
          <w:rFonts w:ascii="Times New Roman;serif" w:hAnsi="Times New Roman;serif"/>
          <w:b w:val="false"/>
          <w:sz w:val="20"/>
        </w:rPr>
        <w:t>unless otherwise agreed upon. Once an amount was drawn down under the Promissory Notes, it was no longer available for future drawdown requests even if prepaid.</w:t>
      </w:r>
    </w:p>
    <w:p>
      <w:pPr>
        <w:pStyle w:val="TextBody"/>
        <w:spacing w:before="120" w:after="0"/>
        <w:jc w:val="left"/>
        <w:rPr>
          <w:rFonts w:ascii="Times New Roman" w:hAnsi="Times New Roman"/>
          <w:sz w:val="20"/>
        </w:rPr>
      </w:pPr>
      <w:r>
        <w:rPr>
          <w:rFonts w:ascii="Times New Roman;serif" w:hAnsi="Times New Roman;serif"/>
          <w:b w:val="false"/>
          <w:sz w:val="20"/>
        </w:rPr>
        <w:t>During the year ended December 31, 2022, the Company borrowed $35,000,000</w:t>
      </w:r>
      <w:r>
        <w:rPr>
          <w:rFonts w:ascii="Times New Roman" w:hAnsi="Times New Roman"/>
          <w:sz w:val="20"/>
        </w:rPr>
        <w:t xml:space="preserve"> </w:t>
      </w:r>
      <w:r>
        <w:rPr>
          <w:rFonts w:ascii="Times New Roman;serif" w:hAnsi="Times New Roman;serif"/>
          <w:b w:val="false"/>
          <w:sz w:val="20"/>
        </w:rPr>
        <w:t>under the Promissory Notes. During the year ended December 31, 2022, the Company recognized interest expense of $207,000, respectively related to the Promissory Notes. The amounts due under the Promissory Notes were paid, and the Promissory Notes were effectively terminated upon Closing as described in Note 1.</w:t>
      </w:r>
    </w:p>
    <w:p>
      <w:pPr>
        <w:pStyle w:val="TextBody"/>
        <w:spacing w:before="360" w:after="0"/>
        <w:jc w:val="left"/>
        <w:rPr>
          <w:rFonts w:ascii="Times New Roman" w:hAnsi="Times New Roman"/>
          <w:sz w:val="20"/>
        </w:rPr>
      </w:pPr>
      <w:r>
        <w:rPr>
          <w:rFonts w:ascii="Times New Roman;serif" w:hAnsi="Times New Roman;serif"/>
          <w:b w:val="false"/>
          <w:i/>
          <w:sz w:val="20"/>
        </w:rPr>
        <w:t>Consulting Services Agreement between ProKidney-KY and Nefro Health</w:t>
      </w:r>
      <w:r>
        <w:rPr>
          <w:rFonts w:ascii="Times New Roman;serif" w:hAnsi="Times New Roman;serif"/>
          <w:b w:val="false"/>
          <w:sz w:val="20"/>
        </w:rPr>
        <w:br/>
      </w:r>
      <w:r>
        <w:rPr>
          <w:rFonts w:ascii="Times New Roman" w:hAnsi="Times New Roman"/>
          <w:sz w:val="20"/>
        </w:rPr>
        <w:t> </w:t>
      </w:r>
    </w:p>
    <w:p>
      <w:pPr>
        <w:pStyle w:val="TextBody"/>
        <w:spacing w:before="120" w:after="0"/>
        <w:jc w:val="left"/>
        <w:rPr>
          <w:rFonts w:ascii="Times New Roman" w:hAnsi="Times New Roman"/>
          <w:sz w:val="20"/>
        </w:rPr>
      </w:pPr>
      <w:r>
        <w:rPr>
          <w:rFonts w:ascii="Times New Roman;serif" w:hAnsi="Times New Roman;serif"/>
          <w:b w:val="false"/>
          <w:sz w:val="20"/>
        </w:rPr>
        <w:t>On January 1, 2020, ProKidney-KY (formerly known as inRegen) entered into a consulting services agreement with Nefro Health (“Nefro”), an Irish partnership controlled and majority-owned by Mr. Pablo Legorreta, a director of the Company, pursuant to which Nefro provides consulting services for the research and development of the Company’s product candidates, including the conduct of clinical trials in North America and the European Union, the design and manufacturing of ProKidney’s product candidates as well as pre-commercialization activities, which are primarily performed by Mr. Legorreta. Under the agreement, Nefro receives $25,000</w:t>
      </w:r>
      <w:r>
        <w:rPr>
          <w:rFonts w:ascii="Times New Roman" w:hAnsi="Times New Roman"/>
          <w:sz w:val="20"/>
        </w:rPr>
        <w:t xml:space="preserve"> </w:t>
      </w:r>
      <w:r>
        <w:rPr>
          <w:rFonts w:ascii="Times New Roman;serif" w:hAnsi="Times New Roman;serif"/>
          <w:b w:val="false"/>
          <w:sz w:val="20"/>
        </w:rPr>
        <w:t>per quarter and is reimbursed for any out-of-pocket expenses incurred in connection with activities Nefro conducted under the agreement. ProKidney-KY has paid Nefro an aggregate of $100,000</w:t>
      </w:r>
      <w:r>
        <w:rPr>
          <w:rFonts w:ascii="Times New Roman" w:hAnsi="Times New Roman"/>
          <w:sz w:val="20"/>
        </w:rPr>
        <w:t xml:space="preserve"> </w:t>
      </w:r>
      <w:r>
        <w:rPr>
          <w:rFonts w:ascii="Times New Roman;serif" w:hAnsi="Times New Roman;serif"/>
          <w:b w:val="false"/>
          <w:sz w:val="20"/>
        </w:rPr>
        <w:t>for each of the years ended December 31, 2022, 2021 and 2020.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ProKidney-KY will be obligated to pay Nefro any earned but unpaid consulting fee as of the termination date.</w:t>
        <w:br/>
      </w:r>
      <w:r>
        <w:rPr>
          <w:rFonts w:ascii="Times New Roman" w:hAnsi="Times New Roman"/>
          <w:sz w:val="20"/>
        </w:rPr>
        <w:t> </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Consulting Services Agreement between ProKidney-US and Nefro Health</w:t>
      </w:r>
    </w:p>
    <w:p>
      <w:pPr>
        <w:pStyle w:val="TextBody"/>
        <w:spacing w:before="120" w:after="0"/>
        <w:jc w:val="left"/>
        <w:rPr>
          <w:rFonts w:ascii="Times New Roman" w:hAnsi="Times New Roman"/>
          <w:sz w:val="20"/>
        </w:rPr>
      </w:pPr>
      <w:r>
        <w:rPr>
          <w:rFonts w:ascii="Times New Roman;serif" w:hAnsi="Times New Roman;serif"/>
          <w:b w:val="false"/>
          <w:sz w:val="20"/>
        </w:rPr>
        <w:t>On January 1, 2020, ProKidney-US (formerly known as Twin City Bio, LLC) entered into a consulting services agreement with Nefro, pursuant to which Nefro provides consulting services for the research and development of the Company’s product candidates, including the conduct of clinical trials in North America and the European Union, the design and manufacturing of the Company’s product candidates as well as pre-commercialization activities, which are primarily performed by Mr. Pablo Legorreta. Under the agreement, Nefro receives $25,000</w:t>
      </w:r>
      <w:r>
        <w:rPr>
          <w:rFonts w:ascii="Times New Roman" w:hAnsi="Times New Roman"/>
          <w:sz w:val="20"/>
        </w:rPr>
        <w:t xml:space="preserve"> </w:t>
      </w:r>
      <w:r>
        <w:rPr>
          <w:rFonts w:ascii="Times New Roman;serif" w:hAnsi="Times New Roman;serif"/>
          <w:b w:val="false"/>
          <w:sz w:val="20"/>
        </w:rPr>
        <w:t>per quarter and is reimbursed for any out-of-pocket expenses incurred in connection with activities Nefro conducted under the agreement. ProKidney-US has paid Nefro an aggregate of $100,000</w:t>
      </w:r>
      <w:r>
        <w:rPr>
          <w:rFonts w:ascii="Times New Roman" w:hAnsi="Times New Roman"/>
          <w:sz w:val="20"/>
        </w:rPr>
        <w:t xml:space="preserve"> </w:t>
      </w:r>
      <w:r>
        <w:rPr>
          <w:rFonts w:ascii="Times New Roman;serif" w:hAnsi="Times New Roman;serif"/>
          <w:b w:val="false"/>
          <w:sz w:val="20"/>
        </w:rPr>
        <w:t>for each of the years ended December 31, 2022, 2021 and 2020.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ProKidney-US will be obligated to pay Nefro any earned but unpaid consulting fee as of the termination date.</w:t>
      </w:r>
    </w:p>
    <w:p>
      <w:pPr>
        <w:pStyle w:val="TextBody"/>
        <w:spacing w:before="360" w:after="0"/>
        <w:jc w:val="left"/>
        <w:rPr>
          <w:rFonts w:ascii="Times New Roman;serif" w:hAnsi="Times New Roman;serif"/>
          <w:b/>
          <w:sz w:val="20"/>
        </w:rPr>
      </w:pPr>
      <w:r>
        <w:rPr>
          <w:rFonts w:ascii="Times New Roman;serif" w:hAnsi="Times New Roman;serif"/>
          <w:b/>
          <w:sz w:val="20"/>
        </w:rPr>
        <w:t>Note 6: Redeemable Noncontrolling Interest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is subject to the Exchange Agreement with respect to the Post-Combination ProKidney Common Units representing the outstanding 73.6% noncontrolling interest in PKLP (see Note 1). The Exchange Agreement requires the surrender of an equal number of Post-Combination ProKidney Common Units and Class B ordinary shares for (i) Class A ordinary shares on a one-for-one basis or (ii) cash (based on the fair market value of the Class A ordinary shares as determined pursuant to the Exchange Agreement), at the Company’s option (as the managing member of PKLP), subject to customary conversion rate adjustments for share splits, share dividends and reclassifications. The exchange value is determined based on a five-day VWAP of the Class A ordinary shares as defined in the Exchange Agreement, subject to customary conversion rate adjustments for share splits, share dividends and reclassifications.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redeemable noncontrolling interest is recognized at the higher of (1) its initial fair value plus accumulated earnings/losses associated with the noncontrolling interest or (2) the redemption value as of the balance sheet date. At December 31, 2022, the redeemable noncontrolling interest was recorded based on its initial fair value plus accumulated losses associated with the noncontrolling interest as this amount was higher than the redemption value as of the balance sheet date which was approximately $1,116,011,000.</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F-16</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the Company’s ownership interest in PKLP while the Company retains its controlling interest in PKLP are accounted for as equity transactions, and the Company is required to adjust noncontrolling interest and equity for such changes. The following is a summary of net income attributable to the Company and transfers to noncontrolling interest:</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5496"/>
        <w:gridCol w:w="1001"/>
        <w:gridCol w:w="3495"/>
        <w:gridCol w:w="213"/>
      </w:tblGrid>
      <w:tr>
        <w:trPr/>
        <w:tc>
          <w:tcPr>
            <w:tcW w:w="5496"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3495"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5496" w:type="dxa"/>
            <w:tcBorders/>
            <w:shd w:fill="auto" w:val="clear"/>
            <w:vAlign w:val="center"/>
          </w:tcPr>
          <w:p>
            <w:pPr>
              <w:pStyle w:val="TableContents"/>
              <w:spacing w:before="0" w:after="0"/>
              <w:ind w:left="0" w:right="0" w:hanging="0"/>
              <w:jc w:val="center"/>
              <w:rPr/>
            </w:pPr>
            <w:r>
              <w:rPr/>
              <w:t> </w:t>
            </w:r>
          </w:p>
        </w:tc>
        <w:tc>
          <w:tcPr>
            <w:tcW w:w="44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 the Period from July 11, 2022 through December 31, 2022</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available to Class A ordinary shareholders</w:t>
            </w:r>
          </w:p>
        </w:tc>
        <w:tc>
          <w:tcPr>
            <w:tcW w:w="10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(14,400</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(Increase)/Decrease in ProKidney Corp. accumulated deficit for impact of</w:t>
              <w:br/>
              <w:t>   subsidiary equity-based compensation</w:t>
            </w:r>
          </w:p>
        </w:tc>
        <w:tc>
          <w:tcPr>
            <w:tcW w:w="1001" w:type="dxa"/>
            <w:tcBorders/>
            <w:shd w:fill="auto" w:val="clear"/>
            <w:vAlign w:val="center"/>
          </w:tcPr>
          <w:p>
            <w:pPr>
              <w:pStyle w:val="TableContents"/>
              <w:spacing w:before="0" w:after="0"/>
              <w:ind w:left="0" w:right="0" w:hanging="0"/>
              <w:jc w:val="left"/>
              <w:rPr/>
            </w:pPr>
            <w:r>
              <w:rPr/>
              <w:t> </w:t>
            </w:r>
          </w:p>
        </w:tc>
        <w:tc>
          <w:tcPr>
            <w:tcW w:w="34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6,150</w:t>
            </w:r>
          </w:p>
        </w:tc>
        <w:tc>
          <w:tcPr>
            <w:tcW w:w="213" w:type="dxa"/>
            <w:tcBorders/>
            <w:shd w:fill="auto" w:val="clear"/>
            <w:vAlign w:val="center"/>
          </w:tcPr>
          <w:p>
            <w:pPr>
              <w:pStyle w:val="TableContents"/>
              <w:spacing w:before="0" w:after="0"/>
              <w:ind w:left="0" w:right="0" w:hanging="0"/>
              <w:jc w:val="left"/>
              <w:rPr/>
            </w:pPr>
            <w:r>
              <w:rPr/>
              <w:t> </w:t>
            </w:r>
          </w:p>
        </w:tc>
      </w:tr>
      <w:tr>
        <w:trPr/>
        <w:tc>
          <w:tcPr>
            <w:tcW w:w="5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(Increase)/Decrease in ProKidney Corp. additional paid-in capital for vesting of</w:t>
              <w:br/>
              <w:t>   Restricted Common Units in ProKidney LP</w:t>
            </w:r>
          </w:p>
        </w:tc>
        <w:tc>
          <w:tcPr>
            <w:tcW w:w="10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from net loss available to Class A ordinary shareholders and change</w:t>
              <w:br/>
              <w:t>   in ownership interest in ProKidney LP</w:t>
            </w:r>
          </w:p>
        </w:tc>
        <w:tc>
          <w:tcPr>
            <w:tcW w:w="10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(8,571</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Note 7: Shareholders’ Equity</w:t>
      </w:r>
    </w:p>
    <w:p>
      <w:pPr>
        <w:pStyle w:val="TextBody"/>
        <w:spacing w:before="120" w:after="0"/>
        <w:jc w:val="left"/>
        <w:rPr>
          <w:rFonts w:ascii="Times New Roman" w:hAnsi="Times New Roman"/>
          <w:sz w:val="20"/>
        </w:rPr>
      </w:pPr>
      <w:r>
        <w:rPr>
          <w:rFonts w:ascii="Times New Roman;serif" w:hAnsi="Times New Roman;serif"/>
          <w:b w:val="false"/>
          <w:sz w:val="20"/>
        </w:rPr>
        <w:t>In conjunction with the Business Combination, 186,500,000</w:t>
      </w:r>
      <w:r>
        <w:rPr>
          <w:rFonts w:ascii="Times New Roman" w:hAnsi="Times New Roman"/>
          <w:sz w:val="20"/>
        </w:rPr>
        <w:t xml:space="preserve"> </w:t>
      </w:r>
      <w:r>
        <w:rPr>
          <w:rFonts w:ascii="Times New Roman;serif" w:hAnsi="Times New Roman;serif"/>
          <w:b w:val="false"/>
          <w:sz w:val="20"/>
        </w:rPr>
        <w:t>Class A Units and 27,100,937</w:t>
      </w:r>
      <w:r>
        <w:rPr>
          <w:rFonts w:ascii="Times New Roman" w:hAnsi="Times New Roman"/>
          <w:sz w:val="20"/>
        </w:rPr>
        <w:t xml:space="preserve"> </w:t>
      </w:r>
      <w:r>
        <w:rPr>
          <w:rFonts w:ascii="Times New Roman;serif" w:hAnsi="Times New Roman;serif"/>
          <w:b w:val="false"/>
          <w:sz w:val="20"/>
        </w:rPr>
        <w:t>Class B and B-1 Units of PKLP were converted into an aggregate of 170,723,961</w:t>
      </w:r>
      <w:r>
        <w:rPr>
          <w:rFonts w:ascii="Times New Roman" w:hAnsi="Times New Roman"/>
          <w:sz w:val="20"/>
        </w:rPr>
        <w:t xml:space="preserve"> </w:t>
      </w:r>
      <w:r>
        <w:rPr>
          <w:rFonts w:ascii="Times New Roman;serif" w:hAnsi="Times New Roman;serif"/>
          <w:b w:val="false"/>
          <w:sz w:val="20"/>
        </w:rPr>
        <w:t>Class B ordinary shares of the Company and 9,276,039</w:t>
      </w:r>
      <w:r>
        <w:rPr>
          <w:rFonts w:ascii="Times New Roman" w:hAnsi="Times New Roman"/>
          <w:sz w:val="20"/>
        </w:rPr>
        <w:t xml:space="preserve"> </w:t>
      </w:r>
      <w:r>
        <w:rPr>
          <w:rFonts w:ascii="Times New Roman;serif" w:hAnsi="Times New Roman;serif"/>
          <w:b w:val="false"/>
          <w:sz w:val="20"/>
        </w:rPr>
        <w:t>Restricted Stock Rights in the Company (the “Restricted Stock Rights”).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Subsequent to the Business Combination, the Company’s authorized share capital consists of 1,005,000,000</w:t>
      </w:r>
      <w:r>
        <w:rPr>
          <w:rFonts w:ascii="Times New Roman" w:hAnsi="Times New Roman"/>
          <w:sz w:val="20"/>
        </w:rPr>
        <w:t xml:space="preserve"> </w:t>
      </w:r>
      <w:r>
        <w:rPr>
          <w:rFonts w:ascii="Times New Roman;serif" w:hAnsi="Times New Roman;serif"/>
          <w:b w:val="false"/>
          <w:sz w:val="20"/>
        </w:rPr>
        <w:t>shares including (i) 500,000,000</w:t>
      </w:r>
      <w:r>
        <w:rPr>
          <w:rFonts w:ascii="Times New Roman" w:hAnsi="Times New Roman"/>
          <w:sz w:val="20"/>
        </w:rPr>
        <w:t xml:space="preserve"> </w:t>
      </w:r>
      <w:r>
        <w:rPr>
          <w:rFonts w:ascii="Times New Roman;serif" w:hAnsi="Times New Roman;serif"/>
          <w:b w:val="false"/>
          <w:sz w:val="20"/>
        </w:rPr>
        <w:t>Class A ordinary shares, par value $0.0001</w:t>
      </w:r>
      <w:r>
        <w:rPr>
          <w:rFonts w:ascii="Times New Roman" w:hAnsi="Times New Roman"/>
          <w:sz w:val="20"/>
        </w:rPr>
        <w:t xml:space="preserve"> </w:t>
      </w:r>
      <w:r>
        <w:rPr>
          <w:rFonts w:ascii="Times New Roman;serif" w:hAnsi="Times New Roman;serif"/>
          <w:b w:val="false"/>
          <w:sz w:val="20"/>
        </w:rPr>
        <w:t>per share, (ii) 500,000,000</w:t>
      </w:r>
      <w:r>
        <w:rPr>
          <w:rFonts w:ascii="Times New Roman" w:hAnsi="Times New Roman"/>
          <w:sz w:val="20"/>
        </w:rPr>
        <w:t xml:space="preserve"> </w:t>
      </w:r>
      <w:r>
        <w:rPr>
          <w:rFonts w:ascii="Times New Roman;serif" w:hAnsi="Times New Roman;serif"/>
          <w:b w:val="false"/>
          <w:sz w:val="20"/>
        </w:rPr>
        <w:t>Class B ordinary shares, par value $0.0001</w:t>
      </w:r>
      <w:r>
        <w:rPr>
          <w:rFonts w:ascii="Times New Roman" w:hAnsi="Times New Roman"/>
          <w:sz w:val="20"/>
        </w:rPr>
        <w:t xml:space="preserve"> </w:t>
      </w:r>
      <w:r>
        <w:rPr>
          <w:rFonts w:ascii="Times New Roman;serif" w:hAnsi="Times New Roman;serif"/>
          <w:b w:val="false"/>
          <w:sz w:val="20"/>
        </w:rPr>
        <w:t>per share and (iii) 5,000,000</w:t>
      </w:r>
      <w:r>
        <w:rPr>
          <w:rFonts w:ascii="Times New Roman" w:hAnsi="Times New Roman"/>
          <w:sz w:val="20"/>
        </w:rPr>
        <w:t xml:space="preserve"> </w:t>
      </w:r>
      <w:r>
        <w:rPr>
          <w:rFonts w:ascii="Times New Roman;serif" w:hAnsi="Times New Roman;serif"/>
          <w:b w:val="false"/>
          <w:sz w:val="20"/>
        </w:rPr>
        <w:t>preference shares, par value $0.0001</w:t>
      </w:r>
      <w:r>
        <w:rPr>
          <w:rFonts w:ascii="Times New Roman" w:hAnsi="Times New Roman"/>
          <w:sz w:val="20"/>
        </w:rPr>
        <w:t xml:space="preserve"> </w:t>
      </w:r>
      <w:r>
        <w:rPr>
          <w:rFonts w:ascii="Times New Roman;serif" w:hAnsi="Times New Roman;serif"/>
          <w:b w:val="false"/>
          <w:sz w:val="20"/>
        </w:rPr>
        <w:t>per share.</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Rights of Class A Ordinary Shares</w:t>
      </w:r>
    </w:p>
    <w:p>
      <w:pPr>
        <w:pStyle w:val="TextBody"/>
        <w:spacing w:before="120" w:after="0"/>
        <w:jc w:val="left"/>
        <w:rPr>
          <w:rFonts w:ascii="Times New Roman" w:hAnsi="Times New Roman"/>
          <w:sz w:val="20"/>
        </w:rPr>
      </w:pPr>
      <w:r>
        <w:rPr>
          <w:rFonts w:ascii="Times New Roman;serif" w:hAnsi="Times New Roman;serif"/>
          <w:b w:val="false"/>
          <w:sz w:val="20"/>
        </w:rPr>
        <w:t>Each holder of Class A ordinary shares is entitled to one vote</w:t>
      </w:r>
      <w:r>
        <w:rPr>
          <w:rFonts w:ascii="Times New Roman" w:hAnsi="Times New Roman"/>
          <w:sz w:val="20"/>
        </w:rPr>
        <w:t xml:space="preserve"> </w:t>
      </w:r>
      <w:r>
        <w:rPr>
          <w:rFonts w:ascii="Times New Roman;serif" w:hAnsi="Times New Roman;serif"/>
          <w:b w:val="false"/>
          <w:sz w:val="20"/>
        </w:rPr>
        <w:t>for each Class A ordinary share held of record by such holder on all matters on which shareholders generally are entitled to vote.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Subject to preferences that may be applicable to any outstanding preference shares, the holders of Class A ordinary shares are entitled to receive ratably such dividends, if any, as may be declared from time to time by the Board out of funds legally available therefor. All dividends are subject to certain restrictions under Cayman Islands law, namely that we may only pay dividends out of profits or share premium account, and provided always that, in no circumstances may a dividend be paid if this would result in us being unable to pay our debts as they fall due in the ordinary course of business.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event of any voluntary or involuntary liquidation, dissolution or winding up of our affairs, the holders of the Company’s Class A ordinary shares are entitled to share ratably in all assets remaining after payment of our debts and other liabilities, subject to prior distribution rights of preference shares or any class or series of shares having a preference over the Company’s Class A ordinary shares, then outstanding, if any.</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Rights of Class B Ordinary Shares</w:t>
      </w:r>
    </w:p>
    <w:p>
      <w:pPr>
        <w:pStyle w:val="TextBody"/>
        <w:spacing w:before="120" w:after="0"/>
        <w:jc w:val="left"/>
        <w:rPr>
          <w:rFonts w:ascii="Times New Roman" w:hAnsi="Times New Roman"/>
          <w:sz w:val="20"/>
        </w:rPr>
      </w:pPr>
      <w:r>
        <w:rPr>
          <w:rFonts w:ascii="Times New Roman;serif" w:hAnsi="Times New Roman;serif"/>
          <w:b w:val="false"/>
          <w:sz w:val="20"/>
        </w:rPr>
        <w:t>Each holder of the Company’s Class B ordinary shares is entitled to one vote</w:t>
      </w:r>
      <w:r>
        <w:rPr>
          <w:rFonts w:ascii="Times New Roman" w:hAnsi="Times New Roman"/>
          <w:sz w:val="20"/>
        </w:rPr>
        <w:t xml:space="preserve"> </w:t>
      </w:r>
      <w:r>
        <w:rPr>
          <w:rFonts w:ascii="Times New Roman;serif" w:hAnsi="Times New Roman;serif"/>
          <w:b w:val="false"/>
          <w:sz w:val="20"/>
        </w:rPr>
        <w:t>for each Class B ordinary share held of record by such holder on all matters on which shareholders generally are entitled to vote. The holders of the Company’s Class B ordinary shares will not participate in any dividends declared by our board of directors.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event of any voluntary or involuntary liquidation, dissolution or winding up of our affairs, the holders of our Class B ordinary shares are entitled to a ratable amount equal to the capital paid up on such Class B ordinary shares of all assets remaining after payment of our debts and other liabilities, subject to prior distribution rights of preference shares or any class or series of shares having a preference over the Company’s Class B ordinary shares, then outstanding, if any. The Company’s Class B ordinary shares shall not carry any other right to participate in our profits or assets.</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Earnout Rights</w:t>
      </w:r>
    </w:p>
    <w:p>
      <w:pPr>
        <w:pStyle w:val="TextBody"/>
        <w:spacing w:before="120" w:after="0"/>
        <w:jc w:val="left"/>
        <w:rPr>
          <w:rFonts w:ascii="Times New Roman" w:hAnsi="Times New Roman"/>
          <w:sz w:val="20"/>
        </w:rPr>
      </w:pPr>
      <w:r>
        <w:rPr>
          <w:rFonts w:ascii="Times New Roman;serif" w:hAnsi="Times New Roman;serif"/>
          <w:b w:val="false"/>
          <w:sz w:val="20"/>
        </w:rPr>
        <w:t>At the closing of the Business Combination, certain shareholders were issued an aggregate of 17,500,000</w:t>
      </w:r>
      <w:r>
        <w:rPr>
          <w:rFonts w:ascii="Times New Roman" w:hAnsi="Times New Roman"/>
          <w:sz w:val="20"/>
        </w:rPr>
        <w:t xml:space="preserve"> </w:t>
      </w:r>
      <w:r>
        <w:rPr>
          <w:rFonts w:ascii="Times New Roman;serif" w:hAnsi="Times New Roman;serif"/>
          <w:b w:val="false"/>
          <w:sz w:val="20"/>
        </w:rPr>
        <w:t>Earnout Rights. The Earnout Rights vest in three equal tranches if, during the five-year</w:t>
      </w:r>
      <w:r>
        <w:rPr>
          <w:rFonts w:ascii="Times New Roman;serif" w:hAnsi="Times New Roman;serif"/>
          <w:sz w:val="20"/>
        </w:rPr>
        <w:t xml:space="preserve"> </w:t>
      </w:r>
      <w:r>
        <w:rPr>
          <w:rFonts w:ascii="Times New Roman;serif" w:hAnsi="Times New Roman;serif"/>
          <w:b w:val="false"/>
          <w:sz w:val="20"/>
        </w:rPr>
        <w:t>period after Closing, the VWAP of a Class A ordinary share reaches $15.00</w:t>
      </w:r>
      <w:r>
        <w:rPr>
          <w:rFonts w:ascii="Times New Roman;serif" w:hAnsi="Times New Roman;serif"/>
          <w:sz w:val="20"/>
        </w:rPr>
        <w:t xml:space="preserve"> </w:t>
      </w:r>
      <w:r>
        <w:rPr>
          <w:rFonts w:ascii="Times New Roman;serif" w:hAnsi="Times New Roman;serif"/>
          <w:b w:val="false"/>
          <w:sz w:val="20"/>
        </w:rPr>
        <w:t>per share, $20.00</w:t>
      </w:r>
      <w:r>
        <w:rPr>
          <w:rFonts w:ascii="Times New Roman;serif" w:hAnsi="Times New Roman;serif"/>
          <w:sz w:val="20"/>
        </w:rPr>
        <w:t xml:space="preserve"> </w:t>
      </w:r>
      <w:r>
        <w:rPr>
          <w:rFonts w:ascii="Times New Roman;serif" w:hAnsi="Times New Roman;serif"/>
          <w:b w:val="false"/>
          <w:sz w:val="20"/>
        </w:rPr>
        <w:t>per share and $25.00</w:t>
      </w:r>
      <w:r>
        <w:rPr>
          <w:rFonts w:ascii="Times New Roman;serif" w:hAnsi="Times New Roman;serif"/>
          <w:sz w:val="20"/>
        </w:rPr>
        <w:t xml:space="preserve"> </w:t>
      </w:r>
      <w:r>
        <w:rPr>
          <w:rFonts w:ascii="Times New Roman;serif" w:hAnsi="Times New Roman;serif"/>
          <w:b w:val="false"/>
          <w:sz w:val="20"/>
        </w:rPr>
        <w:t>per share. Likewise, the Earnout Rights will vest upon a change of control with a per share price exceeding those same VWAP thresholds within a five-year period immediately following the Closing. Upon vesting, the Earnout Rights will automatically convert into Post-Combination ProKidney Common Units and Class B ordinary shares.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F-17</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issuance of the Earnout Rights was accounted for as an equity transaction. Since the Earnout Rights were issued to Closing ProKidney Unitholders (i.e., the accounting acquirer in the business combination), the accounting for the Earnout Rights arrangement does not fall under Accounting Standards Codification (“ASC”) Topic 805, Business Combinations nor Topic 718, Stock Compensation.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accounting for the Earnout Rights was also evaluated under ASC Topic 480, Distinguishing Liabilities from Equity, to determine if the arrangement should be classified as a liability. Based on that analysis, it was determined that the Earnout Rights did not meet the criteria to be accounted for as a liability. Additionally, the Earnout Rights were evaluated under ASC Topic 815, Derivatives. As part of that analysis, it was determined that the Earnout Rights met the definition of a derivative; however, they meet the scope exception criteria as they were clearly and closely related to the entity’s own stock, and met the criteria for equity treatment.</w:t>
      </w:r>
    </w:p>
    <w:p>
      <w:pPr>
        <w:pStyle w:val="TextBody"/>
        <w:spacing w:before="360" w:after="0"/>
        <w:jc w:val="left"/>
        <w:rPr>
          <w:rFonts w:ascii="Times New Roman;serif" w:hAnsi="Times New Roman;serif"/>
          <w:b/>
          <w:sz w:val="20"/>
        </w:rPr>
      </w:pPr>
      <w:r>
        <w:rPr>
          <w:rFonts w:ascii="Times New Roman;serif" w:hAnsi="Times New Roman;serif"/>
          <w:b/>
          <w:sz w:val="20"/>
        </w:rPr>
        <w:t>Note 8: Net Loss per Share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Basic net loss per share is calculated by dividing net loss attributable to Class A ordinary shareholders by the weighted-average shares of Class A ordinary shares outstanding without the consideration for potential dilutive securities. Diluted net loss per share represents basic net loss per share adjusted to include the effects of all potentially dilutive shares. Diluted net loss per share is the same as basic loss per share for all periods as the inclusion of potentially issuable shares would be antidilutive.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analyzed the calculation of net loss per share for periods prior to the Business Combination on July 11, 2022 and determined that it resulted in values that would not be meaningful to the users of the consolidated financial statements, as the capital structure completely changed as a result of the Business Combination. Therefore, net loss per share information has not been presented for periods prior to the Business Combination. The basic and diluted net loss per share attributable to Class A ordinary shareholders for the year ended December 31, 2022, as presented on the consolidated statements of operations, represents only the period after the Business Combination to December 31, 2022.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sets forth the computation of basic and diluted net loss per share for the period from July 11, 2022 through December 31, 2022 (in thousands, except share and per share amounts):</w:t>
      </w:r>
    </w:p>
    <w:p>
      <w:pPr>
        <w:pStyle w:val="TextBody"/>
        <w:spacing w:before="0" w:after="0"/>
        <w:jc w:val="both"/>
        <w:rPr/>
      </w:pPr>
      <w:r>
        <w:rPr/>
        <w:t> </w:t>
      </w:r>
    </w:p>
    <w:tbl>
      <w:tblPr>
        <w:tblW w:w="8029" w:type="dxa"/>
        <w:jc w:val="left"/>
        <w:tblInd w:w="0" w:type="dxa"/>
        <w:tblCellMar>
          <w:top w:w="28" w:type="dxa"/>
          <w:left w:w="28" w:type="dxa"/>
          <w:bottom w:w="28" w:type="dxa"/>
          <w:right w:w="28" w:type="dxa"/>
        </w:tblCellMar>
      </w:tblPr>
      <w:tblGrid>
        <w:gridCol w:w="6466"/>
        <w:gridCol w:w="211"/>
        <w:gridCol w:w="1141"/>
        <w:gridCol w:w="211"/>
      </w:tblGrid>
      <w:tr>
        <w:trPr/>
        <w:tc>
          <w:tcPr>
            <w:tcW w:w="64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64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Numerator</w:t>
            </w:r>
          </w:p>
        </w:tc>
        <w:tc>
          <w:tcPr>
            <w:tcW w:w="135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6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for the period from July 11, 2022 through December 31, 2022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(54,503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Less: Net loss attributable to noncontrolling interests for the period from </w:t>
              <w:br/>
              <w:t>   July 11, 2022 through December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(40,103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Net loss available to Class A ordinary shareholders of ProKidney Corp. for the </w:t>
              <w:br/>
              <w:t>   period from July 11, 2022 through December 31, 2022, basic and diluted</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(14,400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6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64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Denominator</w:t>
            </w:r>
          </w:p>
        </w:tc>
        <w:tc>
          <w:tcPr>
            <w:tcW w:w="135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6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Weighted average Class A ordinary shares or ProKidney Corp. outstanding, </w:t>
              <w:br/>
              <w:t>   basic and diluted</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61,540,231</w:t>
            </w:r>
          </w:p>
        </w:tc>
        <w:tc>
          <w:tcPr>
            <w:tcW w:w="211" w:type="dxa"/>
            <w:tcBorders/>
            <w:shd w:fill="auto" w:val="clear"/>
            <w:vAlign w:val="center"/>
          </w:tcPr>
          <w:p>
            <w:pPr>
              <w:pStyle w:val="TableContents"/>
              <w:spacing w:before="0" w:after="0"/>
              <w:ind w:left="0" w:right="0" w:hanging="0"/>
              <w:jc w:val="left"/>
              <w:rPr/>
            </w:pPr>
            <w:r>
              <w:rPr/>
              <w:t> </w:t>
            </w:r>
          </w:p>
        </w:tc>
      </w:tr>
      <w:tr>
        <w:trPr/>
        <w:tc>
          <w:tcPr>
            <w:tcW w:w="646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64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loss per Class A Unit</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Class A ordinary share of ProKidney Corp., basic and diluted</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6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64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Antidilutive securities</w:t>
            </w:r>
          </w:p>
        </w:tc>
        <w:tc>
          <w:tcPr>
            <w:tcW w:w="135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6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ProKidney Corp. Class B ordinary shares</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171,578,320</w:t>
            </w:r>
          </w:p>
        </w:tc>
        <w:tc>
          <w:tcPr>
            <w:tcW w:w="211" w:type="dxa"/>
            <w:tcBorders/>
            <w:shd w:fill="auto" w:val="clear"/>
            <w:vAlign w:val="center"/>
          </w:tcPr>
          <w:p>
            <w:pPr>
              <w:pStyle w:val="TableContents"/>
              <w:spacing w:before="0" w:after="0"/>
              <w:ind w:left="0" w:right="0" w:hanging="0"/>
              <w:jc w:val="left"/>
              <w:rPr/>
            </w:pPr>
            <w:r>
              <w:rPr/>
              <w:t> </w:t>
            </w:r>
          </w:p>
        </w:tc>
      </w:tr>
      <w:tr>
        <w:trPr/>
        <w:tc>
          <w:tcPr>
            <w:tcW w:w="6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Restricted Stock Rights</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8,369,796</w:t>
            </w:r>
          </w:p>
        </w:tc>
        <w:tc>
          <w:tcPr>
            <w:tcW w:w="211" w:type="dxa"/>
            <w:tcBorders/>
            <w:shd w:fill="auto" w:val="clear"/>
            <w:vAlign w:val="center"/>
          </w:tcPr>
          <w:p>
            <w:pPr>
              <w:pStyle w:val="TableContents"/>
              <w:spacing w:before="0" w:after="0"/>
              <w:ind w:left="0" w:right="0" w:hanging="0"/>
              <w:jc w:val="left"/>
              <w:rPr/>
            </w:pPr>
            <w:r>
              <w:rPr/>
              <w:t> </w:t>
            </w:r>
          </w:p>
        </w:tc>
      </w:tr>
      <w:tr>
        <w:trPr/>
        <w:tc>
          <w:tcPr>
            <w:tcW w:w="6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Earnout Rights</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17,500,000</w:t>
            </w:r>
          </w:p>
        </w:tc>
        <w:tc>
          <w:tcPr>
            <w:tcW w:w="211" w:type="dxa"/>
            <w:tcBorders/>
            <w:shd w:fill="auto" w:val="clear"/>
            <w:vAlign w:val="center"/>
          </w:tcPr>
          <w:p>
            <w:pPr>
              <w:pStyle w:val="TableContents"/>
              <w:spacing w:before="0" w:after="0"/>
              <w:ind w:left="0" w:right="0" w:hanging="0"/>
              <w:jc w:val="left"/>
              <w:rPr/>
            </w:pPr>
            <w:r>
              <w:rPr/>
              <w:t> </w:t>
            </w:r>
          </w:p>
        </w:tc>
      </w:tr>
      <w:tr>
        <w:trPr/>
        <w:tc>
          <w:tcPr>
            <w:tcW w:w="6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Legacy SCS Restricted Share Units</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50,000</w:t>
            </w:r>
          </w:p>
        </w:tc>
        <w:tc>
          <w:tcPr>
            <w:tcW w:w="211" w:type="dxa"/>
            <w:tcBorders/>
            <w:shd w:fill="auto" w:val="clear"/>
            <w:vAlign w:val="center"/>
          </w:tcPr>
          <w:p>
            <w:pPr>
              <w:pStyle w:val="TableContents"/>
              <w:spacing w:before="0" w:after="0"/>
              <w:ind w:left="0" w:right="0" w:hanging="0"/>
              <w:jc w:val="left"/>
              <w:rPr/>
            </w:pPr>
            <w:r>
              <w:rPr/>
              <w:t> </w:t>
            </w:r>
          </w:p>
        </w:tc>
      </w:tr>
      <w:tr>
        <w:trPr/>
        <w:tc>
          <w:tcPr>
            <w:tcW w:w="6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granted under the 2022 Equity Incentive Plan</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9,504,715</w:t>
            </w:r>
          </w:p>
        </w:tc>
        <w:tc>
          <w:tcPr>
            <w:tcW w:w="2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Note 9: Equity Based Compensation</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2022 Incentive Equity Plan</w:t>
      </w:r>
    </w:p>
    <w:p>
      <w:pPr>
        <w:pStyle w:val="TextBody"/>
        <w:spacing w:before="120" w:after="0"/>
        <w:jc w:val="left"/>
        <w:rPr>
          <w:rFonts w:ascii="Times New Roman" w:hAnsi="Times New Roman"/>
          <w:sz w:val="20"/>
        </w:rPr>
      </w:pPr>
      <w:r>
        <w:rPr>
          <w:rFonts w:ascii="Times New Roman;serif" w:hAnsi="Times New Roman;serif"/>
          <w:b w:val="false"/>
          <w:sz w:val="20"/>
        </w:rPr>
        <w:t>On July 11, 2022, the shareholders of the Company approved the ProKidney Corp. 2022 Incentive Equity Plan (the “2022 Plan”) which provides for the issuance of equity based awards to the Company’s employees, non-employee directors, individual consultants, advisors and other service providers. Upon adoption of the plan, there were 24,154,023</w:t>
      </w:r>
      <w:r>
        <w:rPr>
          <w:rFonts w:ascii="Times New Roman" w:hAnsi="Times New Roman"/>
          <w:sz w:val="20"/>
        </w:rPr>
        <w:t xml:space="preserve"> </w:t>
      </w:r>
      <w:r>
        <w:rPr>
          <w:rFonts w:ascii="Times New Roman;serif" w:hAnsi="Times New Roman;serif"/>
          <w:b w:val="false"/>
          <w:sz w:val="20"/>
        </w:rPr>
        <w:t>Class A Ordinary Shares reserved for issuance. The 2022 Plan provides for the issuance of equity awards in the form of incentive stock options, which are intended to satisfy the requirements of Section 422 of the Internal Revenue Code of 1986, as amended, or nonqualified stock options, which are not intended to meet those requirements, stock appreciation rights, restricted stock, restricted stock units, performance awards or other</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F-18</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cash or stock-based awards as determined appropriate by the plan administrator. In settlement of its obligations under this plan, the Company will issue new Class A ordinary shares.</w:t>
      </w:r>
    </w:p>
    <w:p>
      <w:pPr>
        <w:pStyle w:val="TextBody"/>
        <w:spacing w:before="120" w:after="0"/>
        <w:jc w:val="left"/>
        <w:rPr>
          <w:rFonts w:ascii="Times New Roman" w:hAnsi="Times New Roman"/>
          <w:sz w:val="20"/>
        </w:rPr>
      </w:pPr>
      <w:r>
        <w:rPr>
          <w:rFonts w:ascii="Times New Roman;serif" w:hAnsi="Times New Roman;serif"/>
          <w:b w:val="false"/>
          <w:sz w:val="20"/>
        </w:rPr>
        <w:t>The Company has issued incentive and non-qualified stock option awards under the 2022 Plan to certain employees and non-employee directors of the Company. Given that the Company has established a full valuation allowance against its deferred tax assets, the Company has recognized no tax benefit related to these awards.</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Time-Vested Awards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uses the Black-Scholes option pricing model to calculate the fair value of time-vested stock options granted. These awards generally vest ratably over a three or four-year period and the option awards expire after a term of ten years from the date of grant. The fair value of stock options granted was estimated using the following assumptions during the year ended December 31, 2022:</w:t>
      </w:r>
    </w:p>
    <w:p>
      <w:pPr>
        <w:pStyle w:val="TextBody"/>
        <w:spacing w:before="0" w:after="0"/>
        <w:jc w:val="left"/>
        <w:rPr>
          <w:rFonts w:ascii="Times New Roman" w:hAnsi="Times New Roman"/>
          <w:sz w:val="20"/>
        </w:rPr>
      </w:pPr>
      <w:r>
        <w:rPr>
          <w:rFonts w:ascii="Times New Roman;serif" w:hAnsi="Times New Roman;serif"/>
          <w:b w:val="false"/>
          <w:sz w:val="20"/>
        </w:rPr>
        <w:br/>
        <w:br/>
        <w:br/>
      </w:r>
      <w:r>
        <w:rPr>
          <w:rFonts w:ascii="Times New Roman" w:hAnsi="Times New Roman"/>
          <w:sz w:val="20"/>
        </w:rPr>
        <w:t> </w:t>
      </w:r>
    </w:p>
    <w:tbl>
      <w:tblPr>
        <w:tblW w:w="4288" w:type="dxa"/>
        <w:jc w:val="left"/>
        <w:tblInd w:w="0" w:type="dxa"/>
        <w:tblCellMar>
          <w:top w:w="28" w:type="dxa"/>
          <w:left w:w="28" w:type="dxa"/>
          <w:bottom w:w="28" w:type="dxa"/>
          <w:right w:w="28" w:type="dxa"/>
        </w:tblCellMar>
      </w:tblPr>
      <w:tblGrid>
        <w:gridCol w:w="2791"/>
        <w:gridCol w:w="146"/>
        <w:gridCol w:w="1351"/>
      </w:tblGrid>
      <w:tr>
        <w:trPr/>
        <w:tc>
          <w:tcPr>
            <w:tcW w:w="27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r>
      <w:tr>
        <w:trPr/>
        <w:tc>
          <w:tcPr>
            <w:tcW w:w="27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r>
      <w:tr>
        <w:trPr/>
        <w:tc>
          <w:tcPr>
            <w:tcW w:w="2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shd w:fill="auto" w:val="clear"/>
            <w:vAlign w:val="center"/>
          </w:tcPr>
          <w:p>
            <w:pPr>
              <w:pStyle w:val="TableContents"/>
              <w:spacing w:before="0" w:after="0"/>
              <w:ind w:left="0" w:right="0" w:hanging="0"/>
              <w:jc w:val="left"/>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82.0% - 85.0%</w:t>
            </w:r>
          </w:p>
        </w:tc>
      </w:tr>
      <w:tr>
        <w:trPr/>
        <w:tc>
          <w:tcPr>
            <w:tcW w:w="2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life of options, in years</w:t>
            </w:r>
          </w:p>
        </w:tc>
        <w:tc>
          <w:tcPr>
            <w:tcW w:w="146" w:type="dxa"/>
            <w:tcBorders/>
            <w:shd w:fill="auto" w:val="clear"/>
            <w:vAlign w:val="center"/>
          </w:tcPr>
          <w:p>
            <w:pPr>
              <w:pStyle w:val="TableContents"/>
              <w:spacing w:before="0" w:after="0"/>
              <w:ind w:left="0" w:right="0" w:hanging="0"/>
              <w:jc w:val="left"/>
              <w:rPr/>
            </w:pPr>
            <w:r>
              <w:rPr/>
              <w:t> </w:t>
            </w:r>
          </w:p>
        </w:tc>
        <w:tc>
          <w:tcPr>
            <w:tcW w:w="135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5.9</w:t>
            </w:r>
            <w:r>
              <w:rPr>
                <w:rFonts w:ascii="Times New Roman" w:hAnsi="Times New Roman"/>
                <w:sz w:val="20"/>
              </w:rPr>
              <w:t> </w:t>
            </w:r>
            <w:r>
              <w:rPr>
                <w:rFonts w:ascii="Times New Roman;serif" w:hAnsi="Times New Roman;serif"/>
                <w:b w:val="false"/>
                <w:sz w:val="20"/>
              </w:rPr>
              <w:t>- 6.1</w:t>
            </w:r>
          </w:p>
        </w:tc>
      </w:tr>
      <w:tr>
        <w:trPr/>
        <w:tc>
          <w:tcPr>
            <w:tcW w:w="2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shd w:fill="auto" w:val="clear"/>
            <w:vAlign w:val="center"/>
          </w:tcPr>
          <w:p>
            <w:pPr>
              <w:pStyle w:val="TableContents"/>
              <w:spacing w:before="0" w:after="0"/>
              <w:ind w:left="0" w:right="0" w:hanging="0"/>
              <w:jc w:val="left"/>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3.7% - 4.4%</w:t>
            </w:r>
          </w:p>
        </w:tc>
      </w:tr>
      <w:tr>
        <w:trPr/>
        <w:tc>
          <w:tcPr>
            <w:tcW w:w="2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shd w:fill="auto" w:val="clear"/>
            <w:vAlign w:val="center"/>
          </w:tcPr>
          <w:p>
            <w:pPr>
              <w:pStyle w:val="TableContents"/>
              <w:spacing w:before="0" w:after="0"/>
              <w:ind w:left="0" w:right="0" w:hanging="0"/>
              <w:jc w:val="left"/>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following table summarizes the activity related to the Company’s time-vested stock option awards granted under the 2022 Plan for the year ended December 31, 2022:</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5168"/>
        <w:gridCol w:w="146"/>
        <w:gridCol w:w="208"/>
        <w:gridCol w:w="1330"/>
        <w:gridCol w:w="166"/>
        <w:gridCol w:w="146"/>
        <w:gridCol w:w="714"/>
        <w:gridCol w:w="1934"/>
        <w:gridCol w:w="393"/>
      </w:tblGrid>
      <w:tr>
        <w:trPr/>
        <w:tc>
          <w:tcPr>
            <w:tcW w:w="51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934"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r>
      <w:tr>
        <w:trPr/>
        <w:tc>
          <w:tcPr>
            <w:tcW w:w="516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3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 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4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Weighted Average Exercise Price</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Time-vested options outstanding at January 1, 2022</w:t>
            </w:r>
          </w:p>
        </w:tc>
        <w:tc>
          <w:tcPr>
            <w:tcW w:w="146"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133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34" w:type="dxa"/>
            <w:tcBorders/>
            <w:shd w:fill="auto" w:val="clear"/>
            <w:vAlign w:val="center"/>
          </w:tcPr>
          <w:p>
            <w:pPr>
              <w:pStyle w:val="TableContents"/>
              <w:spacing w:before="0" w:after="0"/>
              <w:ind w:left="0" w:right="0" w:hanging="0"/>
              <w:jc w:val="right"/>
              <w:rPr/>
            </w:pPr>
            <w:r>
              <w:rPr/>
              <w:t>—</w:t>
            </w:r>
          </w:p>
        </w:tc>
        <w:tc>
          <w:tcPr>
            <w:tcW w:w="393" w:type="dxa"/>
            <w:tcBorders/>
            <w:shd w:fill="auto" w:val="clear"/>
            <w:vAlign w:val="center"/>
          </w:tcPr>
          <w:p>
            <w:pPr>
              <w:pStyle w:val="TableContents"/>
              <w:spacing w:before="0" w:after="0"/>
              <w:ind w:left="0" w:right="0" w:firstLine="200"/>
              <w:jc w:val="left"/>
              <w:rPr/>
            </w:pPr>
            <w:r>
              <w:rPr/>
              <w:t> </w:t>
            </w:r>
          </w:p>
        </w:tc>
      </w:tr>
      <w:tr>
        <w:trPr/>
        <w:tc>
          <w:tcPr>
            <w:tcW w:w="516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13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5,876,908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4" w:type="dxa"/>
            <w:tcBorders/>
            <w:shd w:fill="auto" w:val="clear"/>
            <w:vAlign w:val="center"/>
          </w:tcPr>
          <w:p>
            <w:pPr>
              <w:pStyle w:val="TableContents"/>
              <w:spacing w:before="0" w:after="0"/>
              <w:ind w:left="0" w:right="0" w:hanging="0"/>
              <w:jc w:val="left"/>
              <w:rPr/>
            </w:pPr>
            <w:r>
              <w:rPr/>
              <w:t> </w:t>
            </w:r>
          </w:p>
        </w:tc>
        <w:tc>
          <w:tcPr>
            <w:tcW w:w="19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10.30</w:t>
            </w:r>
          </w:p>
        </w:tc>
        <w:tc>
          <w:tcPr>
            <w:tcW w:w="393" w:type="dxa"/>
            <w:tcBorders/>
            <w:shd w:fill="auto" w:val="clear"/>
            <w:vAlign w:val="center"/>
          </w:tcPr>
          <w:p>
            <w:pPr>
              <w:pStyle w:val="TableContents"/>
              <w:spacing w:before="0" w:after="0"/>
              <w:ind w:left="0" w:right="0" w:firstLine="200"/>
              <w:jc w:val="left"/>
              <w:rPr/>
            </w:pPr>
            <w:r>
              <w:rPr/>
              <w:t> </w:t>
            </w:r>
          </w:p>
        </w:tc>
      </w:tr>
      <w:tr>
        <w:trPr/>
        <w:tc>
          <w:tcPr>
            <w:tcW w:w="5168"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left"/>
              <w:rPr/>
            </w:pPr>
            <w:r>
              <w:rPr/>
              <w:t> </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10.33</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Time-vested options outstanding at December 31, 2022</w:t>
            </w:r>
          </w:p>
        </w:tc>
        <w:tc>
          <w:tcPr>
            <w:tcW w:w="146" w:type="dxa"/>
            <w:tcBorders/>
            <w:shd w:fill="auto" w:val="clear"/>
            <w:vAlign w:val="center"/>
          </w:tcPr>
          <w:p>
            <w:pPr>
              <w:pStyle w:val="TableContents"/>
              <w:spacing w:before="0" w:after="0"/>
              <w:ind w:left="0" w:right="0" w:hanging="0"/>
              <w:jc w:val="left"/>
              <w:rPr/>
            </w:pPr>
            <w:r>
              <w:rPr/>
              <w:t> </w:t>
            </w:r>
          </w:p>
        </w:tc>
        <w:tc>
          <w:tcPr>
            <w:tcW w:w="2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5,865,108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10.30</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Time-vested options exercisable at December 31, 2022</w:t>
            </w:r>
          </w:p>
        </w:tc>
        <w:tc>
          <w:tcPr>
            <w:tcW w:w="146"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13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190,666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10.33</w:t>
            </w:r>
          </w:p>
        </w:tc>
        <w:tc>
          <w:tcPr>
            <w:tcW w:w="393" w:type="dxa"/>
            <w:tcBorders/>
            <w:shd w:fill="auto" w:val="clear"/>
            <w:vAlign w:val="center"/>
          </w:tcPr>
          <w:p>
            <w:pPr>
              <w:pStyle w:val="TableContents"/>
              <w:spacing w:before="0" w:after="0"/>
              <w:ind w:left="0" w:right="0" w:firstLine="100"/>
              <w:jc w:val="left"/>
              <w:rPr/>
            </w:pPr>
            <w:r>
              <w:rPr/>
              <w:t> </w:t>
            </w:r>
          </w:p>
        </w:tc>
      </w:tr>
      <w:tr>
        <w:trPr/>
        <w:tc>
          <w:tcPr>
            <w:tcW w:w="5168"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Weighted average remaining contractual life</w:t>
            </w:r>
          </w:p>
        </w:tc>
        <w:tc>
          <w:tcPr>
            <w:tcW w:w="146" w:type="dxa"/>
            <w:tcBorders/>
            <w:shd w:fill="auto" w:val="clear"/>
            <w:vAlign w:val="center"/>
          </w:tcPr>
          <w:p>
            <w:pPr>
              <w:pStyle w:val="TableContents"/>
              <w:spacing w:before="0" w:after="0"/>
              <w:ind w:left="0" w:right="0" w:hanging="0"/>
              <w:jc w:val="left"/>
              <w:rPr/>
            </w:pPr>
            <w:r>
              <w:rPr/>
              <w:t> </w:t>
            </w:r>
          </w:p>
        </w:tc>
        <w:tc>
          <w:tcPr>
            <w:tcW w:w="1538" w:type="dxa"/>
            <w:gridSpan w:val="2"/>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9.8</w:t>
            </w:r>
            <w:r>
              <w:rPr>
                <w:rFonts w:ascii="Times New Roman" w:hAnsi="Times New Roman"/>
                <w:sz w:val="20"/>
              </w:rPr>
              <w:t> </w:t>
            </w:r>
            <w:r>
              <w:rPr>
                <w:rFonts w:ascii="Times New Roman;serif" w:hAnsi="Times New Roman;serif"/>
                <w:b w:val="false"/>
                <w:sz w:val="20"/>
              </w:rPr>
              <w:t>years</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8" w:type="dxa"/>
            <w:gridSpan w:val="2"/>
            <w:tcBorders/>
            <w:shd w:fill="auto" w:val="clear"/>
            <w:vAlign w:val="center"/>
          </w:tcPr>
          <w:p>
            <w:pPr>
              <w:pStyle w:val="TableContents"/>
              <w:spacing w:before="0" w:after="0"/>
              <w:ind w:left="0" w:right="0" w:hanging="0"/>
              <w:jc w:val="right"/>
              <w:rPr/>
            </w:pPr>
            <w:r>
              <w:rPr/>
              <w:t> </w:t>
            </w:r>
          </w:p>
        </w:tc>
        <w:tc>
          <w:tcPr>
            <w:tcW w:w="393" w:type="dxa"/>
            <w:tcBorders/>
            <w:shd w:fill="auto" w:val="clear"/>
            <w:vAlign w:val="center"/>
          </w:tcPr>
          <w:p>
            <w:pPr>
              <w:pStyle w:val="TableContents"/>
              <w:spacing w:before="0" w:after="0"/>
              <w:ind w:left="0" w:right="0" w:hanging="0"/>
              <w:jc w:val="right"/>
              <w:rPr/>
            </w:pPr>
            <w:r>
              <w:rPr/>
              <w:t> </w:t>
            </w:r>
          </w:p>
        </w:tc>
      </w:tr>
      <w:tr>
        <w:trPr/>
        <w:tc>
          <w:tcPr>
            <w:tcW w:w="51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Time-vested options vested and expected to vest at December 31, 2022</w:t>
            </w:r>
          </w:p>
        </w:tc>
        <w:tc>
          <w:tcPr>
            <w:tcW w:w="146"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13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5,865,108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8" w:type="dxa"/>
            <w:gridSpan w:val="2"/>
            <w:tcBorders/>
            <w:shd w:fill="auto" w:val="clear"/>
            <w:vAlign w:val="center"/>
          </w:tcPr>
          <w:p>
            <w:pPr>
              <w:pStyle w:val="TableContents"/>
              <w:spacing w:before="0" w:after="0"/>
              <w:ind w:left="0" w:right="0" w:hanging="0"/>
              <w:jc w:val="right"/>
              <w:rPr/>
            </w:pPr>
            <w:r>
              <w:rPr/>
              <w:t> </w:t>
            </w:r>
          </w:p>
        </w:tc>
        <w:tc>
          <w:tcPr>
            <w:tcW w:w="393" w:type="dxa"/>
            <w:tcBorders/>
            <w:shd w:fill="auto" w:val="clear"/>
            <w:vAlign w:val="center"/>
          </w:tcPr>
          <w:p>
            <w:pPr>
              <w:pStyle w:val="TableContents"/>
              <w:spacing w:before="0" w:after="0"/>
              <w:ind w:left="0" w:right="0" w:firstLine="100"/>
              <w:jc w:val="right"/>
              <w:rPr/>
            </w:pPr>
            <w:r>
              <w:rPr/>
              <w:t> </w:t>
            </w:r>
          </w:p>
        </w:tc>
      </w:tr>
      <w:tr>
        <w:trPr/>
        <w:tc>
          <w:tcPr>
            <w:tcW w:w="5168"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Weighted average remaining contractual life</w:t>
            </w:r>
          </w:p>
        </w:tc>
        <w:tc>
          <w:tcPr>
            <w:tcW w:w="146" w:type="dxa"/>
            <w:tcBorders/>
            <w:shd w:fill="auto" w:val="clear"/>
            <w:vAlign w:val="center"/>
          </w:tcPr>
          <w:p>
            <w:pPr>
              <w:pStyle w:val="TableContents"/>
              <w:spacing w:before="0" w:after="0"/>
              <w:ind w:left="0" w:right="0" w:hanging="0"/>
              <w:jc w:val="left"/>
              <w:rPr/>
            </w:pPr>
            <w:r>
              <w:rPr/>
              <w:t> </w:t>
            </w:r>
          </w:p>
        </w:tc>
        <w:tc>
          <w:tcPr>
            <w:tcW w:w="1538" w:type="dxa"/>
            <w:gridSpan w:val="2"/>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9.8</w:t>
            </w:r>
            <w:r>
              <w:rPr>
                <w:rFonts w:ascii="Times New Roman" w:hAnsi="Times New Roman"/>
                <w:sz w:val="20"/>
              </w:rPr>
              <w:t> </w:t>
            </w:r>
            <w:r>
              <w:rPr>
                <w:rFonts w:ascii="Times New Roman;serif" w:hAnsi="Times New Roman;serif"/>
                <w:b w:val="false"/>
                <w:sz w:val="20"/>
              </w:rPr>
              <w:t>years</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8" w:type="dxa"/>
            <w:gridSpan w:val="2"/>
            <w:tcBorders/>
            <w:shd w:fill="auto" w:val="clear"/>
            <w:vAlign w:val="center"/>
          </w:tcPr>
          <w:p>
            <w:pPr>
              <w:pStyle w:val="TableContents"/>
              <w:spacing w:before="0" w:after="0"/>
              <w:ind w:left="0" w:right="0" w:hanging="0"/>
              <w:jc w:val="right"/>
              <w:rPr/>
            </w:pPr>
            <w:r>
              <w:rPr/>
              <w:t> </w:t>
            </w:r>
          </w:p>
        </w:tc>
        <w:tc>
          <w:tcPr>
            <w:tcW w:w="393" w:type="dxa"/>
            <w:tcBorders/>
            <w:shd w:fill="auto" w:val="clear"/>
            <w:vAlign w:val="center"/>
          </w:tcPr>
          <w:p>
            <w:pPr>
              <w:pStyle w:val="TableContents"/>
              <w:spacing w:before="0" w:after="0"/>
              <w:ind w:left="0" w:right="0" w:hanging="0"/>
              <w:jc w:val="righ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20"/>
        </w:rPr>
        <w:t>For the year ended December 31, 2022, the Company recognized $2,309,000</w:t>
      </w:r>
      <w:r>
        <w:rPr>
          <w:rFonts w:ascii="Times New Roman" w:hAnsi="Times New Roman"/>
          <w:sz w:val="20"/>
        </w:rPr>
        <w:t xml:space="preserve"> </w:t>
      </w:r>
      <w:r>
        <w:rPr>
          <w:rFonts w:ascii="Times New Roman;serif" w:hAnsi="Times New Roman;serif"/>
          <w:b w:val="false"/>
          <w:sz w:val="20"/>
        </w:rPr>
        <w:t>of compensation expense related to time-vested awards under the 2022 Plan. As of December 31, 2022, the Company had total unrecognized stock-based compensation expense of approximately $41,551,000</w:t>
      </w:r>
      <w:r>
        <w:rPr>
          <w:rFonts w:ascii="Times New Roman" w:hAnsi="Times New Roman"/>
          <w:sz w:val="20"/>
        </w:rPr>
        <w:t xml:space="preserve"> </w:t>
      </w:r>
      <w:r>
        <w:rPr>
          <w:rFonts w:ascii="Times New Roman;serif" w:hAnsi="Times New Roman;serif"/>
          <w:b w:val="false"/>
          <w:sz w:val="20"/>
        </w:rPr>
        <w:t>related to the time-vested grants under the 2022 Plan, which is expected to be recognized on a straight-line basis over a weighted average period of 3.8</w:t>
      </w:r>
      <w:r>
        <w:rPr>
          <w:rFonts w:ascii="Times New Roman" w:hAnsi="Times New Roman"/>
          <w:sz w:val="20"/>
        </w:rPr>
        <w:t xml:space="preserve"> </w:t>
      </w:r>
      <w:r>
        <w:rPr>
          <w:rFonts w:ascii="Times New Roman;serif" w:hAnsi="Times New Roman;serif"/>
          <w:b w:val="false"/>
          <w:sz w:val="20"/>
        </w:rPr>
        <w:t>years. The weighted average grant date fair value for the option grants during the year ended December 31, 2022</w:t>
      </w:r>
      <w:r>
        <w:rPr>
          <w:rFonts w:ascii="Times New Roman" w:hAnsi="Times New Roman"/>
          <w:sz w:val="20"/>
        </w:rPr>
        <w:t xml:space="preserve"> </w:t>
      </w:r>
      <w:r>
        <w:rPr>
          <w:rFonts w:ascii="Times New Roman;serif" w:hAnsi="Times New Roman;serif"/>
          <w:b w:val="false"/>
          <w:sz w:val="20"/>
        </w:rPr>
        <w:t>was $7.48.</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aggregate intrinsic value of the in-the-money time-vested awards outstanding as well as those exercisable as of December 31, 2022, was $0.</w:t>
      </w:r>
    </w:p>
    <w:p>
      <w:pPr>
        <w:pStyle w:val="TextBody"/>
        <w:spacing w:before="120" w:after="0"/>
        <w:jc w:val="left"/>
        <w:rPr>
          <w:rFonts w:ascii="Times New Roman" w:hAnsi="Times New Roman"/>
          <w:sz w:val="20"/>
        </w:rPr>
      </w:pPr>
      <w:r>
        <w:rPr>
          <w:rFonts w:ascii="Times New Roman;serif" w:hAnsi="Times New Roman;serif"/>
          <w:b w:val="false"/>
          <w:sz w:val="20"/>
        </w:rPr>
        <w:t>Subsequent to December 31, 2022, the Company has issued 5,329,700</w:t>
      </w:r>
      <w:r>
        <w:rPr>
          <w:rFonts w:ascii="Times New Roman" w:hAnsi="Times New Roman"/>
          <w:sz w:val="20"/>
        </w:rPr>
        <w:t xml:space="preserve"> </w:t>
      </w:r>
      <w:r>
        <w:rPr>
          <w:rFonts w:ascii="Times New Roman;serif" w:hAnsi="Times New Roman;serif"/>
          <w:b w:val="false"/>
          <w:sz w:val="20"/>
        </w:rPr>
        <w:t>stock option awards to certain of its employees under the 2022 Equity Incentive Plan. These awards either vest on a monthly basis over a four year</w:t>
      </w:r>
      <w:r>
        <w:rPr>
          <w:rFonts w:ascii="Times New Roman" w:hAnsi="Times New Roman"/>
          <w:sz w:val="20"/>
        </w:rPr>
        <w:t xml:space="preserve"> </w:t>
      </w:r>
      <w:r>
        <w:rPr>
          <w:rFonts w:ascii="Times New Roman;serif" w:hAnsi="Times New Roman;serif"/>
          <w:b w:val="false"/>
          <w:sz w:val="20"/>
        </w:rPr>
        <w:t>period or with 25% vesting upon the first anniversary of the employee’s hire date and on a monthly basis for the three years thereafter.</w:t>
      </w:r>
    </w:p>
    <w:p>
      <w:pPr>
        <w:pStyle w:val="TextBody"/>
        <w:spacing w:before="360" w:after="0"/>
        <w:jc w:val="left"/>
        <w:rPr>
          <w:rFonts w:ascii="Times New Roman;serif" w:hAnsi="Times New Roman;serif"/>
          <w:b/>
          <w:i/>
          <w:sz w:val="20"/>
        </w:rPr>
      </w:pPr>
      <w:r>
        <w:rPr>
          <w:rFonts w:ascii="Times New Roman;serif" w:hAnsi="Times New Roman;serif"/>
          <w:b/>
          <w:i/>
          <w:sz w:val="20"/>
        </w:rPr>
        <w:t>Market-Vested Awards</w:t>
      </w:r>
    </w:p>
    <w:p>
      <w:pPr>
        <w:pStyle w:val="TextBody"/>
        <w:spacing w:before="120" w:after="0"/>
        <w:jc w:val="left"/>
        <w:rPr>
          <w:rFonts w:ascii="Times New Roman" w:hAnsi="Times New Roman"/>
          <w:sz w:val="20"/>
        </w:rPr>
      </w:pPr>
      <w:r>
        <w:rPr>
          <w:rFonts w:ascii="Times New Roman;serif" w:hAnsi="Times New Roman;serif"/>
          <w:b w:val="false"/>
          <w:sz w:val="20"/>
        </w:rPr>
        <w:t>During the year ended December 31, 2022, the Company also granted to its Chief Executive Officer 3,639,607</w:t>
      </w:r>
      <w:r>
        <w:rPr>
          <w:rFonts w:ascii="Times New Roman" w:hAnsi="Times New Roman"/>
          <w:sz w:val="20"/>
        </w:rPr>
        <w:t xml:space="preserve"> </w:t>
      </w:r>
      <w:r>
        <w:rPr>
          <w:rFonts w:ascii="Times New Roman;serif" w:hAnsi="Times New Roman;serif"/>
          <w:b w:val="false"/>
          <w:sz w:val="20"/>
        </w:rPr>
        <w:t>options with an exercise price of $10.33. This grant contains both time and market based vesting conditions. The market conditions become satisfied in equal one-third tranches upon the Company's Class A ordinary shares exceeding a volume weighted average price hurdle of $15.00, $20.00</w:t>
      </w:r>
      <w:r>
        <w:rPr>
          <w:rFonts w:ascii="Times New Roman" w:hAnsi="Times New Roman"/>
          <w:sz w:val="20"/>
        </w:rPr>
        <w:t xml:space="preserve"> </w:t>
      </w:r>
      <w:r>
        <w:rPr>
          <w:rFonts w:ascii="Times New Roman;serif" w:hAnsi="Times New Roman;serif"/>
          <w:b w:val="false"/>
          <w:sz w:val="20"/>
        </w:rPr>
        <w:t xml:space="preserve">and $25.00, respectively, for 20 trading days within any 30 consecutive trading day period occurring prior to July 11, 2027. Once the market condition for a tranche is satisfied, such tranche will continue to be subject to time-vesting conditions and will vest ratably on each of the first, second and third anniversaries of the date that such tranche satisfied the performance vesting condition described above. Due to the market condition included in this grant, the Company used the Geometric Brownian Motion/Monte Carlo model to value these awards. The model used the following inputs: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F-19</w:t>
      </w:r>
    </w:p>
    <w:p>
      <w:pPr>
        <w:pStyle w:val="HorizontalLine"/>
        <w:rPr/>
      </w:pPr>
      <w:r>
        <w:rPr/>
      </w:r>
    </w:p>
    <w:p>
      <w:pPr>
        <w:pStyle w:val="TextBody"/>
        <w:spacing w:before="0" w:after="0"/>
        <w:jc w:val="left"/>
        <w:rPr/>
      </w:pPr>
      <w:r>
        <w:rPr/>
        <w:t> </w:t>
      </w:r>
    </w:p>
    <w:tbl>
      <w:tblPr>
        <w:tblW w:w="3223" w:type="dxa"/>
        <w:jc w:val="left"/>
        <w:tblInd w:w="0" w:type="dxa"/>
        <w:tblCellMar>
          <w:top w:w="28" w:type="dxa"/>
          <w:left w:w="28" w:type="dxa"/>
          <w:bottom w:w="28" w:type="dxa"/>
          <w:right w:w="28" w:type="dxa"/>
        </w:tblCellMar>
      </w:tblPr>
      <w:tblGrid>
        <w:gridCol w:w="2506"/>
        <w:gridCol w:w="146"/>
        <w:gridCol w:w="571"/>
      </w:tblGrid>
      <w:tr>
        <w:trPr/>
        <w:tc>
          <w:tcPr>
            <w:tcW w:w="25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r>
      <w:tr>
        <w:trPr/>
        <w:tc>
          <w:tcPr>
            <w:tcW w:w="2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96%</w:t>
            </w:r>
          </w:p>
        </w:tc>
      </w:tr>
      <w:tr>
        <w:trPr/>
        <w:tc>
          <w:tcPr>
            <w:tcW w:w="2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Suboptimal exercise multiple</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2.80</w:t>
            </w:r>
          </w:p>
        </w:tc>
      </w:tr>
      <w:tr>
        <w:trPr/>
        <w:tc>
          <w:tcPr>
            <w:tcW w:w="2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r>
      <w:tr>
        <w:trPr/>
        <w:tc>
          <w:tcPr>
            <w:tcW w:w="2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For the year ended December 31, 2022, the Company recognized $2,242,000</w:t>
      </w:r>
      <w:r>
        <w:rPr>
          <w:rFonts w:ascii="Times New Roman" w:hAnsi="Times New Roman"/>
          <w:sz w:val="20"/>
        </w:rPr>
        <w:t xml:space="preserve"> </w:t>
      </w:r>
      <w:r>
        <w:rPr>
          <w:rFonts w:ascii="Times New Roman;serif" w:hAnsi="Times New Roman;serif"/>
          <w:b w:val="false"/>
          <w:sz w:val="20"/>
        </w:rPr>
        <w:t>of compensation expense related to market-vested awards under the 2022 Plan. As of December 31, 2022, the Company had total unrecognized stock-based compensation expense of approximately $25,957,000</w:t>
      </w:r>
      <w:r>
        <w:rPr>
          <w:rFonts w:ascii="Times New Roman" w:hAnsi="Times New Roman"/>
          <w:sz w:val="20"/>
        </w:rPr>
        <w:t xml:space="preserve"> </w:t>
      </w:r>
      <w:r>
        <w:rPr>
          <w:rFonts w:ascii="Times New Roman;serif" w:hAnsi="Times New Roman;serif"/>
          <w:b w:val="false"/>
          <w:sz w:val="20"/>
        </w:rPr>
        <w:t>related to the market-vested awards outstanding under the 2022 Plan. The weighted average grant date fair value for the option grants during the year ended December 31, 2022</w:t>
      </w:r>
      <w:r>
        <w:rPr>
          <w:rFonts w:ascii="Times New Roman" w:hAnsi="Times New Roman"/>
          <w:sz w:val="20"/>
        </w:rPr>
        <w:t xml:space="preserve"> </w:t>
      </w:r>
      <w:r>
        <w:rPr>
          <w:rFonts w:ascii="Times New Roman;serif" w:hAnsi="Times New Roman;serif"/>
          <w:b w:val="false"/>
          <w:sz w:val="20"/>
        </w:rPr>
        <w:t>was $7.75.</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aggregate intrinsic value of the in-the-money market based awards outstanding as well as those exercisable as of December 31, 2022, was $0.</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Legacy Profits Interests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Deed for the Establishment of a Limited Partnership of ProKidney LP, dated as of August 5, 2021 (the “Limited Partnership Agreement”) which replaced the Amended and Restated Limited Liability Company Agreement of ProKidney LLC as the governing document of the parent entity in the Company, allowed for the issuance of Profits Interests (as defined in the Limited Partnership Agreement) to employees, directors, other service providers of the Company and others denominated in the form of one or more Class B Units of PKLP (as defined in the Limited Partnership Agreement).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Under the Limited Partnership Agreement, ProKidney GP Limited, the former general partner of PKLP (“Legacy GP”), determined the terms and conditions of the Profits Interests issued. The threshold value assigned to each grant was not to be less than the fair market value of PKLP on the date of grant. Profits Interests awards would vest at a rate of 25% on the latter of the first anniversary of employment and the first anniversary of the Acquisition Date with the remaining 75% to vest in increments of 25% on each anniversary following the first anniversary date, ratably over a three or four-year period from the date of grant, in annual installments of 33.3% over the three-year period from the date of grant, in increments of 6.25% each calendar quarter following the first anniversary date, or were fully vested upon issuance.</w:t>
      </w:r>
    </w:p>
    <w:p>
      <w:pPr>
        <w:pStyle w:val="TextBody"/>
        <w:spacing w:before="120" w:after="0"/>
        <w:jc w:val="left"/>
        <w:rPr>
          <w:rFonts w:ascii="Times New Roman" w:hAnsi="Times New Roman"/>
          <w:sz w:val="20"/>
        </w:rPr>
      </w:pPr>
      <w:r>
        <w:rPr>
          <w:rFonts w:ascii="Times New Roman;serif" w:hAnsi="Times New Roman;serif"/>
          <w:b w:val="false"/>
          <w:sz w:val="20"/>
        </w:rPr>
        <w:t>On January 17, 2022, PKLP amended and restated its Limited Partnership Agreement (the “Amended and Restated Limited Partnership Agreement”) which provided that certain qualified distribution events would result in holders of Profits Interests receiving disproportionate distributions from PKLP until each such holder’s valuation threshold had been reduced to zero in order to “catch up” such holder’s distributions to its pro rata share of aggregate cumulative distributions, and once sufficient distributions to a holder of Profits Interests had been made in accordance with the foregoing, the associated Class B Units of PKLP would automatically be converted into Class A Units of PKLP.</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Upon consummation of the Business Combination discussed in Note 1, PKLP’s existing Class B and B-1 Units were “caught up” and were converted into Class A Units of PKLP. The resulting vested and unvested Class A Units of PKLP were then recapitalized into Post-Combination ProKidney Common Units or Restricted Common Units of the Company, respectively. This recapitalization resulted in a decrease in the number of awards held by each participant. As such, the number of Profits Interests and related per unit values within these financial statements have been adjusted to reflect this recapitalization. Upon recapitalization, the Restricted Common Units maintained the vesting schedules associated with the original Profits Interest awards.</w:t>
      </w:r>
    </w:p>
    <w:p>
      <w:pPr>
        <w:pStyle w:val="TextBody"/>
        <w:spacing w:before="120" w:after="0"/>
        <w:jc w:val="left"/>
        <w:rPr>
          <w:rFonts w:ascii="Times New Roman" w:hAnsi="Times New Roman"/>
          <w:sz w:val="20"/>
        </w:rPr>
      </w:pPr>
      <w:r>
        <w:rPr>
          <w:rFonts w:ascii="Times New Roman;serif" w:hAnsi="Times New Roman;serif"/>
          <w:b w:val="false"/>
          <w:sz w:val="20"/>
        </w:rPr>
        <w:t>The following table summarizes the activity related to the Company’s Profits Interest awards for the year ended December 31, 2022:</w:t>
      </w:r>
      <w:r>
        <w:rPr>
          <w:rFonts w:ascii="Times New Roman" w:hAnsi="Times New Roman"/>
          <w:sz w:val="20"/>
        </w:rPr>
        <w:t xml:space="preserve"> </w:t>
      </w:r>
    </w:p>
    <w:p>
      <w:pPr>
        <w:pStyle w:val="TextBody"/>
        <w:spacing w:before="0" w:after="0"/>
        <w:jc w:val="both"/>
        <w:rPr/>
      </w:pPr>
      <w:r>
        <w:rPr/>
        <w:t> </w:t>
      </w:r>
    </w:p>
    <w:tbl>
      <w:tblPr>
        <w:tblW w:w="10135" w:type="dxa"/>
        <w:jc w:val="left"/>
        <w:tblInd w:w="0" w:type="dxa"/>
        <w:tblCellMar>
          <w:top w:w="28" w:type="dxa"/>
          <w:left w:w="28" w:type="dxa"/>
          <w:bottom w:w="28" w:type="dxa"/>
          <w:right w:w="28" w:type="dxa"/>
        </w:tblCellMar>
      </w:tblPr>
      <w:tblGrid>
        <w:gridCol w:w="4036"/>
        <w:gridCol w:w="146"/>
        <w:gridCol w:w="208"/>
        <w:gridCol w:w="1412"/>
        <w:gridCol w:w="166"/>
        <w:gridCol w:w="146"/>
        <w:gridCol w:w="1129"/>
        <w:gridCol w:w="2501"/>
        <w:gridCol w:w="391"/>
      </w:tblGrid>
      <w:tr>
        <w:trPr/>
        <w:tc>
          <w:tcPr>
            <w:tcW w:w="4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41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250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0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 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Weighted Average Grant Date 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awards outstanding at January 1, 2022</w:t>
            </w:r>
          </w:p>
        </w:tc>
        <w:tc>
          <w:tcPr>
            <w:tcW w:w="146"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14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2,015,943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0.44</w:t>
            </w:r>
          </w:p>
        </w:tc>
        <w:tc>
          <w:tcPr>
            <w:tcW w:w="391" w:type="dxa"/>
            <w:tcBorders/>
            <w:shd w:fill="auto" w:val="clear"/>
            <w:vAlign w:val="center"/>
          </w:tcPr>
          <w:p>
            <w:pPr>
              <w:pStyle w:val="TableContents"/>
              <w:spacing w:before="0" w:after="0"/>
              <w:ind w:left="0" w:right="0" w:firstLine="200"/>
              <w:jc w:val="left"/>
              <w:rPr/>
            </w:pPr>
            <w:r>
              <w:rPr/>
              <w:t> </w:t>
            </w:r>
          </w:p>
        </w:tc>
      </w:tr>
      <w:tr>
        <w:trPr/>
        <w:tc>
          <w:tcPr>
            <w:tcW w:w="4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14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8,174,016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9" w:type="dxa"/>
            <w:tcBorders/>
            <w:shd w:fill="auto" w:val="clear"/>
            <w:vAlign w:val="center"/>
          </w:tcPr>
          <w:p>
            <w:pPr>
              <w:pStyle w:val="TableContents"/>
              <w:spacing w:before="0" w:after="0"/>
              <w:ind w:left="0" w:right="0" w:hanging="0"/>
              <w:jc w:val="left"/>
              <w:rPr/>
            </w:pPr>
            <w:r>
              <w:rPr/>
              <w:t> </w:t>
            </w:r>
          </w:p>
        </w:tc>
        <w:tc>
          <w:tcPr>
            <w:tcW w:w="25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7.43</w:t>
            </w:r>
          </w:p>
        </w:tc>
        <w:tc>
          <w:tcPr>
            <w:tcW w:w="391" w:type="dxa"/>
            <w:tcBorders/>
            <w:shd w:fill="auto" w:val="clear"/>
            <w:vAlign w:val="center"/>
          </w:tcPr>
          <w:p>
            <w:pPr>
              <w:pStyle w:val="TableContents"/>
              <w:spacing w:before="0" w:after="0"/>
              <w:ind w:left="0" w:right="0" w:firstLine="200"/>
              <w:jc w:val="left"/>
              <w:rPr/>
            </w:pPr>
            <w:r>
              <w:rPr/>
              <w:t> </w:t>
            </w:r>
          </w:p>
        </w:tc>
      </w:tr>
      <w:tr>
        <w:trPr/>
        <w:tc>
          <w:tcPr>
            <w:tcW w:w="4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14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(1,734,245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129" w:type="dxa"/>
            <w:tcBorders/>
            <w:shd w:fill="auto" w:val="clear"/>
            <w:vAlign w:val="center"/>
          </w:tcPr>
          <w:p>
            <w:pPr>
              <w:pStyle w:val="TableContents"/>
              <w:spacing w:before="0" w:after="0"/>
              <w:ind w:left="0" w:right="0" w:hanging="0"/>
              <w:jc w:val="left"/>
              <w:rPr/>
            </w:pPr>
            <w:r>
              <w:rPr/>
              <w:t> </w:t>
            </w:r>
          </w:p>
        </w:tc>
        <w:tc>
          <w:tcPr>
            <w:tcW w:w="25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391" w:type="dxa"/>
            <w:tcBorders/>
            <w:shd w:fill="auto" w:val="clear"/>
            <w:vAlign w:val="center"/>
          </w:tcPr>
          <w:p>
            <w:pPr>
              <w:pStyle w:val="TableContents"/>
              <w:spacing w:before="0" w:after="0"/>
              <w:ind w:left="0" w:right="0" w:firstLine="200"/>
              <w:jc w:val="left"/>
              <w:rPr/>
            </w:pPr>
            <w:r>
              <w:rPr/>
              <w:t> </w:t>
            </w:r>
          </w:p>
        </w:tc>
      </w:tr>
      <w:tr>
        <w:trPr/>
        <w:tc>
          <w:tcPr>
            <w:tcW w:w="4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left"/>
              <w:rPr/>
            </w:pPr>
            <w:r>
              <w:rPr/>
              <w:t> </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(85,919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1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Awards outstanding at December 31, 2022</w:t>
            </w:r>
          </w:p>
        </w:tc>
        <w:tc>
          <w:tcPr>
            <w:tcW w:w="146" w:type="dxa"/>
            <w:tcBorders/>
            <w:shd w:fill="auto" w:val="clear"/>
            <w:vAlign w:val="center"/>
          </w:tcPr>
          <w:p>
            <w:pPr>
              <w:pStyle w:val="TableContents"/>
              <w:spacing w:before="0" w:after="0"/>
              <w:ind w:left="0" w:right="0" w:hanging="0"/>
              <w:jc w:val="left"/>
              <w:rPr/>
            </w:pPr>
            <w:r>
              <w:rPr/>
              <w:t> </w:t>
            </w:r>
          </w:p>
        </w:tc>
        <w:tc>
          <w:tcPr>
            <w:tcW w:w="2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8,369,795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left"/>
        <w:rPr>
          <w:rFonts w:ascii="Times New Roman" w:hAnsi="Times New Roman"/>
          <w:sz w:val="20"/>
        </w:rPr>
      </w:pPr>
      <w:r>
        <w:rPr>
          <w:rFonts w:ascii="Times New Roman;serif" w:hAnsi="Times New Roman;serif"/>
          <w:b w:val="false"/>
          <w:sz w:val="20"/>
        </w:rPr>
        <w:t>As of December 31, 2022, the unrecognized compensation expense related to these awards was $45,243,000. The current weighted average remaining period over which the unrecognized compensation expense is expected to be recognized is 3.0</w:t>
      </w:r>
      <w:r>
        <w:rPr>
          <w:rFonts w:ascii="Times New Roman" w:hAnsi="Times New Roman"/>
          <w:sz w:val="20"/>
        </w:rPr>
        <w:t xml:space="preserve"> </w:t>
      </w:r>
      <w:r>
        <w:rPr>
          <w:rFonts w:ascii="Times New Roman;serif" w:hAnsi="Times New Roman;serif"/>
          <w:b w:val="false"/>
          <w:sz w:val="20"/>
        </w:rPr>
        <w:t>years. The weighted average grant date fair value of the Profits Interests granted during the year ended December 31, 2022, was $7.43</w:t>
      </w:r>
      <w:r>
        <w:rPr>
          <w:rFonts w:ascii="Times New Roman" w:hAnsi="Times New Roman"/>
          <w:sz w:val="20"/>
        </w:rPr>
        <w:t xml:space="preserve"> </w:t>
      </w:r>
      <w:r>
        <w:rPr>
          <w:rFonts w:ascii="Times New Roman;serif" w:hAnsi="Times New Roman;serif"/>
          <w:b w:val="false"/>
          <w:sz w:val="20"/>
        </w:rPr>
        <w:t>per Class B-1 unit, as adjusted for the effects of the recapitalization. There were no</w:t>
      </w:r>
      <w:r>
        <w:rPr>
          <w:rFonts w:ascii="Times New Roman" w:hAnsi="Times New Roman"/>
          <w:sz w:val="20"/>
        </w:rPr>
        <w:t xml:space="preserve"> </w:t>
      </w:r>
      <w:r>
        <w:rPr>
          <w:rFonts w:ascii="Times New Roman;serif" w:hAnsi="Times New Roman;serif"/>
          <w:b w:val="false"/>
          <w:sz w:val="20"/>
        </w:rPr>
        <w:t>Profits Interests granted during the year ended December 31, 2021.</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F-20</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The aggregate intrinsic value of the unvested profits interests outstanding at December 31, 2022</w:t>
      </w:r>
      <w:r>
        <w:rPr>
          <w:rFonts w:ascii="Times New Roman" w:hAnsi="Times New Roman"/>
          <w:sz w:val="20"/>
        </w:rPr>
        <w:t xml:space="preserve"> </w:t>
      </w:r>
      <w:r>
        <w:rPr>
          <w:rFonts w:ascii="Times New Roman;serif" w:hAnsi="Times New Roman;serif"/>
          <w:b w:val="false"/>
          <w:sz w:val="20"/>
        </w:rPr>
        <w:t>was $57,417,000.</w:t>
      </w:r>
    </w:p>
    <w:p>
      <w:pPr>
        <w:pStyle w:val="TextBody"/>
        <w:spacing w:before="240" w:after="0"/>
        <w:jc w:val="left"/>
        <w:rPr>
          <w:rFonts w:ascii="Times New Roman;serif" w:hAnsi="Times New Roman;serif"/>
          <w:b/>
          <w:i/>
          <w:sz w:val="20"/>
        </w:rPr>
      </w:pPr>
      <w:r>
        <w:rPr>
          <w:rFonts w:ascii="Times New Roman;serif" w:hAnsi="Times New Roman;serif"/>
          <w:b/>
          <w:i/>
          <w:sz w:val="20"/>
        </w:rPr>
        <w:t>Modification to Profits Interest Awards</w:t>
      </w:r>
    </w:p>
    <w:p>
      <w:pPr>
        <w:pStyle w:val="TextBody"/>
        <w:spacing w:before="120" w:after="0"/>
        <w:jc w:val="left"/>
        <w:rPr>
          <w:rFonts w:ascii="Times New Roman" w:hAnsi="Times New Roman"/>
          <w:sz w:val="20"/>
        </w:rPr>
      </w:pPr>
      <w:r>
        <w:rPr>
          <w:rFonts w:ascii="Times New Roman;serif" w:hAnsi="Times New Roman;serif"/>
          <w:b w:val="false"/>
          <w:sz w:val="20"/>
        </w:rPr>
        <w:t>On January 17, 2022, the Limited Partnership Agreement was amended and restated to provide that certain qualified distribution events would result in the holders of Profits Interests receiving disproportionate distributions from PKLP until each such holder’s threshold value was reduced to zero in order to “catch up” such holder’s distributions to its pro rata share of aggregate cumulative distributions, and once sufficient distributions to a holder of Profits Interests had been made in accordance with the foregoing, the associated Class B Units would automatically be converted into Class A Units.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This amendment constituted a modification to the Class B-1 Units in PKLP outstanding as of the date of the modification under the provisions of ASC Topic 718. In connection with the modification of its outstanding share-based compensation awards, the Company will recognize total additional compensation expense of $5,437,000</w:t>
      </w:r>
      <w:r>
        <w:rPr>
          <w:rFonts w:ascii="Times New Roman" w:hAnsi="Times New Roman"/>
          <w:sz w:val="20"/>
        </w:rPr>
        <w:t xml:space="preserve"> </w:t>
      </w:r>
      <w:r>
        <w:rPr>
          <w:rFonts w:ascii="Times New Roman;serif" w:hAnsi="Times New Roman;serif"/>
          <w:b w:val="false"/>
          <w:sz w:val="20"/>
        </w:rPr>
        <w:t>related to awards granted to its employees. The portion of this additional compensation expense attributable to vested awards of $3,715,000</w:t>
      </w:r>
      <w:r>
        <w:rPr>
          <w:rFonts w:ascii="Times New Roman" w:hAnsi="Times New Roman"/>
          <w:sz w:val="20"/>
        </w:rPr>
        <w:t xml:space="preserve"> </w:t>
      </w:r>
      <w:r>
        <w:rPr>
          <w:rFonts w:ascii="Times New Roman;serif" w:hAnsi="Times New Roman;serif"/>
          <w:b w:val="false"/>
          <w:sz w:val="20"/>
        </w:rPr>
        <w:t>was recognized immediately upon modification during the year ended December 31, 2022.</w:t>
        <w:br/>
      </w:r>
      <w:r>
        <w:rPr>
          <w:rFonts w:ascii="Times New Roman" w:hAnsi="Times New Roman"/>
          <w:sz w:val="20"/>
        </w:rPr>
        <w:t> </w:t>
      </w:r>
    </w:p>
    <w:p>
      <w:pPr>
        <w:pStyle w:val="TextBody"/>
        <w:spacing w:before="240" w:after="0"/>
        <w:jc w:val="left"/>
        <w:rPr>
          <w:rFonts w:ascii="Times New Roman;serif" w:hAnsi="Times New Roman;serif"/>
          <w:b/>
          <w:i/>
          <w:sz w:val="20"/>
        </w:rPr>
      </w:pPr>
      <w:r>
        <w:rPr>
          <w:rFonts w:ascii="Times New Roman;serif" w:hAnsi="Times New Roman;serif"/>
          <w:b/>
          <w:i/>
          <w:sz w:val="20"/>
        </w:rPr>
        <w:t>Issuance of Profits Interests to Service Provider</w:t>
      </w:r>
    </w:p>
    <w:p>
      <w:pPr>
        <w:pStyle w:val="TextBody"/>
        <w:spacing w:before="120" w:after="280"/>
        <w:jc w:val="left"/>
        <w:rPr>
          <w:rFonts w:ascii="Times New Roman" w:hAnsi="Times New Roman"/>
          <w:sz w:val="20"/>
        </w:rPr>
      </w:pPr>
      <w:r>
        <w:rPr>
          <w:rFonts w:ascii="Times New Roman;serif" w:hAnsi="Times New Roman;serif"/>
          <w:b w:val="false"/>
          <w:sz w:val="20"/>
        </w:rPr>
        <w:t>During the year ended December 31, 2022, the Company issued 2,253,033</w:t>
      </w:r>
      <w:r>
        <w:rPr>
          <w:rFonts w:ascii="Times New Roman" w:hAnsi="Times New Roman"/>
          <w:sz w:val="20"/>
        </w:rPr>
        <w:t xml:space="preserve"> </w:t>
      </w:r>
      <w:r>
        <w:rPr>
          <w:rFonts w:ascii="Times New Roman;serif" w:hAnsi="Times New Roman;serif"/>
          <w:b w:val="false"/>
          <w:sz w:val="20"/>
        </w:rPr>
        <w:t>fully vested Class B-1 Units in PKLP to a third-party service provider as payment for research and development services provided in prior periods. The Company had previously recognized expense of $2,502,000</w:t>
      </w:r>
      <w:r>
        <w:rPr>
          <w:rFonts w:ascii="Times New Roman" w:hAnsi="Times New Roman"/>
          <w:sz w:val="20"/>
        </w:rPr>
        <w:t xml:space="preserve"> </w:t>
      </w:r>
      <w:r>
        <w:rPr>
          <w:rFonts w:ascii="Times New Roman;serif" w:hAnsi="Times New Roman;serif"/>
          <w:b w:val="false"/>
          <w:sz w:val="20"/>
        </w:rPr>
        <w:t>for these services based on the liability related to the services incurred. As the fair value of shares issued to satisfy that obligation was higher than the amount previously expensed, the Company recognized additional research and development expense of $14,080,000</w:t>
      </w:r>
      <w:r>
        <w:rPr>
          <w:rFonts w:ascii="Times New Roman" w:hAnsi="Times New Roman"/>
          <w:sz w:val="20"/>
        </w:rPr>
        <w:t xml:space="preserve"> </w:t>
      </w:r>
      <w:r>
        <w:rPr>
          <w:rFonts w:ascii="Times New Roman;serif" w:hAnsi="Times New Roman;serif"/>
          <w:b w:val="false"/>
          <w:sz w:val="20"/>
        </w:rPr>
        <w:t>during the year ended December 31, 2022</w:t>
      </w:r>
      <w:r>
        <w:rPr>
          <w:rFonts w:ascii="Times New Roman;serif" w:hAnsi="Times New Roman;serif"/>
          <w:b w:val="false"/>
          <w:sz w:val="24"/>
        </w:rPr>
        <w:t>.</w:t>
      </w:r>
    </w:p>
    <w:p>
      <w:pPr>
        <w:pStyle w:val="TextBody"/>
        <w:spacing w:before="240" w:after="0"/>
        <w:jc w:val="left"/>
        <w:rPr>
          <w:rFonts w:ascii="Times New Roman;serif" w:hAnsi="Times New Roman;serif"/>
          <w:b/>
          <w:i/>
          <w:sz w:val="20"/>
        </w:rPr>
      </w:pPr>
      <w:r>
        <w:rPr>
          <w:rFonts w:ascii="Times New Roman;serif" w:hAnsi="Times New Roman;serif"/>
          <w:b/>
          <w:i/>
          <w:sz w:val="20"/>
        </w:rPr>
        <w:t>Purchase of Class B-1 Units in PKLP</w:t>
      </w:r>
    </w:p>
    <w:p>
      <w:pPr>
        <w:pStyle w:val="TextBody"/>
        <w:spacing w:before="120" w:after="0"/>
        <w:jc w:val="left"/>
        <w:rPr>
          <w:rFonts w:ascii="Times New Roman" w:hAnsi="Times New Roman"/>
          <w:sz w:val="20"/>
        </w:rPr>
      </w:pPr>
      <w:r>
        <w:rPr>
          <w:rFonts w:ascii="Times New Roman;serif" w:hAnsi="Times New Roman;serif"/>
          <w:b w:val="false"/>
          <w:sz w:val="20"/>
        </w:rPr>
        <w:t>As discussed further in Note 6, certain of the Company’s employees, board members and service providers purchased 6,648,353</w:t>
      </w:r>
      <w:r>
        <w:rPr>
          <w:rFonts w:ascii="Times New Roman" w:hAnsi="Times New Roman"/>
          <w:sz w:val="20"/>
        </w:rPr>
        <w:t xml:space="preserve"> </w:t>
      </w:r>
      <w:r>
        <w:rPr>
          <w:rFonts w:ascii="Times New Roman;serif" w:hAnsi="Times New Roman;serif"/>
          <w:b w:val="false"/>
          <w:sz w:val="20"/>
        </w:rPr>
        <w:t>of Class B-1 Units in PKLP for total cash proceeds of $6,050,000, respectively, during the year ended December 31, 2022. Since these Class B-1 Units in PKLP were fully vested upon purchase and contained no service requirements, the Company immediately recognized the difference between the purchase price and the estimated fair value for these Class B-1 Units in PKLP of $34,254,000</w:t>
      </w:r>
      <w:r>
        <w:rPr>
          <w:rFonts w:ascii="Times New Roman" w:hAnsi="Times New Roman"/>
          <w:sz w:val="20"/>
        </w:rPr>
        <w:t xml:space="preserve"> </w:t>
      </w:r>
      <w:r>
        <w:rPr>
          <w:rFonts w:ascii="Times New Roman;serif" w:hAnsi="Times New Roman;serif"/>
          <w:b w:val="false"/>
          <w:sz w:val="20"/>
        </w:rPr>
        <w:t>as equity-based compensation expense during the year ended December 31, 2022, respectively. No such sales occurred during the year ended December 31, 2021.</w:t>
      </w:r>
    </w:p>
    <w:p>
      <w:pPr>
        <w:pStyle w:val="TextBody"/>
        <w:spacing w:before="360" w:after="0"/>
        <w:jc w:val="left"/>
        <w:rPr>
          <w:rFonts w:ascii="Times New Roman;serif" w:hAnsi="Times New Roman;serif"/>
          <w:b/>
          <w:i/>
          <w:sz w:val="20"/>
        </w:rPr>
      </w:pPr>
      <w:r>
        <w:rPr>
          <w:rFonts w:ascii="Times New Roman;serif" w:hAnsi="Times New Roman;serif"/>
          <w:b/>
          <w:i/>
          <w:sz w:val="20"/>
        </w:rPr>
        <w:t>Fair Value Estimate for Profits Interest</w:t>
      </w:r>
    </w:p>
    <w:p>
      <w:pPr>
        <w:pStyle w:val="TextBody"/>
        <w:spacing w:before="120" w:after="0"/>
        <w:jc w:val="left"/>
        <w:rPr>
          <w:rFonts w:ascii="Times New Roman" w:hAnsi="Times New Roman"/>
          <w:sz w:val="20"/>
        </w:rPr>
      </w:pPr>
      <w:r>
        <w:rPr>
          <w:rFonts w:ascii="Times New Roman;serif" w:hAnsi="Times New Roman;serif"/>
          <w:b w:val="false"/>
          <w:sz w:val="20"/>
        </w:rPr>
        <w:t xml:space="preserve">Prior to the Business Combination, PKLP was privately held with no active public market for its equity instruments. Therefore, for financial reporting purposes, management determined the estimated per share fair value of PKLP’s equity shares (including Profits Interests) using contemporaneous valuations. These contemporaneous valuations were done using methodologies consistent with the American Institute of Certified Public Accountants Practice Aid, </w:t>
      </w:r>
      <w:r>
        <w:rPr>
          <w:rFonts w:ascii="Times New Roman;serif" w:hAnsi="Times New Roman;serif"/>
          <w:b w:val="false"/>
          <w:i/>
          <w:sz w:val="20"/>
        </w:rPr>
        <w:t>Valuation of Privately-Held Company Equity Securities Issued as Compensation</w:t>
      </w:r>
      <w:r>
        <w:rPr>
          <w:rFonts w:ascii="Times New Roman;serif" w:hAnsi="Times New Roman;serif"/>
          <w:b w:val="false"/>
          <w:sz w:val="20"/>
        </w:rPr>
        <w:t>, also known as the Practice Aid.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For the Profits Interest Awards granted during the year ended December 31, 2022, the valuation approach utilized a hybrid method which consists of a combination of an Option Pricing Method (“OPM”) and a Probability Weighted Expected Return Method (”PWERM”) approach. Weighting allocations were assigned to the OPM and PWERM methods based upon the expected likelihood of possible future liquidity events, including the Business Combination.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Under the OPM approach, the fair value of the total equity of PKLP within each scenario was first estimated using a back-solve method wherein the equity value is derived from a recent transaction in PKLP’s own securities, and then the total equity value is allocated to the various components of the capital structure, including the Profits Interests, using an OPM or a waterfall approach based on the specific rights of each of the equity classes. The OPM used the fair value of the total equity of PKLP within a scenario as a starting point and incorporates assumptions made regarding the expected returns and volatilities that are consistent with the expectations of market participants, and distribution of equity values is produced which cover the range of events that an informed market participant might expect. This process creates a range of equity values both between and within scenarios. The fair value measurement is sensitive to changes in the unobservable inputs. Changes in those inputs might result in a higher or lower fair value measurement.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PWERM approach is a scenario-based analysis that estimates the value per share of ordinary shares based on the probability-weighted present value of expected future equity values for the ordinary shares, under various possible future liquidity event scenarios, including the proposed Business Combination, in light of the rights and preferences of each class and series of stock, including the Profits Interests, discounted for a lack of marketability.</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F-21</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performing these valuations, management considered all objective and subjective factors that they believed to be relevant, including management’s best estimate of PKLP’s business condition, prospects, and operating performance at each valuation date. Within the valuations performed, a range of factors, assumptions, and methodologies were used. The significant factors included trends within the industry, the prices at which PKLP sold its Class A Units, the rights and preferences of the Class A Units relative to the Class B Units at the time of each measurement date, the results of operations, financial position, status of research and development efforts, stage of development and business strategy, the lack of an active public market for the units, and the likelihood of achieving an exit event in light of prevailing market conditions.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reflects the key assumptions used in each of the valuation scenarios:</w:t>
      </w:r>
    </w:p>
    <w:p>
      <w:pPr>
        <w:pStyle w:val="TextBody"/>
        <w:spacing w:before="0" w:after="0"/>
        <w:jc w:val="both"/>
        <w:rPr/>
      </w:pPr>
      <w:r>
        <w:rPr/>
        <w:t> </w:t>
      </w:r>
    </w:p>
    <w:tbl>
      <w:tblPr>
        <w:tblW w:w="7161" w:type="dxa"/>
        <w:jc w:val="left"/>
        <w:tblInd w:w="0" w:type="dxa"/>
        <w:tblCellMar>
          <w:top w:w="28" w:type="dxa"/>
          <w:left w:w="28" w:type="dxa"/>
          <w:bottom w:w="28" w:type="dxa"/>
          <w:right w:w="28" w:type="dxa"/>
        </w:tblCellMar>
      </w:tblPr>
      <w:tblGrid>
        <w:gridCol w:w="2896"/>
        <w:gridCol w:w="146"/>
        <w:gridCol w:w="571"/>
        <w:gridCol w:w="1245"/>
        <w:gridCol w:w="271"/>
        <w:gridCol w:w="146"/>
        <w:gridCol w:w="313"/>
        <w:gridCol w:w="1382"/>
        <w:gridCol w:w="191"/>
      </w:tblGrid>
      <w:tr>
        <w:trPr/>
        <w:tc>
          <w:tcPr>
            <w:tcW w:w="28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8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OPM</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PWERM</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equity value (in thousands)</w:t>
            </w:r>
          </w:p>
        </w:tc>
        <w:tc>
          <w:tcPr>
            <w:tcW w:w="146" w:type="dxa"/>
            <w:tcBorders/>
            <w:shd w:fill="auto" w:val="clear"/>
            <w:vAlign w:val="center"/>
          </w:tcPr>
          <w:p>
            <w:pPr>
              <w:pStyle w:val="TableContents"/>
              <w:spacing w:before="0" w:after="0"/>
              <w:ind w:left="0" w:right="0" w:hanging="0"/>
              <w:jc w:val="left"/>
              <w:rPr/>
            </w:pPr>
            <w:r>
              <w:rPr/>
              <w:t> </w:t>
            </w:r>
          </w:p>
        </w:tc>
        <w:tc>
          <w:tcPr>
            <w:tcW w:w="1816" w:type="dxa"/>
            <w:gridSpan w:val="2"/>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$234,551</w:t>
            </w:r>
            <w:r>
              <w:rPr>
                <w:rFonts w:ascii="Times New Roman" w:hAnsi="Times New Roman"/>
                <w:sz w:val="20"/>
              </w:rPr>
              <w:t> </w:t>
            </w:r>
            <w:r>
              <w:rPr>
                <w:rFonts w:ascii="Times New Roman;serif" w:hAnsi="Times New Roman;serif"/>
                <w:b w:val="false"/>
                <w:sz w:val="20"/>
              </w:rPr>
              <w:t>- $280,400</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1,750,000</w:t>
            </w:r>
          </w:p>
        </w:tc>
        <w:tc>
          <w:tcPr>
            <w:tcW w:w="191" w:type="dxa"/>
            <w:tcBorders/>
            <w:shd w:fill="auto" w:val="clear"/>
            <w:vAlign w:val="center"/>
          </w:tcPr>
          <w:p>
            <w:pPr>
              <w:pStyle w:val="TableContents"/>
              <w:spacing w:before="0" w:after="0"/>
              <w:ind w:left="0" w:right="0" w:hanging="0"/>
              <w:jc w:val="lef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 of total equity</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left"/>
              <w:rPr/>
            </w:pPr>
            <w:r>
              <w:rPr/>
              <w:t> </w:t>
            </w:r>
          </w:p>
        </w:tc>
        <w:tc>
          <w:tcPr>
            <w:tcW w:w="12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695"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 - 90%</w:t>
            </w:r>
          </w:p>
        </w:tc>
        <w:tc>
          <w:tcPr>
            <w:tcW w:w="191" w:type="dxa"/>
            <w:tcBorders/>
            <w:shd w:fill="auto" w:val="clear"/>
            <w:vAlign w:val="center"/>
          </w:tcPr>
          <w:p>
            <w:pPr>
              <w:pStyle w:val="TableContents"/>
              <w:spacing w:before="0" w:after="0"/>
              <w:ind w:left="0" w:right="0" w:hanging="0"/>
              <w:jc w:val="righ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Discount for lack of market</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left"/>
              <w:rPr/>
            </w:pPr>
            <w:r>
              <w:rPr/>
              <w:t> </w:t>
            </w:r>
          </w:p>
        </w:tc>
        <w:tc>
          <w:tcPr>
            <w:tcW w:w="12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695"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 - 15%</w:t>
            </w:r>
          </w:p>
        </w:tc>
        <w:tc>
          <w:tcPr>
            <w:tcW w:w="191" w:type="dxa"/>
            <w:tcBorders/>
            <w:shd w:fill="auto" w:val="clear"/>
            <w:vAlign w:val="center"/>
          </w:tcPr>
          <w:p>
            <w:pPr>
              <w:pStyle w:val="TableContents"/>
              <w:spacing w:before="0" w:after="0"/>
              <w:ind w:left="0" w:right="0" w:hanging="0"/>
              <w:jc w:val="righ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time to exit event</w:t>
            </w:r>
          </w:p>
        </w:tc>
        <w:tc>
          <w:tcPr>
            <w:tcW w:w="146" w:type="dxa"/>
            <w:tcBorders/>
            <w:shd w:fill="auto" w:val="clear"/>
            <w:vAlign w:val="center"/>
          </w:tcPr>
          <w:p>
            <w:pPr>
              <w:pStyle w:val="TableContents"/>
              <w:spacing w:before="0" w:after="0"/>
              <w:ind w:left="0" w:right="0" w:hanging="0"/>
              <w:jc w:val="left"/>
              <w:rPr/>
            </w:pPr>
            <w:r>
              <w:rPr/>
              <w:t> </w:t>
            </w:r>
          </w:p>
        </w:tc>
        <w:tc>
          <w:tcPr>
            <w:tcW w:w="1816" w:type="dxa"/>
            <w:gridSpan w:val="2"/>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3.4</w:t>
            </w:r>
            <w:r>
              <w:rPr>
                <w:rFonts w:ascii="Times New Roman" w:hAnsi="Times New Roman"/>
                <w:sz w:val="20"/>
              </w:rPr>
              <w:t> </w:t>
            </w:r>
            <w:r>
              <w:rPr>
                <w:rFonts w:ascii="Times New Roman;serif" w:hAnsi="Times New Roman;serif"/>
                <w:b w:val="false"/>
                <w:sz w:val="20"/>
              </w:rPr>
              <w:t>years -</w:t>
            </w:r>
            <w:r>
              <w:rPr>
                <w:rFonts w:ascii="Times New Roman" w:hAnsi="Times New Roman"/>
                <w:sz w:val="20"/>
              </w:rPr>
              <w:t xml:space="preserve"> </w:t>
            </w:r>
            <w:r>
              <w:rPr>
                <w:rFonts w:ascii="Times New Roman;serif" w:hAnsi="Times New Roman;serif"/>
                <w:b w:val="false"/>
                <w:sz w:val="20"/>
              </w:rPr>
              <w:t>3.7</w:t>
            </w:r>
            <w:r>
              <w:rPr>
                <w:rFonts w:ascii="Times New Roman" w:hAnsi="Times New Roman"/>
                <w:sz w:val="20"/>
              </w:rPr>
              <w:t> </w:t>
            </w:r>
            <w:r>
              <w:rPr>
                <w:rFonts w:ascii="Times New Roman;serif" w:hAnsi="Times New Roman;serif"/>
                <w:b w:val="false"/>
                <w:sz w:val="20"/>
              </w:rPr>
              <w:t>years</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95" w:type="dxa"/>
            <w:gridSpan w:val="2"/>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0.1</w:t>
            </w:r>
            <w:r>
              <w:rPr>
                <w:rFonts w:ascii="Times New Roman" w:hAnsi="Times New Roman"/>
                <w:sz w:val="20"/>
              </w:rPr>
              <w:t> </w:t>
            </w:r>
            <w:r>
              <w:rPr>
                <w:rFonts w:ascii="Times New Roman;serif" w:hAnsi="Times New Roman;serif"/>
                <w:b w:val="false"/>
                <w:sz w:val="20"/>
              </w:rPr>
              <w:t>years - 0.5</w:t>
            </w:r>
            <w:r>
              <w:rPr>
                <w:rFonts w:ascii="Times New Roman" w:hAnsi="Times New Roman"/>
                <w:sz w:val="20"/>
              </w:rPr>
              <w:t> </w:t>
            </w:r>
            <w:r>
              <w:rPr>
                <w:rFonts w:ascii="Times New Roman;serif" w:hAnsi="Times New Roman;serif"/>
                <w:b w:val="false"/>
                <w:sz w:val="20"/>
              </w:rPr>
              <w:t>years</w:t>
            </w:r>
          </w:p>
        </w:tc>
        <w:tc>
          <w:tcPr>
            <w:tcW w:w="191" w:type="dxa"/>
            <w:tcBorders/>
            <w:shd w:fill="auto" w:val="clear"/>
            <w:vAlign w:val="center"/>
          </w:tcPr>
          <w:p>
            <w:pPr>
              <w:pStyle w:val="TableContents"/>
              <w:spacing w:before="0" w:after="0"/>
              <w:ind w:left="0" w:right="0" w:hanging="0"/>
              <w:jc w:val="right"/>
              <w:rPr/>
            </w:pPr>
            <w:r>
              <w:rPr/>
              <w:t> </w:t>
            </w:r>
          </w:p>
        </w:tc>
      </w:tr>
    </w:tbl>
    <w:p>
      <w:pPr>
        <w:pStyle w:val="TextBody"/>
        <w:spacing w:before="360" w:after="0"/>
        <w:jc w:val="left"/>
        <w:rPr>
          <w:rFonts w:ascii="Times New Roman;serif" w:hAnsi="Times New Roman;serif"/>
          <w:b w:val="false"/>
          <w:i/>
          <w:sz w:val="20"/>
        </w:rPr>
      </w:pPr>
      <w:r>
        <w:rPr>
          <w:rFonts w:ascii="Times New Roman;serif" w:hAnsi="Times New Roman;serif"/>
          <w:b w:val="false"/>
          <w:i/>
          <w:sz w:val="20"/>
        </w:rPr>
        <w:t>Legacy SCS Awards</w:t>
      </w:r>
    </w:p>
    <w:p>
      <w:pPr>
        <w:pStyle w:val="TextBody"/>
        <w:spacing w:before="120" w:after="0"/>
        <w:jc w:val="left"/>
        <w:rPr>
          <w:rFonts w:ascii="Times New Roman" w:hAnsi="Times New Roman"/>
          <w:sz w:val="20"/>
        </w:rPr>
      </w:pPr>
      <w:r>
        <w:rPr>
          <w:rFonts w:ascii="Times New Roman;serif" w:hAnsi="Times New Roman;serif"/>
          <w:b w:val="false"/>
          <w:sz w:val="20"/>
        </w:rPr>
        <w:t>In 2021, SCS had agreed to grant 50,000</w:t>
      </w:r>
      <w:r>
        <w:rPr>
          <w:rFonts w:ascii="Times New Roman" w:hAnsi="Times New Roman"/>
          <w:sz w:val="20"/>
        </w:rPr>
        <w:t xml:space="preserve"> </w:t>
      </w:r>
      <w:r>
        <w:rPr>
          <w:rFonts w:ascii="Times New Roman;serif" w:hAnsi="Times New Roman;serif"/>
          <w:b w:val="false"/>
          <w:sz w:val="20"/>
        </w:rPr>
        <w:t>restricted stock units (“RSUs”) to certain of its board members and other advisors which were contingent upon the consummation of a Business Combination and a shareholder approved equity plan. The RSUs were to vest upon the consummation of such Business Combination and represent 50,000</w:t>
      </w:r>
      <w:r>
        <w:rPr>
          <w:rFonts w:ascii="Times New Roman" w:hAnsi="Times New Roman"/>
          <w:sz w:val="20"/>
        </w:rPr>
        <w:t xml:space="preserve"> </w:t>
      </w:r>
      <w:r>
        <w:rPr>
          <w:rFonts w:ascii="Times New Roman;serif" w:hAnsi="Times New Roman;serif"/>
          <w:b w:val="false"/>
          <w:sz w:val="20"/>
        </w:rPr>
        <w:t>Class A ordinary shares of the Company that will settle on a date determined in the sole discretion of the Company that shall occur between the vesting date and March 15th of the year following the year in which vesting occurs.</w:t>
      </w:r>
    </w:p>
    <w:p>
      <w:pPr>
        <w:pStyle w:val="TextBody"/>
        <w:spacing w:before="120" w:after="0"/>
        <w:jc w:val="left"/>
        <w:rPr>
          <w:rFonts w:ascii="Times New Roman" w:hAnsi="Times New Roman"/>
          <w:sz w:val="20"/>
        </w:rPr>
      </w:pPr>
      <w:r>
        <w:rPr>
          <w:rFonts w:ascii="Times New Roman;serif" w:hAnsi="Times New Roman;serif"/>
          <w:b w:val="false"/>
          <w:sz w:val="20"/>
        </w:rPr>
        <w:t>The RSUs granted by the Company are in the scope of ASC 718. Under ASC 718, stock-based compensation associated with equity-classified awards is measured at fair value upon the grant date. The RSUs granted were subject to a performance condition (i.e., the occurrence of a Business Combination). Compensation expense related to the RSUs is recognized only when the performance condition is probable of occurrence under the applicable accounting literature in this circumstance. Upon Closing, the performance conditions for these awards were met as both a Business Combination had occurred and the shareholders approved a qualifying equity plan. As such, the entire amount of share-based compensation expense related to these awards of $396,000</w:t>
      </w:r>
      <w:r>
        <w:rPr>
          <w:rFonts w:ascii="Times New Roman" w:hAnsi="Times New Roman"/>
          <w:sz w:val="20"/>
        </w:rPr>
        <w:t xml:space="preserve"> </w:t>
      </w:r>
      <w:r>
        <w:rPr>
          <w:rFonts w:ascii="Times New Roman;serif" w:hAnsi="Times New Roman;serif"/>
          <w:b w:val="false"/>
          <w:sz w:val="20"/>
        </w:rPr>
        <w:t>was recognized during the year ended December 31, 2022. The weighted average grant date fair value per share of these RSUs was $7.92.</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Compensation Expense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Compensation expense related to share-based awards is included in research and development and general and administrative expense as follows (in thousands):</w:t>
      </w:r>
    </w:p>
    <w:p>
      <w:pPr>
        <w:pStyle w:val="TextBody"/>
        <w:spacing w:before="0" w:after="0"/>
        <w:jc w:val="both"/>
        <w:rPr/>
      </w:pPr>
      <w:r>
        <w:rPr/>
        <w:t> </w:t>
      </w:r>
    </w:p>
    <w:tbl>
      <w:tblPr>
        <w:tblW w:w="6607" w:type="dxa"/>
        <w:jc w:val="left"/>
        <w:tblInd w:w="0" w:type="dxa"/>
        <w:tblCellMar>
          <w:top w:w="28" w:type="dxa"/>
          <w:left w:w="28" w:type="dxa"/>
          <w:bottom w:w="28" w:type="dxa"/>
          <w:right w:w="28" w:type="dxa"/>
        </w:tblCellMar>
      </w:tblPr>
      <w:tblGrid>
        <w:gridCol w:w="3541"/>
        <w:gridCol w:w="211"/>
        <w:gridCol w:w="676"/>
        <w:gridCol w:w="146"/>
        <w:gridCol w:w="166"/>
        <w:gridCol w:w="211"/>
        <w:gridCol w:w="421"/>
        <w:gridCol w:w="146"/>
        <w:gridCol w:w="166"/>
        <w:gridCol w:w="211"/>
        <w:gridCol w:w="421"/>
        <w:gridCol w:w="291"/>
      </w:tblGrid>
      <w:tr>
        <w:trPr/>
        <w:tc>
          <w:tcPr>
            <w:tcW w:w="35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3541" w:type="dxa"/>
            <w:tcBorders/>
            <w:shd w:fill="auto" w:val="clear"/>
            <w:vAlign w:val="center"/>
          </w:tcPr>
          <w:p>
            <w:pPr>
              <w:pStyle w:val="TableContents"/>
              <w:spacing w:before="0" w:after="0"/>
              <w:ind w:left="0" w:right="0" w:hanging="0"/>
              <w:jc w:val="left"/>
              <w:rPr>
                <w:rFonts w:cs="Times New Roman;serif"/>
                <w:bCs w:val="false"/>
                <w:szCs w:val="20"/>
              </w:rPr>
            </w:pPr>
            <w:r>
              <w:rPr>
                <w:rFonts w:cs="Times New Roman;serif"/>
                <w:bCs w:val="false"/>
                <w:szCs w:val="20"/>
              </w:rPr>
              <w:t>﻿</w:t>
            </w:r>
          </w:p>
        </w:tc>
        <w:tc>
          <w:tcPr>
            <w:tcW w:w="2775" w:type="dxa"/>
            <w:gridSpan w:val="10"/>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Years Ended December 31,</w:t>
            </w:r>
          </w:p>
        </w:tc>
        <w:tc>
          <w:tcPr>
            <w:tcW w:w="291" w:type="dxa"/>
            <w:tcBorders/>
            <w:shd w:fill="auto" w:val="clear"/>
            <w:vAlign w:val="center"/>
          </w:tcPr>
          <w:p>
            <w:pPr>
              <w:pStyle w:val="TableContents"/>
              <w:spacing w:before="0" w:after="0"/>
              <w:ind w:left="0" w:right="0" w:hanging="0"/>
              <w:jc w:val="center"/>
              <w:rPr/>
            </w:pPr>
            <w:r>
              <w:rPr/>
              <w:t> </w:t>
            </w:r>
          </w:p>
        </w:tc>
      </w:tr>
      <w:tr>
        <w:trPr/>
        <w:tc>
          <w:tcPr>
            <w:tcW w:w="3541" w:type="dxa"/>
            <w:tcBorders/>
            <w:shd w:fill="auto" w:val="clear"/>
            <w:vAlign w:val="center"/>
          </w:tcPr>
          <w:p>
            <w:pPr>
              <w:pStyle w:val="TableContents"/>
              <w:spacing w:before="0" w:after="0"/>
              <w:ind w:left="0" w:right="0" w:hanging="0"/>
              <w:jc w:val="center"/>
              <w:rPr>
                <w:rFonts w:cs="Times New Roman;serif"/>
                <w:bCs/>
                <w:szCs w:val="20"/>
              </w:rPr>
            </w:pPr>
            <w:r>
              <w:rPr>
                <w:rFonts w:cs="Times New Roman;serif"/>
                <w:bCs/>
                <w:szCs w:val="20"/>
              </w:rPr>
              <w:t>﻿</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rFonts w:cs="Times New Roman;serif"/>
                <w:bCs/>
                <w:szCs w:val="20"/>
              </w:rPr>
            </w:pPr>
            <w:r>
              <w:rPr>
                <w:rFonts w:cs="Times New Roman;serif"/>
                <w:bCs/>
                <w:szCs w:val="20"/>
              </w:rPr>
              <w:t>﻿</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rFonts w:cs="Times New Roman;serif"/>
                <w:bCs/>
                <w:szCs w:val="20"/>
              </w:rPr>
            </w:pPr>
            <w:r>
              <w:rPr>
                <w:rFonts w:cs="Times New Roman;serif"/>
                <w:bCs/>
                <w:szCs w:val="20"/>
              </w:rPr>
              <w:t>﻿</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2020</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23,711</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r>
              <w:rPr>
                <w:rFonts w:cs="Times New Roman;serif"/>
                <w:bCs w:val="false"/>
                <w:szCs w:val="20"/>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r>
              <w:rPr>
                <w:rFonts w:cs="Times New Roman;serif"/>
                <w:bCs w:val="false"/>
                <w:szCs w:val="20"/>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pPr>
            <w:r>
              <w:rPr/>
              <w:t>–</w:t>
            </w:r>
          </w:p>
        </w:tc>
        <w:tc>
          <w:tcPr>
            <w:tcW w:w="291" w:type="dxa"/>
            <w:tcBorders/>
            <w:shd w:fill="auto" w:val="clear"/>
            <w:vAlign w:val="center"/>
          </w:tcPr>
          <w:p>
            <w:pPr>
              <w:pStyle w:val="TableContents"/>
              <w:spacing w:before="0" w:after="0"/>
              <w:ind w:left="0" w:right="0" w:hanging="0"/>
              <w:jc w:val="left"/>
              <w:rPr/>
            </w:pPr>
            <w:r>
              <w:rPr/>
              <w:t> </w:t>
            </w:r>
          </w:p>
        </w:tc>
      </w:tr>
      <w:tr>
        <w:trPr/>
        <w:tc>
          <w:tcPr>
            <w:tcW w:w="35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50,758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r>
              <w:rPr>
                <w:rFonts w:cs="Times New Roman;serif"/>
                <w:bCs w:val="false"/>
                <w:szCs w:val="20"/>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r>
              <w:rPr>
                <w:rFonts w:cs="Times New Roman;serif"/>
                <w:bCs w:val="false"/>
                <w:szCs w:val="20"/>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354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equity-based compensation expense</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74,469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r>
              <w:rPr>
                <w:rFonts w:cs="Times New Roman;serif"/>
                <w:bCs w:val="false"/>
                <w:szCs w:val="20"/>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r>
              <w:rPr>
                <w:rFonts w:cs="Times New Roman;serif"/>
                <w:bCs w:val="false"/>
                <w:szCs w:val="20"/>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F-22</w:t>
      </w:r>
    </w:p>
    <w:p>
      <w:pPr>
        <w:pStyle w:val="HorizontalLine"/>
        <w:rPr/>
      </w:pPr>
      <w:r>
        <w:rPr/>
      </w:r>
      <w:r>
        <w:br w:type="page"/>
      </w:r>
    </w:p>
    <w:p>
      <w:pPr>
        <w:pStyle w:val="TextBody"/>
        <w:spacing w:before="0" w:after="0"/>
        <w:jc w:val="right"/>
        <w:rPr>
          <w:rFonts w:ascii="Times New Roman;serif" w:hAnsi="Times New Roman;serif"/>
          <w:b/>
          <w:sz w:val="22"/>
        </w:rPr>
      </w:pPr>
      <w:bookmarkStart w:id="127" w:name="prok-ex4_1.htm"/>
      <w:bookmarkStart w:id="128" w:name="ksprokex4_1"/>
      <w:bookmarkEnd w:id="127"/>
      <w:bookmarkEnd w:id="128"/>
      <w:r>
        <w:rPr>
          <w:rFonts w:ascii="Times New Roman;serif" w:hAnsi="Times New Roman;serif"/>
          <w:b/>
          <w:sz w:val="22"/>
        </w:rPr>
        <w:t>Exhibit 4.1</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DESCRIPTION OF REGISTERED SECURITIES</w:t>
      </w:r>
    </w:p>
    <w:p>
      <w:pPr>
        <w:pStyle w:val="TextBody"/>
        <w:spacing w:before="0" w:after="0"/>
        <w:jc w:val="left"/>
        <w:rPr/>
      </w:pPr>
      <w:r>
        <w:rPr/>
        <w:t> </w:t>
      </w:r>
    </w:p>
    <w:p>
      <w:pPr>
        <w:pStyle w:val="TextBody"/>
        <w:spacing w:before="0" w:after="0"/>
        <w:jc w:val="both"/>
        <w:rPr>
          <w:rFonts w:ascii="Times New Roman;serif" w:hAnsi="Times New Roman;serif"/>
          <w:b w:val="false"/>
          <w:i/>
          <w:sz w:val="20"/>
        </w:rPr>
      </w:pPr>
      <w:r>
        <w:rPr>
          <w:rFonts w:ascii="Times New Roman;serif" w:hAnsi="Times New Roman;serif"/>
          <w:b w:val="false"/>
          <w:i/>
          <w:sz w:val="20"/>
        </w:rPr>
        <w:t>ProKidney Corp. (the “Company,” “we,” “our,” or “us”) has one class of securities registered under Section 12 of the Securities Exchange Act of 1934, as amended: our Class A ordinary shares, par value $0.0001 per share (the “Class A Shares”). In addition, this Description of Registered Securities also contains a description of the Company’s Class B ordinary shares, par value $0.0001 per share (the “Class B Shares” and together with the Class A Shares, the “Ordinary Shares”), which are not registered pursuant to Section 12 of the Exchange Act but are exchangeable for Class A Shares. The description of the Class B Shares is necessary to understand the material terms of the Class A Shares. The following description of the material terms of our share capital includes a summary of certain provisions of our second amended and restated memorandum and articles of association (the “Articles”) and the Companies Act (As Revised) of the Cayman Islands as the same may be amended from time to time (the “Companies Act”). This description is qualified by reference to our Articles which are incorporated by reference as an exhibit to this annual report on Form 10-K (the “Report”). We encourage you to read our Articles and applicable provisions of the Companies Act carefully. Terms used herein but not defined have the meanings set forth in the Report.</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are a Cayman Islands exempted company with limited liability and our affairs are governed by the Articles, the Companies Act and the common law of the Cayman Islands. Pursuant to the Articles, we are authorized to issue 500,000,000 Class A Shares, 500,000,000 Class B Shares and 5,000,000 preference shares, par value of $0.0001 per share.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Defined terms used herein but not otherwise defined shall have the meaning ascribed to such terms in the Company’s Annual Report on Form 10-K for the year ended December 31, 2022.</w:t>
      </w:r>
    </w:p>
    <w:p>
      <w:pPr>
        <w:pStyle w:val="TextBody"/>
        <w:spacing w:before="0" w:after="0"/>
        <w:jc w:val="left"/>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Ordinary Shares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Holders of Ordinary Shares are entitled to one vote for each share held of record on all matters to be voted on by members. The Class A Shares and Class B Shares vote together as a single class on all matters.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There is no cumulative voting with respect to the election of directors.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Preference Shares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board of directors (the “Board”) is authorized to issue preference shares from time to time in one or more series without member approval, provided that the aggregate number of shares issued shall not exceed the total number of preference shares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preference shares from time to time adopted by the Board pursuant to authority so to do which is expressly vested in the Board. The powers, including voting powers, if any, preferences and relative, participating, optional and other special rights of each series of preference shares, and the qualifications, limitations or restrictions thereof, if any, may differ from those of any and all other series at any time outstanding. The effect of issuing preference shares could include, among other things, one or more of the following:</w:t>
      </w:r>
    </w:p>
    <w:p>
      <w:pPr>
        <w:pStyle w:val="TextBody"/>
        <w:spacing w:before="0" w:after="0"/>
        <w:jc w:val="both"/>
        <w:rPr/>
      </w:pPr>
      <w:r>
        <w:rPr/>
        <w:t> </w:t>
      </w:r>
    </w:p>
    <w:tbl>
      <w:tblPr>
        <w:tblW w:w="5053" w:type="dxa"/>
        <w:jc w:val="left"/>
        <w:tblInd w:w="0" w:type="dxa"/>
        <w:tblCellMar>
          <w:top w:w="28" w:type="dxa"/>
          <w:left w:w="28" w:type="dxa"/>
          <w:bottom w:w="28" w:type="dxa"/>
          <w:right w:w="28" w:type="dxa"/>
        </w:tblCellMar>
      </w:tblPr>
      <w:tblGrid>
        <w:gridCol w:w="161"/>
        <w:gridCol w:w="256"/>
        <w:gridCol w:w="463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63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both"/>
              <w:rPr/>
            </w:pPr>
            <w:r>
              <w:rPr/>
              <w:t>●</w:t>
            </w:r>
          </w:p>
        </w:tc>
        <w:tc>
          <w:tcPr>
            <w:tcW w:w="4636"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Restricting dividends in respect of the Ordinary Shares;</w:t>
            </w:r>
          </w:p>
        </w:tc>
      </w:tr>
      <w:tr>
        <w:trPr/>
        <w:tc>
          <w:tcPr>
            <w:tcW w:w="161" w:type="dxa"/>
            <w:tcBorders/>
            <w:shd w:fill="auto" w:val="clear"/>
            <w:vAlign w:val="center"/>
          </w:tcPr>
          <w:p>
            <w:pPr>
              <w:pStyle w:val="TableContents"/>
              <w:spacing w:before="0" w:after="0"/>
              <w:ind w:left="0" w:right="0" w:hanging="0"/>
              <w:jc w:val="both"/>
              <w:rPr/>
            </w:pPr>
            <w:r>
              <w:rPr/>
              <w:t> </w:t>
            </w:r>
          </w:p>
        </w:tc>
        <w:tc>
          <w:tcPr>
            <w:tcW w:w="256" w:type="dxa"/>
            <w:tcBorders/>
            <w:shd w:fill="auto" w:val="clear"/>
            <w:vAlign w:val="center"/>
          </w:tcPr>
          <w:p>
            <w:pPr>
              <w:pStyle w:val="TableContents"/>
              <w:spacing w:before="0" w:after="0"/>
              <w:ind w:left="0" w:right="0" w:hanging="0"/>
              <w:jc w:val="both"/>
              <w:rPr/>
            </w:pPr>
            <w:r>
              <w:rPr/>
              <w:t> </w:t>
            </w:r>
          </w:p>
        </w:tc>
        <w:tc>
          <w:tcPr>
            <w:tcW w:w="4636" w:type="dxa"/>
            <w:tcBorders/>
            <w:shd w:fill="auto" w:val="clear"/>
            <w:vAlign w:val="center"/>
          </w:tcPr>
          <w:p>
            <w:pPr>
              <w:pStyle w:val="TableContents"/>
              <w:spacing w:before="0" w:after="0"/>
              <w:ind w:left="0" w:right="0" w:hanging="0"/>
              <w:jc w:val="both"/>
              <w:rPr/>
            </w:pPr>
            <w:r>
              <w:rPr/>
              <w:t> </w:t>
            </w:r>
          </w:p>
        </w:tc>
      </w:tr>
    </w:tbl>
    <w:p>
      <w:pPr>
        <w:pStyle w:val="TextBody"/>
        <w:spacing w:before="0" w:after="0"/>
        <w:jc w:val="left"/>
        <w:rPr/>
      </w:pPr>
      <w:r>
        <w:rPr/>
        <w:t> </w:t>
      </w:r>
    </w:p>
    <w:tbl>
      <w:tblPr>
        <w:tblW w:w="8278" w:type="dxa"/>
        <w:jc w:val="left"/>
        <w:tblInd w:w="0" w:type="dxa"/>
        <w:tblCellMar>
          <w:top w:w="28" w:type="dxa"/>
          <w:left w:w="28" w:type="dxa"/>
          <w:bottom w:w="28" w:type="dxa"/>
          <w:right w:w="28" w:type="dxa"/>
        </w:tblCellMar>
      </w:tblPr>
      <w:tblGrid>
        <w:gridCol w:w="161"/>
        <w:gridCol w:w="256"/>
        <w:gridCol w:w="786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86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both"/>
              <w:rPr/>
            </w:pPr>
            <w:r>
              <w:rPr/>
              <w:t>●</w:t>
            </w:r>
          </w:p>
        </w:tc>
        <w:tc>
          <w:tcPr>
            <w:tcW w:w="786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Diluting the voting power of the Ordinary Shares or providing that holders of preference shares</w:t>
            </w:r>
            <w:r>
              <w:rPr>
                <w:rFonts w:ascii="Times New Roman" w:hAnsi="Times New Roman"/>
                <w:sz w:val="20"/>
              </w:rPr>
              <w:t xml:space="preserve"> </w:t>
            </w:r>
          </w:p>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have the right to vote on matters as a class;</w:t>
            </w:r>
          </w:p>
        </w:tc>
      </w:tr>
      <w:tr>
        <w:trPr/>
        <w:tc>
          <w:tcPr>
            <w:tcW w:w="161" w:type="dxa"/>
            <w:tcBorders/>
            <w:shd w:fill="auto" w:val="clear"/>
            <w:vAlign w:val="center"/>
          </w:tcPr>
          <w:p>
            <w:pPr>
              <w:pStyle w:val="TableContents"/>
              <w:spacing w:before="0" w:after="0"/>
              <w:ind w:left="0" w:right="0" w:hanging="0"/>
              <w:jc w:val="both"/>
              <w:rPr/>
            </w:pPr>
            <w:r>
              <w:rPr/>
              <w:t> </w:t>
            </w:r>
          </w:p>
        </w:tc>
        <w:tc>
          <w:tcPr>
            <w:tcW w:w="256" w:type="dxa"/>
            <w:tcBorders/>
            <w:shd w:fill="auto" w:val="clear"/>
            <w:vAlign w:val="center"/>
          </w:tcPr>
          <w:p>
            <w:pPr>
              <w:pStyle w:val="TableContents"/>
              <w:spacing w:before="0" w:after="0"/>
              <w:ind w:left="0" w:right="0" w:hanging="0"/>
              <w:jc w:val="both"/>
              <w:rPr/>
            </w:pPr>
            <w:r>
              <w:rPr/>
              <w:t> </w:t>
            </w:r>
          </w:p>
        </w:tc>
        <w:tc>
          <w:tcPr>
            <w:tcW w:w="7861" w:type="dxa"/>
            <w:tcBorders/>
            <w:shd w:fill="auto" w:val="clear"/>
            <w:vAlign w:val="center"/>
          </w:tcPr>
          <w:p>
            <w:pPr>
              <w:pStyle w:val="TableContents"/>
              <w:spacing w:before="0" w:after="0"/>
              <w:ind w:left="0" w:right="0" w:hanging="0"/>
              <w:jc w:val="both"/>
              <w:rPr/>
            </w:pPr>
            <w:r>
              <w:rPr/>
              <w:t> </w:t>
            </w:r>
          </w:p>
        </w:tc>
      </w:tr>
    </w:tbl>
    <w:p>
      <w:pPr>
        <w:pStyle w:val="TextBody"/>
        <w:spacing w:before="0" w:after="0"/>
        <w:jc w:val="left"/>
        <w:rPr/>
      </w:pPr>
      <w:r>
        <w:rPr/>
        <w:t> </w:t>
      </w:r>
    </w:p>
    <w:tbl>
      <w:tblPr>
        <w:tblW w:w="5248" w:type="dxa"/>
        <w:jc w:val="left"/>
        <w:tblInd w:w="0" w:type="dxa"/>
        <w:tblCellMar>
          <w:top w:w="28" w:type="dxa"/>
          <w:left w:w="28" w:type="dxa"/>
          <w:bottom w:w="28" w:type="dxa"/>
          <w:right w:w="28" w:type="dxa"/>
        </w:tblCellMar>
      </w:tblPr>
      <w:tblGrid>
        <w:gridCol w:w="161"/>
        <w:gridCol w:w="256"/>
        <w:gridCol w:w="483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83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both"/>
              <w:rPr/>
            </w:pPr>
            <w:r>
              <w:rPr/>
              <w:t>●</w:t>
            </w:r>
          </w:p>
        </w:tc>
        <w:tc>
          <w:tcPr>
            <w:tcW w:w="483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Impairing the liquidation rights of the Ordinary Shares; or</w:t>
            </w:r>
          </w:p>
        </w:tc>
      </w:tr>
      <w:tr>
        <w:trPr/>
        <w:tc>
          <w:tcPr>
            <w:tcW w:w="161" w:type="dxa"/>
            <w:tcBorders/>
            <w:shd w:fill="auto" w:val="clear"/>
            <w:vAlign w:val="center"/>
          </w:tcPr>
          <w:p>
            <w:pPr>
              <w:pStyle w:val="TableContents"/>
              <w:spacing w:before="0" w:after="0"/>
              <w:ind w:left="0" w:right="0" w:hanging="0"/>
              <w:jc w:val="both"/>
              <w:rPr/>
            </w:pPr>
            <w:r>
              <w:rPr/>
              <w:t> </w:t>
            </w:r>
          </w:p>
        </w:tc>
        <w:tc>
          <w:tcPr>
            <w:tcW w:w="256" w:type="dxa"/>
            <w:tcBorders/>
            <w:shd w:fill="auto" w:val="clear"/>
            <w:vAlign w:val="center"/>
          </w:tcPr>
          <w:p>
            <w:pPr>
              <w:pStyle w:val="TableContents"/>
              <w:spacing w:before="0" w:after="0"/>
              <w:ind w:left="0" w:right="0" w:hanging="0"/>
              <w:jc w:val="both"/>
              <w:rPr/>
            </w:pPr>
            <w:r>
              <w:rPr/>
              <w:t> </w:t>
            </w:r>
          </w:p>
        </w:tc>
        <w:tc>
          <w:tcPr>
            <w:tcW w:w="4831" w:type="dxa"/>
            <w:tcBorders/>
            <w:shd w:fill="auto" w:val="clear"/>
            <w:vAlign w:val="center"/>
          </w:tcPr>
          <w:p>
            <w:pPr>
              <w:pStyle w:val="TableContents"/>
              <w:spacing w:before="0" w:after="0"/>
              <w:ind w:left="0" w:right="0" w:hanging="0"/>
              <w:jc w:val="both"/>
              <w:rPr/>
            </w:pPr>
            <w:r>
              <w:rPr/>
              <w:t> </w:t>
            </w:r>
          </w:p>
        </w:tc>
      </w:tr>
    </w:tbl>
    <w:p>
      <w:pPr>
        <w:pStyle w:val="TextBody"/>
        <w:spacing w:before="0" w:after="0"/>
        <w:jc w:val="left"/>
        <w:rPr/>
      </w:pPr>
      <w:r>
        <w:rPr/>
        <w:t> </w:t>
      </w:r>
    </w:p>
    <w:tbl>
      <w:tblPr>
        <w:tblW w:w="5458" w:type="dxa"/>
        <w:jc w:val="left"/>
        <w:tblInd w:w="0" w:type="dxa"/>
        <w:tblCellMar>
          <w:top w:w="28" w:type="dxa"/>
          <w:left w:w="28" w:type="dxa"/>
          <w:bottom w:w="28" w:type="dxa"/>
          <w:right w:w="28" w:type="dxa"/>
        </w:tblCellMar>
      </w:tblPr>
      <w:tblGrid>
        <w:gridCol w:w="161"/>
        <w:gridCol w:w="256"/>
        <w:gridCol w:w="504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04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both"/>
              <w:rPr/>
            </w:pPr>
            <w:r>
              <w:rPr/>
              <w:t>●</w:t>
            </w:r>
          </w:p>
        </w:tc>
        <w:tc>
          <w:tcPr>
            <w:tcW w:w="504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Delaying or preventing a change of control of the Company.</w:t>
            </w:r>
          </w:p>
        </w:tc>
      </w:tr>
    </w:tbl>
    <w:p>
      <w:pPr>
        <w:pStyle w:val="TextBody"/>
        <w:spacing w:before="0" w:after="0"/>
        <w:jc w:val="both"/>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both"/>
        <w:rPr>
          <w:rFonts w:ascii="Times New Roman;serif" w:hAnsi="Times New Roman;serif"/>
          <w:b w:val="false"/>
          <w:sz w:val="20"/>
        </w:rPr>
      </w:pPr>
      <w:r>
        <w:rPr>
          <w:rFonts w:ascii="Times New Roman;serif" w:hAnsi="Times New Roman;serif"/>
          <w:b w:val="false"/>
          <w:sz w:val="20"/>
        </w:rPr>
        <w:t>As of December 31, 2022, there were no preference shares outstanding, and we have no present plans to designate the rights of or to issue any preference shares.</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Dividend Rights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Subject to the foregoing, with respect to the Class A Shares, the payment of cash dividends in the future, if any, will be at the discretion of the Board. With respect to the Class B Shares, such members will not participate in dividends declared by the Board, if any.</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Variation of Rights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Under the Articles, if the share capital is divided into more than one class of shares, the rights attached to any such class may, whether or not the Company is being wound up, be varied without the consent of the holders of the issued shares of that class where such variation is considered by the directors not to have an adverse effect upon such rights; otherwise, any such variation shall be made only with the consent in writing of the holders of not less than three fourths of the issued Ordinary Shares of that class, or with the approval of a resolution passed by a majority of not less than three fourths of the issued Ordinary Shares of that class at a separate meeting of the holders of the Ordinary Shares of that class.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Preemptive or Other Rights</w:t>
      </w:r>
    </w:p>
    <w:p>
      <w:pPr>
        <w:pStyle w:val="TextBody"/>
        <w:spacing w:before="0" w:after="0"/>
        <w:jc w:val="both"/>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holders of our Class A Shares have no preemptive or conversion rights or other subscription rights (other than in connection with certain issuances of common units under the Second Amended and Restated ProKidney Limited Partnership Agreement). There are no redemption or sinking fund provisions applicable to our Class A Shares. The rights, preferences and privileges of holders of our Class A Shares will be subject to those of the holders of any preference shares we may issue in the future.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holders of our Class B Shares do not have preemptive, subscription, redemption or conversion rights. There will be no redemption or sinking fund provisions applicable to our Class B Shares.</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Transfer of Shares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 member may transfer all or any of the member’s Ordinary Shares in compliance with the rules and regulations of Nasdaq, the SEC and any other competent regulatory authority or as permitted by applicable law.</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Board may in its absolute discretion decline to register a transfer of Ordinary Shares which are not fully paid up or on which the Company has a lien or issued under any share incentive scheme for employees upon which a transfer restriction imposed still exists. The Board may, but is not required to, decline to register a transfer of any Ordinary Shares unless certain requirements are met.</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Any attempted transfer that is not a permitted transfer as described above will be null and void.</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Liquidation</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 xml:space="preserve">In the event of a winding up or dissolution of the Company, the Class A Shares shall, subject to any applicable law and the rights, if any, of the holders of any outstanding Preference Shares, carry the right to receive all the remaining assets of the Company available for distribution to the members of the Company, ratably in proportion to the number of Class A Shares held by them. Holders of Class B Shares shall be entitled, </w:t>
      </w:r>
      <w:r>
        <w:rPr>
          <w:rFonts w:ascii="Times New Roman;serif" w:hAnsi="Times New Roman;serif"/>
          <w:b w:val="false"/>
          <w:i/>
          <w:sz w:val="20"/>
        </w:rPr>
        <w:t>pari passu</w:t>
      </w:r>
      <w:r>
        <w:rPr>
          <w:rFonts w:ascii="Times New Roman" w:hAnsi="Times New Roman"/>
          <w:sz w:val="20"/>
        </w:rPr>
        <w:t xml:space="preserve"> </w:t>
      </w:r>
      <w:r>
        <w:rPr>
          <w:rFonts w:ascii="Times New Roman;serif" w:hAnsi="Times New Roman;serif"/>
          <w:b w:val="false"/>
          <w:sz w:val="20"/>
        </w:rPr>
        <w:t>with the holders of Class A Shares, to an amount equal to the capital paid up on such Class B Shares. Class B Shares shall not carry any other right to participate in the profits or assets of the Company.</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Indemnification of Directors and Executive Officers and Limitation of Liability</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both"/>
        <w:rPr>
          <w:rFonts w:ascii="Times New Roman;serif" w:hAnsi="Times New Roman;serif"/>
          <w:b w:val="false"/>
          <w:sz w:val="20"/>
        </w:rPr>
      </w:pPr>
      <w:r>
        <w:rPr>
          <w:rFonts w:ascii="Times New Roman;serif" w:hAnsi="Times New Roman;serif"/>
          <w:b w:val="false"/>
          <w:sz w:val="20"/>
        </w:rPr>
        <w:t>committing a crime. The Articles permit indemnification of officers and directors for any liability, action, proceeding, claim, demand, costs damages or expenses, including legal expenses, incurred in their capacities as such unless such liability (if any) arises from actual fraud, willful neglect or willful default, as determined by a court of competent jurisdiction in a final non-appealable order. In addition, we have entered into indemnification agreements with our directors and senior executive officers that provide such persons with additional indemnification beyond that provided in the Articles.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Certain Anti-Takeover Provisions in the Articles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Certain provisions in the Articles may be deemed to have an anti-takeover effect and may delay, deter or prevent a tender offer or takeover attempt that a member might consider to be in its best interests, including attempts that might result in a premium being paid over the market price for the Ordinary Shares. These provisions are also designed, in part, to encourage persons seeking to acquire control of us to first negotiate with the Board.</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Ordinary Shares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authorized but unissued Ordinary Shares will be available for future issuance by the Board on such terms as the Board may determine, subject to any limitations in the Articles. These additional shares may be utilized for a variety of corporate purposes, including future public offerings to raise additional capital, corporate acquisitions and employee benefit plans. The existence of authorized but unissued Ordinary Shares could render more difficult or discourage an attempt to obtain control over us by means of a proxy contest, tender offer, merger, amalgamation, scheme of arrangement or otherwise.</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Preference Shares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Preference shares could be issued quickly with terms calculated to delay or prevent a change in control of the Company or make removal of management more difficult. If the Board decides to issue these preference shares, the price of Ordinary Shares may fall and the voting and other rights of the holders of Ordinary Shares may be materially adversely affected. Pursuant to the Articles, preference shares may be issued by us from time to time, and the Board is authorized (without any requirement for further member action) to determine the rights, preferences, powers, qualifications, limitations and restrictions attaching to those shares (and any further undesignated shares which may be authorized by our members).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However, under Cayman Islands law, our directors may only exercise the rights and powers granted to them under the Articles for a proper purpose and for what they believe in good faith to be in the best interests of the Company.</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Classified Board</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board of directors is comprised of nine directors. The Articles provide that, subject to the right of holders of any series of preference shares, our Board is divided into three classes of directors, as nearly equal in number as possible, and with the directors serving staggered three-year terms, with only one class of directors being elected at each annual general meeting. As a result, one-third of the Board will be elected each year.</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classification of directors has the effect of making it more difficult for members to change the composition of the Board. The Articles provide for a board comprised of not less than one director, but in accordance with the Articles, the directors may increase or reduce the upper and lower limits of the number of directors.</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Unanimous Action by Written Consent</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Articles provide that members may approve corporate matters by way of a special resolution signed by or on behalf of each member who would have been entitled to vote on such matter at a general meeting without a meeting being held.</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Amendment of Governing Documents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As permitted by Cayman Islands law, the Articles may be amended by ordinary or special resolution.</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Member Proposals and Director Nominations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 general meeting may be called by the board of directors or any other person authorized to do so in the governing documents, but members may be precluded from calling special meetings.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Companies Act does not provide members with rights to requisition a general meeting and does not provide members with any right to put any proposal before a general meeting.</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Articles provide that members seeking to bring business before an annual general meeting or to nominate candidates for appointment as directors at the annual general meeting must deliver notice to the Company not less than 120 calendar days before the date of the Company’s proxy statement released to members in connection with the previous year’s annual general meeting or, if the Company did not hold an annual general meeting the previous year, or if the date of the current year’s annual general meeting has been changed by more than 30 days from the date of the previous year’s annual general meeting, then the deadline is set by the Board with such deadline being a reasonable time before the Company begins to print and send its related proxy materials.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General Meetings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Companies Act does not provide members with rights to requisition a general meeting. The Articles permit the Board, the chief executive officer or the chairperson of the Board to call general meetings. The Articles do not allow members to requisition a general meeting.</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Cumulative Voting</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Cumulative voting potentially facilitates the representation of minority members on a board of directors since it permits the minority member to cast all the votes to which the member is entitled on a single director, which increases the member’s voting power with respect to electing such director. As permitted under Cayman Islands law, the Articles do not provide for cumulative voting.</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Transactions with Interested Members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Cayman Islands law has no statute that prohibits certain business combinations with an interested member. However, although Cayman Islands law does not regulate transactions between a company and its significant members, it does provide that such transactions must be entered into bona fide in the best interests of the company and for a proper corporate purpose and not with the effect of constituting a fraud on the minority members. Any merger or consolidation of the Company with one (1) or more constituent companies shall require the approval of a special resolution (66⅔% of members at a general meeting where there is a quorum).</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Dissolution; Winding Up</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Under Cayman Islands law, a company may be wound up by either an order of the courts of the Cayman Islands or by a special resolution of its members or, if the company is unable to pay its debts as they fall due, by an ordinary resolution (simple majority standard) of its members. The court has authority to order winding up in a number of specified circumstances including where it is, in the opinion of the court, just and equitable to do so.</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Under the Articles, if the Company is wound up, the liquidator may distribute the assets available for distribution amongst the members in proportion to the par value of the Ordinary Shares held by them at the commencement of the winding up subject to a deduction from those Ordinary Shares in respect of which there are monies due, of all monies payable to the Company for unpaid calls or otherwise. On a winding up or dissolution of the Company, the Class A Shares shall, subject to any applicable law and the rights, if any, of the holders of any outstanding Preference Shares, carry the right to receive all the remaining assets of the Company available for distribution to the members of the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both"/>
        <w:rPr>
          <w:rFonts w:ascii="Times New Roman" w:hAnsi="Times New Roman"/>
          <w:sz w:val="20"/>
        </w:rPr>
      </w:pPr>
      <w:r>
        <w:rPr>
          <w:rFonts w:ascii="Times New Roman;serif" w:hAnsi="Times New Roman;serif"/>
          <w:b w:val="false"/>
          <w:sz w:val="20"/>
        </w:rPr>
        <w:t xml:space="preserve">Company, ratably in proportion to the number of Class A Shares held by them. Holders of Class B Shares shall be entitled, </w:t>
      </w:r>
      <w:r>
        <w:rPr>
          <w:rFonts w:ascii="Times New Roman;serif" w:hAnsi="Times New Roman;serif"/>
          <w:b w:val="false"/>
          <w:i/>
          <w:sz w:val="20"/>
        </w:rPr>
        <w:t>pari passu</w:t>
      </w:r>
      <w:r>
        <w:rPr>
          <w:rFonts w:ascii="Times New Roman" w:hAnsi="Times New Roman"/>
          <w:sz w:val="20"/>
        </w:rPr>
        <w:t xml:space="preserve"> </w:t>
      </w:r>
      <w:r>
        <w:rPr>
          <w:rFonts w:ascii="Times New Roman;serif" w:hAnsi="Times New Roman;serif"/>
          <w:b w:val="false"/>
          <w:sz w:val="20"/>
        </w:rPr>
        <w:t>with the holders of Class A Shares, to an amount equal to the capital paid up on such Class B Shares. Class B Shares shall not carry any other right to participate in the profits or assets of the Company.</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Rights of Non-Resident or Foreign Members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There are no limitations imposed by the Articles on the rights of non-resident or foreign members to hold or exercise voting rights on the Company’s shares. In addition, there are no provisions in the Articles governing the ownership threshold above which member ownership must be disclosed.</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Directors’ Power to Issue Shares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Subject to applicable law, the Board is empowered to issue or allot shares or grant options and warrants with or without preferred, deferred, or other rights or restrictions.</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Inspection of Books and Records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Holders of shares have no general right under Cayman Islands law to inspect or obtain copies of the Company’s register of members or the Company’s corporate records.</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Waiver of Certain Corporate Opportunities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Articles provide for a waiver of the obligation by the independent directors to provide business opportunities to the Company. Notwithstanding the foregoing, such provision in the Articles does not apply to any potential transaction or matter that may be a corporate opportunity for the Company or any of its subsidiaries presented to an independent director expressly in his or her capacity as a director of the Company or any of its subsidiaries.</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Directors</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Appointment of Directors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Board is divided into three (3) classes designated as Class I, Class II and Class III, respectively with directors divided into thirds among the classes. Subject to the Business Combination Agreement, directors are assigned to each class by the Board. At our 2023 annual general meeting, the term of office of the Class I directors shall expire and Class I directors shall be elected for a full term of three (3) years. At our 2024 annual general meeting, the term of office of the Class II directors shall expire and Class II directors shall be elected for a full term of three (3) years. At our 2025 annual general meeting, the term of office of the Class III directors shall expire and Class III directors shall be elected for a full term of three (3) years. At each succeeding annual general meeting, directors shall be elected for a full term of three (3) years to succeed the directors of the class whose terms expire at such annual general meeting. Directors hold office until the expiration of the director’s term, until a director’s successor has been duly elected and qualified or until such director’s earlier death, resignation or removal.</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Directors are elected by ordinary resolution passed by a simple majority of members entitled to vote.</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Any director may in writing appoint another person to be such director’s alternate, with the alternate having the authority to act in the director’s place at any meeting at which the appointing director is unable to be present. A director may, but is not required to, appoint another director to be an alternate.</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Removal of Directors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Under the Articles, a director may be removed from office by special resolution of the Company. A director will also cease to be a director if he or she (i) becomes bankrupt or makes any arrangement or composition with such director’s creditors; (ii) is found to be or becomes of unsound mind; (iii) resigns the office of director by notice in writing to the company; (iv) absents himself or herself (for the avoidance of doubt, without being represented by an alternate) from three (3) consecutive meetings of the Board without special leave of absence from the Board, and the Board passes a resolution that he or she has by reason of such absence vacated office; or (v) all of the other directors (being not less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both"/>
        <w:rPr>
          <w:rFonts w:ascii="Times New Roman;serif" w:hAnsi="Times New Roman;serif"/>
          <w:b w:val="false"/>
          <w:sz w:val="20"/>
        </w:rPr>
      </w:pPr>
      <w:r>
        <w:rPr>
          <w:rFonts w:ascii="Times New Roman;serif" w:hAnsi="Times New Roman;serif"/>
          <w:b w:val="false"/>
          <w:sz w:val="20"/>
        </w:rPr>
        <w:t>than two in number) determine that such director should be removed as a director, either by a resolution passed by all of the other directors at a meeting of the directors duly convened and held in accordance with the Articles or by a resolution in writing signed by all of the other directors.</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Filling Vacancies on the Board</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Vacancies on the Board may be filled by the majority of the directors then in office, even if less than a quorum, or by a sole remaining director (subject to the Companies Act, applicable law, or any rights of any preference shares).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 director appointed to fill a vacancy resulting from the death, resignation or removal of a director serves the remainder of the full term of the director whose death, resignation or removal created the vacancy and until his or her successor shall have been appointed and qualified.</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Directors’ Fiduciary Duties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Under Cayman Islands law, directors and officers owe the following fiduciary duties:</w:t>
      </w:r>
    </w:p>
    <w:p>
      <w:pPr>
        <w:pStyle w:val="TextBody"/>
        <w:spacing w:before="0" w:after="0"/>
        <w:jc w:val="both"/>
        <w:rPr/>
      </w:pPr>
      <w:r>
        <w:rPr/>
        <w:t> </w:t>
      </w:r>
    </w:p>
    <w:tbl>
      <w:tblPr>
        <w:tblW w:w="6988" w:type="dxa"/>
        <w:jc w:val="left"/>
        <w:tblInd w:w="0" w:type="dxa"/>
        <w:tblCellMar>
          <w:top w:w="28" w:type="dxa"/>
          <w:left w:w="28" w:type="dxa"/>
          <w:bottom w:w="28" w:type="dxa"/>
          <w:right w:w="28" w:type="dxa"/>
        </w:tblCellMar>
      </w:tblPr>
      <w:tblGrid>
        <w:gridCol w:w="161"/>
        <w:gridCol w:w="256"/>
        <w:gridCol w:w="657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57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w:t>
            </w:r>
          </w:p>
        </w:tc>
        <w:tc>
          <w:tcPr>
            <w:tcW w:w="657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duty to act in good faith in what the director or officer believes to be in the best</w:t>
            </w:r>
          </w:p>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interests of the company as a whole;</w:t>
            </w:r>
          </w:p>
        </w:tc>
      </w:tr>
    </w:tbl>
    <w:p>
      <w:pPr>
        <w:pStyle w:val="TextBody"/>
        <w:spacing w:before="0" w:after="0"/>
        <w:jc w:val="both"/>
        <w:rPr/>
      </w:pPr>
      <w:r>
        <w:rPr/>
        <w:t> </w:t>
      </w:r>
    </w:p>
    <w:tbl>
      <w:tblPr>
        <w:tblW w:w="6988" w:type="dxa"/>
        <w:jc w:val="left"/>
        <w:tblInd w:w="0" w:type="dxa"/>
        <w:tblCellMar>
          <w:top w:w="28" w:type="dxa"/>
          <w:left w:w="28" w:type="dxa"/>
          <w:bottom w:w="28" w:type="dxa"/>
          <w:right w:w="28" w:type="dxa"/>
        </w:tblCellMar>
      </w:tblPr>
      <w:tblGrid>
        <w:gridCol w:w="161"/>
        <w:gridCol w:w="256"/>
        <w:gridCol w:w="657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57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w:t>
            </w:r>
          </w:p>
        </w:tc>
        <w:tc>
          <w:tcPr>
            <w:tcW w:w="657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20"/>
              </w:rPr>
              <w:t>duty to exercise powers for the purposes for which those powers were conferred</w:t>
            </w:r>
            <w:r>
              <w:rPr>
                <w:rFonts w:ascii="Times New Roman" w:hAnsi="Times New Roman"/>
                <w:sz w:val="20"/>
              </w:rPr>
              <w:t xml:space="preserve"> </w:t>
            </w:r>
          </w:p>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and not for a collateral purpose;</w:t>
            </w:r>
          </w:p>
        </w:tc>
      </w:tr>
    </w:tbl>
    <w:p>
      <w:pPr>
        <w:pStyle w:val="TextBody"/>
        <w:spacing w:before="0" w:after="0"/>
        <w:jc w:val="both"/>
        <w:rPr/>
      </w:pPr>
      <w:r>
        <w:rPr/>
        <w:t> </w:t>
      </w:r>
    </w:p>
    <w:tbl>
      <w:tblPr>
        <w:tblW w:w="6253" w:type="dxa"/>
        <w:jc w:val="left"/>
        <w:tblInd w:w="0" w:type="dxa"/>
        <w:tblCellMar>
          <w:top w:w="28" w:type="dxa"/>
          <w:left w:w="28" w:type="dxa"/>
          <w:bottom w:w="28" w:type="dxa"/>
          <w:right w:w="28" w:type="dxa"/>
        </w:tblCellMar>
      </w:tblPr>
      <w:tblGrid>
        <w:gridCol w:w="161"/>
        <w:gridCol w:w="256"/>
        <w:gridCol w:w="583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83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w:t>
            </w:r>
          </w:p>
        </w:tc>
        <w:tc>
          <w:tcPr>
            <w:tcW w:w="5836"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directors should not improperly fetter the exercise of future discretion;</w:t>
            </w:r>
          </w:p>
        </w:tc>
      </w:tr>
    </w:tbl>
    <w:p>
      <w:pPr>
        <w:pStyle w:val="TextBody"/>
        <w:spacing w:before="0" w:after="0"/>
        <w:jc w:val="both"/>
        <w:rPr/>
      </w:pPr>
      <w:r>
        <w:rPr/>
        <w:t> </w:t>
      </w:r>
    </w:p>
    <w:tbl>
      <w:tblPr>
        <w:tblW w:w="6358" w:type="dxa"/>
        <w:jc w:val="left"/>
        <w:tblInd w:w="0" w:type="dxa"/>
        <w:tblCellMar>
          <w:top w:w="28" w:type="dxa"/>
          <w:left w:w="28" w:type="dxa"/>
          <w:bottom w:w="28" w:type="dxa"/>
          <w:right w:w="28" w:type="dxa"/>
        </w:tblCellMar>
      </w:tblPr>
      <w:tblGrid>
        <w:gridCol w:w="161"/>
        <w:gridCol w:w="256"/>
        <w:gridCol w:w="594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94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w:t>
            </w:r>
          </w:p>
        </w:tc>
        <w:tc>
          <w:tcPr>
            <w:tcW w:w="5941"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duty to exercise powers fairly as between different sections of members;</w:t>
            </w:r>
          </w:p>
        </w:tc>
      </w:tr>
    </w:tbl>
    <w:p>
      <w:pPr>
        <w:pStyle w:val="TextBody"/>
        <w:spacing w:before="0" w:after="0"/>
        <w:jc w:val="both"/>
        <w:rPr/>
      </w:pPr>
      <w:r>
        <w:rPr/>
        <w:t> </w:t>
      </w:r>
    </w:p>
    <w:tbl>
      <w:tblPr>
        <w:tblW w:w="7753" w:type="dxa"/>
        <w:jc w:val="left"/>
        <w:tblInd w:w="0" w:type="dxa"/>
        <w:tblCellMar>
          <w:top w:w="28" w:type="dxa"/>
          <w:left w:w="28" w:type="dxa"/>
          <w:bottom w:w="28" w:type="dxa"/>
          <w:right w:w="28" w:type="dxa"/>
        </w:tblCellMar>
      </w:tblPr>
      <w:tblGrid>
        <w:gridCol w:w="161"/>
        <w:gridCol w:w="256"/>
        <w:gridCol w:w="733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33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w:t>
            </w:r>
          </w:p>
        </w:tc>
        <w:tc>
          <w:tcPr>
            <w:tcW w:w="7336"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duty not to put themselves in a position in which there is a conflict between their duty to</w:t>
            </w:r>
          </w:p>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the company and their personal interests; and</w:t>
            </w:r>
          </w:p>
        </w:tc>
      </w:tr>
    </w:tbl>
    <w:p>
      <w:pPr>
        <w:pStyle w:val="TextBody"/>
        <w:spacing w:before="0" w:after="0"/>
        <w:jc w:val="both"/>
        <w:rPr/>
      </w:pPr>
      <w:r>
        <w:rPr/>
        <w:t> </w:t>
      </w:r>
    </w:p>
    <w:tbl>
      <w:tblPr>
        <w:tblW w:w="3793" w:type="dxa"/>
        <w:jc w:val="left"/>
        <w:tblInd w:w="0" w:type="dxa"/>
        <w:tblCellMar>
          <w:top w:w="28" w:type="dxa"/>
          <w:left w:w="28" w:type="dxa"/>
          <w:bottom w:w="28" w:type="dxa"/>
          <w:right w:w="28" w:type="dxa"/>
        </w:tblCellMar>
      </w:tblPr>
      <w:tblGrid>
        <w:gridCol w:w="161"/>
        <w:gridCol w:w="256"/>
        <w:gridCol w:w="337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37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w:t>
            </w:r>
          </w:p>
        </w:tc>
        <w:tc>
          <w:tcPr>
            <w:tcW w:w="3376"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duty to exercise independent judgment.</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members provided that there is full disclosure by the directors. This can be done by way of permission granted in the amended and restated memorandum and articles of association or alternatively by member approval at general meetings.</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Meetings of Members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As a Cayman Islands exempted company, we are not obliged by law to call annual general meetings, however, pursuant to the Articles, directors are elected at annual general meetings and Nasdaq requires an annual meeting.</w:t>
      </w:r>
    </w:p>
    <w:p>
      <w:pPr>
        <w:pStyle w:val="TextBody"/>
        <w:spacing w:before="0" w:after="0"/>
        <w:jc w:val="left"/>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Transfer Agent and Registrar</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transfer agent and registrar for the Ordinary Shares is Continental Stock Transfer &amp; Trust Company.</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Listing</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Class A Shares are currently listed on the Nasdaq Capital Market under the symbol “PROK.”</w:t>
      </w:r>
    </w:p>
    <w:p>
      <w:pPr>
        <w:pStyle w:val="TextBody"/>
        <w:spacing w:before="0" w:after="0"/>
        <w:jc w:val="both"/>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both"/>
        <w:rPr>
          <w:rFonts w:ascii="Times New Roman;serif" w:hAnsi="Times New Roman;serif"/>
          <w:b/>
          <w:sz w:val="20"/>
        </w:rPr>
      </w:pPr>
      <w:r>
        <w:rPr>
          <w:rFonts w:ascii="Times New Roman;serif" w:hAnsi="Times New Roman;serif"/>
          <w:b/>
          <w:sz w:val="20"/>
        </w:rPr>
        <w:t>Enforceability of Civil Liability under Cayman Islands Law</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have been advised by Walkers (Cayman) LLP, our Cayman Islands legal counsel, that the courts of the Cayman Islands are unlikely (i) to recognize, or enforce against us, judgments of courts of the United States predicated upon the civil liability provisions of the securities laws of the United States or any State; and (ii) in original actions brought in the Cayman Islands, to impose liabilities against us predicated upon the civil liability provisions of the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Anti-Money Laundering, Counter-Terrorist Financing, Prevention of Proliferation Financing and Financial Sanctions Compliance – Cayman Islands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order to comply with legislation or regulations aimed at the prevention of money laundering, terrorist financing, proliferation financing and compliance with financial sanctions, we are required to adopt and maintain certain procedures, and may require purchasers to provide evidence to verify their identity and source of funds. Where permitted, and subject to certain conditions, we may also delegate the maintenance of our anti-money laundering, terrorist financing, prevention of proliferation financing and financial sanctions compliance procedures (including the acquisition of due diligence information) to a suitable person.</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reserve the right to request such information as is necessary to verify the identity of a purchaser. In some cases the directors may be satisfied that no further information is required since an exemption applies under the Anti-Money Laundering Regulations (as amended) of the Cayman Islands (the “Regulations”). Depending on the circumstances of each application, a detailed verification of identity might not be required where:</w:t>
      </w:r>
    </w:p>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a)</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purchaser is a relevant financial business required to comply with the Regulations or is a majority-owned subsidiary of such a business; or</w:t>
      </w:r>
    </w:p>
    <w:p>
      <w:pPr>
        <w:pStyle w:val="TextBody"/>
        <w:spacing w:before="0" w:after="0"/>
        <w:jc w:val="both"/>
        <w:rPr>
          <w:rFonts w:ascii="Times New Roman" w:hAnsi="Times New Roman"/>
          <w:b w:val="false"/>
          <w:sz w:val="20"/>
        </w:rPr>
      </w:pPr>
      <w:r>
        <w:rPr>
          <w:rFonts w:ascii="Times New Roman" w:hAnsi="Times New Roman"/>
          <w:b w:val="false"/>
          <w:sz w:val="20"/>
        </w:rPr>
        <w:t>b)</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assessed as having a low degree of risk of money laundering and terrorist financing in accordance with the Regulations (each a “Low Risk Country”) or is a majority-owned subsidiary of such subscriber; or</w:t>
      </w:r>
    </w:p>
    <w:p>
      <w:pPr>
        <w:pStyle w:val="TextBody"/>
        <w:spacing w:before="0" w:after="0"/>
        <w:jc w:val="both"/>
        <w:rPr>
          <w:rFonts w:ascii="Times New Roman" w:hAnsi="Times New Roman"/>
          <w:b w:val="false"/>
          <w:sz w:val="20"/>
        </w:rPr>
      </w:pPr>
      <w:r>
        <w:rPr>
          <w:rFonts w:ascii="Times New Roman" w:hAnsi="Times New Roman"/>
          <w:b w:val="false"/>
          <w:sz w:val="20"/>
        </w:rPr>
        <w:t>c)</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purchaser is a central or local government organization, statutory body or agency of government in the Cayman Islands or a Low Risk Country; or</w:t>
      </w:r>
    </w:p>
    <w:p>
      <w:pPr>
        <w:pStyle w:val="TextBody"/>
        <w:spacing w:before="0" w:after="0"/>
        <w:jc w:val="both"/>
        <w:rPr>
          <w:rFonts w:ascii="Times New Roman" w:hAnsi="Times New Roman"/>
          <w:b w:val="false"/>
          <w:sz w:val="20"/>
        </w:rPr>
      </w:pPr>
      <w:r>
        <w:rPr>
          <w:rFonts w:ascii="Times New Roman" w:hAnsi="Times New Roman"/>
          <w:b w:val="false"/>
          <w:sz w:val="20"/>
        </w:rPr>
        <w:t>d)</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purchaser is a company that is listed on a recognized stock exchange and subject to disclosure requirements which impose requirements to ensure adequate transparency of beneficial ownership, or is a majority-owned subsidiary of such a company; or</w:t>
      </w:r>
    </w:p>
    <w:p>
      <w:pPr>
        <w:pStyle w:val="TextBody"/>
        <w:spacing w:before="0" w:after="0"/>
        <w:jc w:val="both"/>
        <w:rPr>
          <w:rFonts w:ascii="Times New Roman" w:hAnsi="Times New Roman"/>
          <w:b w:val="false"/>
          <w:sz w:val="20"/>
        </w:rPr>
      </w:pPr>
      <w:r>
        <w:rPr>
          <w:rFonts w:ascii="Times New Roman" w:hAnsi="Times New Roman"/>
          <w:b w:val="false"/>
          <w:sz w:val="20"/>
        </w:rPr>
        <w:t>e)</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purchaser is a pension fund for a professional association, trade union or is acting on behalf of employees of an entity referred to in sub-paragraphs (a) to (d); or</w:t>
      </w:r>
    </w:p>
    <w:p>
      <w:pPr>
        <w:pStyle w:val="TextBody"/>
        <w:spacing w:before="0" w:after="0"/>
        <w:jc w:val="both"/>
        <w:rPr>
          <w:rFonts w:ascii="Times New Roman" w:hAnsi="Times New Roman"/>
          <w:b w:val="false"/>
          <w:sz w:val="20"/>
        </w:rPr>
      </w:pPr>
      <w:r>
        <w:rPr>
          <w:rFonts w:ascii="Times New Roman" w:hAnsi="Times New Roman"/>
          <w:b w:val="false"/>
          <w:sz w:val="20"/>
        </w:rPr>
        <w:t>f)</w:t>
      </w:r>
    </w:p>
    <w:p>
      <w:pPr>
        <w:pStyle w:val="TextBody"/>
        <w:jc w:val="both"/>
        <w:rPr>
          <w:rFonts w:ascii="Times New Roman;serif" w:hAnsi="Times New Roman;serif"/>
          <w:b w:val="false"/>
          <w:sz w:val="20"/>
        </w:rPr>
      </w:pPr>
      <w:r>
        <w:rPr>
          <w:rFonts w:ascii="Times New Roman;serif" w:hAnsi="Times New Roman;serif"/>
          <w:b w:val="false"/>
          <w:sz w:val="20"/>
        </w:rPr>
        <w:t>the application is made through a nominee or the applicant is relying on an introduction from an introducer, which nominee or introducer, as applicable, falls within one of sub-paragraphs (a) to (e). In this situation the company may rely on a written assurance from the nominee or the introducer (as applicable) which confirms (i) that the requisite identification and verification procedures on the applicant for business and (for introducers only) its beneficial owners have been carried out; (ii) the nature and intended purpose of the business relationship; (iii) that the nominee or the introducer has identified the source of funds of the applicant for business; (iv) (for introducers only) that the introducer is supervised or monitored by an overseas regulatory authority and has measures in place to comply with customer due diligence and record keeping requirements; and (v) that the nominee or introducer shall make available on request and without delay copies of any identification and verification data or information and relevant documents.</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rFonts w:ascii="Times New Roman;serif" w:hAnsi="Times New Roman;serif"/>
          <w:b w:val="false"/>
          <w:sz w:val="20"/>
        </w:rPr>
      </w:pPr>
      <w:r>
        <w:rPr>
          <w:rFonts w:ascii="Times New Roman;serif" w:hAnsi="Times New Roman;serif"/>
          <w:b w:val="false"/>
          <w:sz w:val="20"/>
        </w:rPr>
        <w:t>For the purposes of these exceptions, recognition of a financial institution, regulatory authority or jurisdiction will be determined in accordance with the Regulations by reference to the Equivalent Jurisdiction definition.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also reserve the right to refuse to make any payment to a shareholder if our directors or officers suspect or are advised that the payment to such shareholder might result in a breach of applicable anti-money laundering, counter-terrorist financing, prevention of proliferation financing and financial sanctions or other laws or regulations by any person in any relevant jurisdiction, or if such refusal is considered necessary or appropriate to ensure our compliance with any such laws or regulations in any applicable jurisdiction.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any person resident in the Cayman Islands knows or suspects, or has reasonable grounds for knowing or suspecting, that another person is engaged in criminal conduct, is involved with terrorism or terrorist property or proliferation financing or is the target of a financial sanction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Act (as amended) of the Cayman Islands if the disclosure relates to criminal conduct, money laundering or proliferation financing or is the target of a financial sanction or (ii) a police officer of the rank of constable or higher, or the Financial Reporting Authority, pursuant to the Terrorism Act (as amended)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Data Protection — Cayman Islands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have certain duties under the Data Protection Act (as amended) of the Cayman Islands (the “Data Protection Act”) based on internationally accepted principles of data privacy.</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Privacy Notice</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Introduction</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This privacy notice puts our members on notice that through your investment in us you will provide us with certain personal information which constitutes personal data within the meaning of the Data Protection Act (“personal data”).</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Investor Data</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on an ongoing basis or to comply with legal and regulatory obligations to which we are subject. We will only transfer personal data in accordance with the requirements of the Data Protection Act and will apply appropriate technical and organizational information security measures designed to protect against unauthorized or unlawful processing of the personal data and against the accidental loss, destruction or damage to the personal data.</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In our use of this personal data, we will be characterized as a “data controller” for the purposes of the Data Protection Act, while our affiliates and service providers who may receive this personal data from us in the conduct of our activities may either act as our “data processors” for the purposes of the Data Protection Act or may process personal information for their own lawful purposes in connection with services provided to us.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We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both"/>
        <w:rPr>
          <w:rFonts w:ascii="Times New Roman;serif" w:hAnsi="Times New Roman;serif"/>
          <w:b w:val="false"/>
          <w:sz w:val="20"/>
        </w:rPr>
      </w:pPr>
      <w:r>
        <w:rPr>
          <w:rFonts w:ascii="Times New Roman;serif" w:hAnsi="Times New Roman;serif"/>
          <w:b w:val="false"/>
          <w:sz w:val="20"/>
        </w:rPr>
        <w:t>birth, tax identification, credit history, correspondence records, passport number, bank account details, source of funds details and details relating to the member’s investment activity.</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Who this Affects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How We May Use a Member’s Personal Data</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as the data controller, may collect, store and use personal data for lawful purposes, including, in particular:</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where this is necessary for the performance of our rights and obligations under any purchase agreements;</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where this is necessary for compliance with a legal and regulatory obligation to which we are subject (such as compliance with anti-money laundering, counter-terrorist financing, prevention of proliferation financing, financial sanctions and FATCA/CRS requirements); and/or</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where this is necessary for the purposes of our legitimate interests and such interests are not overridden by your interests, fundamental rights or freedoms.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Should we wish to use personal data for other specific purposes (including, if applicable, any purpose that requires your consent), we will contact you.</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Why We May Transfer Your Personal Data</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anticipate disclosing personal data to persons who provide services to the company and their respective affiliates (which may include certain entities located outside the United States, the Cayman Islands or the European Economic Area), who will process your personal data on our behalf.</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The Data Protection Measures We Take</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Any transfer of personal data by us or our duly authorized affiliates and/or delegates outside of the Cayman Islands shall be in accordance with the requirements of the Data Protection Act.</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shall notify you of any personal data breach that is reasonably likely to result in a risk to your interests, fundamental rights or freedoms or those data subjects to whom the relevant personal data relates.</w:t>
      </w:r>
    </w:p>
    <w:p>
      <w:pPr>
        <w:pStyle w:val="TextBody"/>
        <w:spacing w:before="0" w:after="0"/>
        <w:jc w:val="both"/>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Rights of Individual Data Subjects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Individual data subjects have certain data protection rights, including the right to:</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be informed about the purposes for which your personal data are processed;</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access your personal data;</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stop direct marketing;</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restrict the processing of your personal data;</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have incomplete or inaccurate personal data corrected;</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ask us to stop processing your personal data;</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be informed of a personal data breach (unless the breach is unlikely to be prejudicial to you);</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complain to the Data Protection Ombudsman; and</w:t>
      </w:r>
    </w:p>
    <w:p>
      <w:pPr>
        <w:pStyle w:val="TextBody"/>
        <w:spacing w:before="0" w:after="0"/>
        <w:jc w:val="left"/>
        <w:rPr/>
      </w:pPr>
      <w:r>
        <w:rPr/>
        <w:t>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require us to delete your personal data in some limited circumstances.</w:t>
      </w:r>
    </w:p>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2"/>
        </w:rPr>
      </w:pPr>
      <w:bookmarkStart w:id="129" w:name="prok-ex10_13.htm"/>
      <w:bookmarkStart w:id="130" w:name="ksprokex10_13"/>
      <w:bookmarkEnd w:id="129"/>
      <w:bookmarkEnd w:id="130"/>
      <w:r>
        <w:rPr>
          <w:rFonts w:ascii="Times New Roman;serif" w:hAnsi="Times New Roman;serif"/>
          <w:b/>
          <w:sz w:val="22"/>
        </w:rPr>
        <w:t>Exhibit 10.13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December 2, 2022</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Timothy Bertram</w:t>
      </w:r>
    </w:p>
    <w:p>
      <w:pPr>
        <w:pStyle w:val="TextBody"/>
        <w:spacing w:before="0" w:after="0"/>
        <w:jc w:val="left"/>
        <w:rPr>
          <w:rFonts w:ascii="Times New Roman;serif" w:hAnsi="Times New Roman;serif"/>
          <w:b w:val="false"/>
          <w:sz w:val="24"/>
        </w:rPr>
      </w:pPr>
      <w:r>
        <w:rPr>
          <w:rFonts w:ascii="Times New Roman;serif" w:hAnsi="Times New Roman;serif"/>
          <w:b w:val="false"/>
          <w:sz w:val="24"/>
        </w:rPr>
        <w:t>123 Heron Point</w:t>
      </w:r>
    </w:p>
    <w:p>
      <w:pPr>
        <w:pStyle w:val="TextBody"/>
        <w:spacing w:before="0" w:after="0"/>
        <w:jc w:val="left"/>
        <w:rPr>
          <w:rFonts w:ascii="Times New Roman" w:hAnsi="Times New Roman"/>
          <w:sz w:val="20"/>
        </w:rPr>
      </w:pPr>
      <w:r>
        <w:rPr>
          <w:rFonts w:ascii="Times New Roman;serif" w:hAnsi="Times New Roman;serif"/>
          <w:b w:val="false"/>
          <w:sz w:val="24"/>
        </w:rPr>
        <w:t>Statesville, NC 28677</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Dear Tim:</w:t>
      </w:r>
    </w:p>
    <w:p>
      <w:pPr>
        <w:pStyle w:val="TextBody"/>
        <w:spacing w:before="0" w:after="0"/>
        <w:jc w:val="left"/>
        <w:rPr/>
      </w:pPr>
      <w:r>
        <w:rPr/>
        <w:t> </w:t>
      </w:r>
    </w:p>
    <w:p>
      <w:pPr>
        <w:pStyle w:val="TextBody"/>
        <w:spacing w:before="0" w:after="0"/>
        <w:jc w:val="both"/>
        <w:rPr>
          <w:rFonts w:ascii="Times New Roman" w:hAnsi="Times New Roman"/>
          <w:sz w:val="20"/>
        </w:rPr>
      </w:pPr>
      <w:bookmarkStart w:id="131" w:name="x__this_letter_agreement__this__agreemen"/>
      <w:bookmarkEnd w:id="131"/>
      <w:r>
        <w:rPr>
          <w:rFonts w:ascii="Times New Roman;serif" w:hAnsi="Times New Roman;serif"/>
          <w:b w:val="false"/>
          <w:sz w:val="24"/>
        </w:rPr>
        <w:t>1. This letter agreement (this “</w:t>
      </w:r>
      <w:r>
        <w:rPr>
          <w:rFonts w:ascii="Times New Roman;serif" w:hAnsi="Times New Roman;serif"/>
          <w:b w:val="false"/>
          <w:sz w:val="24"/>
          <w:u w:val="single"/>
        </w:rPr>
        <w:t>Agreement</w:t>
      </w:r>
      <w:r>
        <w:rPr>
          <w:rFonts w:ascii="Times New Roman" w:hAnsi="Times New Roman"/>
          <w:sz w:val="20"/>
        </w:rPr>
        <w:t>”</w:t>
      </w:r>
      <w:r>
        <w:rPr>
          <w:rFonts w:ascii="Times New Roman;serif" w:hAnsi="Times New Roman;serif"/>
          <w:b w:val="false"/>
          <w:sz w:val="24"/>
        </w:rPr>
        <w:t>) sets forth the terms and conditions of your continued employment with ProKidney, LLC, a Delaware limited liability company(the “</w:t>
      </w:r>
      <w:r>
        <w:rPr>
          <w:rFonts w:ascii="Times New Roman;serif" w:hAnsi="Times New Roman;serif"/>
          <w:b w:val="false"/>
          <w:sz w:val="24"/>
          <w:u w:val="single"/>
        </w:rPr>
        <w:t>Company</w:t>
      </w:r>
      <w:r>
        <w:rPr>
          <w:rFonts w:ascii="Times New Roman" w:hAnsi="Times New Roman"/>
          <w:sz w:val="20"/>
        </w:rPr>
        <w:t>”</w:t>
      </w:r>
      <w:r>
        <w:rPr>
          <w:rFonts w:ascii="Times New Roman;serif" w:hAnsi="Times New Roman;serif"/>
          <w:b w:val="false"/>
          <w:sz w:val="24"/>
        </w:rPr>
        <w:t>) as of October 1, 2022 (the “</w:t>
      </w:r>
      <w:r>
        <w:rPr>
          <w:rFonts w:ascii="Times New Roman;serif" w:hAnsi="Times New Roman;serif"/>
          <w:b w:val="false"/>
          <w:sz w:val="24"/>
          <w:u w:val="single"/>
        </w:rPr>
        <w:t>Effective Date</w:t>
      </w:r>
      <w:r>
        <w:rPr>
          <w:rFonts w:ascii="Times New Roman" w:hAnsi="Times New Roman"/>
          <w:sz w:val="20"/>
        </w:rPr>
        <w:t>”</w:t>
      </w:r>
      <w:r>
        <w:rPr>
          <w:rFonts w:ascii="Times New Roman;serif" w:hAnsi="Times New Roman;serif"/>
          <w:b w:val="false"/>
          <w:sz w:val="24"/>
        </w:rPr>
        <w:t>). This Agreement will govern your employment with the Company following the Effective Date on the following terms and conditions:</w:t>
      </w:r>
    </w:p>
    <w:p>
      <w:pPr>
        <w:pStyle w:val="TextBody"/>
        <w:spacing w:before="8"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4"/>
        </w:rPr>
        <w:t xml:space="preserve">Term: </w:t>
      </w:r>
      <w:r>
        <w:rPr>
          <w:rFonts w:ascii="Times New Roman;serif" w:hAnsi="Times New Roman;serif"/>
          <w:b w:val="false"/>
          <w:sz w:val="24"/>
        </w:rPr>
        <w:t>The term of your employment with the Company will terminate upon delivery to you of notice to such effect, which notice may be given for any or no reason, or upon your earlier resignation, death or disability (as customarily defined by the Company). You acknowledge that no provision contained in this Agreement will entitle you to remain in the employment of the Company or any of its subsidiaries or affiliates or affect the right of the Company to terminate your employment hereunder at any time for any reason, subject to compliance with the termination provisions set forth herein. The period during which you are employed by the Company pursuant to this Agreement shall be referred to as the “</w:t>
      </w:r>
      <w:r>
        <w:rPr>
          <w:rFonts w:ascii="Times New Roman;serif" w:hAnsi="Times New Roman;serif"/>
          <w:b w:val="false"/>
          <w:sz w:val="24"/>
          <w:u w:val="single"/>
        </w:rPr>
        <w:t>Term</w:t>
      </w:r>
      <w:r>
        <w:rPr>
          <w:rFonts w:ascii="Times New Roman;serif" w:hAnsi="Times New Roman;serif"/>
          <w:b w:val="false"/>
          <w:sz w:val="24"/>
        </w:rPr>
        <w:t>.”</w:t>
      </w:r>
    </w:p>
    <w:p>
      <w:pPr>
        <w:pStyle w:val="TextBody"/>
        <w:spacing w:before="10" w:after="0"/>
        <w:jc w:val="left"/>
        <w:rPr/>
      </w:pPr>
      <w:r>
        <w:rPr/>
        <w:t> </w:t>
      </w:r>
    </w:p>
    <w:p>
      <w:pPr>
        <w:pStyle w:val="TextBody"/>
        <w:spacing w:before="1" w:after="0"/>
        <w:jc w:val="left"/>
        <w:rPr>
          <w:rFonts w:ascii="Times New Roman" w:hAnsi="Times New Roman"/>
          <w:sz w:val="20"/>
        </w:rPr>
      </w:pPr>
      <w:r>
        <w:rPr>
          <w:rFonts w:ascii="Times New Roman;serif" w:hAnsi="Times New Roman;serif"/>
          <w:b/>
          <w:sz w:val="24"/>
        </w:rPr>
        <w:t xml:space="preserve">Position: </w:t>
      </w:r>
      <w:r>
        <w:rPr>
          <w:rFonts w:ascii="Times New Roman;serif" w:hAnsi="Times New Roman;serif"/>
          <w:b w:val="false"/>
          <w:sz w:val="24"/>
        </w:rPr>
        <w:t>Chief Executive Officer of the Company.</w:t>
      </w:r>
    </w:p>
    <w:p>
      <w:pPr>
        <w:pStyle w:val="TextBody"/>
        <w:spacing w:before="222" w:after="0"/>
        <w:jc w:val="both"/>
        <w:rPr>
          <w:rFonts w:ascii="Times New Roman" w:hAnsi="Times New Roman"/>
          <w:sz w:val="20"/>
        </w:rPr>
      </w:pPr>
      <w:r>
        <w:rPr>
          <w:rFonts w:ascii="Times New Roman;serif" w:hAnsi="Times New Roman;serif"/>
          <w:b/>
          <w:sz w:val="24"/>
        </w:rPr>
        <w:t xml:space="preserve">Reporting: </w:t>
      </w:r>
      <w:r>
        <w:rPr>
          <w:rFonts w:ascii="Times New Roman;serif" w:hAnsi="Times New Roman;serif"/>
          <w:b w:val="false"/>
          <w:sz w:val="24"/>
        </w:rPr>
        <w:t>You will report directly to the Board of Directors (the “</w:t>
      </w:r>
      <w:r>
        <w:rPr>
          <w:rFonts w:ascii="Times New Roman;serif" w:hAnsi="Times New Roman;serif"/>
          <w:b w:val="false"/>
          <w:sz w:val="24"/>
          <w:u w:val="single"/>
        </w:rPr>
        <w:t>Board</w:t>
      </w:r>
      <w:r>
        <w:rPr>
          <w:rFonts w:ascii="Times New Roman" w:hAnsi="Times New Roman"/>
          <w:sz w:val="20"/>
        </w:rPr>
        <w:t>”</w:t>
      </w:r>
      <w:r>
        <w:rPr>
          <w:rFonts w:ascii="Times New Roman;serif" w:hAnsi="Times New Roman;serif"/>
          <w:b w:val="false"/>
          <w:sz w:val="24"/>
        </w:rPr>
        <w:t>) of ProKidney Corp. (“</w:t>
      </w:r>
      <w:r>
        <w:rPr>
          <w:rFonts w:ascii="Times New Roman;serif" w:hAnsi="Times New Roman;serif"/>
          <w:b w:val="false"/>
          <w:sz w:val="24"/>
          <w:u w:val="single"/>
        </w:rPr>
        <w:t>Parent</w:t>
      </w:r>
      <w:r>
        <w:rPr>
          <w:rFonts w:ascii="Times New Roman" w:hAnsi="Times New Roman"/>
          <w:sz w:val="20"/>
        </w:rPr>
        <w:t>”</w:t>
      </w:r>
      <w:r>
        <w:rPr>
          <w:rFonts w:ascii="Times New Roman;serif" w:hAnsi="Times New Roman;serif"/>
          <w:b w:val="false"/>
          <w:sz w:val="24"/>
        </w:rPr>
        <w:t>)).</w:t>
      </w:r>
    </w:p>
    <w:p>
      <w:pPr>
        <w:pStyle w:val="TextBody"/>
        <w:spacing w:before="2" w:after="0"/>
        <w:jc w:val="left"/>
        <w:rPr/>
      </w:pPr>
      <w:r>
        <w:rPr/>
        <w:t> </w:t>
      </w:r>
    </w:p>
    <w:p>
      <w:pPr>
        <w:pStyle w:val="TextBody"/>
        <w:spacing w:before="0" w:after="0"/>
        <w:jc w:val="left"/>
        <w:rPr/>
      </w:pPr>
      <w:r>
        <w:rPr/>
        <w:t> </w:t>
      </w:r>
    </w:p>
    <w:p>
      <w:pPr>
        <w:pStyle w:val="TextBody"/>
        <w:spacing w:before="142" w:after="0"/>
        <w:jc w:val="left"/>
        <w:rPr>
          <w:rFonts w:ascii="Times New Roman" w:hAnsi="Times New Roman"/>
          <w:sz w:val="20"/>
        </w:rPr>
      </w:pPr>
      <w:r>
        <w:rPr>
          <w:rFonts w:ascii="Times New Roman;serif" w:hAnsi="Times New Roman;serif"/>
          <w:b/>
          <w:sz w:val="24"/>
        </w:rPr>
        <w:t xml:space="preserve">Duties and Commitment: </w:t>
      </w:r>
      <w:r>
        <w:rPr>
          <w:rFonts w:ascii="Times New Roman;serif" w:hAnsi="Times New Roman;serif"/>
          <w:b w:val="false"/>
          <w:sz w:val="24"/>
        </w:rPr>
        <w:t>You shall be employed by the Company on a full-time basis and shall perform such duties and responsibilities on behalf of the Company and its subsidiaries and affiliates (collectively, the “</w:t>
      </w:r>
      <w:r>
        <w:rPr>
          <w:rFonts w:ascii="Times New Roman;serif" w:hAnsi="Times New Roman;serif"/>
          <w:b w:val="false"/>
          <w:sz w:val="24"/>
          <w:u w:val="single"/>
        </w:rPr>
        <w:t>Company Group</w:t>
      </w:r>
      <w:r>
        <w:rPr>
          <w:rFonts w:ascii="Times New Roman" w:hAnsi="Times New Roman"/>
          <w:sz w:val="20"/>
        </w:rPr>
        <w:t>”</w:t>
      </w:r>
      <w:r>
        <w:rPr>
          <w:rFonts w:ascii="Times New Roman;serif" w:hAnsi="Times New Roman;serif"/>
          <w:b w:val="false"/>
          <w:sz w:val="24"/>
        </w:rPr>
        <w:t>) as are consistent with your position, and such additional duties and responsibilities on behalf of the Company Group, as may be designated from time to time by the Board.</w:t>
      </w:r>
    </w:p>
    <w:p>
      <w:pPr>
        <w:pStyle w:val="TextBody"/>
        <w:spacing w:before="0" w:after="0"/>
        <w:jc w:val="left"/>
        <w:rPr/>
      </w:pPr>
      <w:r>
        <w:rPr/>
        <w:t> </w:t>
      </w:r>
    </w:p>
    <w:p>
      <w:pPr>
        <w:pStyle w:val="TextBody"/>
        <w:spacing w:before="1" w:after="0"/>
        <w:jc w:val="both"/>
        <w:rPr>
          <w:rFonts w:ascii="Times New Roman;serif" w:hAnsi="Times New Roman;serif"/>
          <w:b w:val="false"/>
          <w:sz w:val="24"/>
        </w:rPr>
      </w:pPr>
      <w:r>
        <w:rPr>
          <w:rFonts w:ascii="Times New Roman;serif" w:hAnsi="Times New Roman;serif"/>
          <w:b w:val="false"/>
          <w:sz w:val="24"/>
        </w:rPr>
        <w:t>You will be required to devote all of your business time to the business and affairs of the Company Group and to the promotion of its interests. Notwithstanding the foregoing, you may engage in other activities, such as personal investments and civic and charitable activities, so long as: (i) such activities do not interfere with your duties and obligations hereunder and (ii) such activities are disclosed in advance to the Board. In addition, you shall be permitted to serve as a director on any other company’s board of directors subject to the prior consent of the Board (which will not be unreasonably withheld).</w:t>
      </w:r>
    </w:p>
    <w:p>
      <w:pPr>
        <w:pStyle w:val="TextBody"/>
        <w:spacing w:before="0" w:after="0"/>
        <w:jc w:val="both"/>
        <w:rPr/>
      </w:pPr>
      <w:r>
        <w:rPr/>
        <w:t> </w:t>
      </w:r>
    </w:p>
    <w:p>
      <w:pPr>
        <w:pStyle w:val="TextBody"/>
        <w:spacing w:before="92" w:after="0"/>
        <w:jc w:val="both"/>
        <w:rPr>
          <w:rFonts w:ascii="Times New Roman" w:hAnsi="Times New Roman"/>
          <w:sz w:val="20"/>
        </w:rPr>
      </w:pPr>
      <w:r>
        <w:rPr>
          <w:rFonts w:ascii="Times New Roman;serif" w:hAnsi="Times New Roman;serif"/>
          <w:b/>
          <w:sz w:val="24"/>
        </w:rPr>
        <w:t xml:space="preserve">Base Salary: </w:t>
      </w:r>
      <w:r>
        <w:rPr>
          <w:rFonts w:ascii="Times New Roman;serif" w:hAnsi="Times New Roman;serif"/>
          <w:b w:val="false"/>
          <w:sz w:val="24"/>
        </w:rPr>
        <w:t>During the Term, your annual base salary will be $620,000.00 per year and will be payable in accordance with the Company’s normal payroll practices, less the applicable taxes and elective withholdings. Your base salary may be increased, but not decreased, as determined by the Board or the Compensation Committee of the Board (the “</w:t>
      </w:r>
      <w:r>
        <w:rPr>
          <w:rFonts w:ascii="Times New Roman;serif" w:hAnsi="Times New Roman;serif"/>
          <w:b w:val="false"/>
          <w:sz w:val="24"/>
          <w:u w:val="single"/>
        </w:rPr>
        <w:t>Compensation Committee</w:t>
      </w:r>
      <w:r>
        <w:rPr>
          <w:rFonts w:ascii="Times New Roman" w:hAnsi="Times New Roman"/>
          <w:sz w:val="20"/>
        </w:rPr>
        <w:t>”</w:t>
      </w:r>
      <w:r>
        <w:rPr>
          <w:rFonts w:ascii="Times New Roman;serif" w:hAnsi="Times New Roman;serif"/>
          <w:b w:val="false"/>
          <w:sz w:val="24"/>
        </w:rPr>
        <w:t>).</w:t>
      </w:r>
    </w:p>
    <w:p>
      <w:pPr>
        <w:pStyle w:val="TextBody"/>
        <w:spacing w:before="3" w:after="0"/>
        <w:jc w:val="left"/>
        <w:rPr/>
      </w:pPr>
      <w:r>
        <w:rPr/>
        <w:t> </w:t>
      </w:r>
    </w:p>
    <w:p>
      <w:pPr>
        <w:pStyle w:val="TextBody"/>
        <w:spacing w:before="0" w:after="0"/>
        <w:jc w:val="left"/>
        <w:rPr/>
      </w:pPr>
      <w:r>
        <w:rPr/>
        <w:t> </w:t>
      </w:r>
    </w:p>
    <w:p>
      <w:pPr>
        <w:pStyle w:val="TextBody"/>
        <w:spacing w:before="97" w:after="0"/>
        <w:jc w:val="both"/>
        <w:rPr>
          <w:rFonts w:ascii="Times New Roman" w:hAnsi="Times New Roman"/>
          <w:sz w:val="20"/>
        </w:rPr>
      </w:pPr>
      <w:r>
        <w:rPr>
          <w:rFonts w:ascii="Times New Roman;serif" w:hAnsi="Times New Roman;serif"/>
          <w:b/>
          <w:sz w:val="24"/>
        </w:rPr>
        <w:t>Incentive Bonus Eligibility:</w:t>
      </w:r>
      <w:r>
        <w:rPr>
          <w:rFonts w:ascii="Times New Roman" w:hAnsi="Times New Roman"/>
          <w:sz w:val="20"/>
        </w:rPr>
        <w:t xml:space="preserve"> </w:t>
      </w:r>
      <w:r>
        <w:rPr>
          <w:rFonts w:ascii="Times New Roman;serif" w:hAnsi="Times New Roman;serif"/>
          <w:b w:val="false"/>
          <w:sz w:val="24"/>
        </w:rPr>
        <w:t>During the Term, you will be eligible for an annual cash bonus pursuant to the Company’s annual cash bonus program based on the achievement of performance criteria established by the Compensation Committee for the applicable fiscal year, which may be corporate goals and/or individual criteria. Your initial target bonus will be in an amount equal to 60% of your base salary (“</w:t>
      </w:r>
      <w:r>
        <w:rPr>
          <w:rFonts w:ascii="Times New Roman;serif" w:hAnsi="Times New Roman;serif"/>
          <w:b w:val="false"/>
          <w:sz w:val="24"/>
          <w:u w:val="single"/>
        </w:rPr>
        <w:t>Target Bonus</w:t>
      </w:r>
      <w:r>
        <w:rPr>
          <w:rFonts w:ascii="Times New Roman" w:hAnsi="Times New Roman"/>
          <w:sz w:val="20"/>
        </w:rPr>
        <w:t>”</w:t>
      </w:r>
      <w:r>
        <w:rPr>
          <w:rFonts w:ascii="Times New Roman;serif" w:hAnsi="Times New Roman;serif"/>
          <w:b w:val="false"/>
          <w:sz w:val="24"/>
        </w:rPr>
        <w:t>). The actual amount of any bonus earned shall be</w:t>
      </w:r>
      <w:r>
        <w:rPr>
          <w:rFonts w:ascii="Times New Roman" w:hAnsi="Times New Roman"/>
          <w:sz w:val="20"/>
        </w:rPr>
        <w:t xml:space="preserve"> </w:t>
      </w:r>
    </w:p>
    <w:p>
      <w:pPr>
        <w:pStyle w:val="HorizontalLine"/>
        <w:rPr/>
      </w:pPr>
      <w:r>
        <w:rPr/>
      </w:r>
    </w:p>
    <w:p>
      <w:pPr>
        <w:pStyle w:val="TextBody"/>
        <w:spacing w:before="97" w:after="0"/>
        <w:jc w:val="both"/>
        <w:rPr>
          <w:rFonts w:ascii="Times New Roman;serif" w:hAnsi="Times New Roman;serif"/>
          <w:b w:val="false"/>
          <w:sz w:val="24"/>
        </w:rPr>
      </w:pPr>
      <w:r>
        <w:rPr>
          <w:rFonts w:ascii="Times New Roman;serif" w:hAnsi="Times New Roman;serif"/>
          <w:b w:val="false"/>
          <w:sz w:val="24"/>
        </w:rPr>
        <w:t>determined by the Compensation Committee based on achievement of the applicable performance criteria after the end of the applicable fiscal year.</w:t>
      </w:r>
    </w:p>
    <w:p>
      <w:pPr>
        <w:pStyle w:val="TextBody"/>
        <w:spacing w:before="0"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Except as otherwise provided herein, you will be entitled to receive any earned bonus for a fiscal year of the Company if you are employed on the payment date for such bonus.</w:t>
      </w:r>
    </w:p>
    <w:p>
      <w:pPr>
        <w:pStyle w:val="TextBody"/>
        <w:spacing w:before="233" w:after="0"/>
        <w:jc w:val="left"/>
        <w:rPr>
          <w:rFonts w:ascii="Times New Roman" w:hAnsi="Times New Roman"/>
          <w:sz w:val="20"/>
        </w:rPr>
      </w:pPr>
      <w:r>
        <w:rPr>
          <w:rFonts w:ascii="Times New Roman;serif" w:hAnsi="Times New Roman;serif"/>
          <w:b/>
          <w:sz w:val="24"/>
        </w:rPr>
        <w:t xml:space="preserve">Long-Term Incentive: </w:t>
      </w:r>
      <w:r>
        <w:rPr>
          <w:rFonts w:ascii="Times New Roman;serif" w:hAnsi="Times New Roman;serif"/>
          <w:b w:val="false"/>
          <w:sz w:val="24"/>
        </w:rPr>
        <w:t>You will be eligible to receive long-term incentive awards pursuant to the terms of the ProKidney Corp. 2022 Incentive Equity Plan (the “</w:t>
      </w:r>
      <w:r>
        <w:rPr>
          <w:rFonts w:ascii="Times New Roman;serif" w:hAnsi="Times New Roman;serif"/>
          <w:b w:val="false"/>
          <w:sz w:val="24"/>
          <w:u w:val="single"/>
        </w:rPr>
        <w:t>Incentive</w:t>
      </w:r>
      <w:r>
        <w:rPr>
          <w:rFonts w:ascii="Times New Roman" w:hAnsi="Times New Roman"/>
          <w:sz w:val="20"/>
        </w:rPr>
        <w:t xml:space="preserve"> </w:t>
      </w:r>
      <w:r>
        <w:rPr>
          <w:rFonts w:ascii="Times New Roman;serif" w:hAnsi="Times New Roman;serif"/>
          <w:b w:val="false"/>
          <w:sz w:val="24"/>
          <w:u w:val="single"/>
        </w:rPr>
        <w:t>Equity Plan</w:t>
      </w:r>
      <w:r>
        <w:rPr>
          <w:rFonts w:ascii="Times New Roman" w:hAnsi="Times New Roman"/>
          <w:sz w:val="20"/>
        </w:rPr>
        <w:t>”</w:t>
      </w:r>
      <w:r>
        <w:rPr>
          <w:rFonts w:ascii="Times New Roman;serif" w:hAnsi="Times New Roman;serif"/>
          <w:b w:val="false"/>
          <w:sz w:val="24"/>
        </w:rPr>
        <w:t>) (or any successor plan thereto). Long-term incentive awards will be granted at the discretion of the Compensation Committee and in accordance with market guidelines for your role as approved by the Compensation Committee.</w:t>
      </w:r>
    </w:p>
    <w:p>
      <w:pPr>
        <w:pStyle w:val="TextBody"/>
        <w:spacing w:before="0" w:after="0"/>
        <w:jc w:val="both"/>
        <w:rPr/>
      </w:pPr>
      <w:r>
        <w:rPr/>
        <w:t> </w:t>
      </w:r>
    </w:p>
    <w:p>
      <w:pPr>
        <w:pStyle w:val="TextBody"/>
        <w:spacing w:before="109" w:after="0"/>
        <w:jc w:val="both"/>
        <w:rPr>
          <w:rFonts w:ascii="Times New Roman" w:hAnsi="Times New Roman"/>
          <w:sz w:val="20"/>
        </w:rPr>
      </w:pPr>
      <w:r>
        <w:rPr>
          <w:rFonts w:ascii="Times New Roman;serif" w:hAnsi="Times New Roman;serif"/>
          <w:b/>
          <w:sz w:val="24"/>
        </w:rPr>
        <w:t xml:space="preserve">Benefits: </w:t>
      </w:r>
      <w:r>
        <w:rPr>
          <w:rFonts w:ascii="Times New Roman;serif" w:hAnsi="Times New Roman;serif"/>
          <w:b w:val="false"/>
          <w:sz w:val="24"/>
        </w:rPr>
        <w:t>During your employment with the Company, you will be eligible for participation in employee health and welfare benefits programs, retirement programs, and other fringe benefits maintained by the Company, to the extent consistent with applicable law and the terms of the applicable plans and programs, which may include certain plans and programs available to similarly situated executives of the Company or otherwise applicable to your position from time to time, subject to all plan terms and eligibility requirements. The benefit plans and programs for which you may be eligible are more fully described in the applicable plan summaries and related documents. The Company retains all rights to amend or terminate any such benefit plans and programs, subject to the terms of such employee benefit plans and programs and applicable law, and nothing contained herein shall obligate the Company to continue any benefit plans or programs in the future.</w:t>
      </w:r>
    </w:p>
    <w:p>
      <w:pPr>
        <w:pStyle w:val="TextBody"/>
        <w:spacing w:before="1"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You will be eligible to receive vacation in accordance with the terms of the Company’s vacation/Paid Time Off “PTO” policy.</w:t>
      </w:r>
    </w:p>
    <w:p>
      <w:pPr>
        <w:pStyle w:val="TextBody"/>
        <w:spacing w:before="0" w:after="0"/>
        <w:jc w:val="both"/>
        <w:rPr/>
      </w:pPr>
      <w:r>
        <w:rPr/>
        <w:t> </w:t>
      </w:r>
    </w:p>
    <w:p>
      <w:pPr>
        <w:pStyle w:val="TextBody"/>
        <w:spacing w:before="86" w:after="0"/>
        <w:jc w:val="both"/>
        <w:rPr>
          <w:rFonts w:ascii="Times New Roman" w:hAnsi="Times New Roman"/>
          <w:sz w:val="20"/>
        </w:rPr>
      </w:pPr>
      <w:r>
        <w:rPr>
          <w:rFonts w:ascii="Times New Roman;serif" w:hAnsi="Times New Roman;serif"/>
          <w:b/>
          <w:sz w:val="24"/>
        </w:rPr>
        <w:t xml:space="preserve">Business Expenses: </w:t>
      </w:r>
      <w:r>
        <w:rPr>
          <w:rFonts w:ascii="Times New Roman;serif" w:hAnsi="Times New Roman;serif"/>
          <w:b w:val="false"/>
          <w:sz w:val="24"/>
        </w:rPr>
        <w:t>During the Term, the Company will reimburse you for reasonable business expenses, including travel, entertainment, and other expenses (including a mobile phone and data service) incurred by you in the furtherance of the performance of your duties hereunder, in accordance with the Company’s Travel and Entertainment policy as in effect from time to time.</w:t>
      </w:r>
    </w:p>
    <w:p>
      <w:pPr>
        <w:pStyle w:val="TextBody"/>
        <w:spacing w:before="0" w:after="0"/>
        <w:jc w:val="both"/>
        <w:rPr/>
      </w:pPr>
      <w:r>
        <w:rPr/>
        <w:t> </w:t>
      </w:r>
    </w:p>
    <w:p>
      <w:pPr>
        <w:pStyle w:val="TextBody"/>
        <w:spacing w:before="7" w:after="0"/>
        <w:jc w:val="left"/>
        <w:rPr/>
      </w:pPr>
      <w:r>
        <w:rPr/>
        <w:t> </w:t>
      </w:r>
    </w:p>
    <w:p>
      <w:pPr>
        <w:pStyle w:val="TextBody"/>
        <w:spacing w:before="103" w:after="0"/>
        <w:jc w:val="both"/>
        <w:rPr>
          <w:rFonts w:ascii="Times New Roman" w:hAnsi="Times New Roman"/>
          <w:sz w:val="20"/>
        </w:rPr>
      </w:pPr>
      <w:r>
        <w:rPr>
          <w:rFonts w:ascii="Times New Roman;serif" w:hAnsi="Times New Roman;serif"/>
          <w:b/>
          <w:sz w:val="24"/>
        </w:rPr>
        <w:t xml:space="preserve">Termination: </w:t>
      </w:r>
      <w:r>
        <w:rPr>
          <w:rFonts w:ascii="Times New Roman;serif" w:hAnsi="Times New Roman;serif"/>
          <w:b w:val="false"/>
          <w:sz w:val="24"/>
        </w:rPr>
        <w:t>(a) Upon your termination of employment for any reason, the Company shall pay to you (i) your base salary earned through the date of such termination, (ii) amounts for accrued but unused vacation days in the year of termination and (iii) any unreimbursed business expenses in accordance with the Company’s reimbursement policy, not later than thirty (30) business days after the customary documentation regarding such expenses has been received and only to the extent that such expenses are submitted within one year of your termination (collectively, “</w:t>
      </w:r>
      <w:r>
        <w:rPr>
          <w:rFonts w:ascii="Times New Roman;serif" w:hAnsi="Times New Roman;serif"/>
          <w:b w:val="false"/>
          <w:sz w:val="24"/>
          <w:u w:val="single"/>
        </w:rPr>
        <w:t>Accrued Amounts</w:t>
      </w:r>
      <w:r>
        <w:rPr>
          <w:rFonts w:ascii="Times New Roman" w:hAnsi="Times New Roman"/>
          <w:sz w:val="20"/>
        </w:rPr>
        <w:t>”</w:t>
      </w:r>
      <w:r>
        <w:rPr>
          <w:rFonts w:ascii="Times New Roman;serif" w:hAnsi="Times New Roman;serif"/>
          <w:b w:val="false"/>
          <w:sz w:val="24"/>
        </w:rPr>
        <w:t>).</w:t>
      </w:r>
    </w:p>
    <w:p>
      <w:pPr>
        <w:pStyle w:val="TextBody"/>
        <w:spacing w:before="10" w:after="0"/>
        <w:jc w:val="left"/>
        <w:rPr/>
      </w:pPr>
      <w:r>
        <w:rPr/>
        <w:t> </w:t>
      </w:r>
    </w:p>
    <w:p>
      <w:pPr>
        <w:pStyle w:val="TextBody"/>
        <w:spacing w:before="1" w:after="0"/>
        <w:jc w:val="both"/>
        <w:rPr>
          <w:rFonts w:ascii="Times New Roman" w:hAnsi="Times New Roman"/>
          <w:sz w:val="20"/>
        </w:rPr>
      </w:pPr>
      <w:r>
        <w:rPr>
          <w:rFonts w:ascii="Times New Roman;serif" w:hAnsi="Times New Roman;serif"/>
          <w:b w:val="false"/>
          <w:sz w:val="24"/>
        </w:rPr>
        <w:t xml:space="preserve">(b) In the event your employment is terminated during the Term by the Company without Cause (as defined below) or by you for Good Reason (as defined below), in addition to the Accrued Amounts, you will be entitled to receive, subject to your timely execution and non-revocation of a Release (as defined below) (i) any earned but unpaid bonus for any prior completed fiscal year, payable when such payments would otherwise be paid, (ii) salary continuation for a period of twelve (12) months following your termination date, payable in accordance with the Company’s normal payroll cycle and </w:t>
      </w:r>
      <w:r>
        <w:rPr>
          <w:rFonts w:ascii="Times New Roman;serif" w:hAnsi="Times New Roman;serif"/>
          <w:b w:val="false"/>
          <w:sz w:val="22"/>
        </w:rPr>
        <w:t>(iii) continued participation in the Company’s group health plan at active employee rates for a period of twelve (12) months following your termination date.</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Notwithstanding the foregoing, upon a termination of your employment by the Company without Cause or by you for Good Reason within eighteen (18) months following a Change in Control (as defined in the Incentive Equity Plan), in addition to the Accrued Amounts, you will be entitled to receive, subject to your timely execution and non-revocation of a Release (i) a lump sum payment</w:t>
      </w:r>
      <w:r>
        <w:rPr>
          <w:rFonts w:ascii="Times New Roman" w:hAnsi="Times New Roman"/>
          <w:sz w:val="20"/>
        </w:rPr>
        <w:t xml:space="preserve"> </w:t>
      </w:r>
    </w:p>
    <w:p>
      <w:pPr>
        <w:pStyle w:val="HorizontalLine"/>
        <w:rPr/>
      </w:pPr>
      <w:r>
        <w:rPr/>
      </w:r>
    </w:p>
    <w:p>
      <w:pPr>
        <w:pStyle w:val="TextBody"/>
        <w:spacing w:before="0" w:after="0"/>
        <w:jc w:val="both"/>
        <w:rPr>
          <w:rFonts w:ascii="Times New Roman;serif" w:hAnsi="Times New Roman;serif"/>
          <w:b w:val="false"/>
          <w:sz w:val="24"/>
        </w:rPr>
      </w:pPr>
      <w:r>
        <w:rPr>
          <w:rFonts w:ascii="Times New Roman;serif" w:hAnsi="Times New Roman;serif"/>
          <w:b w:val="false"/>
          <w:sz w:val="24"/>
        </w:rPr>
        <w:t>equal to the sum of eighteen (18) months of your base salary as of immediately prior to the Change in Control and one hundred fifty percent (150%) of your then-current Target Bonus, (ii) continued participation in the Company’s group health plan at active employee rates for a period of eighteen (18) months following your termination date and (iii) full vesting of any equity awards then outstanding held by you (with any performance-based equity awards vesting at “target” levels). Notwithstanding anything to the contrary set forth herein, to the extent that there is a conflict between any of the terms set forth in this Agreement and any terms set forth in an award agreement relating to the grant of equity awards to you, the terms of the applicable award agreement shall prevail.</w:t>
      </w:r>
    </w:p>
    <w:p>
      <w:pPr>
        <w:pStyle w:val="TextBody"/>
        <w:spacing w:before="0" w:after="0"/>
        <w:jc w:val="both"/>
        <w:rPr/>
      </w:pPr>
      <w:r>
        <w:rPr/>
        <w:t> </w:t>
      </w:r>
    </w:p>
    <w:p>
      <w:pPr>
        <w:pStyle w:val="TextBody"/>
        <w:spacing w:before="86" w:after="0"/>
        <w:jc w:val="both"/>
        <w:rPr>
          <w:rFonts w:ascii="Times New Roman;serif" w:hAnsi="Times New Roman;serif"/>
          <w:b w:val="false"/>
          <w:sz w:val="24"/>
        </w:rPr>
      </w:pPr>
      <w:r>
        <w:rPr>
          <w:rFonts w:ascii="Times New Roman;serif" w:hAnsi="Times New Roman;serif"/>
          <w:b w:val="false"/>
          <w:sz w:val="24"/>
        </w:rPr>
        <w:t>(c) In the event that your employment is terminated other than for reasons described in subsection (b) above, other than the amounts specified in subsection (a) above, you will not be entitled to receive any payments under this Agreement.</w:t>
      </w:r>
    </w:p>
    <w:p>
      <w:pPr>
        <w:pStyle w:val="TextBody"/>
        <w:spacing w:before="10" w:after="0"/>
        <w:jc w:val="left"/>
        <w:rPr/>
      </w:pPr>
      <w:r>
        <w:rPr/>
        <w:t> </w:t>
      </w:r>
    </w:p>
    <w:p>
      <w:pPr>
        <w:pStyle w:val="TextBody"/>
        <w:spacing w:before="1" w:after="0"/>
        <w:jc w:val="both"/>
        <w:rPr>
          <w:rFonts w:ascii="Times New Roman" w:hAnsi="Times New Roman"/>
          <w:sz w:val="20"/>
        </w:rPr>
      </w:pPr>
      <w:r>
        <w:rPr>
          <w:rFonts w:ascii="Times New Roman;serif" w:hAnsi="Times New Roman;serif"/>
          <w:b w:val="false"/>
          <w:sz w:val="24"/>
        </w:rPr>
        <w:t xml:space="preserve">(d) Payment of any severance payments or benefits pursuant to subsection (b) above is expressly conditioned upon your (i) execution of a general waiver and release of claims substantially in the form attached hereto as </w:t>
      </w:r>
      <w:r>
        <w:rPr>
          <w:rFonts w:ascii="Times New Roman;serif" w:hAnsi="Times New Roman;serif"/>
          <w:b w:val="false"/>
          <w:sz w:val="24"/>
          <w:u w:val="single"/>
        </w:rPr>
        <w:t>Exhibit A</w:t>
      </w:r>
      <w:r>
        <w:rPr>
          <w:rFonts w:ascii="Times New Roman" w:hAnsi="Times New Roman"/>
          <w:sz w:val="20"/>
        </w:rPr>
        <w:t xml:space="preserve"> </w:t>
      </w:r>
      <w:r>
        <w:rPr>
          <w:rFonts w:ascii="Times New Roman;serif" w:hAnsi="Times New Roman;serif"/>
          <w:b w:val="false"/>
          <w:sz w:val="24"/>
        </w:rPr>
        <w:t>(the “</w:t>
      </w:r>
      <w:r>
        <w:rPr>
          <w:rFonts w:ascii="Times New Roman;serif" w:hAnsi="Times New Roman;serif"/>
          <w:b w:val="false"/>
          <w:sz w:val="24"/>
          <w:u w:val="single"/>
        </w:rPr>
        <w:t>Release</w:t>
      </w:r>
      <w:r>
        <w:rPr>
          <w:rFonts w:ascii="Times New Roman" w:hAnsi="Times New Roman"/>
          <w:sz w:val="20"/>
        </w:rPr>
        <w:t>”</w:t>
      </w:r>
      <w:r>
        <w:rPr>
          <w:rFonts w:ascii="Times New Roman;serif" w:hAnsi="Times New Roman;serif"/>
          <w:b w:val="false"/>
          <w:sz w:val="24"/>
        </w:rPr>
        <w:t>), within fifty (50) days of your termination, and the Release becoming effective upon the expiration of the revocation period (which is 7 days after the Release is executed and returned to the Company) and (ii) continued compliance with this Agreement and the Covenant Agreement (as defined below). If an executed Release is not returned to the Company within fifty (50) days of termination or the Release is revoked by you, the Company shall be relieved of all obligations to pay you severance under this Agreement. The payment described in subsection (b)(ii) will be made on the sixtieth (60th) day following your termination of employment. Any payments described in subsection (b)(i) that would have been paid from the termination date through the sixtieth (60</w:t>
      </w:r>
      <w:r>
        <w:rPr>
          <w:rFonts w:ascii="Times New Roman;serif" w:hAnsi="Times New Roman;serif"/>
          <w:b w:val="false"/>
          <w:sz w:val="16"/>
        </w:rPr>
        <w:t>th</w:t>
      </w:r>
      <w:r>
        <w:rPr>
          <w:rFonts w:ascii="Times New Roman;serif" w:hAnsi="Times New Roman;serif"/>
          <w:b w:val="false"/>
          <w:sz w:val="24"/>
        </w:rPr>
        <w:t>) day following your termination of employment will be paid in a lump sum on the sixtieth (60</w:t>
      </w:r>
      <w:r>
        <w:rPr>
          <w:rFonts w:ascii="Times New Roman;serif" w:hAnsi="Times New Roman;serif"/>
          <w:b w:val="false"/>
          <w:sz w:val="16"/>
        </w:rPr>
        <w:t>th</w:t>
      </w:r>
      <w:r>
        <w:rPr>
          <w:rFonts w:ascii="Times New Roman;serif" w:hAnsi="Times New Roman;serif"/>
          <w:b w:val="false"/>
          <w:sz w:val="24"/>
        </w:rPr>
        <w:t>) day following your termination and the remaining installments will commence as of the next payroll period following the sixtieth (60</w:t>
      </w:r>
      <w:r>
        <w:rPr>
          <w:rFonts w:ascii="Times New Roman;serif" w:hAnsi="Times New Roman;serif"/>
          <w:b w:val="false"/>
          <w:sz w:val="16"/>
        </w:rPr>
        <w:t>th</w:t>
      </w:r>
      <w:r>
        <w:rPr>
          <w:rFonts w:ascii="Times New Roman;serif" w:hAnsi="Times New Roman;serif"/>
          <w:b w:val="false"/>
          <w:sz w:val="24"/>
        </w:rPr>
        <w:t>) day following your termination of employment. Notwithstanding the foregoing, if such sixty (60) day period spans two calendar years, then the foregoing payments shall not commence until the second calendar year. All severance payments shall be subject to legally required tax withholdings and any elective withholdings.</w:t>
      </w:r>
    </w:p>
    <w:p>
      <w:pPr>
        <w:pStyle w:val="TextBody"/>
        <w:spacing w:before="1" w:after="0"/>
        <w:jc w:val="both"/>
        <w:rPr/>
      </w:pPr>
      <w:r>
        <w:rPr/>
        <w:t> </w:t>
      </w:r>
    </w:p>
    <w:p>
      <w:pPr>
        <w:pStyle w:val="TextBody"/>
        <w:spacing w:before="1" w:after="0"/>
        <w:jc w:val="both"/>
        <w:rPr>
          <w:rFonts w:ascii="Times New Roman;serif" w:hAnsi="Times New Roman;serif"/>
          <w:b w:val="false"/>
          <w:sz w:val="24"/>
        </w:rPr>
      </w:pPr>
      <w:r>
        <w:rPr>
          <w:rFonts w:ascii="Times New Roman;serif" w:hAnsi="Times New Roman;serif"/>
          <w:b w:val="false"/>
          <w:sz w:val="24"/>
        </w:rPr>
        <w:t>(e) For purposes of this Agreement:</w:t>
      </w:r>
    </w:p>
    <w:p>
      <w:pPr>
        <w:pStyle w:val="TextBody"/>
        <w:spacing w:before="6" w:after="0"/>
        <w:jc w:val="left"/>
        <w:rPr/>
      </w:pPr>
      <w:r>
        <w:rPr/>
        <w:t> </w:t>
      </w:r>
    </w:p>
    <w:p>
      <w:pPr>
        <w:pStyle w:val="TextBody"/>
        <w:spacing w:before="1" w:after="0"/>
        <w:jc w:val="both"/>
        <w:rPr/>
      </w:pPr>
      <w:r>
        <w:rPr/>
        <w:t>“</w:t>
      </w:r>
      <w:r>
        <w:rPr>
          <w:rFonts w:ascii="Times New Roman;serif" w:hAnsi="Times New Roman;serif"/>
          <w:b w:val="false"/>
          <w:sz w:val="24"/>
          <w:u w:val="single"/>
        </w:rPr>
        <w:t>Cause</w:t>
      </w:r>
      <w:r>
        <w:rPr>
          <w:rFonts w:ascii="Times New Roman" w:hAnsi="Times New Roman"/>
          <w:sz w:val="20"/>
        </w:rPr>
        <w:t xml:space="preserve">” </w:t>
      </w:r>
      <w:r>
        <w:rPr>
          <w:rFonts w:ascii="Times New Roman;serif" w:hAnsi="Times New Roman;serif"/>
          <w:b w:val="false"/>
          <w:sz w:val="24"/>
        </w:rPr>
        <w:t>means (i) any theft, fraud, embezzlement, dishonesty, willful misconduct, breach of fiduciary duty for personal profit, falsification of any documents or records of the Company or any member of the Company Group, felony or similar act by you (whether or not related to your relationship with the Company); (ii) an act of moral turpitude by you, or any act that causes significant injury to, or is otherwise adversely affecting, the reputation, business, assets, operations or business relationship of the Company (or any member of the Company Group); (iii) any breach by you of any material agreement with or of any material duty of yours to the Company or any member of the Company Group (including breach of the Covenant Agreement) or failure to abide by code of conduct or other policies (including, without limitation, policies relating to confidentiality and reasonable workplace conduct); or (iv) any act which constitutes a breach of your fiduciary duty towards the Company or any member of the Company Group including disclosure of confidential or proprietary information thereof or acceptance or solicitation to receive unauthorized or undisclosed benefits, irrespective of their nature, or funds, or promises to receive either, from individuals, consultants or corporate entities that the</w:t>
      </w:r>
    </w:p>
    <w:p>
      <w:pPr>
        <w:pStyle w:val="TextBody"/>
        <w:spacing w:before="0" w:after="0"/>
        <w:jc w:val="both"/>
        <w:rPr/>
      </w:pPr>
      <w:r>
        <w:rPr/>
        <w:t> </w:t>
      </w:r>
    </w:p>
    <w:p>
      <w:pPr>
        <w:pStyle w:val="TextBody"/>
        <w:spacing w:before="86" w:after="0"/>
        <w:jc w:val="both"/>
        <w:rPr>
          <w:rFonts w:ascii="Times New Roman" w:hAnsi="Times New Roman"/>
          <w:sz w:val="20"/>
        </w:rPr>
      </w:pPr>
      <w:r>
        <w:rPr>
          <w:rFonts w:ascii="Times New Roman;serif" w:hAnsi="Times New Roman;serif"/>
          <w:b w:val="false"/>
          <w:sz w:val="24"/>
        </w:rPr>
        <w:t>Company or a Subsidiary does business with; (v) your unauthorized use, misappropriation, destruction, or diversion of any tangible or intangible asset or corporate opportunity of the Company or any member of the Company Group (including, without limitation, the improper use</w:t>
      </w:r>
      <w:r>
        <w:rPr>
          <w:rFonts w:ascii="Times New Roman" w:hAnsi="Times New Roman"/>
          <w:sz w:val="20"/>
        </w:rPr>
        <w:t xml:space="preserve"> </w:t>
      </w:r>
    </w:p>
    <w:p>
      <w:pPr>
        <w:pStyle w:val="HorizontalLine"/>
        <w:rPr/>
      </w:pPr>
      <w:r>
        <w:rPr/>
      </w:r>
    </w:p>
    <w:p>
      <w:pPr>
        <w:pStyle w:val="TextBody"/>
        <w:spacing w:before="86" w:after="0"/>
        <w:jc w:val="both"/>
        <w:rPr>
          <w:rFonts w:ascii="Times New Roman;serif" w:hAnsi="Times New Roman;serif"/>
          <w:b w:val="false"/>
          <w:sz w:val="24"/>
        </w:rPr>
      </w:pPr>
      <w:r>
        <w:rPr>
          <w:rFonts w:ascii="Times New Roman;serif" w:hAnsi="Times New Roman;serif"/>
          <w:b w:val="false"/>
          <w:sz w:val="24"/>
        </w:rPr>
        <w:t>or disclosure of confidential or proprietary information). For the avoidance of doubt, the determination as to whether a termination is for Cause for purposes of this Agreement shall be made in good faith by the Compensation Committee and shall be final and binding on you.</w:t>
      </w:r>
    </w:p>
    <w:p>
      <w:pPr>
        <w:pStyle w:val="TextBody"/>
        <w:spacing w:before="1" w:after="0"/>
        <w:jc w:val="left"/>
        <w:rPr/>
      </w:pPr>
      <w:r>
        <w:rPr/>
        <w:t> </w:t>
      </w:r>
    </w:p>
    <w:p>
      <w:pPr>
        <w:pStyle w:val="TextBody"/>
        <w:spacing w:before="0" w:after="0"/>
        <w:jc w:val="both"/>
        <w:rPr/>
      </w:pPr>
      <w:r>
        <w:rPr/>
        <w:t>“</w:t>
      </w:r>
      <w:r>
        <w:rPr>
          <w:rFonts w:ascii="Times New Roman;serif" w:hAnsi="Times New Roman;serif"/>
          <w:b w:val="false"/>
          <w:sz w:val="24"/>
          <w:u w:val="single"/>
        </w:rPr>
        <w:t>Good Reason</w:t>
      </w:r>
      <w:r>
        <w:rPr>
          <w:rFonts w:ascii="Times New Roman" w:hAnsi="Times New Roman"/>
          <w:sz w:val="20"/>
        </w:rPr>
        <w:t xml:space="preserve">” </w:t>
      </w:r>
      <w:r>
        <w:rPr>
          <w:rFonts w:ascii="Times New Roman;serif" w:hAnsi="Times New Roman;serif"/>
          <w:b w:val="false"/>
          <w:sz w:val="24"/>
        </w:rPr>
        <w:t xml:space="preserve">means the occurrence of any of the following without your consent: (i) a material reduction in your then-current base salary, other than any such reduction that applies generally to similarly situated employees of the Company; (ii) a material diminution in your authority, duties or responsibilities under this Agreement; </w:t>
      </w:r>
      <w:r>
        <w:rPr>
          <w:rFonts w:ascii="Times New Roman;serif" w:hAnsi="Times New Roman;serif"/>
          <w:b w:val="false"/>
          <w:i/>
          <w:sz w:val="24"/>
        </w:rPr>
        <w:t>provided</w:t>
      </w:r>
      <w:r>
        <w:rPr>
          <w:rFonts w:ascii="Times New Roman;serif" w:hAnsi="Times New Roman;serif"/>
          <w:b w:val="false"/>
          <w:sz w:val="24"/>
        </w:rPr>
        <w:t>, that you will not have the right to resign for Good Reason pursuant to this provision of the Good Reason definition due to a change in authority, duties or responsibilities solely as a result of Parent or the Company no longer being a publicly traded company; or (iii) a relocation of your principal place of employment by more than 50 miles from its location as of the date hereof. Notwithstanding the foregoing, you will not be deemed to have resigned for Good Reason unless (x) you have provided written notice to the Company of the existence of the circumstances providing grounds for termination for Good Reason within 15 days of the initial existence of such grounds, (y) the Company has not cured such circumstances within 30 days from the date on which such notice is provided and (z) you resign from your employment effective no later than 60 days after the initial existence of such grounds.</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4"/>
        </w:rPr>
        <w:t xml:space="preserve">Resignation: </w:t>
      </w:r>
      <w:r>
        <w:rPr>
          <w:rFonts w:ascii="Times New Roman;serif" w:hAnsi="Times New Roman;serif"/>
          <w:b w:val="false"/>
          <w:sz w:val="24"/>
        </w:rPr>
        <w:t>Effective as of the date of your termination of employment, unless otherwise requested by the Company in writing, you will, automatically and without further action on your part or any other person or entity, resign from all offices, boards of directors (or similar governing bodies) and committees of each member of the Company Group. You agree that you will, at the request of the Company, execute and deliver such documentation as may be required to effect such resignations, and authorize any member of the Company Group to file (or cause to be filed) such documentation, as necessary, with any applicable governmental authority.</w:t>
      </w:r>
    </w:p>
    <w:p>
      <w:pPr>
        <w:pStyle w:val="TextBody"/>
        <w:spacing w:before="10" w:after="0"/>
        <w:jc w:val="left"/>
        <w:rPr/>
      </w:pPr>
      <w:r>
        <w:rPr/>
        <w:t> </w:t>
      </w:r>
    </w:p>
    <w:p>
      <w:pPr>
        <w:pStyle w:val="TextBody"/>
        <w:spacing w:before="1" w:after="0"/>
        <w:jc w:val="both"/>
        <w:rPr>
          <w:rFonts w:ascii="Times New Roman" w:hAnsi="Times New Roman"/>
          <w:sz w:val="20"/>
        </w:rPr>
      </w:pPr>
      <w:r>
        <w:rPr>
          <w:rFonts w:ascii="Times New Roman;serif" w:hAnsi="Times New Roman;serif"/>
          <w:b/>
          <w:sz w:val="24"/>
        </w:rPr>
        <w:t xml:space="preserve">Cooperation: </w:t>
      </w:r>
      <w:r>
        <w:rPr>
          <w:rFonts w:ascii="Times New Roman;serif" w:hAnsi="Times New Roman;serif"/>
          <w:b w:val="false"/>
          <w:sz w:val="24"/>
        </w:rPr>
        <w:t xml:space="preserve">In consideration for the promises and payments by the Company pursuant to this Agreement, at the request of the Company, for a one-year period following your termination of employment for any reason, you agree to cooperate to the fullest extent possible with respect to matters involving any member of the Company Group about which you have or may have knowledge, including any such matters which may arise before or after the Term; </w:t>
      </w:r>
      <w:r>
        <w:rPr>
          <w:rFonts w:ascii="Times New Roman;serif" w:hAnsi="Times New Roman;serif"/>
          <w:b w:val="false"/>
          <w:i/>
          <w:sz w:val="24"/>
        </w:rPr>
        <w:t xml:space="preserve">provided </w:t>
      </w:r>
      <w:r>
        <w:rPr>
          <w:rFonts w:ascii="Times New Roman;serif" w:hAnsi="Times New Roman;serif"/>
          <w:b w:val="false"/>
          <w:sz w:val="24"/>
        </w:rPr>
        <w:t>such cooperation shall not unreasonably interfere with any obligations you may have to your current employer at the time. The Company will reimburse you for any reasonable, properly documented out-of-pocket expenses, including your travel expenses and attorneys’ fees that you actually incur in connection with such cooperation.</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4"/>
        </w:rPr>
        <w:t xml:space="preserve">Section 409A: </w:t>
      </w:r>
      <w:r>
        <w:rPr>
          <w:rFonts w:ascii="Times New Roman;serif" w:hAnsi="Times New Roman;serif"/>
          <w:b w:val="false"/>
          <w:sz w:val="24"/>
        </w:rPr>
        <w:t>All references in this Agreement to your termination of employment shall mean your “separation from service” within the meaning of Section 409A of the Code and Treasury regulations promulgated thereunder. This Agreement is intended to comply with Section 409A of the Code or an exemption thereunder and shall be construed and administered in accordance with Section 409A. Any payments under this Agreement that may be excluded from Section 409A either as separation pay due to an involuntary separation from service or as a short-term deferral shall be excluded from Section 409A to the maximum extent possible. In the event the terms of this Agreement would subject you to the imposition of taxes and penalties under Section 409A (“</w:t>
      </w:r>
      <w:r>
        <w:rPr>
          <w:rFonts w:ascii="Times New Roman;serif" w:hAnsi="Times New Roman;serif"/>
          <w:b w:val="false"/>
          <w:sz w:val="24"/>
          <w:u w:val="single"/>
        </w:rPr>
        <w:t>409A Penalties</w:t>
      </w:r>
      <w:r>
        <w:rPr>
          <w:rFonts w:ascii="Times New Roman" w:hAnsi="Times New Roman"/>
          <w:sz w:val="20"/>
        </w:rPr>
        <w:t>”</w:t>
      </w:r>
      <w:r>
        <w:rPr>
          <w:rFonts w:ascii="Times New Roman;serif" w:hAnsi="Times New Roman;serif"/>
          <w:b w:val="false"/>
          <w:sz w:val="24"/>
        </w:rPr>
        <w:t xml:space="preserve">), the Company and you shall cooperate diligently to amend the terms of this Agreement to avoid such 409A Penalties, to the extent possible; </w:t>
      </w:r>
      <w:r>
        <w:rPr>
          <w:rFonts w:ascii="Times New Roman;serif" w:hAnsi="Times New Roman;serif"/>
          <w:b w:val="false"/>
          <w:i/>
          <w:sz w:val="24"/>
        </w:rPr>
        <w:t xml:space="preserve">provided </w:t>
      </w:r>
      <w:r>
        <w:rPr>
          <w:rFonts w:ascii="Times New Roman;serif" w:hAnsi="Times New Roman;serif"/>
          <w:b w:val="false"/>
          <w:sz w:val="24"/>
        </w:rPr>
        <w:t>that, for the avoidance of doubt, you shall be solely liable for any 409A Penalties incurred by you. To the extent that any amounts payable in installments under this Agreement are reasonably determined to be “nonqualified deferred compensation” within the meaning of Section 409A of the Code, then each such installment shall be treated as a right to receive a series of separate payments and, accordingly, each such installment payment shall at all times be considered a separate and distinct payment as permitted under Section 409A of the Code.</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Notwithstanding any other provision in this Agreement, if as of the date on which your employment terminates, you are a “specified employee”, as determined by the Company, then with</w:t>
      </w:r>
      <w:r>
        <w:rPr>
          <w:rFonts w:ascii="Times New Roman" w:hAnsi="Times New Roman"/>
          <w:sz w:val="20"/>
        </w:rPr>
        <w:t xml:space="preserve"> </w:t>
      </w:r>
    </w:p>
    <w:p>
      <w:pPr>
        <w:pStyle w:val="HorizontalLine"/>
        <w:rPr/>
      </w:pPr>
      <w:r>
        <w:rPr/>
      </w:r>
    </w:p>
    <w:p>
      <w:pPr>
        <w:pStyle w:val="TextBody"/>
        <w:spacing w:before="0" w:after="0"/>
        <w:jc w:val="both"/>
        <w:rPr>
          <w:rFonts w:ascii="Times New Roman;serif" w:hAnsi="Times New Roman;serif"/>
          <w:b w:val="false"/>
          <w:sz w:val="24"/>
        </w:rPr>
      </w:pPr>
      <w:r>
        <w:rPr>
          <w:rFonts w:ascii="Times New Roman;serif" w:hAnsi="Times New Roman;serif"/>
          <w:b w:val="false"/>
          <w:sz w:val="24"/>
        </w:rPr>
        <w:t>respect to any amount payable or benefit provided under this Agreement or otherwise that the Company reasonably determines would be nonqualified deferred compensation within the meaning of Section 409A of the Code and that under the terms of this Agreement would be payable prior to the six-month anniversary of your effective date of termination, then if required in order to avoid any penalties under Section 409A of the Code, such payment or benefit shall be delayed until the earlier to occur of (a) the first payroll date following the six-month anniversary of such termination date and (b) the date of your death.</w:t>
      </w:r>
    </w:p>
    <w:p>
      <w:pPr>
        <w:pStyle w:val="TextBody"/>
        <w:spacing w:before="1"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With respect to any reimbursements under this Agreement, such reimbursement shall be made on or before the last day of your taxable year following the taxable year in which you incurred the expense. The amount of any expenses eligible for reimbursement or the amount of any in-kind benefits provided, as the case may be, under this Agreement during any calendar year shall not affect the amount of expenses eligible for reimbursement or the amount of any in-kind benefits provided during any other calendar year. The right to reimbursement or to any in-kind benefit pursuant to this Agreement shall not be subject to liquidation or exchange for any other benefit.</w:t>
      </w:r>
    </w:p>
    <w:p>
      <w:pPr>
        <w:pStyle w:val="TextBody"/>
        <w:spacing w:before="86" w:after="0"/>
        <w:jc w:val="both"/>
        <w:rPr>
          <w:rFonts w:ascii="Times New Roman;serif" w:hAnsi="Times New Roman;serif"/>
          <w:b w:val="false"/>
          <w:sz w:val="24"/>
        </w:rPr>
      </w:pPr>
      <w:r>
        <w:rPr>
          <w:rFonts w:ascii="Times New Roman;serif" w:hAnsi="Times New Roman;serif"/>
          <w:b w:val="false"/>
          <w:sz w:val="24"/>
        </w:rPr>
        <w:t>You acknowledge and agree that notwithstanding any provision of this Agreement, the Company and its affiliates are not providing you with any tax advice with respect to Section 409A of the Code or otherwise and are not making any guarantees or other assurances of any kind to you with respect to the tax consequences or treatment of any amounts paid or payable to you under this Agreement.</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4"/>
        </w:rPr>
        <w:t xml:space="preserve">Section 280G: </w:t>
      </w:r>
      <w:r>
        <w:rPr>
          <w:rFonts w:ascii="Times New Roman;serif" w:hAnsi="Times New Roman;serif"/>
          <w:b w:val="false"/>
          <w:sz w:val="24"/>
        </w:rPr>
        <w:t>If the present value of your Severance Benefits, either alone or together with other payments which you have the right to receive from the Company (the“</w:t>
      </w:r>
      <w:r>
        <w:rPr>
          <w:rFonts w:ascii="Times New Roman;serif" w:hAnsi="Times New Roman;serif"/>
          <w:b/>
          <w:sz w:val="24"/>
        </w:rPr>
        <w:t>Benefits</w:t>
      </w:r>
      <w:r>
        <w:rPr>
          <w:rFonts w:ascii="Times New Roman" w:hAnsi="Times New Roman"/>
          <w:sz w:val="20"/>
        </w:rPr>
        <w:t>”</w:t>
      </w:r>
      <w:r>
        <w:rPr>
          <w:rFonts w:ascii="Times New Roman;serif" w:hAnsi="Times New Roman;serif"/>
          <w:b w:val="false"/>
          <w:sz w:val="24"/>
        </w:rPr>
        <w:t>), would constitute a “parachute payment” as defined in Section 280G of the Code, then your Benefits shall be either (i) provided to you in full, or (ii) provided to you only as to such lesser extent that would result in no portion of such Benefits being subject to the excise tax imposed by Section 4999 of the Code (the “</w:t>
      </w:r>
      <w:r>
        <w:rPr>
          <w:rFonts w:ascii="Times New Roman;serif" w:hAnsi="Times New Roman;serif"/>
          <w:b/>
          <w:sz w:val="24"/>
        </w:rPr>
        <w:t>Excise Tax</w:t>
      </w:r>
      <w:r>
        <w:rPr>
          <w:rFonts w:ascii="Times New Roman" w:hAnsi="Times New Roman"/>
          <w:sz w:val="20"/>
        </w:rPr>
        <w:t>”</w:t>
      </w:r>
      <w:r>
        <w:rPr>
          <w:rFonts w:ascii="Times New Roman;serif" w:hAnsi="Times New Roman;serif"/>
          <w:b w:val="false"/>
          <w:sz w:val="24"/>
        </w:rPr>
        <w:t>), whichever of the foregoing amounts, taking into account the applicable federal, state, and local income and employment taxes and the Excise Tax, results in the receipt by you, on an after-tax basis, of the greatest amount of benefits, notwithstanding that all or some portion of such Benefits may be taxable under the Excise Tax.</w:t>
      </w:r>
    </w:p>
    <w:p>
      <w:pPr>
        <w:pStyle w:val="TextBody"/>
        <w:spacing w:before="10" w:after="0"/>
        <w:jc w:val="left"/>
        <w:rPr/>
      </w:pPr>
      <w:r>
        <w:rPr/>
        <w:t> </w:t>
      </w:r>
    </w:p>
    <w:p>
      <w:pPr>
        <w:pStyle w:val="TextBody"/>
        <w:spacing w:before="1" w:after="0"/>
        <w:jc w:val="both"/>
        <w:rPr>
          <w:rFonts w:ascii="Times New Roman" w:hAnsi="Times New Roman"/>
          <w:sz w:val="20"/>
        </w:rPr>
      </w:pPr>
      <w:r>
        <w:rPr>
          <w:rFonts w:ascii="Times New Roman;serif" w:hAnsi="Times New Roman;serif"/>
          <w:b w:val="false"/>
          <w:sz w:val="24"/>
        </w:rPr>
        <w:t>Unless the Company and you otherwise agree, any determination required under section shall be made in writing in good faith by the Company’s independent accounting firm or such other nationally or regionally recognized accounting firm selected by the Company (the “</w:t>
      </w:r>
      <w:r>
        <w:rPr>
          <w:rFonts w:ascii="Times New Roman;serif" w:hAnsi="Times New Roman;serif"/>
          <w:b/>
          <w:sz w:val="24"/>
        </w:rPr>
        <w:t>Accountants</w:t>
      </w:r>
      <w:r>
        <w:rPr>
          <w:rFonts w:ascii="Times New Roman" w:hAnsi="Times New Roman"/>
          <w:sz w:val="20"/>
        </w:rPr>
        <w:t>”</w:t>
      </w:r>
      <w:r>
        <w:rPr>
          <w:rFonts w:ascii="Times New Roman;serif" w:hAnsi="Times New Roman;serif"/>
          <w:b w:val="false"/>
          <w:sz w:val="24"/>
        </w:rPr>
        <w:t xml:space="preserve">), whose determination shall be conclusive and binding upon you and the Company for all purposes. In the event that a reduction to the Benefits under this section, the reduction shall apply first to the Benefits that are not deferred compensation subject to Section 409A of the Code and you shall be given the choice, subject to approval by the Company, of which of such Benefits to reduce; </w:t>
      </w:r>
      <w:r>
        <w:rPr>
          <w:rFonts w:ascii="Times New Roman;serif" w:hAnsi="Times New Roman;serif"/>
          <w:b w:val="false"/>
          <w:i/>
          <w:sz w:val="24"/>
        </w:rPr>
        <w:t>provided</w:t>
      </w:r>
      <w:r>
        <w:rPr>
          <w:rFonts w:ascii="Times New Roman;serif" w:hAnsi="Times New Roman;serif"/>
          <w:b w:val="false"/>
          <w:sz w:val="24"/>
        </w:rPr>
        <w:t xml:space="preserve">, </w:t>
      </w:r>
      <w:r>
        <w:rPr>
          <w:rFonts w:ascii="Times New Roman;serif" w:hAnsi="Times New Roman;serif"/>
          <w:b w:val="false"/>
          <w:i/>
          <w:sz w:val="24"/>
        </w:rPr>
        <w:t xml:space="preserve">that </w:t>
      </w:r>
      <w:r>
        <w:rPr>
          <w:rFonts w:ascii="Times New Roman;serif" w:hAnsi="Times New Roman;serif"/>
          <w:b w:val="false"/>
          <w:sz w:val="24"/>
        </w:rPr>
        <w:t>such reduction achieves the result specified in clause (ii) above of this section. If a reduction in the Benefits that are subject to Section 409A of the Code is required, such Benefits shall be reduced pro rata, but with no change in the time at which such Benefits shall be paid. For purposes of making the calculations required by this section, the Accountants may make reasonable assumptions and approximations concerning applicable taxes and may rely on reasonable, good faith interpretations concerning the application of the Code. The Company and you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w:t>
      </w:r>
    </w:p>
    <w:p>
      <w:pPr>
        <w:pStyle w:val="TextBody"/>
        <w:spacing w:before="4"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2.</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1" w:after="0"/>
        <w:jc w:val="both"/>
        <w:rPr/>
      </w:pPr>
      <w:r>
        <w:rPr>
          <w:rFonts w:ascii="Times New Roman;serif" w:hAnsi="Times New Roman;serif"/>
          <w:b w:val="false"/>
          <w:sz w:val="24"/>
        </w:rPr>
        <w:t>You acknowledge and agree that you will continue to be subject to any confidentiality, non-disclosure, non-use, non-competition, non-solicitation or other covenants that you may be subject to under any agreement with the Company or any member of the Company Group (collectively, the “</w:t>
      </w:r>
      <w:r>
        <w:rPr>
          <w:rFonts w:ascii="Times New Roman;serif" w:hAnsi="Times New Roman;serif"/>
          <w:b w:val="false"/>
          <w:sz w:val="24"/>
          <w:u w:val="single"/>
        </w:rPr>
        <w:t>Covenant Agreement</w:t>
      </w:r>
      <w:r>
        <w:rPr/>
        <w:t>”</w:t>
      </w:r>
      <w:r>
        <w:rPr>
          <w:rFonts w:ascii="Times New Roman;serif" w:hAnsi="Times New Roman;serif"/>
          <w:b w:val="false"/>
          <w:sz w:val="24"/>
        </w:rPr>
        <w:t xml:space="preserve">). Notwithstanding any provision in this Agreement, the Covenant Agreement or otherwise to the contrary, nothing in this Agreement, the Covenant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1" w:after="283"/>
        <w:jc w:val="both"/>
        <w:rPr>
          <w:rFonts w:ascii="Times New Roman;serif" w:hAnsi="Times New Roman;serif"/>
          <w:b w:val="false"/>
          <w:sz w:val="24"/>
        </w:rPr>
      </w:pPr>
      <w:r>
        <w:rPr>
          <w:rFonts w:ascii="Times New Roman;serif" w:hAnsi="Times New Roman;serif"/>
          <w:b w:val="false"/>
          <w:sz w:val="24"/>
        </w:rPr>
        <w:t>Agreement or otherwise precludes or otherwise limits your ability to (A) communicate</w:t>
      </w:r>
    </w:p>
    <w:p>
      <w:pPr>
        <w:pStyle w:val="TextBody"/>
        <w:spacing w:before="0" w:after="0"/>
        <w:jc w:val="both"/>
        <w:rPr/>
      </w:pPr>
      <w:r>
        <w:rPr/>
        <w:t> </w:t>
      </w:r>
    </w:p>
    <w:p>
      <w:pPr>
        <w:pStyle w:val="TextBody"/>
        <w:spacing w:before="84" w:after="0"/>
        <w:jc w:val="both"/>
        <w:rPr>
          <w:rFonts w:ascii="Times New Roman" w:hAnsi="Times New Roman"/>
          <w:sz w:val="20"/>
        </w:rPr>
      </w:pPr>
      <w:r>
        <w:rPr>
          <w:rFonts w:ascii="Times New Roman;serif" w:hAnsi="Times New Roman;serif"/>
          <w:b w:val="false"/>
          <w:sz w:val="24"/>
        </w:rPr>
        <w:t>directly with and provide information, including documents, not otherwise protected from disclosure by any applicable law or privilege to the Securities and Exchange Commission (the “</w:t>
      </w:r>
      <w:r>
        <w:rPr>
          <w:rFonts w:ascii="Times New Roman;serif" w:hAnsi="Times New Roman;serif"/>
          <w:b w:val="false"/>
          <w:sz w:val="24"/>
          <w:u w:val="single"/>
        </w:rPr>
        <w:t>SEC</w:t>
      </w:r>
      <w:r>
        <w:rPr>
          <w:rFonts w:ascii="Times New Roman" w:hAnsi="Times New Roman"/>
          <w:sz w:val="20"/>
        </w:rPr>
        <w:t>”</w:t>
      </w:r>
      <w:r>
        <w:rPr>
          <w:rFonts w:ascii="Times New Roman;serif" w:hAnsi="Times New Roman;serif"/>
          <w:b w:val="false"/>
          <w:sz w:val="24"/>
        </w:rPr>
        <w:t>) or any other federal, state or local governmental agency or commission (“</w:t>
      </w:r>
      <w:r>
        <w:rPr>
          <w:rFonts w:ascii="Times New Roman;serif" w:hAnsi="Times New Roman;serif"/>
          <w:b w:val="false"/>
          <w:sz w:val="24"/>
          <w:u w:val="single"/>
        </w:rPr>
        <w:t>Government</w:t>
      </w:r>
      <w:r>
        <w:rPr>
          <w:rFonts w:ascii="Times New Roman" w:hAnsi="Times New Roman"/>
          <w:sz w:val="20"/>
        </w:rPr>
        <w:t xml:space="preserve"> </w:t>
      </w:r>
      <w:r>
        <w:rPr>
          <w:rFonts w:ascii="Times New Roman;serif" w:hAnsi="Times New Roman;serif"/>
          <w:b w:val="false"/>
          <w:sz w:val="24"/>
          <w:u w:val="single"/>
        </w:rPr>
        <w:t>Agency</w:t>
      </w:r>
      <w:r>
        <w:rPr>
          <w:rFonts w:ascii="Times New Roman" w:hAnsi="Times New Roman"/>
          <w:sz w:val="20"/>
        </w:rPr>
        <w:t>”</w:t>
      </w:r>
      <w:r>
        <w:rPr>
          <w:rFonts w:ascii="Times New Roman;serif" w:hAnsi="Times New Roman;serif"/>
          <w:b w:val="false"/>
          <w:sz w:val="24"/>
        </w:rPr>
        <w:t>) or self-regulatory organization regarding possible legal violations, without disclosure to the Company, or (B) disclose information which is required to be disclosed by applicable law, regulation, or order or requirement (including without limitation, by deposition, interrogatory, requests for documents, subpoena, civil investigative demand or similar process) of courts, administrative agencies, the SEC, any Government Agency or self-regulatory organizations, provided that you provide the Company with prior notice of the contemplated disclosure and cooperate with the Company in seeking a protective order or other appropriate protection of such information. The Company may not retaliate against you for any of these activities.</w:t>
      </w:r>
    </w:p>
    <w:p>
      <w:pPr>
        <w:pStyle w:val="TextBody"/>
        <w:spacing w:before="1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r>
        <w:rPr>
          <w:rFonts w:ascii="Times New Roman;serif" w:hAnsi="Times New Roman;serif"/>
          <w:b w:val="false"/>
          <w:sz w:val="24"/>
        </w:rPr>
        <w:t>You represent that your performance of all of the terms of this Agreement and the performance of the services for the Company Group do not and will not breach or conflict with any agreement with a third party, including an agreement not to compete or to keep in confidence any proprietary information of another entity acquired by you in confidence or in trust prior to the date of this Agreement. You agree that you will not enter into any agreement that conflicts with this Agreement at any time prior to the Effective Date or during the term of your employment with the Company.</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r>
        <w:rPr>
          <w:rFonts w:ascii="Times New Roman;serif" w:hAnsi="Times New Roman;serif"/>
          <w:b w:val="false"/>
          <w:sz w:val="24"/>
        </w:rPr>
        <w:t>All payments made under this Agreement shall be reduced by any tax or other amounts required to be withheld under applicable law.</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r>
        <w:rPr>
          <w:rFonts w:ascii="Times New Roman;serif" w:hAnsi="Times New Roman;serif"/>
          <w:b w:val="false"/>
          <w:sz w:val="24"/>
        </w:rPr>
        <w:t>The parties hereby agree that any suit, action or proceeding seeking to enforce any provision of, or based on any matter arising out of or in connection with, this Agreement shall only be brought in the Chancery Court of the State of Delaware (or other appropriate state court in the State of Delaware) or the Federal courts located in the State of Delaware and not in any other State or Federal courts located in the United States of America or any court in any other country, and each of the parties hereby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 The parties hereby agree that process in any such suit, action or proceeding may be served on either party anywhere in the world, whether within or without the jurisdiction of any such court. EACH OF THE PARTIES HERETO HEREBY IRREVOCABLY WAIVES ANY AND ALL RIGHTS TO TRIAL BY JURY IN ANY LEGAL PROCEEDING ARISING OUT OF OR RELATED TO THIS AGREEMENT OR THE TRANSACTIONS CONTEMPLATED HEREBY.</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r>
        <w:rPr>
          <w:rFonts w:ascii="Times New Roman;serif" w:hAnsi="Times New Roman;serif"/>
          <w:b w:val="false"/>
          <w:sz w:val="24"/>
        </w:rPr>
        <w:t>This Agreement shall be governed, construed, interpreted and enforced in accordance with its express terms, and otherwise in accordance with the substantive laws of the State of Delaware, without reference to the principles of conflicts of law or choice of law of the State of Delaware, or any other jurisdiction, and where applicable, the laws of the United States.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r>
        <w:rPr>
          <w:rFonts w:ascii="Times New Roman;serif" w:hAnsi="Times New Roman;serif"/>
          <w:b w:val="false"/>
          <w:sz w:val="24"/>
        </w:rPr>
        <w:t>The invalidity or unenforceability of any provision or provisions of this Agreement shall not affect the validity or enforceability of any other provision of this Agreement, which shall remain in full force and effect.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 </w:t>
      </w:r>
    </w:p>
    <w:p>
      <w:pPr>
        <w:pStyle w:val="HorizontalLine"/>
        <w:rPr/>
      </w:pPr>
      <w:r>
        <w:rPr/>
      </w:r>
    </w:p>
    <w:p>
      <w:pPr>
        <w:pStyle w:val="TextBody"/>
        <w:spacing w:before="84" w:after="0"/>
        <w:jc w:val="both"/>
        <w:rPr>
          <w:rFonts w:ascii="Times New Roman" w:hAnsi="Times New Roman"/>
          <w:b w:val="false"/>
          <w:sz w:val="24"/>
        </w:rPr>
      </w:pPr>
      <w:r>
        <w:rPr>
          <w:rFonts w:ascii="Times New Roman" w:hAnsi="Times New Roman"/>
          <w:b w:val="false"/>
          <w:sz w:val="24"/>
        </w:rPr>
        <w:t>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84" w:after="0"/>
        <w:jc w:val="both"/>
        <w:rPr/>
      </w:pPr>
      <w:r>
        <w:rPr>
          <w:rFonts w:ascii="Times New Roman;serif" w:hAnsi="Times New Roman;serif"/>
          <w:b w:val="false"/>
          <w:sz w:val="24"/>
        </w:rPr>
        <w:t xml:space="preserve">The terms of this Agreement and the Covenant Agreement are intended by the parties to be the final expression of their agreement with respect to your employment by the Company and supersede, effective as of the Effective Date, all prior understandings and agreements with respect to your employment by the Company, whether written or oral. For the avoidance of doubt, if the Effective Date does not occur, this Agreement will be void </w:t>
      </w:r>
      <w:r>
        <w:rPr>
          <w:rFonts w:ascii="Times New Roman;serif" w:hAnsi="Times New Roman;serif"/>
          <w:b w:val="false"/>
          <w:i/>
          <w:sz w:val="24"/>
        </w:rPr>
        <w:t>ab initio</w:t>
      </w:r>
      <w:r>
        <w:rPr>
          <w:rFonts w:ascii="Times New Roman;serif" w:hAnsi="Times New Roman;serif"/>
          <w:b w:val="false"/>
          <w:sz w:val="24"/>
        </w:rPr>
        <w: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r>
        <w:rPr>
          <w:rFonts w:ascii="Times New Roman;serif" w:hAnsi="Times New Roman;serif"/>
          <w:b w:val="false"/>
          <w:sz w:val="24"/>
        </w:rPr>
        <w:t>By signing this Agreement, you acknowledge that the terms of this Agreement are confidential and may not be disclosed in any manner or form to any party, other than as required by applicable law (including any public disclosure requirements) or as necessary to enforce the terms of this Agreement or to your spouse, attorney and/or tax advisor (if any), without the prior written approval of the Company. You further acknowledge that you will be bound by the terms and conditions contained in the Company’s employee handbook, as it may be amended from time to time to the extent not inconsistent with this Agreement and will, upon request of the Company, sign a copy thereof from time to time.</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10.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1" w:after="0"/>
        <w:jc w:val="both"/>
        <w:rPr>
          <w:rFonts w:ascii="Times New Roman;serif" w:hAnsi="Times New Roman;serif"/>
          <w:b w:val="false"/>
          <w:sz w:val="24"/>
        </w:rPr>
      </w:pPr>
      <w:r>
        <w:rPr>
          <w:rFonts w:ascii="Times New Roman;serif" w:hAnsi="Times New Roman;serif"/>
          <w:b w:val="false"/>
          <w:sz w:val="24"/>
        </w:rPr>
        <w:t>The rights and benefits under this Agreement are personal to you and such rights and benefits shall not be subject to assignment, alienation or transfer, except to the extent such rights and benefits are lawfully available to your estate or any of your beneficiaries upon your death. The Company may assign this Agreement to any affiliate or subsidiary at any time and shall require any entity which at any time becomes a successor, whether by merger, purchase, or otherwise, or otherwise acquires all or substantially all of the assets, membership interests or business of the Company, to expressly assume this Agreement.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11.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r>
        <w:rPr>
          <w:rFonts w:ascii="Times New Roman;serif" w:hAnsi="Times New Roman;serif"/>
          <w:b w:val="false"/>
          <w:sz w:val="24"/>
        </w:rPr>
        <w:t>This Agreement may be executed in several counterparts, each of which shall be deemed to be an original, but all of which together will constitute one and the same Agreement. Signatures delivered by facsimile shall be deemed effective for all purposes.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center"/>
        <w:rPr>
          <w:rFonts w:ascii="Times New Roman;serif" w:hAnsi="Times New Roman;serif"/>
          <w:b w:val="false"/>
          <w:i/>
          <w:sz w:val="24"/>
        </w:rPr>
      </w:pPr>
      <w:r>
        <w:rPr>
          <w:rFonts w:ascii="Times New Roman;serif" w:hAnsi="Times New Roman;serif"/>
          <w:b w:val="false"/>
          <w:i/>
          <w:sz w:val="24"/>
        </w:rPr>
        <w:t>[Signature page follows]</w:t>
      </w:r>
    </w:p>
    <w:p>
      <w:pPr>
        <w:pStyle w:val="TextBody"/>
        <w:spacing w:before="0" w:after="0"/>
        <w:jc w:val="center"/>
        <w:rPr/>
      </w:pPr>
      <w:r>
        <w:rPr/>
        <w:t> </w:t>
      </w:r>
    </w:p>
    <w:p>
      <w:pPr>
        <w:pStyle w:val="TextBody"/>
        <w:spacing w:before="84" w:after="0"/>
        <w:jc w:val="left"/>
        <w:rPr>
          <w:rFonts w:ascii="Times New Roman;serif" w:hAnsi="Times New Roman;serif"/>
          <w:b w:val="false"/>
          <w:sz w:val="24"/>
        </w:rPr>
      </w:pPr>
      <w:r>
        <w:rPr>
          <w:rFonts w:ascii="Times New Roman;serif" w:hAnsi="Times New Roman;serif"/>
          <w:b w:val="false"/>
          <w:sz w:val="24"/>
        </w:rPr>
        <w:t>Please sign and date this Agreement in the space indicated and return it to my attention to evidence your understanding and acceptance of the terms set forth herein.</w:t>
      </w:r>
    </w:p>
    <w:p>
      <w:pPr>
        <w:pStyle w:val="TextBody"/>
        <w:spacing w:before="11" w:after="0"/>
        <w:jc w:val="left"/>
        <w:rPr/>
      </w:pPr>
      <w:r>
        <w:rPr/>
        <w:t>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Sincerely,</w:t>
      </w:r>
    </w:p>
    <w:p>
      <w:pPr>
        <w:pStyle w:val="TextBody"/>
        <w:spacing w:before="0" w:after="0"/>
        <w:jc w:val="left"/>
        <w:rPr/>
      </w:pPr>
      <w:r>
        <w:rPr/>
        <w:t> </w:t>
      </w:r>
    </w:p>
    <w:p>
      <w:pPr>
        <w:pStyle w:val="TextBody"/>
        <w:spacing w:before="0" w:after="0"/>
        <w:jc w:val="left"/>
        <w:rPr/>
      </w:pPr>
      <w:r>
        <w:rPr/>
        <w:t> </w:t>
      </w:r>
    </w:p>
    <w:p>
      <w:pPr>
        <w:pStyle w:val="TextBody"/>
        <w:spacing w:before="10" w:after="0"/>
        <w:jc w:val="left"/>
        <w:rPr/>
      </w:pPr>
      <w:r>
        <w:rPr/>
        <w:t> </w:t>
      </w:r>
    </w:p>
    <w:p>
      <w:pPr>
        <w:pStyle w:val="TextBody"/>
        <w:spacing w:before="90" w:after="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/s/ Todd Girolamo</w:t>
      </w:r>
      <w:r>
        <w:rPr>
          <w:rFonts w:ascii="Times New Roman" w:hAnsi="Times New Roman"/>
          <w:sz w:val="20"/>
        </w:rPr>
        <w:t xml:space="preserv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Name:</w:t>
      </w:r>
    </w:p>
    <w:p>
      <w:pPr>
        <w:pStyle w:val="TextBody"/>
        <w:spacing w:before="1" w:after="0"/>
        <w:jc w:val="left"/>
        <w:rPr>
          <w:rFonts w:ascii="Times New Roman;serif" w:hAnsi="Times New Roman;serif"/>
          <w:b w:val="false"/>
          <w:sz w:val="24"/>
        </w:rPr>
      </w:pPr>
      <w:r>
        <w:rPr>
          <w:rFonts w:ascii="Times New Roman;serif" w:hAnsi="Times New Roman;serif"/>
          <w:b w:val="false"/>
          <w:sz w:val="24"/>
        </w:rPr>
        <w:t>Position: Chief Legal Officer</w:t>
      </w:r>
    </w:p>
    <w:p>
      <w:pPr>
        <w:pStyle w:val="TextBody"/>
        <w:spacing w:before="0" w:after="0"/>
        <w:jc w:val="left"/>
        <w:rPr/>
      </w:pPr>
      <w:r>
        <w:rPr/>
        <w:t> </w:t>
      </w:r>
    </w:p>
    <w:p>
      <w:pPr>
        <w:pStyle w:val="TextBody"/>
        <w:spacing w:before="0" w:after="0"/>
        <w:jc w:val="left"/>
        <w:rPr/>
      </w:pPr>
      <w:r>
        <w:rPr/>
        <w:t> </w:t>
      </w:r>
    </w:p>
    <w:p>
      <w:pPr>
        <w:pStyle w:val="TextBody"/>
        <w:spacing w:before="11" w:after="0"/>
        <w:jc w:val="left"/>
        <w:rPr/>
      </w:pPr>
      <w:r>
        <w:rPr/>
        <w:t> </w:t>
      </w:r>
    </w:p>
    <w:p>
      <w:pPr>
        <w:pStyle w:val="TextBody"/>
        <w:spacing w:before="90" w:after="0"/>
        <w:jc w:val="left"/>
        <w:rPr>
          <w:rFonts w:ascii="Times New Roman;serif" w:hAnsi="Times New Roman;serif"/>
          <w:b w:val="false"/>
          <w:sz w:val="24"/>
        </w:rPr>
      </w:pPr>
      <w:r>
        <w:rPr>
          <w:rFonts w:ascii="Times New Roman;serif" w:hAnsi="Times New Roman;serif"/>
          <w:b w:val="false"/>
          <w:sz w:val="24"/>
        </w:rPr>
        <w:t>Agreed to and Accepted:</w:t>
      </w:r>
    </w:p>
    <w:p>
      <w:pPr>
        <w:pStyle w:val="TextBody"/>
        <w:spacing w:before="3"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u w:val="single"/>
        </w:rPr>
        <w:t>/s/ Timothy Bertram</w:t>
      </w:r>
      <w:r>
        <w:rPr>
          <w:rFonts w:ascii="Times New Roman" w:hAnsi="Times New Roman"/>
          <w:sz w:val="20"/>
        </w:rPr>
        <w:t xml:space="preserv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Timothy Bertram</w:t>
      </w:r>
    </w:p>
    <w:p>
      <w:pPr>
        <w:pStyle w:val="TextBody"/>
        <w:spacing w:before="202" w:after="0"/>
        <w:jc w:val="left"/>
        <w:rPr>
          <w:rFonts w:ascii="Times New Roman;serif" w:hAnsi="Times New Roman;serif"/>
          <w:b w:val="false"/>
          <w:sz w:val="24"/>
        </w:rPr>
      </w:pPr>
      <w:r>
        <w:rPr>
          <w:rFonts w:ascii="Times New Roman;serif" w:hAnsi="Times New Roman;serif"/>
          <w:b w:val="false"/>
          <w:sz w:val="24"/>
        </w:rPr>
        <w:t>Date: December 2, 2022</w:t>
      </w:r>
    </w:p>
    <w:p>
      <w:pPr>
        <w:pStyle w:val="TextBody"/>
        <w:spacing w:before="0" w:after="0"/>
        <w:jc w:val="left"/>
        <w:rPr/>
      </w:pPr>
      <w:r>
        <w:rPr/>
        <w:t> </w:t>
      </w:r>
    </w:p>
    <w:p>
      <w:pPr>
        <w:pStyle w:val="HorizontalLine"/>
        <w:rPr/>
      </w:pPr>
      <w:r>
        <w:rPr/>
      </w:r>
    </w:p>
    <w:p>
      <w:pPr>
        <w:pStyle w:val="TextBody"/>
        <w:spacing w:before="89" w:after="0"/>
        <w:jc w:val="center"/>
        <w:rPr>
          <w:rFonts w:ascii="Times New Roman;serif" w:hAnsi="Times New Roman;serif"/>
          <w:b/>
          <w:sz w:val="24"/>
          <w:u w:val="single"/>
        </w:rPr>
      </w:pPr>
      <w:r>
        <w:rPr>
          <w:rFonts w:ascii="Times New Roman;serif" w:hAnsi="Times New Roman;serif"/>
          <w:b/>
          <w:sz w:val="24"/>
          <w:u w:val="single"/>
        </w:rPr>
        <w:t>EXHIBIT A</w:t>
      </w:r>
    </w:p>
    <w:p>
      <w:pPr>
        <w:pStyle w:val="TextBody"/>
        <w:spacing w:before="6"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w:t>
      </w:r>
      <w:r>
        <w:rPr>
          <w:rFonts w:ascii="Times New Roman;serif" w:hAnsi="Times New Roman;serif"/>
          <w:b/>
          <w:i/>
          <w:sz w:val="24"/>
          <w:u w:val="single"/>
        </w:rPr>
        <w:t>The language in this Release may change based on legal developments and evolving best</w:t>
      </w:r>
      <w:r>
        <w:rPr>
          <w:rFonts w:ascii="Times New Roman" w:hAnsi="Times New Roman"/>
          <w:sz w:val="20"/>
        </w:rPr>
        <w:t xml:space="preserve"> </w:t>
      </w:r>
      <w:r>
        <w:rPr>
          <w:rFonts w:ascii="Times New Roman;serif" w:hAnsi="Times New Roman;serif"/>
          <w:b/>
          <w:i/>
          <w:sz w:val="24"/>
          <w:u w:val="single"/>
        </w:rPr>
        <w:t>practices; this form is provided as an example of what will be included in the final Release</w:t>
      </w:r>
      <w:r>
        <w:rPr>
          <w:rFonts w:ascii="Times New Roman" w:hAnsi="Times New Roman"/>
          <w:sz w:val="20"/>
        </w:rPr>
        <w:t xml:space="preserve"> </w:t>
      </w:r>
      <w:r>
        <w:rPr>
          <w:rFonts w:ascii="Times New Roman;serif" w:hAnsi="Times New Roman;serif"/>
          <w:b/>
          <w:i/>
          <w:sz w:val="24"/>
          <w:u w:val="single"/>
        </w:rPr>
        <w:t>document.</w:t>
      </w:r>
      <w:r>
        <w:rPr>
          <w:rFonts w:ascii="Times New Roman;serif" w:hAnsi="Times New Roman;serif"/>
          <w:b w:val="false"/>
          <w:sz w:val="24"/>
        </w:rPr>
        <w:t>]</w:t>
      </w:r>
      <w:r>
        <w:rPr>
          <w:rFonts w:ascii="Times New Roman;serif" w:hAnsi="Times New Roman;serif"/>
          <w:b w:val="false"/>
          <w:sz w:val="16"/>
        </w:rPr>
        <w:t>1</w:t>
      </w:r>
    </w:p>
    <w:p>
      <w:pPr>
        <w:pStyle w:val="TextBody"/>
        <w:spacing w:before="5" w:after="0"/>
        <w:jc w:val="left"/>
        <w:rPr/>
      </w:pPr>
      <w:r>
        <w:rPr/>
        <w:t> </w:t>
      </w:r>
    </w:p>
    <w:p>
      <w:pPr>
        <w:pStyle w:val="TextBody"/>
        <w:spacing w:before="90" w:after="0"/>
        <w:jc w:val="center"/>
        <w:rPr>
          <w:rFonts w:ascii="Times New Roman;serif" w:hAnsi="Times New Roman;serif"/>
          <w:b/>
          <w:sz w:val="24"/>
          <w:u w:val="single"/>
        </w:rPr>
      </w:pPr>
      <w:r>
        <w:rPr>
          <w:rFonts w:ascii="Times New Roman;serif" w:hAnsi="Times New Roman;serif"/>
          <w:b/>
          <w:sz w:val="24"/>
          <w:u w:val="single"/>
        </w:rPr>
        <w:t>GENERAL RELEASE OF ALL CLAIMS</w:t>
      </w:r>
    </w:p>
    <w:p>
      <w:pPr>
        <w:pStyle w:val="TextBody"/>
        <w:spacing w:before="5"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1.</w:t>
      </w:r>
    </w:p>
    <w:p>
      <w:pPr>
        <w:pStyle w:val="TextBody"/>
        <w:jc w:val="both"/>
        <w:rPr/>
      </w:pPr>
      <w:r>
        <w:rPr>
          <w:rFonts w:ascii="Times New Roman;serif" w:hAnsi="Times New Roman;serif"/>
          <w:b w:val="false"/>
          <w:sz w:val="24"/>
        </w:rPr>
        <w:t>For valuable consideration, the adequacy of which is hereby acknowledged, [NAME] (“</w:t>
      </w:r>
      <w:r>
        <w:rPr>
          <w:rFonts w:ascii="Times New Roman;serif" w:hAnsi="Times New Roman;serif"/>
          <w:b w:val="false"/>
          <w:sz w:val="24"/>
          <w:u w:val="single"/>
        </w:rPr>
        <w:t>Executive</w:t>
      </w:r>
      <w:r>
        <w:rPr/>
        <w:t>”</w:t>
      </w:r>
      <w:r>
        <w:rPr>
          <w:rFonts w:ascii="Times New Roman;serif" w:hAnsi="Times New Roman;serif"/>
          <w:b w:val="false"/>
          <w:sz w:val="24"/>
        </w:rPr>
        <w:t>), for himself, his spouse, heirs, administrators, children, representatives, executors, successors, assigns, trusts for his benefit and all other persons claiming through Executive, if any (collectively, “</w:t>
      </w:r>
      <w:r>
        <w:rPr>
          <w:rFonts w:ascii="Times New Roman;serif" w:hAnsi="Times New Roman;serif"/>
          <w:b w:val="false"/>
          <w:sz w:val="24"/>
          <w:u w:val="single"/>
        </w:rPr>
        <w:t>Releasers</w:t>
      </w:r>
      <w:r>
        <w:rPr/>
        <w:t>”</w:t>
      </w:r>
      <w:r>
        <w:rPr>
          <w:rFonts w:ascii="Times New Roman;serif" w:hAnsi="Times New Roman;serif"/>
          <w:b w:val="false"/>
          <w:sz w:val="24"/>
        </w:rPr>
        <w:t>), does hereby release, waive, and forever discharge [ProKidney, LLC, a Delaware limited liability company] (the “</w:t>
      </w:r>
      <w:r>
        <w:rPr>
          <w:rFonts w:ascii="Times New Roman;serif" w:hAnsi="Times New Roman;serif"/>
          <w:b w:val="false"/>
          <w:sz w:val="24"/>
          <w:u w:val="single"/>
        </w:rPr>
        <w:t>Company</w:t>
      </w:r>
      <w:r>
        <w:rPr/>
        <w:t>”</w:t>
      </w:r>
      <w:r>
        <w:rPr>
          <w:rFonts w:ascii="Times New Roman;serif" w:hAnsi="Times New Roman;serif"/>
          <w:b w:val="false"/>
          <w:sz w:val="24"/>
        </w:rPr>
        <w:t>), ProKidney Corp. and their respective subsidiaries, parents, affiliates, related organizations, and equity holders, and their respective affiliates (including trustees and beneficiaries of trusts that are direct and indirect equity holders), employees, officers, directors, attorneys, successors, and assigns or each of the foregoing (collectively, the “</w:t>
      </w:r>
      <w:r>
        <w:rPr>
          <w:rFonts w:ascii="Times New Roman;serif" w:hAnsi="Times New Roman;serif"/>
          <w:b w:val="false"/>
          <w:sz w:val="24"/>
          <w:u w:val="single"/>
        </w:rPr>
        <w:t>Releasees</w:t>
      </w:r>
      <w:r>
        <w:rPr/>
        <w:t>”</w:t>
      </w:r>
      <w:r>
        <w:rPr>
          <w:rFonts w:ascii="Times New Roman;serif" w:hAnsi="Times New Roman;serif"/>
          <w:b w:val="false"/>
          <w:sz w:val="24"/>
        </w:rPr>
        <w:t>) from, and does fully waive any obligations or liabilities of Releasees to Releasers of any kind and nature that Releasers had, have, or might claim to have against Releasees at the time Executive executes this General Release for or in respect of any and all liability, actions, charges, causes of action, demands, damages, or claims for relief, remuneration, sums of money, accounts or expenses, and any action arising in tort including libel, slander, defamation or intentional infliction of emotional distress, and claims under any federal, state or local statute including Title VII of the Civil Rights Act of 1964, the Civil Rights Act of 1866 and 1871 (42 U.S.C. § 1981), the Equal Pay Act, Employee Retirement Income Security Act, Family and Medical Leave Act, the National Labor Relations Act, the Fair Labor Standards Act, the Americans with Disabilities Act of 1990, the Age Discrimination in Employment Act of 1967, the Rehabilitation Act of 1973, or the discrimination or employment laws of any state or municipality, and/or any claims under any express or implied contract which Releasers may claim existed with Releasees. This also includes a release by Executive of any claims for breach of contract, wrongful discharge and all claims for alleged physical or personal injury, emotional distress relating to or arising out of Executive’s employment with Company or the termination of that employment; and any claims under the WARN Act or any similar law, which requires, among other things, that advance notice be given of certain work force reductions. This release and waiver does not apply to any claims or rights that may arise after the date Executive signs this General Release. The foregoing release does not apply to (a) any claims or rights for compensation, benefits, indemnification and any other surviving rights now existing under the Employment Letter between the Company and Executive dated as of [●], 2022 (the “</w:t>
      </w:r>
      <w:r>
        <w:rPr>
          <w:rFonts w:ascii="Times New Roman;serif" w:hAnsi="Times New Roman;serif"/>
          <w:b w:val="false"/>
          <w:sz w:val="24"/>
          <w:u w:val="single"/>
        </w:rPr>
        <w:t>Employment Letter</w:t>
      </w:r>
      <w:r>
        <w:rPr/>
        <w:t>”</w:t>
      </w:r>
      <w:r>
        <w:rPr>
          <w:rFonts w:ascii="Times New Roman;serif" w:hAnsi="Times New Roman;serif"/>
          <w:b w:val="false"/>
          <w:sz w:val="24"/>
        </w:rPr>
        <w:t>), the organizational documents of the Company or any of its affiliates or any other agreement providing for indemnification regardless of when any claim is filed, (b) any claims or rights under directors and officers liability insurance, or (c) any claims or rights accruing to any Releaser in its capacity as an equity holder of ProKidney Corp. or any of its subsidiaries.</w:t>
      </w:r>
    </w:p>
    <w:p>
      <w:pPr>
        <w:pStyle w:val="TextBody"/>
        <w:spacing w:before="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2.</w:t>
      </w:r>
    </w:p>
    <w:p>
      <w:pPr>
        <w:pStyle w:val="TextBody"/>
        <w:jc w:val="both"/>
        <w:rPr>
          <w:rFonts w:ascii="Times New Roman;serif" w:hAnsi="Times New Roman;serif"/>
          <w:b w:val="false"/>
          <w:sz w:val="24"/>
        </w:rPr>
      </w:pPr>
      <w:r>
        <w:rPr>
          <w:rFonts w:ascii="Times New Roman;serif" w:hAnsi="Times New Roman;serif"/>
          <w:b w:val="false"/>
          <w:sz w:val="24"/>
        </w:rPr>
        <w:t>Excluded from this release and waiver are any claims which cannot be waived by law, including but not limited to the right to participate in an investigation conducted by certain</w:t>
      </w:r>
    </w:p>
    <w:p>
      <w:pPr>
        <w:pStyle w:val="TextBody"/>
        <w:spacing w:before="8" w:after="0"/>
        <w:jc w:val="left"/>
        <w:rPr/>
      </w:pPr>
      <w:r>
        <w:rPr/>
        <w:t> </w:t>
      </w:r>
    </w:p>
    <w:p>
      <w:pPr>
        <w:pStyle w:val="TextBody"/>
        <w:spacing w:before="103" w:after="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sz w:val="20"/>
        </w:rPr>
        <w:t>Note to Draft</w:t>
      </w:r>
      <w:r>
        <w:rPr>
          <w:rFonts w:ascii="Times New Roman;serif" w:hAnsi="Times New Roman;serif"/>
          <w:b w:val="false"/>
          <w:sz w:val="20"/>
        </w:rPr>
        <w:t>: To be updated for applicability of ADEA and multiple terminations of employment.</w:t>
      </w:r>
    </w:p>
    <w:p>
      <w:pPr>
        <w:pStyle w:val="TextBody"/>
        <w:spacing w:before="0" w:after="0"/>
        <w:jc w:val="left"/>
        <w:rPr/>
      </w:pPr>
      <w:r>
        <w:rPr/>
        <w:t> </w:t>
      </w:r>
    </w:p>
    <w:p>
      <w:pPr>
        <w:pStyle w:val="TextBody"/>
        <w:spacing w:before="84" w:after="0"/>
        <w:jc w:val="both"/>
        <w:rPr>
          <w:rFonts w:ascii="Times New Roman" w:hAnsi="Times New Roman"/>
          <w:sz w:val="20"/>
        </w:rPr>
      </w:pPr>
      <w:r>
        <w:rPr>
          <w:rFonts w:ascii="Times New Roman;serif" w:hAnsi="Times New Roman;serif"/>
          <w:b w:val="false"/>
          <w:sz w:val="24"/>
        </w:rPr>
        <w:t>government agencies. Executive does, however, waive Executive’s right to any monetary recovery should any agency (such as the Equal Employment Opportunity Commission) pursue any claims on Executive’s behalf. Executive represents and warrants that Executive has not filed any</w:t>
      </w:r>
      <w:r>
        <w:rPr>
          <w:rFonts w:ascii="Times New Roman" w:hAnsi="Times New Roman"/>
          <w:sz w:val="20"/>
        </w:rPr>
        <w:t xml:space="preserve"> </w:t>
      </w:r>
    </w:p>
    <w:p>
      <w:pPr>
        <w:pStyle w:val="HorizontalLine"/>
        <w:rPr/>
      </w:pPr>
      <w:r>
        <w:rPr/>
      </w:r>
    </w:p>
    <w:p>
      <w:pPr>
        <w:pStyle w:val="TextBody"/>
        <w:spacing w:before="84" w:after="0"/>
        <w:jc w:val="both"/>
        <w:rPr>
          <w:rFonts w:ascii="Times New Roman;serif" w:hAnsi="Times New Roman;serif"/>
          <w:b w:val="false"/>
          <w:sz w:val="24"/>
        </w:rPr>
      </w:pPr>
      <w:r>
        <w:rPr>
          <w:rFonts w:ascii="Times New Roman;serif" w:hAnsi="Times New Roman;serif"/>
          <w:b w:val="false"/>
          <w:sz w:val="24"/>
        </w:rPr>
        <w:t>complaint, charge, or lawsuit against the Releasees with any government agency or any court.</w:t>
      </w:r>
    </w:p>
    <w:p>
      <w:pPr>
        <w:pStyle w:val="TextBody"/>
        <w:spacing w:before="1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3.</w:t>
      </w:r>
    </w:p>
    <w:p>
      <w:pPr>
        <w:pStyle w:val="TextBody"/>
        <w:jc w:val="both"/>
        <w:rPr>
          <w:rFonts w:ascii="Times New Roman;serif" w:hAnsi="Times New Roman;serif"/>
          <w:b w:val="false"/>
          <w:sz w:val="24"/>
        </w:rPr>
      </w:pPr>
      <w:r>
        <w:rPr>
          <w:rFonts w:ascii="Times New Roman;serif" w:hAnsi="Times New Roman;serif"/>
          <w:b w:val="false"/>
          <w:sz w:val="24"/>
        </w:rPr>
        <w:t>Executive agrees never to sue Releasees in any forum for any claim covered by the above waiver and release language. If Executive violates this General Release by suing Releasees, other than as set forth in Section 1 hereof, Executive shall be liable to the Company for its reasonable attorneys’ fees and other litigation costs incurred in defending against such a suit. Executive represents and warrants that he has not assigned or transferred, in any manner, including by subrogation or operation of law, any portion of any claim, action, complaint, charge or suit encompassed by the releases set forth in this General Release.</w:t>
      </w:r>
    </w:p>
    <w:p>
      <w:pPr>
        <w:pStyle w:val="TextBody"/>
        <w:spacing w:before="10" w:after="0"/>
        <w:jc w:val="left"/>
        <w:rPr/>
      </w:pPr>
      <w:r>
        <w:rPr/>
        <w:t> </w:t>
      </w:r>
    </w:p>
    <w:p>
      <w:pPr>
        <w:pStyle w:val="TextBody"/>
        <w:spacing w:before="1" w:after="0"/>
        <w:jc w:val="left"/>
        <w:rPr>
          <w:rFonts w:ascii="Times New Roman" w:hAnsi="Times New Roman"/>
          <w:b w:val="false"/>
          <w:sz w:val="24"/>
        </w:rPr>
      </w:pPr>
      <w:r>
        <w:rPr>
          <w:rFonts w:ascii="Times New Roman" w:hAnsi="Times New Roman"/>
          <w:b w:val="false"/>
          <w:sz w:val="24"/>
        </w:rPr>
        <w:t>4.</w:t>
      </w:r>
    </w:p>
    <w:p>
      <w:pPr>
        <w:pStyle w:val="TextBody"/>
        <w:spacing w:before="1" w:after="283"/>
        <w:jc w:val="left"/>
        <w:rPr>
          <w:rFonts w:ascii="Times New Roman;serif" w:hAnsi="Times New Roman;serif"/>
          <w:b w:val="false"/>
          <w:sz w:val="24"/>
        </w:rPr>
      </w:pPr>
      <w:r>
        <w:rPr>
          <w:rFonts w:ascii="Times New Roman;serif" w:hAnsi="Times New Roman;serif"/>
          <w:b w:val="false"/>
          <w:sz w:val="24"/>
        </w:rPr>
        <w:t>Executive acknowledges and recites that:</w:t>
      </w:r>
    </w:p>
    <w:p>
      <w:pPr>
        <w:pStyle w:val="TextBody"/>
        <w:spacing w:before="9" w:after="0"/>
        <w:jc w:val="left"/>
        <w:rPr/>
      </w:pPr>
      <w:r>
        <w:rPr/>
        <w:t> </w:t>
      </w:r>
    </w:p>
    <w:p>
      <w:pPr>
        <w:pStyle w:val="TextBody"/>
        <w:spacing w:before="1" w:after="0"/>
        <w:jc w:val="left"/>
        <w:rPr>
          <w:rFonts w:ascii="Times New Roman" w:hAnsi="Times New Roman"/>
          <w:b w:val="false"/>
          <w:sz w:val="24"/>
        </w:rPr>
      </w:pPr>
      <w:r>
        <w:rPr>
          <w:rFonts w:ascii="Times New Roman" w:hAnsi="Times New Roman"/>
          <w:b w:val="false"/>
          <w:sz w:val="24"/>
        </w:rPr>
        <w:t>(a)</w:t>
      </w:r>
    </w:p>
    <w:p>
      <w:pPr>
        <w:pStyle w:val="TextBody"/>
        <w:spacing w:before="1" w:after="283"/>
        <w:jc w:val="left"/>
        <w:rPr>
          <w:rFonts w:ascii="Times New Roman;serif" w:hAnsi="Times New Roman;serif"/>
          <w:b w:val="false"/>
          <w:sz w:val="24"/>
        </w:rPr>
      </w:pPr>
      <w:r>
        <w:rPr>
          <w:rFonts w:ascii="Times New Roman;serif" w:hAnsi="Times New Roman;serif"/>
          <w:b w:val="false"/>
          <w:sz w:val="24"/>
        </w:rPr>
        <w:t>Executive has executed this General Release knowingly and voluntarily;</w:t>
      </w:r>
    </w:p>
    <w:p>
      <w:pPr>
        <w:pStyle w:val="TextBody"/>
        <w:spacing w:before="9" w:after="0"/>
        <w:jc w:val="left"/>
        <w:rPr/>
      </w:pPr>
      <w:r>
        <w:rPr/>
        <w:t> </w:t>
      </w:r>
    </w:p>
    <w:p>
      <w:pPr>
        <w:pStyle w:val="TextBody"/>
        <w:spacing w:before="1" w:after="0"/>
        <w:jc w:val="left"/>
        <w:rPr>
          <w:rFonts w:ascii="Times New Roman" w:hAnsi="Times New Roman"/>
          <w:b w:val="false"/>
          <w:sz w:val="24"/>
        </w:rPr>
      </w:pPr>
      <w:r>
        <w:rPr>
          <w:rFonts w:ascii="Times New Roman" w:hAnsi="Times New Roman"/>
          <w:b w:val="false"/>
          <w:sz w:val="24"/>
        </w:rPr>
        <w:t>(b)</w:t>
      </w:r>
    </w:p>
    <w:p>
      <w:pPr>
        <w:pStyle w:val="TextBody"/>
        <w:spacing w:before="1" w:after="283"/>
        <w:jc w:val="left"/>
        <w:rPr>
          <w:rFonts w:ascii="Times New Roman;serif" w:hAnsi="Times New Roman;serif"/>
          <w:b w:val="false"/>
          <w:sz w:val="24"/>
        </w:rPr>
      </w:pPr>
      <w:r>
        <w:rPr>
          <w:rFonts w:ascii="Times New Roman;serif" w:hAnsi="Times New Roman;serif"/>
          <w:b w:val="false"/>
          <w:sz w:val="24"/>
        </w:rPr>
        <w:t>Executive has read and understands this General Release in its entirety;</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(c)</w:t>
      </w:r>
    </w:p>
    <w:p>
      <w:pPr>
        <w:pStyle w:val="TextBody"/>
        <w:jc w:val="both"/>
        <w:rPr>
          <w:rFonts w:ascii="Times New Roman;serif" w:hAnsi="Times New Roman;serif"/>
          <w:b w:val="false"/>
          <w:sz w:val="24"/>
        </w:rPr>
      </w:pPr>
      <w:r>
        <w:rPr>
          <w:rFonts w:ascii="Times New Roman;serif" w:hAnsi="Times New Roman;serif"/>
          <w:b w:val="false"/>
          <w:sz w:val="24"/>
        </w:rPr>
        <w:t>Executive has been advised and directed orally and in writing (and this subsection (c) constitutes such written direction) to seek legal counsel and any other advice he wishes with respect to the terms of this General Release before executing it;</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(d)</w:t>
      </w:r>
    </w:p>
    <w:p>
      <w:pPr>
        <w:pStyle w:val="TextBody"/>
        <w:jc w:val="both"/>
        <w:rPr>
          <w:rFonts w:ascii="Times New Roman;serif" w:hAnsi="Times New Roman;serif"/>
          <w:b w:val="false"/>
          <w:sz w:val="24"/>
        </w:rPr>
      </w:pPr>
      <w:r>
        <w:rPr>
          <w:rFonts w:ascii="Times New Roman;serif" w:hAnsi="Times New Roman;serif"/>
          <w:b w:val="false"/>
          <w:sz w:val="24"/>
        </w:rPr>
        <w:t>Executive’s execution of this General Release has not been forced by any employee or agent of the Company, and Executive has had an opportunity to negotiate about the terms of this General Release;</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(e)</w:t>
      </w:r>
    </w:p>
    <w:p>
      <w:pPr>
        <w:pStyle w:val="TextBody"/>
        <w:jc w:val="both"/>
        <w:rPr>
          <w:rFonts w:ascii="Times New Roman;serif" w:hAnsi="Times New Roman;serif"/>
          <w:b w:val="false"/>
          <w:sz w:val="24"/>
        </w:rPr>
      </w:pPr>
      <w:r>
        <w:rPr>
          <w:rFonts w:ascii="Times New Roman;serif" w:hAnsi="Times New Roman;serif"/>
          <w:b w:val="false"/>
          <w:sz w:val="24"/>
        </w:rPr>
        <w:t>Executive has been given at least twenty-one (21) days to consider this General Release, and if executed prior to the expiration of the twenty-one (21) day period, such execution is knowing and voluntary; and</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(f)</w:t>
      </w:r>
    </w:p>
    <w:p>
      <w:pPr>
        <w:pStyle w:val="TextBody"/>
        <w:jc w:val="both"/>
        <w:rPr>
          <w:rFonts w:ascii="Times New Roman;serif" w:hAnsi="Times New Roman;serif"/>
          <w:b w:val="false"/>
          <w:sz w:val="24"/>
        </w:rPr>
      </w:pPr>
      <w:r>
        <w:rPr>
          <w:rFonts w:ascii="Times New Roman;serif" w:hAnsi="Times New Roman;serif"/>
          <w:b w:val="false"/>
          <w:sz w:val="24"/>
        </w:rPr>
        <w:t>The additional benefits and other promises that Executive is to receive under the Employment Letter are sufficient consideration for this General Release.</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5.</w:t>
      </w:r>
    </w:p>
    <w:p>
      <w:pPr>
        <w:pStyle w:val="TextBody"/>
        <w:jc w:val="both"/>
        <w:rPr>
          <w:rFonts w:ascii="Times New Roman;serif" w:hAnsi="Times New Roman;serif"/>
          <w:b w:val="false"/>
          <w:sz w:val="24"/>
        </w:rPr>
      </w:pPr>
      <w:r>
        <w:rPr>
          <w:rFonts w:ascii="Times New Roman;serif" w:hAnsi="Times New Roman;serif"/>
          <w:b w:val="false"/>
          <w:sz w:val="24"/>
        </w:rPr>
        <w:t>This General Release shall be governed by the internal laws (and not the choice of laws) of the State of Delaware, except for the application of pre-emptive Federal law.</w:t>
      </w:r>
    </w:p>
    <w:p>
      <w:pPr>
        <w:pStyle w:val="TextBody"/>
        <w:spacing w:before="10"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6.</w:t>
      </w:r>
    </w:p>
    <w:p>
      <w:pPr>
        <w:pStyle w:val="TextBody"/>
        <w:spacing w:before="1" w:after="283"/>
        <w:jc w:val="both"/>
        <w:rPr>
          <w:rFonts w:ascii="Times New Roman;serif" w:hAnsi="Times New Roman;serif"/>
          <w:b w:val="false"/>
          <w:sz w:val="24"/>
        </w:rPr>
      </w:pPr>
      <w:r>
        <w:rPr>
          <w:rFonts w:ascii="Times New Roman;serif" w:hAnsi="Times New Roman;serif"/>
          <w:b w:val="false"/>
          <w:sz w:val="24"/>
        </w:rPr>
        <w:t>Any dispute or controversy arising under or in connection with this General Release shall be settled exclusively by arbitration in accordance with the provisions of Section 4 of the Employment Letter.</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7.</w:t>
      </w:r>
    </w:p>
    <w:p>
      <w:pPr>
        <w:pStyle w:val="TextBody"/>
        <w:jc w:val="both"/>
        <w:rPr>
          <w:rFonts w:ascii="Times New Roman;serif" w:hAnsi="Times New Roman;serif"/>
          <w:b w:val="false"/>
          <w:sz w:val="24"/>
        </w:rPr>
      </w:pPr>
      <w:r>
        <w:rPr>
          <w:rFonts w:ascii="Times New Roman;serif" w:hAnsi="Times New Roman;serif"/>
          <w:b w:val="false"/>
          <w:sz w:val="24"/>
        </w:rPr>
        <w:t>Executive may revoke this General Release within seven (7) calendar days after signing it. To be effective, such revocation must be made in writing to the Board of Directors of ProKidney Corp., with a copy received at 2000 Frontis Plaza Blvd, Ste. 250 Winston-Salem, NC 27103, Attention: Todd Girolamo. Revocation can be made by hand delivery, telegram, facsimile, or postmarking before the expiration of this seven (7) day period. None of the obligations of the Company under the Employment Letter shall be effective in the event that Executive revokes this General Release pursuant to this Section 7.</w:t>
      </w:r>
    </w:p>
    <w:p>
      <w:pPr>
        <w:pStyle w:val="TextBody"/>
        <w:spacing w:before="0" w:after="0"/>
        <w:jc w:val="both"/>
        <w:rPr/>
      </w:pPr>
      <w:r>
        <w:rPr/>
        <w:t> </w:t>
      </w:r>
    </w:p>
    <w:p>
      <w:pPr>
        <w:pStyle w:val="TextBody"/>
        <w:spacing w:before="84" w:after="0"/>
        <w:jc w:val="center"/>
        <w:rPr>
          <w:rFonts w:ascii="Times New Roman;serif" w:hAnsi="Times New Roman;serif"/>
          <w:b w:val="false"/>
          <w:i/>
          <w:sz w:val="24"/>
        </w:rPr>
      </w:pPr>
      <w:r>
        <w:rPr>
          <w:rFonts w:ascii="Times New Roman;serif" w:hAnsi="Times New Roman;serif"/>
          <w:b w:val="false"/>
          <w:i/>
          <w:sz w:val="24"/>
        </w:rPr>
        <w:t>(Signature page follows)</w:t>
      </w:r>
    </w:p>
    <w:p>
      <w:pPr>
        <w:pStyle w:val="TextBody"/>
        <w:spacing w:before="0" w:after="0"/>
        <w:jc w:val="center"/>
        <w:rPr/>
      </w:pPr>
      <w:r>
        <w:rPr/>
        <w:t> </w:t>
      </w:r>
    </w:p>
    <w:p>
      <w:pPr>
        <w:pStyle w:val="TextBody"/>
        <w:spacing w:before="84" w:after="0"/>
        <w:jc w:val="left"/>
        <w:rPr>
          <w:rFonts w:ascii="Times New Roman;serif" w:hAnsi="Times New Roman;serif"/>
          <w:b w:val="false"/>
          <w:sz w:val="24"/>
        </w:rPr>
      </w:pPr>
      <w:r>
        <w:rPr>
          <w:rFonts w:ascii="Times New Roman;serif" w:hAnsi="Times New Roman;serif"/>
          <w:b w:val="false"/>
          <w:sz w:val="24"/>
        </w:rPr>
        <w:t>PLEASE READ THIS AGREEMENT CAREFULLY. IT CONTAINS A RELEASE OF ALL KNOWN AND UNKNOWN CLAIMS.</w:t>
      </w:r>
    </w:p>
    <w:p>
      <w:pPr>
        <w:pStyle w:val="HorizontalLine"/>
        <w:rPr/>
      </w:pPr>
      <w:r>
        <w:rPr/>
      </w:r>
    </w:p>
    <w:p>
      <w:pPr>
        <w:pStyle w:val="TextBody"/>
        <w:spacing w:before="0" w:after="0"/>
        <w:jc w:val="left"/>
        <w:rPr/>
      </w:pPr>
      <w:r>
        <w:rPr/>
        <w:t> </w:t>
      </w:r>
    </w:p>
    <w:p>
      <w:pPr>
        <w:pStyle w:val="TextBody"/>
        <w:spacing w:before="11"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Date: Executive</w:t>
      </w:r>
      <w:r>
        <w:rPr>
          <w:rFonts w:ascii="Times New Roman" w:hAnsi="Times New Roman"/>
          <w:sz w:val="20"/>
        </w:rPr>
        <w:t xml:space="preserve"> </w:t>
      </w:r>
    </w:p>
    <w:p>
      <w:pPr>
        <w:pStyle w:val="HorizontalLine"/>
        <w:rPr/>
      </w:pPr>
      <w:r>
        <w:rPr/>
      </w:r>
      <w:r>
        <w:br w:type="page"/>
      </w:r>
    </w:p>
    <w:p>
      <w:pPr>
        <w:pStyle w:val="TextBody"/>
        <w:spacing w:before="0" w:after="0"/>
        <w:jc w:val="right"/>
        <w:rPr>
          <w:rFonts w:ascii="Times New Roman;serif" w:hAnsi="Times New Roman;serif"/>
          <w:b/>
          <w:sz w:val="20"/>
        </w:rPr>
      </w:pPr>
      <w:bookmarkStart w:id="132" w:name="prok-ex10_14.htm"/>
      <w:bookmarkStart w:id="133" w:name="ksprokex10_14"/>
      <w:bookmarkEnd w:id="132"/>
      <w:bookmarkEnd w:id="133"/>
      <w:r>
        <w:rPr>
          <w:rFonts w:ascii="Times New Roman;serif" w:hAnsi="Times New Roman;serif"/>
          <w:b/>
          <w:sz w:val="20"/>
        </w:rPr>
        <w:t>Exhibit 10.14</w:t>
      </w:r>
    </w:p>
    <w:p>
      <w:pPr>
        <w:pStyle w:val="TextBody"/>
        <w:spacing w:before="0" w:after="0"/>
        <w:jc w:val="left"/>
        <w:rPr>
          <w:rFonts w:ascii="Times New Roman;serif" w:hAnsi="Times New Roman;serif"/>
          <w:b w:val="false"/>
          <w:sz w:val="24"/>
        </w:rPr>
      </w:pPr>
      <w:r>
        <w:rPr>
          <w:rFonts w:ascii="Times New Roman;serif" w:hAnsi="Times New Roman;serif"/>
          <w:b w:val="false"/>
          <w:sz w:val="24"/>
        </w:rPr>
        <w:t>December 3, 2022</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James Coulston</w:t>
      </w:r>
      <w:r>
        <w:rPr>
          <w:rFonts w:ascii="Times New Roman" w:hAnsi="Times New Roman"/>
          <w:sz w:val="20"/>
        </w:rPr>
        <w:t xml:space="preserv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409 Susanna Dr.</w:t>
      </w:r>
    </w:p>
    <w:p>
      <w:pPr>
        <w:pStyle w:val="TextBody"/>
        <w:spacing w:before="0" w:after="0"/>
        <w:jc w:val="left"/>
        <w:rPr>
          <w:rFonts w:ascii="Times New Roman" w:hAnsi="Times New Roman"/>
          <w:sz w:val="20"/>
        </w:rPr>
      </w:pPr>
      <w:r>
        <w:rPr>
          <w:rFonts w:ascii="Times New Roman;serif" w:hAnsi="Times New Roman;serif"/>
          <w:b w:val="false"/>
          <w:sz w:val="24"/>
        </w:rPr>
        <w:t>Kernersville, NC 27284</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Dear James:</w:t>
      </w:r>
    </w:p>
    <w:p>
      <w:pPr>
        <w:pStyle w:val="TextBody"/>
        <w:spacing w:before="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Fonts w:ascii="Times New Roman;serif" w:hAnsi="Times New Roman;serif"/>
          <w:b w:val="false"/>
          <w:sz w:val="24"/>
        </w:rPr>
        <w:t>This letter agreement (this “</w:t>
      </w:r>
      <w:r>
        <w:rPr>
          <w:rFonts w:ascii="Times New Roman;serif" w:hAnsi="Times New Roman;serif"/>
          <w:b w:val="false"/>
          <w:sz w:val="24"/>
          <w:u w:val="single"/>
        </w:rPr>
        <w:t>Agreement</w:t>
      </w:r>
      <w:r>
        <w:rPr/>
        <w:t>”</w:t>
      </w:r>
      <w:r>
        <w:rPr>
          <w:rFonts w:ascii="Times New Roman;serif" w:hAnsi="Times New Roman;serif"/>
          <w:b w:val="false"/>
          <w:sz w:val="24"/>
        </w:rPr>
        <w:t>) sets forth the terms and conditions of your</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sz w:val="20"/>
        </w:rPr>
      </w:pPr>
      <w:r>
        <w:rPr>
          <w:rFonts w:ascii="Times New Roman;serif" w:hAnsi="Times New Roman;serif"/>
          <w:b w:val="false"/>
          <w:sz w:val="24"/>
        </w:rPr>
        <w:t>continued employment with ProKidney, LLC, a Delaware limited liability company (the “</w:t>
      </w:r>
      <w:r>
        <w:rPr>
          <w:rFonts w:ascii="Times New Roman;serif" w:hAnsi="Times New Roman;serif"/>
          <w:b w:val="false"/>
          <w:sz w:val="24"/>
          <w:u w:val="single"/>
        </w:rPr>
        <w:t>Company</w:t>
      </w:r>
      <w:r>
        <w:rPr>
          <w:rFonts w:ascii="Times New Roman" w:hAnsi="Times New Roman"/>
          <w:sz w:val="20"/>
        </w:rPr>
        <w:t>”</w:t>
      </w:r>
      <w:r>
        <w:rPr>
          <w:rFonts w:ascii="Times New Roman;serif" w:hAnsi="Times New Roman;serif"/>
          <w:b w:val="false"/>
          <w:sz w:val="24"/>
        </w:rPr>
        <w:t>) as of December 3, 2022 (the “</w:t>
      </w:r>
      <w:r>
        <w:rPr>
          <w:rFonts w:ascii="Times New Roman;serif" w:hAnsi="Times New Roman;serif"/>
          <w:b w:val="false"/>
          <w:sz w:val="24"/>
          <w:u w:val="single"/>
        </w:rPr>
        <w:t>Effective Date</w:t>
      </w:r>
      <w:r>
        <w:rPr>
          <w:rFonts w:ascii="Times New Roman" w:hAnsi="Times New Roman"/>
          <w:sz w:val="20"/>
        </w:rPr>
        <w:t>”</w:t>
      </w:r>
      <w:r>
        <w:rPr>
          <w:rFonts w:ascii="Times New Roman;serif" w:hAnsi="Times New Roman;serif"/>
          <w:b w:val="false"/>
          <w:sz w:val="24"/>
        </w:rPr>
        <w:t>). This Agreement will govern your employment with the Company following the Effective Date on the following terms and conditions:</w:t>
      </w:r>
    </w:p>
    <w:p>
      <w:pPr>
        <w:pStyle w:val="TextBody"/>
        <w:spacing w:before="8"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4"/>
        </w:rPr>
        <w:t xml:space="preserve">Term: </w:t>
      </w:r>
      <w:r>
        <w:rPr>
          <w:rFonts w:ascii="Times New Roman;serif" w:hAnsi="Times New Roman;serif"/>
          <w:b w:val="false"/>
          <w:sz w:val="24"/>
        </w:rPr>
        <w:t>The term of your employment with the Company will terminate upon delivery to you of notice to such effect, which notice may be given for any or no reason, or upon your earlier resignation, death or disability (as customarily defined by the Company). You acknowledge that no provision contained in this Agreement will entitle you to remain in the employment of the Company or any of its subsidiaries or affiliates or affect the right of the Company to terminate your employment hereunder at any time for any reason, subject to compliance with the termination provisions set forth herein. The period during which you are employed by the Company pursuant to this Agreement shall be referred to as the “</w:t>
      </w:r>
      <w:r>
        <w:rPr>
          <w:rFonts w:ascii="Times New Roman;serif" w:hAnsi="Times New Roman;serif"/>
          <w:b w:val="false"/>
          <w:sz w:val="24"/>
          <w:u w:val="single"/>
        </w:rPr>
        <w:t>Term</w:t>
      </w:r>
      <w:r>
        <w:rPr>
          <w:rFonts w:ascii="Times New Roman;serif" w:hAnsi="Times New Roman;serif"/>
          <w:b w:val="false"/>
          <w:sz w:val="24"/>
        </w:rPr>
        <w:t>.”</w:t>
      </w:r>
    </w:p>
    <w:p>
      <w:pPr>
        <w:pStyle w:val="TextBody"/>
        <w:spacing w:before="10" w:after="0"/>
        <w:jc w:val="left"/>
        <w:rPr/>
      </w:pPr>
      <w:r>
        <w:rPr/>
        <w:t> </w:t>
      </w:r>
    </w:p>
    <w:p>
      <w:pPr>
        <w:pStyle w:val="TextBody"/>
        <w:spacing w:before="1" w:after="0"/>
        <w:jc w:val="left"/>
        <w:rPr>
          <w:rFonts w:ascii="Times New Roman" w:hAnsi="Times New Roman"/>
          <w:sz w:val="20"/>
        </w:rPr>
      </w:pPr>
      <w:r>
        <w:rPr>
          <w:rFonts w:ascii="Times New Roman;serif" w:hAnsi="Times New Roman;serif"/>
          <w:b/>
          <w:sz w:val="24"/>
        </w:rPr>
        <w:t xml:space="preserve">Position: </w:t>
      </w:r>
      <w:r>
        <w:rPr>
          <w:rFonts w:ascii="Times New Roman;serif" w:hAnsi="Times New Roman;serif"/>
          <w:b w:val="false"/>
          <w:sz w:val="24"/>
        </w:rPr>
        <w:t>Chief Financial Officer of the Company.</w:t>
      </w:r>
    </w:p>
    <w:p>
      <w:pPr>
        <w:pStyle w:val="TextBody"/>
        <w:spacing w:before="193" w:after="0"/>
        <w:jc w:val="left"/>
        <w:rPr>
          <w:rFonts w:ascii="Times New Roman" w:hAnsi="Times New Roman"/>
          <w:sz w:val="20"/>
        </w:rPr>
      </w:pPr>
      <w:r>
        <w:rPr>
          <w:rFonts w:ascii="Times New Roman;serif" w:hAnsi="Times New Roman;serif"/>
          <w:b/>
          <w:sz w:val="24"/>
        </w:rPr>
        <w:t xml:space="preserve">Reporting: </w:t>
      </w:r>
      <w:r>
        <w:rPr>
          <w:rFonts w:ascii="Times New Roman;serif" w:hAnsi="Times New Roman;serif"/>
          <w:b w:val="false"/>
          <w:sz w:val="24"/>
        </w:rPr>
        <w:t>You will report directly to the Chief Executive Officer (“</w:t>
      </w:r>
      <w:r>
        <w:rPr>
          <w:rFonts w:ascii="Times New Roman;serif" w:hAnsi="Times New Roman;serif"/>
          <w:b/>
          <w:sz w:val="24"/>
        </w:rPr>
        <w:t>Supervisor</w:t>
      </w:r>
      <w:r>
        <w:rPr>
          <w:rFonts w:ascii="Times New Roman" w:hAnsi="Times New Roman"/>
          <w:sz w:val="20"/>
        </w:rPr>
        <w:t>”</w:t>
      </w:r>
      <w:r>
        <w:rPr>
          <w:rFonts w:ascii="Times New Roman;serif" w:hAnsi="Times New Roman;serif"/>
          <w:b w:val="false"/>
          <w:sz w:val="24"/>
        </w:rPr>
        <w:t>).</w:t>
      </w:r>
    </w:p>
    <w:p>
      <w:pPr>
        <w:pStyle w:val="TextBody"/>
        <w:spacing w:before="8" w:after="0"/>
        <w:jc w:val="left"/>
        <w:rPr/>
      </w:pPr>
      <w:r>
        <w:rPr/>
        <w:t> </w:t>
      </w:r>
    </w:p>
    <w:p>
      <w:pPr>
        <w:pStyle w:val="TextBody"/>
        <w:spacing w:before="140" w:after="0"/>
        <w:jc w:val="left"/>
        <w:rPr>
          <w:rFonts w:ascii="Times New Roman" w:hAnsi="Times New Roman"/>
          <w:sz w:val="20"/>
        </w:rPr>
      </w:pPr>
      <w:r>
        <w:rPr>
          <w:rFonts w:ascii="Times New Roman;serif" w:hAnsi="Times New Roman;serif"/>
          <w:b/>
          <w:sz w:val="24"/>
        </w:rPr>
        <w:t xml:space="preserve">Duties and Commitment: </w:t>
      </w:r>
      <w:r>
        <w:rPr>
          <w:rFonts w:ascii="Times New Roman;serif" w:hAnsi="Times New Roman;serif"/>
          <w:b w:val="false"/>
          <w:sz w:val="24"/>
        </w:rPr>
        <w:t>You shall be employed by the Company on a full-time basis and shall perform such duties and responsibilities on behalf of the Company and its subsidiaries and affiliates (collectively, the “</w:t>
      </w:r>
      <w:r>
        <w:rPr>
          <w:rFonts w:ascii="Times New Roman;serif" w:hAnsi="Times New Roman;serif"/>
          <w:b w:val="false"/>
          <w:sz w:val="24"/>
          <w:u w:val="single"/>
        </w:rPr>
        <w:t>Company Group</w:t>
      </w:r>
      <w:r>
        <w:rPr>
          <w:rFonts w:ascii="Times New Roman" w:hAnsi="Times New Roman"/>
          <w:sz w:val="20"/>
        </w:rPr>
        <w:t>”</w:t>
      </w:r>
      <w:r>
        <w:rPr>
          <w:rFonts w:ascii="Times New Roman;serif" w:hAnsi="Times New Roman;serif"/>
          <w:b w:val="false"/>
          <w:sz w:val="24"/>
        </w:rPr>
        <w:t>) as are consistent with your position, and such additional duties and responsibilities on behalf of the Company Group, as may be designated from time to time by the Supervisor.</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You will be required to devote all of your business time to the business and affairs of the Company Group and to the promotion of its interests. Notwithstanding the foregoing, you may engage in other activities, such as personal investments and civic and charitable activities, so long as: (i) such activities do not interfere with your duties and obligations hereunder and (ii) such activities are disclosed in advance to the Board of Directors (the “</w:t>
      </w:r>
      <w:r>
        <w:rPr>
          <w:rFonts w:ascii="Times New Roman;serif" w:hAnsi="Times New Roman;serif"/>
          <w:b w:val="false"/>
          <w:sz w:val="24"/>
          <w:u w:val="single"/>
        </w:rPr>
        <w:t>Board</w:t>
      </w:r>
      <w:r>
        <w:rPr>
          <w:rFonts w:ascii="Times New Roman" w:hAnsi="Times New Roman"/>
          <w:sz w:val="20"/>
        </w:rPr>
        <w:t>”</w:t>
      </w:r>
      <w:r>
        <w:rPr>
          <w:rFonts w:ascii="Times New Roman;serif" w:hAnsi="Times New Roman;serif"/>
          <w:b w:val="false"/>
          <w:sz w:val="24"/>
        </w:rPr>
        <w:t>) of ProKidney Corp. (“</w:t>
      </w:r>
      <w:r>
        <w:rPr>
          <w:rFonts w:ascii="Times New Roman;serif" w:hAnsi="Times New Roman;serif"/>
          <w:b w:val="false"/>
          <w:sz w:val="24"/>
          <w:u w:val="single"/>
        </w:rPr>
        <w:t>Parent</w:t>
      </w:r>
      <w:r>
        <w:rPr>
          <w:rFonts w:ascii="Times New Roman" w:hAnsi="Times New Roman"/>
          <w:sz w:val="20"/>
        </w:rPr>
        <w:t>”</w:t>
      </w:r>
      <w:r>
        <w:rPr>
          <w:rFonts w:ascii="Times New Roman;serif" w:hAnsi="Times New Roman;serif"/>
          <w:b w:val="false"/>
          <w:sz w:val="24"/>
        </w:rPr>
        <w:t>)). In addition, you shall be permitted to serve as a director on any other company’s board of directors subject to the prior consent of the Board (which will not be unreasonably withheld).</w:t>
      </w:r>
    </w:p>
    <w:p>
      <w:pPr>
        <w:pStyle w:val="TextBody"/>
        <w:spacing w:before="92" w:after="0"/>
        <w:jc w:val="both"/>
        <w:rPr>
          <w:rFonts w:ascii="Times New Roman" w:hAnsi="Times New Roman"/>
          <w:sz w:val="20"/>
        </w:rPr>
      </w:pPr>
      <w:r>
        <w:rPr>
          <w:rFonts w:ascii="Times New Roman;serif" w:hAnsi="Times New Roman;serif"/>
          <w:b/>
          <w:sz w:val="24"/>
        </w:rPr>
        <w:t xml:space="preserve">Base Salary: </w:t>
      </w:r>
      <w:r>
        <w:rPr>
          <w:rFonts w:ascii="Times New Roman;serif" w:hAnsi="Times New Roman;serif"/>
          <w:b w:val="false"/>
          <w:sz w:val="24"/>
        </w:rPr>
        <w:t>During the Term, your annual base salary will be $420,000.00 per year and will be payable in accordance with the Company’s normal payroll practices, less the applicable taxes and elective withholdings. Your base salary may be increased, but not decreased, as determined by the Board or the Compensation Committee of the Board (the “</w:t>
      </w:r>
      <w:r>
        <w:rPr>
          <w:rFonts w:ascii="Times New Roman;serif" w:hAnsi="Times New Roman;serif"/>
          <w:b w:val="false"/>
          <w:sz w:val="24"/>
          <w:u w:val="single"/>
        </w:rPr>
        <w:t>Compensation Committee</w:t>
      </w:r>
      <w:r>
        <w:rPr>
          <w:rFonts w:ascii="Times New Roman" w:hAnsi="Times New Roman"/>
          <w:sz w:val="20"/>
        </w:rPr>
        <w:t>”</w:t>
      </w:r>
      <w:r>
        <w:rPr>
          <w:rFonts w:ascii="Times New Roman;serif" w:hAnsi="Times New Roman;serif"/>
          <w:b w:val="false"/>
          <w:sz w:val="24"/>
        </w:rPr>
        <w:t>).</w:t>
      </w:r>
    </w:p>
    <w:p>
      <w:pPr>
        <w:pStyle w:val="TextBody"/>
        <w:spacing w:before="3" w:after="0"/>
        <w:jc w:val="left"/>
        <w:rPr/>
      </w:pPr>
      <w:r>
        <w:rPr/>
        <w:t> </w:t>
      </w:r>
    </w:p>
    <w:p>
      <w:pPr>
        <w:pStyle w:val="TextBody"/>
        <w:spacing w:before="97" w:after="0"/>
        <w:jc w:val="both"/>
        <w:rPr>
          <w:rFonts w:ascii="Times New Roman" w:hAnsi="Times New Roman"/>
          <w:sz w:val="20"/>
        </w:rPr>
      </w:pPr>
      <w:r>
        <w:rPr>
          <w:rFonts w:ascii="Times New Roman;serif" w:hAnsi="Times New Roman;serif"/>
          <w:b/>
          <w:sz w:val="24"/>
        </w:rPr>
        <w:t xml:space="preserve">Incentive Bonus Eligibility: </w:t>
      </w:r>
      <w:r>
        <w:rPr>
          <w:rFonts w:ascii="Times New Roman;serif" w:hAnsi="Times New Roman;serif"/>
          <w:b w:val="false"/>
          <w:sz w:val="24"/>
        </w:rPr>
        <w:t>During the Term, you will be eligible for an annual cash bonus pursuant to the Company’s annual cash bonus program based on the achievement of performance criteria established by the Compensation Committee for the applicable fiscal year, which may be corporate goals and/or individual criteria. Your initial target bonus will be in an amount equal to 40% of your base salary (“</w:t>
      </w:r>
      <w:r>
        <w:rPr>
          <w:rFonts w:ascii="Times New Roman;serif" w:hAnsi="Times New Roman;serif"/>
          <w:b w:val="false"/>
          <w:sz w:val="24"/>
          <w:u w:val="single"/>
        </w:rPr>
        <w:t>Target Bonus</w:t>
      </w:r>
      <w:r>
        <w:rPr>
          <w:rFonts w:ascii="Times New Roman" w:hAnsi="Times New Roman"/>
          <w:sz w:val="20"/>
        </w:rPr>
        <w:t>”</w:t>
      </w:r>
      <w:r>
        <w:rPr>
          <w:rFonts w:ascii="Times New Roman;serif" w:hAnsi="Times New Roman;serif"/>
          <w:b w:val="false"/>
          <w:sz w:val="24"/>
        </w:rPr>
        <w:t>). The actual amount of any bonus earned shall be determined by the Compensation Committee based on achievement of the applicable performance criteria after the end of the applicable fiscal year.</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Except as otherwise provided herein, you will be entitled to receive any earned bonus for a fiscal</w:t>
      </w:r>
      <w:r>
        <w:rPr>
          <w:rFonts w:ascii="Times New Roman" w:hAnsi="Times New Roman"/>
          <w:sz w:val="20"/>
        </w:rPr>
        <w:t xml:space="preserve"> </w:t>
      </w:r>
    </w:p>
    <w:p>
      <w:pPr>
        <w:pStyle w:val="HorizontalLine"/>
        <w:rPr/>
      </w:pPr>
      <w:r>
        <w:rPr/>
      </w:r>
    </w:p>
    <w:p>
      <w:pPr>
        <w:pStyle w:val="TextBody"/>
        <w:spacing w:before="0" w:after="0"/>
        <w:jc w:val="right"/>
        <w:rPr/>
      </w:pPr>
      <w:r>
        <w:rPr/>
        <w:t> </w:t>
      </w:r>
    </w:p>
    <w:p>
      <w:pPr>
        <w:pStyle w:val="TextBody"/>
        <w:spacing w:before="0" w:after="0"/>
        <w:jc w:val="both"/>
        <w:rPr>
          <w:rFonts w:ascii="Times New Roman" w:hAnsi="Times New Roman"/>
          <w:sz w:val="20"/>
        </w:rPr>
      </w:pPr>
      <w:r>
        <w:rPr>
          <w:rFonts w:ascii="Times New Roman;serif" w:hAnsi="Times New Roman;serif"/>
          <w:b w:val="false"/>
          <w:sz w:val="24"/>
        </w:rPr>
        <w:t>year of the Company if you are employed on the payment date for such bonus</w:t>
      </w:r>
      <w:r>
        <w:rPr>
          <w:rFonts w:ascii="Times New Roman" w:hAnsi="Times New Roman"/>
          <w:sz w:val="20"/>
        </w:rPr>
        <w:t xml:space="preserve"> </w:t>
      </w:r>
    </w:p>
    <w:p>
      <w:pPr>
        <w:pStyle w:val="TextBody"/>
        <w:spacing w:before="233" w:after="0"/>
        <w:jc w:val="left"/>
        <w:rPr>
          <w:rFonts w:ascii="Times New Roman" w:hAnsi="Times New Roman"/>
          <w:sz w:val="20"/>
        </w:rPr>
      </w:pPr>
      <w:r>
        <w:rPr>
          <w:rFonts w:ascii="Times New Roman;serif" w:hAnsi="Times New Roman;serif"/>
          <w:b/>
          <w:sz w:val="24"/>
        </w:rPr>
        <w:t>Long-Term Incentive:</w:t>
      </w:r>
      <w:r>
        <w:rPr>
          <w:rFonts w:ascii="Times New Roman" w:hAnsi="Times New Roman"/>
          <w:sz w:val="20"/>
        </w:rPr>
        <w:t xml:space="preserve"> </w:t>
      </w:r>
      <w:r>
        <w:rPr>
          <w:rFonts w:ascii="Times New Roman;serif" w:hAnsi="Times New Roman;serif"/>
          <w:b w:val="false"/>
          <w:sz w:val="24"/>
        </w:rPr>
        <w:t>You will be eligible to receive long-term incentive awards pursuant to the terms of the ProKidney Corp. 2022 Incentive Equity Plan (the “Incentive Equity Plan”) (or any successor plan thereto). Long-term incentive awards will be granted at the discretion of the Compensation Committee and in accordance with market guidelines for your role as approved by the Compensation Committee.</w:t>
      </w:r>
    </w:p>
    <w:p>
      <w:pPr>
        <w:pStyle w:val="TextBody"/>
        <w:spacing w:before="97" w:after="0"/>
        <w:jc w:val="both"/>
        <w:rPr/>
      </w:pPr>
      <w:r>
        <w:rPr/>
        <w:t> </w:t>
      </w:r>
    </w:p>
    <w:p>
      <w:pPr>
        <w:pStyle w:val="TextBody"/>
        <w:spacing w:before="109" w:after="0"/>
        <w:jc w:val="both"/>
        <w:rPr>
          <w:rFonts w:ascii="Times New Roman" w:hAnsi="Times New Roman"/>
          <w:sz w:val="20"/>
        </w:rPr>
      </w:pPr>
      <w:r>
        <w:rPr>
          <w:rFonts w:ascii="Times New Roman;serif" w:hAnsi="Times New Roman;serif"/>
          <w:b/>
          <w:sz w:val="24"/>
        </w:rPr>
        <w:t xml:space="preserve">Benefits: </w:t>
      </w:r>
      <w:r>
        <w:rPr>
          <w:rFonts w:ascii="Times New Roman;serif" w:hAnsi="Times New Roman;serif"/>
          <w:b w:val="false"/>
          <w:sz w:val="24"/>
        </w:rPr>
        <w:t>During your employment with the Company, you will be eligible for participation in employee health and welfare benefits programs, retirement programs, and other fringe benefits maintained by the Company, to the extent consistent with applicable law and the terms of the applicable plans and programs, which may include certain plans and programs available to similarly situated executives of the Company or otherwise applicable to your position from time to time, subject to all plan terms and eligibility requirements. The benefit plans and programs for which you may be eligible are more fully described in the applicable plan summaries and related documents. The Company retains all rights to amend or terminate any such benefit plans and programs, subject to the terms of such employee benefit plans and programs and applicable law, and nothing contained herein shall obligate the Company to continue any benefit plans or programs in the future.</w:t>
      </w:r>
    </w:p>
    <w:p>
      <w:pPr>
        <w:pStyle w:val="TextBody"/>
        <w:spacing w:before="1"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You will be eligible to receive vacation in accordance with the terms of the Company’s vacation/Paid Time Off “PTO” policy.</w:t>
      </w:r>
    </w:p>
    <w:p>
      <w:pPr>
        <w:pStyle w:val="TextBody"/>
        <w:spacing w:before="130" w:after="0"/>
        <w:jc w:val="left"/>
        <w:rPr>
          <w:rFonts w:ascii="Times New Roman" w:hAnsi="Times New Roman"/>
          <w:sz w:val="20"/>
        </w:rPr>
      </w:pPr>
      <w:r>
        <w:rPr>
          <w:rFonts w:ascii="Times New Roman;serif" w:hAnsi="Times New Roman;serif"/>
          <w:b/>
          <w:sz w:val="24"/>
        </w:rPr>
        <w:t xml:space="preserve">Business Expenses: </w:t>
      </w:r>
      <w:r>
        <w:rPr>
          <w:rFonts w:ascii="Times New Roman;serif" w:hAnsi="Times New Roman;serif"/>
          <w:b w:val="false"/>
          <w:sz w:val="24"/>
        </w:rPr>
        <w:t>During the Term, the Company will reimburse you for reasonable business expenses, including travel, entertainment, and other expenses (including a mobile phone and data service) incurred by you in the furtherance of the performance of your duties hereunder, in accordance with the Company’s Travel and Entertainment policy as in effect from time to time.</w:t>
      </w:r>
    </w:p>
    <w:p>
      <w:pPr>
        <w:pStyle w:val="TextBody"/>
        <w:spacing w:before="0" w:after="0"/>
        <w:jc w:val="both"/>
        <w:rPr/>
      </w:pPr>
      <w:r>
        <w:rPr/>
        <w:t> </w:t>
      </w:r>
    </w:p>
    <w:p>
      <w:pPr>
        <w:pStyle w:val="HorizontalLine"/>
        <w:rPr/>
      </w:pPr>
      <w:r>
        <w:rPr/>
      </w:r>
    </w:p>
    <w:p>
      <w:pPr>
        <w:pStyle w:val="TextBody"/>
        <w:spacing w:before="7" w:after="0"/>
        <w:jc w:val="left"/>
        <w:rPr/>
      </w:pPr>
      <w:r>
        <w:rPr/>
        <w:t> </w:t>
      </w:r>
    </w:p>
    <w:p>
      <w:pPr>
        <w:pStyle w:val="TextBody"/>
        <w:spacing w:before="103" w:after="0"/>
        <w:jc w:val="both"/>
        <w:rPr>
          <w:rFonts w:ascii="Times New Roman" w:hAnsi="Times New Roman"/>
          <w:sz w:val="20"/>
        </w:rPr>
      </w:pPr>
      <w:r>
        <w:rPr>
          <w:rFonts w:ascii="Times New Roman;serif" w:hAnsi="Times New Roman;serif"/>
          <w:b/>
          <w:sz w:val="24"/>
        </w:rPr>
        <w:t xml:space="preserve">Termination: </w:t>
      </w:r>
      <w:r>
        <w:rPr>
          <w:rFonts w:ascii="Times New Roman;serif" w:hAnsi="Times New Roman;serif"/>
          <w:b w:val="false"/>
          <w:sz w:val="24"/>
        </w:rPr>
        <w:t>(a) Upon your termination of employment for any reason, the Company shall pay to you (i) your base salary earned through the date of such termination, (ii) amounts for accrued but unused vacation days in the year of termination and (iii) any unreimbursed business expenses in accordance with the Company’s reimbursement policy, not later than thirty (30) business days after the customary documentation regarding such expenses has been received and only to the extent that such expenses are submitted within one year of your termination (collectively, “</w:t>
      </w:r>
      <w:r>
        <w:rPr>
          <w:rFonts w:ascii="Times New Roman;serif" w:hAnsi="Times New Roman;serif"/>
          <w:b w:val="false"/>
          <w:sz w:val="24"/>
          <w:u w:val="single"/>
        </w:rPr>
        <w:t>Accrued Amounts</w:t>
      </w:r>
      <w:r>
        <w:rPr>
          <w:rFonts w:ascii="Times New Roman" w:hAnsi="Times New Roman"/>
          <w:sz w:val="20"/>
        </w:rPr>
        <w:t>”</w:t>
      </w:r>
      <w:r>
        <w:rPr>
          <w:rFonts w:ascii="Times New Roman;serif" w:hAnsi="Times New Roman;serif"/>
          <w:b w:val="false"/>
          <w:sz w:val="24"/>
        </w:rPr>
        <w:t>).</w:t>
      </w:r>
    </w:p>
    <w:p>
      <w:pPr>
        <w:pStyle w:val="TextBody"/>
        <w:spacing w:before="1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(b) In the event your employment is terminated during the Term by the Company without Cause (as defined below) or by you for Good Reason (as defined below), in addition to the Accrued Amounts, you will be entitled to receive, subject to your timely execution and non-revocation of a Release (as defined below) (i) any earned but unpaid bonus for any prior completed fiscal year, payable when such payments would otherwise be paid, (ii) salary continuation for a period of nine (9) months following your termination date, payable in accordance with the Company’s normal payroll cycle and </w:t>
      </w:r>
      <w:r>
        <w:rPr>
          <w:rFonts w:ascii="Times New Roman;serif" w:hAnsi="Times New Roman;serif"/>
          <w:b w:val="false"/>
          <w:sz w:val="22"/>
        </w:rPr>
        <w:t>(iii) continued participation in the Company’s group health plan at active employee rates for a period of nine (9) months following your termination date.</w:t>
      </w:r>
    </w:p>
    <w:p>
      <w:pPr>
        <w:pStyle w:val="TextBody"/>
        <w:spacing w:before="0"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Notwithstanding the foregoing, upon a termination of your employment by the Company without Cause or by you for Good Reason within eighteen</w:t>
      </w:r>
    </w:p>
    <w:p>
      <w:pPr>
        <w:pStyle w:val="TextBody"/>
        <w:spacing w:before="0" w:after="0"/>
        <w:jc w:val="both"/>
        <w:rPr>
          <w:rFonts w:ascii="Times New Roman;serif" w:hAnsi="Times New Roman;serif"/>
          <w:b w:val="false"/>
          <w:sz w:val="24"/>
        </w:rPr>
      </w:pPr>
      <w:r>
        <w:rPr>
          <w:rFonts w:ascii="Times New Roman;serif" w:hAnsi="Times New Roman;serif"/>
          <w:b w:val="false"/>
          <w:sz w:val="24"/>
        </w:rPr>
        <w:t>(18) months following a Change in Control (as defined in the Incentive Equity Plan), in addition to the Accrued Amounts, you will be entitled to receive, subject to your timely execution and non-revocation of a Release (i) a lump sum payment equal to the sum of twelve (12) months of your base salary as of immediately prior to the Change in Control and one hundred percent (100%) of your then-current Target Bonus, (ii) continued participation in the Company’s group health plan at active employee rates for a period of twelve (12) months following your termination date and (iii) full vesting of any equity awards then outstanding held by you (with any performance-based equity awards vesting at “target” levels). Notwithstanding anything to the contrary set forth herein, to the extent there is a conflict between any of the terms set forth in this Agreement and any terms set forth in an award agreement relating to the grant of equity awards to you, the terms of the applicable award agreement shall prevail.</w:t>
      </w:r>
    </w:p>
    <w:p>
      <w:pPr>
        <w:pStyle w:val="TextBody"/>
        <w:spacing w:before="86" w:after="0"/>
        <w:jc w:val="both"/>
        <w:rPr>
          <w:rFonts w:ascii="Times New Roman;serif" w:hAnsi="Times New Roman;serif"/>
          <w:b w:val="false"/>
          <w:sz w:val="24"/>
        </w:rPr>
      </w:pPr>
      <w:r>
        <w:rPr>
          <w:rFonts w:ascii="Times New Roman;serif" w:hAnsi="Times New Roman;serif"/>
          <w:b w:val="false"/>
          <w:sz w:val="24"/>
        </w:rPr>
        <w:t>(c) In the event that your employment is terminated other than for reasons described in subsection (b) above, other than the amounts specified in subsection (a) above, you will not be entitled to receive any payments under this Agreement.</w:t>
      </w:r>
    </w:p>
    <w:p>
      <w:pPr>
        <w:pStyle w:val="TextBody"/>
        <w:spacing w:before="1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(d) Payment of any severance payments or benefits pursuant to subsection (b) above is expressly conditioned upon your (i) execution of a general waiver and release of claims substantially in the form attached hereto as </w:t>
      </w:r>
      <w:r>
        <w:rPr>
          <w:rFonts w:ascii="Times New Roman;serif" w:hAnsi="Times New Roman;serif"/>
          <w:b w:val="false"/>
          <w:sz w:val="24"/>
          <w:u w:val="single"/>
        </w:rPr>
        <w:t>Exhibit A</w:t>
      </w:r>
      <w:r>
        <w:rPr>
          <w:rFonts w:ascii="Times New Roman" w:hAnsi="Times New Roman"/>
          <w:sz w:val="20"/>
        </w:rPr>
        <w:t xml:space="preserve"> </w:t>
      </w:r>
      <w:r>
        <w:rPr>
          <w:rFonts w:ascii="Times New Roman;serif" w:hAnsi="Times New Roman;serif"/>
          <w:b w:val="false"/>
          <w:sz w:val="24"/>
        </w:rPr>
        <w:t>(the “</w:t>
      </w:r>
      <w:r>
        <w:rPr>
          <w:rFonts w:ascii="Times New Roman;serif" w:hAnsi="Times New Roman;serif"/>
          <w:b w:val="false"/>
          <w:sz w:val="24"/>
          <w:u w:val="single"/>
        </w:rPr>
        <w:t>Release</w:t>
      </w:r>
      <w:r>
        <w:rPr>
          <w:rFonts w:ascii="Times New Roman" w:hAnsi="Times New Roman"/>
          <w:sz w:val="20"/>
        </w:rPr>
        <w:t>”</w:t>
      </w:r>
      <w:r>
        <w:rPr>
          <w:rFonts w:ascii="Times New Roman;serif" w:hAnsi="Times New Roman;serif"/>
          <w:b w:val="false"/>
          <w:sz w:val="24"/>
        </w:rPr>
        <w:t>), within fifty (50) days of your termination, and the Release becoming effective upon the expiration of the revocation period (which is 7 days after the Release is executed and returned to the Company) and (ii) continued compliance with this Agreement and the Covenant Agreement (as defined below). If an executed Release is not returned to the Company within fifty (50) days of termination or the Release is revoked by you, the Company shall be relieved of all obligations to pay you severance under this Agreement. The payment described in subsection (b)(ii) will be made on the sixtieth (60th) day following your termination of employment. Any payments described in subsection (b)(i) that would have been paid from the termination date through the sixtieth (60</w:t>
      </w:r>
      <w:r>
        <w:rPr>
          <w:rFonts w:ascii="Times New Roman;serif" w:hAnsi="Times New Roman;serif"/>
          <w:b w:val="false"/>
          <w:sz w:val="16"/>
        </w:rPr>
        <w:t>th</w:t>
      </w:r>
      <w:r>
        <w:rPr>
          <w:rFonts w:ascii="Times New Roman;serif" w:hAnsi="Times New Roman;serif"/>
          <w:b w:val="false"/>
          <w:sz w:val="24"/>
        </w:rPr>
        <w:t>) day following your termination of employment will be paid in a lump sum on the sixtieth (60</w:t>
      </w:r>
      <w:r>
        <w:rPr>
          <w:rFonts w:ascii="Times New Roman;serif" w:hAnsi="Times New Roman;serif"/>
          <w:b w:val="false"/>
          <w:sz w:val="16"/>
        </w:rPr>
        <w:t>th</w:t>
      </w:r>
      <w:r>
        <w:rPr>
          <w:rFonts w:ascii="Times New Roman;serif" w:hAnsi="Times New Roman;serif"/>
          <w:b w:val="false"/>
          <w:sz w:val="24"/>
        </w:rPr>
        <w:t>) day following your termination and the remaining installments will commence as of the next payroll period following the sixtieth (60</w:t>
      </w:r>
      <w:r>
        <w:rPr>
          <w:rFonts w:ascii="Times New Roman;serif" w:hAnsi="Times New Roman;serif"/>
          <w:b w:val="false"/>
          <w:sz w:val="16"/>
        </w:rPr>
        <w:t>th</w:t>
      </w:r>
      <w:r>
        <w:rPr>
          <w:rFonts w:ascii="Times New Roman;serif" w:hAnsi="Times New Roman;serif"/>
          <w:b w:val="false"/>
          <w:sz w:val="24"/>
        </w:rPr>
        <w:t>) day following your termination of employment. Notwithstanding the foregoing, if such sixty (60) day period spans two calendar years, then the foregoing payments shall not commence until the second calendar year. All severance payments shall be subject to legally required tax withholdings and any elective withholdings.</w:t>
      </w:r>
    </w:p>
    <w:p>
      <w:pPr>
        <w:pStyle w:val="TextBody"/>
        <w:spacing w:before="0" w:after="0"/>
        <w:jc w:val="left"/>
        <w:rPr/>
      </w:pPr>
      <w:r>
        <w:rPr/>
        <w:t> </w:t>
      </w:r>
    </w:p>
    <w:p>
      <w:pPr>
        <w:pStyle w:val="HorizontalLine"/>
        <w:rPr/>
      </w:pPr>
      <w:r>
        <w:rPr/>
      </w:r>
    </w:p>
    <w:p>
      <w:pPr>
        <w:pStyle w:val="TextBody"/>
        <w:spacing w:before="1" w:after="0"/>
        <w:jc w:val="both"/>
        <w:rPr>
          <w:rFonts w:ascii="Times New Roman;serif" w:hAnsi="Times New Roman;serif"/>
          <w:b w:val="false"/>
          <w:sz w:val="24"/>
        </w:rPr>
      </w:pPr>
      <w:r>
        <w:rPr>
          <w:rFonts w:ascii="Times New Roman;serif" w:hAnsi="Times New Roman;serif"/>
          <w:b w:val="false"/>
          <w:sz w:val="24"/>
        </w:rPr>
        <w:t>(e) For purposes of this Agreement:</w:t>
      </w:r>
    </w:p>
    <w:p>
      <w:pPr>
        <w:pStyle w:val="TextBody"/>
        <w:spacing w:before="6" w:after="0"/>
        <w:jc w:val="left"/>
        <w:rPr/>
      </w:pPr>
      <w:r>
        <w:rPr/>
        <w:t> </w:t>
      </w:r>
    </w:p>
    <w:p>
      <w:pPr>
        <w:pStyle w:val="TextBody"/>
        <w:spacing w:before="1" w:after="0"/>
        <w:jc w:val="both"/>
        <w:rPr/>
      </w:pPr>
      <w:r>
        <w:rPr/>
        <w:t>“</w:t>
      </w:r>
      <w:r>
        <w:rPr>
          <w:rFonts w:ascii="Times New Roman;serif" w:hAnsi="Times New Roman;serif"/>
          <w:b w:val="false"/>
          <w:sz w:val="24"/>
          <w:u w:val="single"/>
        </w:rPr>
        <w:t>Cause</w:t>
      </w:r>
      <w:r>
        <w:rPr>
          <w:rFonts w:ascii="Times New Roman" w:hAnsi="Times New Roman"/>
          <w:sz w:val="20"/>
        </w:rPr>
        <w:t xml:space="preserve">” </w:t>
      </w:r>
      <w:r>
        <w:rPr>
          <w:rFonts w:ascii="Times New Roman;serif" w:hAnsi="Times New Roman;serif"/>
          <w:b w:val="false"/>
          <w:sz w:val="24"/>
        </w:rPr>
        <w:t>means (i) any theft, fraud, embezzlement, dishonesty, willful misconduct, breach of fiduciary duty for personal profit, falsification of any documents or records of the Company or any member of the Company Group, felony or similar act by you (whether or not related to your relationship with the Company); (ii) an act of moral turpitude by you, or any act that causes significant injury to, or is otherwise adversely affecting, the reputation, business, assets, operations or business relationship of the Company (or any member of the Company Group); (iii) any breach by you of any material agreement with or of any material duty of yours to the Company or any member of the Company Group (including breach of the Covenant Agreement) or failure to abide by code of conduct or other policies (including, without limitation, policies relating to confidentiality and reasonable workplace conduct); or (iv) any act which constitutes a breach of your fiduciary duty towards the Company or any member of the Company Group including disclosure of confidential or proprietary information thereof or acceptance or solicitation to receive unauthorized or undisclosed benefits, irrespective of their nature, or funds, or promises to receive either, from individuals, consultants or corporate entities that the Company or a Subsidiary does business with; (v) your unauthorized use, misappropriation, destruction, or diversion of any tangible or intangible asset or corporate opportunity of the Company or any member of the Company Group (including, without limitation, the improper use or disclosure of confidential or proprietary information). For the avoidance of doubt, the determination as to whether a termination is for Cause for purposes of this Agreement shall be made in good faith by the Compensation Committee and shall be final and binding on you.</w:t>
      </w:r>
    </w:p>
    <w:p>
      <w:pPr>
        <w:pStyle w:val="TextBody"/>
        <w:spacing w:before="1" w:after="0"/>
        <w:jc w:val="left"/>
        <w:rPr/>
      </w:pPr>
      <w:r>
        <w:rPr/>
        <w:t> </w:t>
      </w:r>
    </w:p>
    <w:p>
      <w:pPr>
        <w:pStyle w:val="TextBody"/>
        <w:spacing w:before="0" w:after="0"/>
        <w:jc w:val="both"/>
        <w:rPr/>
      </w:pPr>
      <w:r>
        <w:rPr/>
        <w:t>“</w:t>
      </w:r>
      <w:r>
        <w:rPr>
          <w:rFonts w:ascii="Times New Roman;serif" w:hAnsi="Times New Roman;serif"/>
          <w:b w:val="false"/>
          <w:sz w:val="24"/>
          <w:u w:val="single"/>
        </w:rPr>
        <w:t>Good Reason</w:t>
      </w:r>
      <w:r>
        <w:rPr>
          <w:rFonts w:ascii="Times New Roman" w:hAnsi="Times New Roman"/>
          <w:sz w:val="20"/>
        </w:rPr>
        <w:t xml:space="preserve">” </w:t>
      </w:r>
      <w:r>
        <w:rPr>
          <w:rFonts w:ascii="Times New Roman;serif" w:hAnsi="Times New Roman;serif"/>
          <w:b w:val="false"/>
          <w:sz w:val="24"/>
        </w:rPr>
        <w:t xml:space="preserve">means the occurrence of any of the following without your consent: (i) a material reduction in your then-current base salary, other than any such reduction that applies generally to similarly situated employees of the Company; (ii) a material diminution in your authority, duties or responsibilities under this Agreement; </w:t>
      </w:r>
      <w:r>
        <w:rPr>
          <w:rFonts w:ascii="Times New Roman;serif" w:hAnsi="Times New Roman;serif"/>
          <w:b w:val="false"/>
          <w:i/>
          <w:sz w:val="24"/>
        </w:rPr>
        <w:t>provided</w:t>
      </w:r>
      <w:r>
        <w:rPr>
          <w:rFonts w:ascii="Times New Roman;serif" w:hAnsi="Times New Roman;serif"/>
          <w:b w:val="false"/>
          <w:sz w:val="24"/>
        </w:rPr>
        <w:t>, that you will not have the right to resign for Good Reason pursuant to this provision of the Good Reason definition due to a change in authority, duties or responsibilities solely as a result of Parent or the Company no longer being a publicly traded company; or (iii) a relocation of your principal place of employment by more than 50 miles from its location as of the date hereof. Notwithstanding the foregoing, you will not be deemed to have resigned for Good Reason unless (x) you have provided written notice to the Company of the existence of the circumstances providing grounds for termination for Good Reason within 15 days of the initial existence of such grounds, (y) the Company has not cured such circumstances within 30 days from the date on which such notice is provided and (z) you resign from your employment effective no later than 60 days after the initial existence of such grounds.</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4"/>
        </w:rPr>
        <w:t xml:space="preserve">Resignation: </w:t>
      </w:r>
      <w:r>
        <w:rPr>
          <w:rFonts w:ascii="Times New Roman;serif" w:hAnsi="Times New Roman;serif"/>
          <w:b w:val="false"/>
          <w:sz w:val="24"/>
        </w:rPr>
        <w:t>Effective as of the date of your termination of employment, unless otherwise requested by the Company in writing, you will, automatically and without further action on your part or any other person or entity, resign from all offices, boards of directors (or similar governing bodies) and committees of each member of the Company Group. You agree that you will, at the request of the Company, execute and deliver such documentation as may be required to effect such resignations, and authorize any member of the Company Group to file (or cause to be filed) such documentation, as necessary, with any applicable governmental authority.</w:t>
      </w:r>
    </w:p>
    <w:p>
      <w:pPr>
        <w:pStyle w:val="TextBody"/>
        <w:spacing w:before="10" w:after="0"/>
        <w:jc w:val="left"/>
        <w:rPr/>
      </w:pPr>
      <w:r>
        <w:rPr/>
        <w:t> </w:t>
      </w:r>
    </w:p>
    <w:p>
      <w:pPr>
        <w:pStyle w:val="TextBody"/>
        <w:spacing w:before="1" w:after="0"/>
        <w:jc w:val="both"/>
        <w:rPr>
          <w:rFonts w:ascii="Times New Roman" w:hAnsi="Times New Roman"/>
          <w:sz w:val="20"/>
        </w:rPr>
      </w:pPr>
      <w:r>
        <w:rPr>
          <w:rFonts w:ascii="Times New Roman;serif" w:hAnsi="Times New Roman;serif"/>
          <w:b/>
          <w:sz w:val="24"/>
        </w:rPr>
        <w:t xml:space="preserve">Cooperation: </w:t>
      </w:r>
      <w:r>
        <w:rPr>
          <w:rFonts w:ascii="Times New Roman;serif" w:hAnsi="Times New Roman;serif"/>
          <w:b w:val="false"/>
          <w:sz w:val="24"/>
        </w:rPr>
        <w:t xml:space="preserve">In consideration for the promises and payments by the Company pursuant to this Agreement, at the request of the Company, for a one-year period following your termination of employment for any reason, you agree to cooperate to the fullest extent possible with respect to matters involving any member of the Company Group about which you have or may have knowledge, including any such matters which may arise before or after the Term; </w:t>
      </w:r>
      <w:r>
        <w:rPr>
          <w:rFonts w:ascii="Times New Roman;serif" w:hAnsi="Times New Roman;serif"/>
          <w:b w:val="false"/>
          <w:i/>
          <w:sz w:val="24"/>
        </w:rPr>
        <w:t xml:space="preserve">provided </w:t>
      </w:r>
      <w:r>
        <w:rPr>
          <w:rFonts w:ascii="Times New Roman;serif" w:hAnsi="Times New Roman;serif"/>
          <w:b w:val="false"/>
          <w:sz w:val="24"/>
        </w:rPr>
        <w:t>such cooperation shall not unreasonably interfere with any obligations you may have to your current employer at the time. The Company will reimburse you for any reasonable, properly documented out-of-pocket expenses, including your travel expenses and attorneys’ fees that you actually incur in connection with such cooperation.</w:t>
      </w:r>
    </w:p>
    <w:p>
      <w:pPr>
        <w:pStyle w:val="TextBody"/>
        <w:spacing w:before="0" w:after="0"/>
        <w:jc w:val="left"/>
        <w:rPr/>
      </w:pPr>
      <w:r>
        <w:rPr/>
        <w:t> </w:t>
      </w:r>
    </w:p>
    <w:p>
      <w:pPr>
        <w:pStyle w:val="HorizontalLine"/>
        <w:rPr/>
      </w:pPr>
      <w:r>
        <w:rPr/>
      </w:r>
    </w:p>
    <w:p>
      <w:pPr>
        <w:pStyle w:val="TextBody"/>
        <w:spacing w:before="0" w:after="0"/>
        <w:jc w:val="both"/>
        <w:rPr>
          <w:rFonts w:ascii="Times New Roman" w:hAnsi="Times New Roman"/>
          <w:sz w:val="20"/>
        </w:rPr>
      </w:pPr>
      <w:r>
        <w:rPr>
          <w:rFonts w:ascii="Times New Roman;serif" w:hAnsi="Times New Roman;serif"/>
          <w:b/>
          <w:sz w:val="24"/>
        </w:rPr>
        <w:t xml:space="preserve">Section 409A: </w:t>
      </w:r>
      <w:r>
        <w:rPr>
          <w:rFonts w:ascii="Times New Roman;serif" w:hAnsi="Times New Roman;serif"/>
          <w:b w:val="false"/>
          <w:sz w:val="24"/>
        </w:rPr>
        <w:t>All references in this Agreement to your termination of employment shall mean your “separation from service” within the meaning of Section 409A of the Code and Treasury regulations promulgated thereunder. This Agreement is intended to comply with Section 409A of the Code or an exemption thereunder and shall be construed and administered in accordance with Section 409A. Any payments under this Agreement that may be excluded from Section 409A either as separation pay due to an involuntary separation from service or as a short-term deferral shall be excluded from Section 409A to the maximum extent possible. In the event the terms of this Agreement would subject you to the imposition of taxes and penalties under Section 409A (“</w:t>
      </w:r>
      <w:r>
        <w:rPr>
          <w:rFonts w:ascii="Times New Roman;serif" w:hAnsi="Times New Roman;serif"/>
          <w:b w:val="false"/>
          <w:sz w:val="24"/>
          <w:u w:val="single"/>
        </w:rPr>
        <w:t>409A Penalties</w:t>
      </w:r>
      <w:r>
        <w:rPr>
          <w:rFonts w:ascii="Times New Roman" w:hAnsi="Times New Roman"/>
          <w:sz w:val="20"/>
        </w:rPr>
        <w:t>”</w:t>
      </w:r>
      <w:r>
        <w:rPr>
          <w:rFonts w:ascii="Times New Roman;serif" w:hAnsi="Times New Roman;serif"/>
          <w:b w:val="false"/>
          <w:sz w:val="24"/>
        </w:rPr>
        <w:t xml:space="preserve">), the Company and you shall cooperate diligently to amend the terms of this Agreement to avoid such 409A Penalties, to the extent possible; </w:t>
      </w:r>
      <w:r>
        <w:rPr>
          <w:rFonts w:ascii="Times New Roman;serif" w:hAnsi="Times New Roman;serif"/>
          <w:b w:val="false"/>
          <w:i/>
          <w:sz w:val="24"/>
        </w:rPr>
        <w:t xml:space="preserve">provided </w:t>
      </w:r>
      <w:r>
        <w:rPr>
          <w:rFonts w:ascii="Times New Roman;serif" w:hAnsi="Times New Roman;serif"/>
          <w:b w:val="false"/>
          <w:sz w:val="24"/>
        </w:rPr>
        <w:t>that, for the avoidance of doubt, you shall be solely liable for any 409A Penalties incurred by you. To the extent that any amounts payable in installments under this Agreement are reasonably determined to be “nonqualified deferred compensation” within the meaning of Section 409A of the Code, then each such installment shall be treated as a right to receive a series of separate payments and, accordingly, each such installment payment shall at all times be considered a separate and distinct payment as permitted under Section 409A of the Code.</w:t>
      </w:r>
    </w:p>
    <w:p>
      <w:pPr>
        <w:pStyle w:val="TextBody"/>
        <w:spacing w:before="0"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Notwithstanding any other provision in this Agreement, if as of the date on which your employment terminates, you are a “specified employee”, as determined by the Company, then with respect to any amount payable or benefit provided under this Agreement or otherwise that the Company reasonably determines would be nonqualified deferred compensation within the meaning of Section 409A of the Code and that under the terms of this Agreement would be payable prior to the six-month anniversary of your effective date of termination, then if required in order to avoid any penalties under Section 409A of the Code, such payment or benefit shall be delayed until the earlier to occur of (a) the first payroll date following the six-month anniversary of such termination date and (b) the date of your death.</w:t>
      </w:r>
    </w:p>
    <w:p>
      <w:pPr>
        <w:pStyle w:val="TextBody"/>
        <w:spacing w:before="1"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With respect to any reimbursements under this Agreement, such reimbursement shall be made on or before the last day of your taxable year following the taxable year in which you incurred the expense. The amount of any expenses eligible for reimbursement or the amount of any in-kind benefits provided, as the case may be, under this Agreement during any calendar year shall not affect the amount of expenses eligible for reimbursement or the amount of any in-kind benefits provided during any other calendar year. The right to reimbursement or to any in-kind benefit pursuant to this Agreement shall not be subject to liquidation or exchange for any other benefit.</w:t>
      </w:r>
    </w:p>
    <w:p>
      <w:pPr>
        <w:pStyle w:val="TextBody"/>
        <w:spacing w:before="86" w:after="0"/>
        <w:jc w:val="both"/>
        <w:rPr>
          <w:rFonts w:ascii="Times New Roman;serif" w:hAnsi="Times New Roman;serif"/>
          <w:b w:val="false"/>
          <w:sz w:val="24"/>
        </w:rPr>
      </w:pPr>
      <w:r>
        <w:rPr>
          <w:rFonts w:ascii="Times New Roman;serif" w:hAnsi="Times New Roman;serif"/>
          <w:b w:val="false"/>
          <w:sz w:val="24"/>
        </w:rPr>
        <w:t>You acknowledge and agree that notwithstanding any provision of this Agreement, the Company and its affiliates are not providing you with any tax advice with respect to Section 409A of the Code or otherwise and are not making any guarantees or other assurances of any kind to you with respect to the tax consequences or treatment of any amounts paid or payable to you under this Agreement.</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4"/>
        </w:rPr>
        <w:t xml:space="preserve">Section 280G: </w:t>
      </w:r>
      <w:r>
        <w:rPr>
          <w:rFonts w:ascii="Times New Roman;serif" w:hAnsi="Times New Roman;serif"/>
          <w:b w:val="false"/>
          <w:sz w:val="24"/>
        </w:rPr>
        <w:t>If the present value of your Severance Benefits, either alone or together with other payments which you have the right to receive from the Company (the “</w:t>
      </w:r>
      <w:r>
        <w:rPr>
          <w:rFonts w:ascii="Times New Roman;serif" w:hAnsi="Times New Roman;serif"/>
          <w:b/>
          <w:sz w:val="24"/>
        </w:rPr>
        <w:t>Benefits</w:t>
      </w:r>
      <w:r>
        <w:rPr>
          <w:rFonts w:ascii="Times New Roman" w:hAnsi="Times New Roman"/>
          <w:sz w:val="20"/>
        </w:rPr>
        <w:t>”</w:t>
      </w:r>
      <w:r>
        <w:rPr>
          <w:rFonts w:ascii="Times New Roman;serif" w:hAnsi="Times New Roman;serif"/>
          <w:b w:val="false"/>
          <w:sz w:val="24"/>
        </w:rPr>
        <w:t>), would constitute a “parachute payment” as defined in Section 280G of the Code, then your Benefits shall be either (i) provided to you in full, or (ii) provided to you only as to such lesser extent that would result in no portion of such Benefits being subject to the excise tax imposed by Section 4999 of the Code (the “</w:t>
      </w:r>
      <w:r>
        <w:rPr>
          <w:rFonts w:ascii="Times New Roman;serif" w:hAnsi="Times New Roman;serif"/>
          <w:b/>
          <w:sz w:val="24"/>
        </w:rPr>
        <w:t>Excise Tax</w:t>
      </w:r>
      <w:r>
        <w:rPr>
          <w:rFonts w:ascii="Times New Roman" w:hAnsi="Times New Roman"/>
          <w:sz w:val="20"/>
        </w:rPr>
        <w:t>”</w:t>
      </w:r>
      <w:r>
        <w:rPr>
          <w:rFonts w:ascii="Times New Roman;serif" w:hAnsi="Times New Roman;serif"/>
          <w:b w:val="false"/>
          <w:sz w:val="24"/>
        </w:rPr>
        <w:t>), whichever of the foregoing amounts, taking into account the applicable federal, state, and local income and employment taxes and the Excise Tax, results in the receipt by you, on an after-tax basis, of the greatest amount of benefits, notwithstanding that all or some portion of such Benefits may be taxable under the Excise Tax.</w:t>
      </w:r>
    </w:p>
    <w:p>
      <w:pPr>
        <w:pStyle w:val="TextBody"/>
        <w:spacing w:before="10" w:after="0"/>
        <w:jc w:val="left"/>
        <w:rPr/>
      </w:pPr>
      <w:r>
        <w:rPr/>
        <w:t> </w:t>
      </w:r>
    </w:p>
    <w:p>
      <w:pPr>
        <w:pStyle w:val="TextBody"/>
        <w:spacing w:before="1" w:after="0"/>
        <w:jc w:val="both"/>
        <w:rPr>
          <w:rFonts w:ascii="Times New Roman" w:hAnsi="Times New Roman"/>
          <w:sz w:val="20"/>
        </w:rPr>
      </w:pPr>
      <w:r>
        <w:rPr>
          <w:rFonts w:ascii="Times New Roman;serif" w:hAnsi="Times New Roman;serif"/>
          <w:b w:val="false"/>
          <w:sz w:val="24"/>
        </w:rPr>
        <w:t>Unless the Company and you otherwise agree, any determination required under section shall be made in writing in good faith by the Company’s independent accounting firm or such other nationally or regionally recognized accounting firm selected by the Company (the “</w:t>
      </w:r>
      <w:r>
        <w:rPr>
          <w:rFonts w:ascii="Times New Roman;serif" w:hAnsi="Times New Roman;serif"/>
          <w:b/>
          <w:sz w:val="24"/>
        </w:rPr>
        <w:t>Accountants</w:t>
      </w:r>
      <w:r>
        <w:rPr>
          <w:rFonts w:ascii="Times New Roman" w:hAnsi="Times New Roman"/>
          <w:sz w:val="20"/>
        </w:rPr>
        <w:t>”</w:t>
      </w:r>
      <w:r>
        <w:rPr>
          <w:rFonts w:ascii="Times New Roman;serif" w:hAnsi="Times New Roman;serif"/>
          <w:b w:val="false"/>
          <w:sz w:val="24"/>
        </w:rPr>
        <w:t>), whose determination shall be conclusive and binding upon you and the Company for all purposes. In the event that a reduction to the Benefits under this section, the reduction shall</w:t>
      </w:r>
      <w:r>
        <w:rPr>
          <w:rFonts w:ascii="Times New Roman" w:hAnsi="Times New Roman"/>
          <w:sz w:val="20"/>
        </w:rPr>
        <w:t xml:space="preserve"> </w:t>
      </w:r>
    </w:p>
    <w:p>
      <w:pPr>
        <w:pStyle w:val="HorizontalLine"/>
        <w:rPr/>
      </w:pPr>
      <w:r>
        <w:rPr/>
      </w:r>
    </w:p>
    <w:p>
      <w:pPr>
        <w:pStyle w:val="TextBody"/>
        <w:spacing w:before="1" w:after="0"/>
        <w:jc w:val="both"/>
        <w:rPr>
          <w:rFonts w:ascii="Times New Roman" w:hAnsi="Times New Roman"/>
          <w:sz w:val="20"/>
        </w:rPr>
      </w:pPr>
      <w:r>
        <w:rPr>
          <w:rFonts w:ascii="Times New Roman;serif" w:hAnsi="Times New Roman;serif"/>
          <w:b w:val="false"/>
          <w:sz w:val="24"/>
        </w:rPr>
        <w:t xml:space="preserve">apply first to the Benefits that are not deferred compensation subject to Section 409A of the Code and you shall be given the choice, subject to approval by the Company, of which of such Benefits to reduce; </w:t>
      </w:r>
      <w:r>
        <w:rPr>
          <w:rFonts w:ascii="Times New Roman;serif" w:hAnsi="Times New Roman;serif"/>
          <w:b w:val="false"/>
          <w:i/>
          <w:sz w:val="24"/>
        </w:rPr>
        <w:t>provided</w:t>
      </w:r>
      <w:r>
        <w:rPr>
          <w:rFonts w:ascii="Times New Roman;serif" w:hAnsi="Times New Roman;serif"/>
          <w:b w:val="false"/>
          <w:sz w:val="24"/>
        </w:rPr>
        <w:t xml:space="preserve">, </w:t>
      </w:r>
      <w:r>
        <w:rPr>
          <w:rFonts w:ascii="Times New Roman;serif" w:hAnsi="Times New Roman;serif"/>
          <w:b w:val="false"/>
          <w:i/>
          <w:sz w:val="24"/>
        </w:rPr>
        <w:t xml:space="preserve">that </w:t>
      </w:r>
      <w:r>
        <w:rPr>
          <w:rFonts w:ascii="Times New Roman;serif" w:hAnsi="Times New Roman;serif"/>
          <w:b w:val="false"/>
          <w:sz w:val="24"/>
        </w:rPr>
        <w:t>such reduction achieves the result specified in clause (ii) above of this section. If a reduction in the Benefits that are subject to Section 409A of the Code is required, such Benefits shall be reduced pro rata, but with no change in the time at which such Benefits shall be paid. For purposes of making the calculations required by this section, the Accountants may make reasonable assumptions and approximations concerning applicable taxes and may rely on reasonable, good faith interpretations concerning the application of the Code. The Company and you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w:t>
      </w:r>
    </w:p>
    <w:p>
      <w:pPr>
        <w:pStyle w:val="TextBody"/>
        <w:spacing w:before="4"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bookmarkStart w:id="134" w:name="x__you_acknowledge_and_agree_that_you_wi"/>
      <w:bookmarkEnd w:id="134"/>
      <w:r>
        <w:rPr>
          <w:rFonts w:ascii="Times New Roman;serif" w:hAnsi="Times New Roman;serif"/>
          <w:b w:val="false"/>
          <w:sz w:val="24"/>
        </w:rPr>
        <w:t>You acknowledge and agree that you will continue to be subject to any confidentiality, non-disclosure, non-use, non-competition, non-solicitation or other covenants that you may be subject to under any agreement with the Company or any member of the Company Group (collectively, the “</w:t>
      </w:r>
      <w:r>
        <w:rPr>
          <w:rFonts w:ascii="Times New Roman;serif" w:hAnsi="Times New Roman;serif"/>
          <w:b w:val="false"/>
          <w:sz w:val="24"/>
          <w:u w:val="single"/>
        </w:rPr>
        <w:t>Covenant Agreement</w:t>
      </w:r>
      <w:r>
        <w:rPr/>
        <w:t>”</w:t>
      </w:r>
      <w:r>
        <w:rPr>
          <w:rFonts w:ascii="Times New Roman;serif" w:hAnsi="Times New Roman;serif"/>
          <w:b w:val="false"/>
          <w:sz w:val="24"/>
        </w:rPr>
        <w:t>). Notwithstanding any provision in this Agreement, the Covenant Agreement or otherwise to the contrary, nothing in this Agreement, the Covenant Agreement or otherwise precludes or otherwise limits your ability to (A) communicate directly with and provide information, including documents, not otherwise protected from disclosure by any applicable law or privilege to the Securities and Exchange Commission (the “</w:t>
      </w:r>
      <w:r>
        <w:rPr>
          <w:rFonts w:ascii="Times New Roman;serif" w:hAnsi="Times New Roman;serif"/>
          <w:b w:val="false"/>
          <w:sz w:val="24"/>
          <w:u w:val="single"/>
        </w:rPr>
        <w:t>SEC</w:t>
      </w:r>
      <w:r>
        <w:rPr/>
        <w:t>”</w:t>
      </w:r>
      <w:r>
        <w:rPr>
          <w:rFonts w:ascii="Times New Roman;serif" w:hAnsi="Times New Roman;serif"/>
          <w:b w:val="false"/>
          <w:sz w:val="24"/>
        </w:rPr>
        <w:t>) or any other federal, state or local governmental agency or commission (“</w:t>
      </w:r>
      <w:r>
        <w:rPr>
          <w:rFonts w:ascii="Times New Roman;serif" w:hAnsi="Times New Roman;serif"/>
          <w:b w:val="false"/>
          <w:sz w:val="24"/>
          <w:u w:val="single"/>
        </w:rPr>
        <w:t>Government</w:t>
      </w:r>
      <w:r>
        <w:rPr/>
        <w:t xml:space="preserve"> </w:t>
      </w:r>
      <w:r>
        <w:rPr>
          <w:rFonts w:ascii="Times New Roman;serif" w:hAnsi="Times New Roman;serif"/>
          <w:b w:val="false"/>
          <w:sz w:val="24"/>
          <w:u w:val="single"/>
        </w:rPr>
        <w:t>Agency</w:t>
      </w:r>
      <w:r>
        <w:rPr/>
        <w:t>”</w:t>
      </w:r>
      <w:r>
        <w:rPr>
          <w:rFonts w:ascii="Times New Roman;serif" w:hAnsi="Times New Roman;serif"/>
          <w:b w:val="false"/>
          <w:sz w:val="24"/>
        </w:rPr>
        <w:t>) or self-regulatory organization regarding possible legal violations, without disclosure to the Company, or (B) disclose information which is required to be disclosed by applicable law, regulation, or order or requirement (including without limitation, by deposition, interrogatory, requests for documents, subpoena, civil investigative demand or similar process) of courts, administrative agencies, the SEC, any Government Agency or self-regulatory organizations, provided that you provide the Company with prior notice of the contemplated disclosure and cooperate with the Company in seeking a protective order or other appropriate protection of such information. The Company may not retaliate against you for any of these activities.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bookmarkStart w:id="135" w:name="x__you_represent_that_your_performance_o"/>
      <w:bookmarkEnd w:id="135"/>
      <w:r>
        <w:rPr>
          <w:rFonts w:ascii="Times New Roman;serif" w:hAnsi="Times New Roman;serif"/>
          <w:b w:val="false"/>
          <w:sz w:val="24"/>
        </w:rPr>
        <w:t>You represent that your performance of all of the terms of this Agreement and the performance of the services for the Company Group do not and will not breach or conflict with any agreement with a third party, including an agreement not to compete or to keep in confidence any proprietary information of another entity acquired by you in confidence or in trust prior to the date of this Agreement. You agree that you will not enter into any agreement that conflicts with this Agreement at any time prior to the Effective Date or during the term of your employment with the Company.</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bookmarkStart w:id="136" w:name="x__all_payments_made_under_this_agreemen"/>
      <w:bookmarkEnd w:id="136"/>
      <w:r>
        <w:rPr>
          <w:rFonts w:ascii="Times New Roman;serif" w:hAnsi="Times New Roman;serif"/>
          <w:b w:val="false"/>
          <w:sz w:val="24"/>
        </w:rPr>
        <w:t>All payments made under this Agreement shall be reduced by any tax or other amounts required to be withheld under applicable law.</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bookmarkStart w:id="137" w:name="x__the_parties_hereby_agree_that_any_sui"/>
      <w:bookmarkEnd w:id="137"/>
      <w:r>
        <w:rPr>
          <w:rFonts w:ascii="Times New Roman;serif" w:hAnsi="Times New Roman;serif"/>
          <w:b w:val="false"/>
          <w:sz w:val="24"/>
        </w:rPr>
        <w:t xml:space="preserve">The parties hereby agree that any suit, action or proceeding seeking to enforce any provision of, or based on any matter arising out of or in connection with, this Agreement shall only be brought in the Chancery Court of the State of Delaware (or other appropriate state court in the State of Delaware) or the Federal courts located in the State of Delaware and not in any other State or Federal courts located in the United States of America or any court in any other country, and each of the parties hereby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jc w:val="both"/>
        <w:rPr>
          <w:rFonts w:ascii="Times New Roman;serif" w:hAnsi="Times New Roman;serif"/>
          <w:b w:val="false"/>
          <w:sz w:val="24"/>
        </w:rPr>
      </w:pPr>
      <w:r>
        <w:rPr>
          <w:rFonts w:ascii="Times New Roman;serif" w:hAnsi="Times New Roman;serif"/>
          <w:b w:val="false"/>
          <w:sz w:val="24"/>
        </w:rPr>
        <w:t>is brought in any such court has been brought in an inconvenient form. The parties hereby agree that process in any such suit, action or proceeding may be served on either party anywhere in the world, whether within or without the jurisdiction of any such court. EACH OF THE PARTIES HERETO HEREBY IRREVOCABLY WAIVES ANY AND ALL RIGHTS TO TRIAL BY JURY IN ANY LEGAL PROCEEDING ARISING OUT OF OR RELATED TO THIS AGREEMENT OR THE TRANSACTIONS CONTEMPLATED HEREBY.</w:t>
      </w:r>
    </w:p>
    <w:p>
      <w:pPr>
        <w:pStyle w:val="TextBody"/>
        <w:spacing w:before="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bookmarkStart w:id="138" w:name="x__this_agreement_shall_be_governed__con"/>
      <w:bookmarkEnd w:id="138"/>
      <w:r>
        <w:rPr>
          <w:rFonts w:ascii="Times New Roman;serif" w:hAnsi="Times New Roman;serif"/>
          <w:b w:val="false"/>
          <w:sz w:val="24"/>
        </w:rPr>
        <w:t>This Agreement shall be governed, construed, interpreted and enforced in accordance with its express terms, and otherwise in accordance with the substantive laws of the State of Delaware, without reference to the principles of conflicts of law or choice of law of the State of Delaware, or any other jurisdiction, and where applicable, the laws of the United States.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bookmarkStart w:id="139" w:name="x__the_invalidity_or_unenforceability_of"/>
      <w:bookmarkEnd w:id="139"/>
      <w:r>
        <w:rPr>
          <w:rFonts w:ascii="Times New Roman;serif" w:hAnsi="Times New Roman;serif"/>
          <w:b w:val="false"/>
          <w:sz w:val="24"/>
        </w:rPr>
        <w:t>The invalidity or unenforceability of any provision or provisions of this Agreement shall not affect the validity or enforceability of any other provision of this Agreement, which shall remain in full force and effect.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84" w:after="0"/>
        <w:jc w:val="both"/>
        <w:rPr>
          <w:rFonts w:ascii="Times New Roman" w:hAnsi="Times New Roman"/>
          <w:b w:val="false"/>
          <w:sz w:val="24"/>
        </w:rPr>
      </w:pPr>
      <w:r>
        <w:rPr>
          <w:rFonts w:ascii="Times New Roman" w:hAnsi="Times New Roman"/>
          <w:b w:val="false"/>
          <w:sz w:val="24"/>
        </w:rPr>
        <w:t>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84" w:after="0"/>
        <w:jc w:val="both"/>
        <w:rPr/>
      </w:pPr>
      <w:bookmarkStart w:id="140" w:name="x__the_terms_of_this_agreement_and_the_c"/>
      <w:bookmarkEnd w:id="140"/>
      <w:r>
        <w:rPr>
          <w:rFonts w:ascii="Times New Roman;serif" w:hAnsi="Times New Roman;serif"/>
          <w:b w:val="false"/>
          <w:sz w:val="24"/>
        </w:rPr>
        <w:t xml:space="preserve">The terms of this Agreement and the Covenant Agreement are intended by the parties to be the final expression of their agreement with respect to your employment by the Company and supersede, effective as of the Effective Date, all prior understandings and agreements with respect to your employment by the Company, whether written or oral. For the avoidance of doubt, if the Effective Date does not occur, this Agreement will be void </w:t>
      </w:r>
      <w:r>
        <w:rPr>
          <w:rFonts w:ascii="Times New Roman;serif" w:hAnsi="Times New Roman;serif"/>
          <w:b w:val="false"/>
          <w:i/>
          <w:sz w:val="24"/>
        </w:rPr>
        <w:t>ab initio</w:t>
      </w:r>
      <w:r>
        <w:rPr>
          <w:rFonts w:ascii="Times New Roman;serif" w:hAnsi="Times New Roman;serif"/>
          <w:b w:val="false"/>
          <w:sz w:val="24"/>
        </w:rPr>
        <w: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bookmarkStart w:id="141" w:name="x__by_signing_this_agreement__you_acknow"/>
      <w:bookmarkEnd w:id="141"/>
      <w:r>
        <w:rPr>
          <w:rFonts w:ascii="Times New Roman;serif" w:hAnsi="Times New Roman;serif"/>
          <w:b w:val="false"/>
          <w:sz w:val="24"/>
        </w:rPr>
        <w:t>By signing this Agreement, you acknowledge that the terms of this Agreement are confidential and may not be disclosed in any manner or form to any party, other than as required by applicable law (including any public disclosure requirements) or as necessary to enforce the terms of this Agreement or to your spouse, attorney and/or tax advisor (if any), without the prior written approval of the Company. You further acknowledge that you will be bound by the terms and conditions contained in the Company’s employee handbook, as it may be amended from time to time to the extent not inconsistent with this Agreement and will, upon request of the Company, sign a copy thereof from time to time.</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10.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1" w:after="0"/>
        <w:jc w:val="both"/>
        <w:rPr>
          <w:rFonts w:ascii="Times New Roman;serif" w:hAnsi="Times New Roman;serif"/>
          <w:b w:val="false"/>
          <w:sz w:val="24"/>
        </w:rPr>
      </w:pPr>
      <w:bookmarkStart w:id="142" w:name="x0__the_rights_and_benefits_under_this_a"/>
      <w:bookmarkEnd w:id="142"/>
      <w:r>
        <w:rPr>
          <w:rFonts w:ascii="Times New Roman;serif" w:hAnsi="Times New Roman;serif"/>
          <w:b w:val="false"/>
          <w:sz w:val="24"/>
        </w:rPr>
        <w:t>The rights and benefits under this Agreement are personal to you and such rights and benefits shall not be subject to assignment, alienation or transfer, except to the extent such rights and benefits are lawfully available to your estate or any of your beneficiaries upon your death. The Company may assign this Agreement to any affiliate or subsidiary at any time and shall require any entity which at any time becomes a successor, whether by merger, purchase, or otherwise, or otherwise acquires all or substantially all of the assets, membership interests or business of the Company, to expressly assume this Agreement.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11.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bookmarkStart w:id="143" w:name="x1__this_agreement_may_be_executed_in_se"/>
      <w:bookmarkEnd w:id="143"/>
      <w:r>
        <w:rPr>
          <w:rFonts w:ascii="Times New Roman;serif" w:hAnsi="Times New Roman;serif"/>
          <w:b w:val="false"/>
          <w:sz w:val="24"/>
        </w:rPr>
        <w:t>This Agreement may be executed in several counterparts, each of which shall be deemed to be an original, but all of which together will constitute one and the same Agreement. Signatures delivered by facsimile shall be deemed effective for all purposes.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center"/>
        <w:rPr>
          <w:rFonts w:ascii="Times New Roman;serif" w:hAnsi="Times New Roman;serif"/>
          <w:b w:val="false"/>
          <w:i/>
          <w:sz w:val="24"/>
        </w:rPr>
      </w:pPr>
      <w:r>
        <w:rPr>
          <w:rFonts w:ascii="Times New Roman;serif" w:hAnsi="Times New Roman;serif"/>
          <w:b w:val="false"/>
          <w:i/>
          <w:sz w:val="24"/>
        </w:rPr>
        <w:t>[Signature page follows]</w:t>
      </w:r>
    </w:p>
    <w:p>
      <w:pPr>
        <w:pStyle w:val="TextBody"/>
        <w:spacing w:before="0" w:after="0"/>
        <w:jc w:val="center"/>
        <w:rPr/>
      </w:pPr>
      <w:r>
        <w:rPr/>
        <w:t> </w:t>
      </w:r>
    </w:p>
    <w:p>
      <w:pPr>
        <w:pStyle w:val="HorizontalLine"/>
        <w:rPr/>
      </w:pPr>
      <w:r>
        <w:rPr/>
      </w:r>
    </w:p>
    <w:p>
      <w:pPr>
        <w:pStyle w:val="TextBody"/>
        <w:spacing w:before="84" w:after="0"/>
        <w:jc w:val="left"/>
        <w:rPr>
          <w:rFonts w:ascii="Times New Roman;serif" w:hAnsi="Times New Roman;serif"/>
          <w:b w:val="false"/>
          <w:sz w:val="24"/>
        </w:rPr>
      </w:pPr>
      <w:r>
        <w:rPr>
          <w:rFonts w:ascii="Times New Roman;serif" w:hAnsi="Times New Roman;serif"/>
          <w:b w:val="false"/>
          <w:sz w:val="24"/>
        </w:rPr>
        <w:t>Please sign and date this Agreement in the space indicated and return it to my attention to evidence your understanding and acceptance of the terms set forth herein.</w:t>
      </w:r>
    </w:p>
    <w:p>
      <w:pPr>
        <w:pStyle w:val="TextBody"/>
        <w:spacing w:before="11" w:after="0"/>
        <w:jc w:val="left"/>
        <w:rPr/>
      </w:pPr>
      <w:r>
        <w:rPr/>
        <w:t>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Sincerely,</w:t>
      </w:r>
    </w:p>
    <w:p>
      <w:pPr>
        <w:pStyle w:val="TextBody"/>
        <w:spacing w:before="0" w:after="0"/>
        <w:jc w:val="left"/>
        <w:rPr/>
      </w:pPr>
      <w:r>
        <w:rPr/>
        <w:t> </w:t>
      </w:r>
    </w:p>
    <w:p>
      <w:pPr>
        <w:pStyle w:val="TextBody"/>
        <w:spacing w:before="0" w:after="0"/>
        <w:jc w:val="left"/>
        <w:rPr/>
      </w:pPr>
      <w:r>
        <w:rPr/>
        <w:t> </w:t>
      </w:r>
    </w:p>
    <w:p>
      <w:pPr>
        <w:pStyle w:val="TextBody"/>
        <w:spacing w:before="10" w:after="0"/>
        <w:jc w:val="left"/>
        <w:rPr/>
      </w:pPr>
      <w:r>
        <w:rPr/>
        <w:t> </w:t>
      </w:r>
    </w:p>
    <w:p>
      <w:pPr>
        <w:pStyle w:val="TextBody"/>
        <w:spacing w:before="90" w:after="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Tim Bertram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Name:</w:t>
      </w:r>
    </w:p>
    <w:p>
      <w:pPr>
        <w:pStyle w:val="TextBody"/>
        <w:spacing w:before="1" w:after="0"/>
        <w:jc w:val="left"/>
        <w:rPr>
          <w:rFonts w:ascii="Times New Roman;serif" w:hAnsi="Times New Roman;serif"/>
          <w:b w:val="false"/>
          <w:sz w:val="24"/>
        </w:rPr>
      </w:pPr>
      <w:r>
        <w:rPr>
          <w:rFonts w:ascii="Times New Roman;serif" w:hAnsi="Times New Roman;serif"/>
          <w:b w:val="false"/>
          <w:sz w:val="24"/>
        </w:rPr>
        <w:t>Position: Chief Executive Officer</w:t>
      </w:r>
    </w:p>
    <w:p>
      <w:pPr>
        <w:pStyle w:val="TextBody"/>
        <w:spacing w:before="0" w:after="0"/>
        <w:jc w:val="left"/>
        <w:rPr/>
      </w:pPr>
      <w:r>
        <w:rPr/>
        <w:t> </w:t>
      </w:r>
    </w:p>
    <w:p>
      <w:pPr>
        <w:pStyle w:val="TextBody"/>
        <w:spacing w:before="0" w:after="0"/>
        <w:jc w:val="left"/>
        <w:rPr/>
      </w:pPr>
      <w:r>
        <w:rPr/>
        <w:t> </w:t>
      </w:r>
    </w:p>
    <w:p>
      <w:pPr>
        <w:pStyle w:val="TextBody"/>
        <w:spacing w:before="11" w:after="0"/>
        <w:jc w:val="left"/>
        <w:rPr/>
      </w:pPr>
      <w:r>
        <w:rPr/>
        <w:t> </w:t>
      </w:r>
    </w:p>
    <w:p>
      <w:pPr>
        <w:pStyle w:val="TextBody"/>
        <w:spacing w:before="90" w:after="0"/>
        <w:jc w:val="left"/>
        <w:rPr>
          <w:rFonts w:ascii="Times New Roman;serif" w:hAnsi="Times New Roman;serif"/>
          <w:b w:val="false"/>
          <w:sz w:val="24"/>
        </w:rPr>
      </w:pPr>
      <w:r>
        <w:rPr>
          <w:rFonts w:ascii="Times New Roman;serif" w:hAnsi="Times New Roman;serif"/>
          <w:b w:val="false"/>
          <w:sz w:val="24"/>
        </w:rPr>
        <w:t>Agreed to and Accepted:</w:t>
      </w:r>
    </w:p>
    <w:p>
      <w:pPr>
        <w:pStyle w:val="TextBody"/>
        <w:spacing w:before="0" w:after="0"/>
        <w:jc w:val="left"/>
        <w:rPr/>
      </w:pPr>
      <w:r>
        <w:rPr/>
        <w:t> </w:t>
      </w:r>
    </w:p>
    <w:p>
      <w:pPr>
        <w:pStyle w:val="TextBody"/>
        <w:spacing w:before="0" w:after="0"/>
        <w:jc w:val="left"/>
        <w:rPr>
          <w:rFonts w:ascii="Times New Roman;serif" w:hAnsi="Times New Roman;serif"/>
          <w:b w:val="false"/>
          <w:sz w:val="24"/>
          <w:u w:val="single"/>
        </w:rPr>
      </w:pPr>
      <w:r>
        <w:rPr>
          <w:rFonts w:ascii="Times New Roman;serif" w:hAnsi="Times New Roman;serif"/>
          <w:b w:val="false"/>
          <w:sz w:val="24"/>
          <w:u w:val="single"/>
        </w:rPr>
        <w:t xml:space="preserve">/s/ James Coulston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James Coulston</w:t>
      </w:r>
    </w:p>
    <w:p>
      <w:pPr>
        <w:pStyle w:val="TextBody"/>
        <w:spacing w:before="5"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Date: December 3, 2022</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89" w:after="0"/>
        <w:jc w:val="center"/>
        <w:rPr>
          <w:rFonts w:ascii="Times New Roman;serif" w:hAnsi="Times New Roman;serif"/>
          <w:b/>
          <w:sz w:val="24"/>
          <w:u w:val="single"/>
        </w:rPr>
      </w:pPr>
      <w:r>
        <w:rPr>
          <w:rFonts w:ascii="Times New Roman;serif" w:hAnsi="Times New Roman;serif"/>
          <w:b/>
          <w:sz w:val="24"/>
          <w:u w:val="single"/>
        </w:rPr>
        <w:t>EXHIBIT A</w:t>
      </w:r>
    </w:p>
    <w:p>
      <w:pPr>
        <w:pStyle w:val="TextBody"/>
        <w:spacing w:before="6"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w:t>
      </w:r>
      <w:r>
        <w:rPr>
          <w:rFonts w:ascii="Times New Roman;serif" w:hAnsi="Times New Roman;serif"/>
          <w:b/>
          <w:i/>
          <w:sz w:val="24"/>
          <w:u w:val="single"/>
        </w:rPr>
        <w:t>The language in this Release may change based on legal developments and evolving best</w:t>
      </w:r>
      <w:r>
        <w:rPr>
          <w:rFonts w:ascii="Times New Roman" w:hAnsi="Times New Roman"/>
          <w:sz w:val="20"/>
        </w:rPr>
        <w:t xml:space="preserve"> </w:t>
      </w:r>
      <w:r>
        <w:rPr>
          <w:rFonts w:ascii="Times New Roman;serif" w:hAnsi="Times New Roman;serif"/>
          <w:b/>
          <w:i/>
          <w:sz w:val="24"/>
          <w:u w:val="single"/>
        </w:rPr>
        <w:t>practices; this form is provided as an example of what will be included in the final Release</w:t>
      </w:r>
      <w:r>
        <w:rPr>
          <w:rFonts w:ascii="Times New Roman" w:hAnsi="Times New Roman"/>
          <w:sz w:val="20"/>
        </w:rPr>
        <w:t xml:space="preserve"> </w:t>
      </w:r>
      <w:r>
        <w:rPr>
          <w:rFonts w:ascii="Times New Roman;serif" w:hAnsi="Times New Roman;serif"/>
          <w:b/>
          <w:i/>
          <w:sz w:val="24"/>
          <w:u w:val="single"/>
        </w:rPr>
        <w:t>document.</w:t>
      </w:r>
      <w:r>
        <w:rPr>
          <w:rFonts w:ascii="Times New Roman;serif" w:hAnsi="Times New Roman;serif"/>
          <w:b w:val="false"/>
          <w:sz w:val="24"/>
        </w:rPr>
        <w:t>]</w:t>
      </w:r>
      <w:r>
        <w:rPr>
          <w:rFonts w:ascii="Times New Roman;serif" w:hAnsi="Times New Roman;serif"/>
          <w:b w:val="false"/>
          <w:sz w:val="16"/>
        </w:rPr>
        <w:t>1</w:t>
      </w:r>
    </w:p>
    <w:p>
      <w:pPr>
        <w:pStyle w:val="TextBody"/>
        <w:spacing w:before="5" w:after="0"/>
        <w:jc w:val="left"/>
        <w:rPr/>
      </w:pPr>
      <w:r>
        <w:rPr/>
        <w:t> </w:t>
      </w:r>
    </w:p>
    <w:p>
      <w:pPr>
        <w:pStyle w:val="TextBody"/>
        <w:spacing w:before="90" w:after="0"/>
        <w:jc w:val="center"/>
        <w:rPr>
          <w:rFonts w:ascii="Times New Roman;serif" w:hAnsi="Times New Roman;serif"/>
          <w:b/>
          <w:sz w:val="24"/>
          <w:u w:val="single"/>
        </w:rPr>
      </w:pPr>
      <w:r>
        <w:rPr>
          <w:rFonts w:ascii="Times New Roman;serif" w:hAnsi="Times New Roman;serif"/>
          <w:b/>
          <w:sz w:val="24"/>
          <w:u w:val="single"/>
        </w:rPr>
        <w:t>GENERAL RELEASE OF ALL CLAIMS</w:t>
      </w:r>
    </w:p>
    <w:p>
      <w:pPr>
        <w:pStyle w:val="TextBody"/>
        <w:spacing w:before="5"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1.</w:t>
      </w:r>
    </w:p>
    <w:p>
      <w:pPr>
        <w:pStyle w:val="TextBody"/>
        <w:jc w:val="both"/>
        <w:rPr/>
      </w:pPr>
      <w:r>
        <w:rPr>
          <w:rFonts w:ascii="Times New Roman;serif" w:hAnsi="Times New Roman;serif"/>
          <w:b w:val="false"/>
          <w:sz w:val="24"/>
        </w:rPr>
        <w:t>For valuable consideration, the adequacy of which is hereby acknowledged, [NAME] (“</w:t>
      </w:r>
      <w:r>
        <w:rPr>
          <w:rFonts w:ascii="Times New Roman;serif" w:hAnsi="Times New Roman;serif"/>
          <w:b w:val="false"/>
          <w:sz w:val="24"/>
          <w:u w:val="single"/>
        </w:rPr>
        <w:t>Executive</w:t>
      </w:r>
      <w:r>
        <w:rPr/>
        <w:t>”</w:t>
      </w:r>
      <w:r>
        <w:rPr>
          <w:rFonts w:ascii="Times New Roman;serif" w:hAnsi="Times New Roman;serif"/>
          <w:b w:val="false"/>
          <w:sz w:val="24"/>
        </w:rPr>
        <w:t>), for himself, his spouse, heirs, administrators, children, representatives, executors, successors, assigns, trusts for his benefit and all other persons claiming through Executive, if any (collectively, “</w:t>
      </w:r>
      <w:r>
        <w:rPr>
          <w:rFonts w:ascii="Times New Roman;serif" w:hAnsi="Times New Roman;serif"/>
          <w:b w:val="false"/>
          <w:sz w:val="24"/>
          <w:u w:val="single"/>
        </w:rPr>
        <w:t>Releasers</w:t>
      </w:r>
      <w:r>
        <w:rPr/>
        <w:t>”</w:t>
      </w:r>
      <w:r>
        <w:rPr>
          <w:rFonts w:ascii="Times New Roman;serif" w:hAnsi="Times New Roman;serif"/>
          <w:b w:val="false"/>
          <w:sz w:val="24"/>
        </w:rPr>
        <w:t>), does hereby release, waive, and forever discharge [ProKidney, LLC, a Delaware limited liability company] (the “</w:t>
      </w:r>
      <w:r>
        <w:rPr>
          <w:rFonts w:ascii="Times New Roman;serif" w:hAnsi="Times New Roman;serif"/>
          <w:b w:val="false"/>
          <w:sz w:val="24"/>
          <w:u w:val="single"/>
        </w:rPr>
        <w:t>Company</w:t>
      </w:r>
      <w:r>
        <w:rPr/>
        <w:t>”</w:t>
      </w:r>
      <w:r>
        <w:rPr>
          <w:rFonts w:ascii="Times New Roman;serif" w:hAnsi="Times New Roman;serif"/>
          <w:b w:val="false"/>
          <w:sz w:val="24"/>
        </w:rPr>
        <w:t>), ProKidney Corp. and their respective subsidiaries, parents, affiliates, related organizations, and equity holders, and their respective affiliates (including trustees and beneficiaries of trusts that are direct and indirect equity holders), employees, officers, directors, attorneys, successors, and assigns or each of the foregoing (collectively, the “</w:t>
      </w:r>
      <w:r>
        <w:rPr>
          <w:rFonts w:ascii="Times New Roman;serif" w:hAnsi="Times New Roman;serif"/>
          <w:b w:val="false"/>
          <w:sz w:val="24"/>
          <w:u w:val="single"/>
        </w:rPr>
        <w:t>Releasees</w:t>
      </w:r>
      <w:r>
        <w:rPr/>
        <w:t>”</w:t>
      </w:r>
      <w:r>
        <w:rPr>
          <w:rFonts w:ascii="Times New Roman;serif" w:hAnsi="Times New Roman;serif"/>
          <w:b w:val="false"/>
          <w:sz w:val="24"/>
        </w:rPr>
        <w:t>) from, and does fully waive any obligations or liabilities of Releasees to Releasers of any kind and nature that Releasers had, have, or might claim to have against Releasees at the time Executive executes this General Release for or in respect of any and all liability, actions, charges, causes of action, demands, damages, or claims for relief, remuneration, sums of money, accounts or expenses, and any action arising in tort including libel, slander, defamation or intentional infliction of emotional distress, and claims under any federal, state or local statute including Title VII of the Civil Rights Act of 1964, the Civil Rights Act of 1866 and 1871 (42 U.S.C. § 1981), the Equal Pay Act, Employee Retirement Income Security Act, Family and Medical Leave Act, the National Labor Relations Act, the Fair Labor Standards Act, the Americans with Disabilities Act of 1990, the Age Discrimination in Employment Act of 1967, the Rehabilitation Act of 1973, or the discrimination or employment laws of any state or municipality, and/or any claims under any express or implied contract which Releasers may claim existed with Releasees. This also includes a release by Executive of any claims for breach of contract, wrongful discharge and all claims for alleged physical or personal injury, emotional distress relating to or arising out of Executive’s employment with Company or the termination of that employment; and any claims under the WARN Act or any similar law, which requires, among other things, that advance notice be given of certain work force reductions. This release and waiver does not apply to any claims or rights that may arise after the date Executive signs this General Release. The foregoing release does not apply to (a) any claims or rights for compensation, benefits, indemnification and any other surviving rights now existing under the Employment Letter between the Company and Executive dated as of [●], 2022 (the “</w:t>
      </w:r>
      <w:r>
        <w:rPr>
          <w:rFonts w:ascii="Times New Roman;serif" w:hAnsi="Times New Roman;serif"/>
          <w:b w:val="false"/>
          <w:sz w:val="24"/>
          <w:u w:val="single"/>
        </w:rPr>
        <w:t>Employment Letter</w:t>
      </w:r>
      <w:r>
        <w:rPr/>
        <w:t>”</w:t>
      </w:r>
      <w:r>
        <w:rPr>
          <w:rFonts w:ascii="Times New Roman;serif" w:hAnsi="Times New Roman;serif"/>
          <w:b w:val="false"/>
          <w:sz w:val="24"/>
        </w:rPr>
        <w:t>), the organizational documents of the Company or any of its affiliates or any other agreement providing for indemnification regardless of when any claim is filed, (b) any claims or rights under directors and officers liability insurance, or (c) any claims or rights accruing to any Releaser in its capacity as an equity holder of ProKidney Corp. or any of its subsidiaries.</w:t>
      </w:r>
    </w:p>
    <w:p>
      <w:pPr>
        <w:pStyle w:val="TextBody"/>
        <w:spacing w:before="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2.</w:t>
      </w:r>
    </w:p>
    <w:p>
      <w:pPr>
        <w:pStyle w:val="TextBody"/>
        <w:jc w:val="both"/>
        <w:rPr>
          <w:rFonts w:ascii="Times New Roman;serif" w:hAnsi="Times New Roman;serif"/>
          <w:b w:val="false"/>
          <w:sz w:val="24"/>
        </w:rPr>
      </w:pPr>
      <w:r>
        <w:rPr>
          <w:rFonts w:ascii="Times New Roman;serif" w:hAnsi="Times New Roman;serif"/>
          <w:b w:val="false"/>
          <w:sz w:val="24"/>
        </w:rPr>
        <w:t>Excluded from this release and waiver are any claims which cannot be waived by law, including but not limited to the right to participate in an investigation conducted by certain</w:t>
      </w:r>
    </w:p>
    <w:p>
      <w:pPr>
        <w:pStyle w:val="TextBody"/>
        <w:spacing w:before="8" w:after="0"/>
        <w:jc w:val="left"/>
        <w:rPr/>
      </w:pPr>
      <w:r>
        <w:rPr/>
        <w:t> </w:t>
      </w:r>
    </w:p>
    <w:p>
      <w:pPr>
        <w:pStyle w:val="TextBody"/>
        <w:spacing w:before="103" w:after="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sz w:val="20"/>
        </w:rPr>
        <w:t>Note to Draft</w:t>
      </w:r>
      <w:r>
        <w:rPr>
          <w:rFonts w:ascii="Times New Roman;serif" w:hAnsi="Times New Roman;serif"/>
          <w:b w:val="false"/>
          <w:sz w:val="20"/>
        </w:rPr>
        <w:t>: To be updated for applicability of ADEA and multiple terminations of employment.</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84" w:after="0"/>
        <w:jc w:val="both"/>
        <w:rPr>
          <w:rFonts w:ascii="Times New Roman;serif" w:hAnsi="Times New Roman;serif"/>
          <w:b w:val="false"/>
          <w:sz w:val="24"/>
        </w:rPr>
      </w:pPr>
      <w:r>
        <w:rPr>
          <w:rFonts w:ascii="Times New Roman;serif" w:hAnsi="Times New Roman;serif"/>
          <w:b w:val="false"/>
          <w:sz w:val="24"/>
        </w:rPr>
        <w:t>government agencies. Executive does, however, waive Executive’s right to any monetary recovery should any agency (such as the Equal Employment Opportunity Commission) pursue any claims on Executive’s behalf. Executive represents and warrants that Executive has not filed any complaint, charge, or lawsuit against the Releasees with any government agency or any court.</w:t>
      </w:r>
    </w:p>
    <w:p>
      <w:pPr>
        <w:pStyle w:val="TextBody"/>
        <w:spacing w:before="1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3.</w:t>
      </w:r>
    </w:p>
    <w:p>
      <w:pPr>
        <w:pStyle w:val="TextBody"/>
        <w:jc w:val="both"/>
        <w:rPr>
          <w:rFonts w:ascii="Times New Roman;serif" w:hAnsi="Times New Roman;serif"/>
          <w:b w:val="false"/>
          <w:sz w:val="24"/>
        </w:rPr>
      </w:pPr>
      <w:r>
        <w:rPr>
          <w:rFonts w:ascii="Times New Roman;serif" w:hAnsi="Times New Roman;serif"/>
          <w:b w:val="false"/>
          <w:sz w:val="24"/>
        </w:rPr>
        <w:t>Executive agrees never to sue Releasees in any forum for any claim covered by the above waiver and release language. If Executive violates this General Release by suing Releasees, other than as set forth in Section 1 hereof, Executive shall be liable to the Company for its reasonable attorneys’ fees and other litigation costs incurred in defending against such a suit. Executive represents and warrants that he has not assigned or transferred, in any manner, including by subrogation or operation of law, any portion of any claim, action, complaint, charge or suit encompassed by the releases set forth in this General Release.</w:t>
      </w:r>
    </w:p>
    <w:p>
      <w:pPr>
        <w:pStyle w:val="TextBody"/>
        <w:spacing w:before="10"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4.</w:t>
      </w:r>
    </w:p>
    <w:p>
      <w:pPr>
        <w:pStyle w:val="TextBody"/>
        <w:spacing w:before="1" w:after="283"/>
        <w:jc w:val="both"/>
        <w:rPr>
          <w:rFonts w:ascii="Times New Roman;serif" w:hAnsi="Times New Roman;serif"/>
          <w:b w:val="false"/>
          <w:sz w:val="24"/>
        </w:rPr>
      </w:pPr>
      <w:r>
        <w:rPr>
          <w:rFonts w:ascii="Times New Roman;serif" w:hAnsi="Times New Roman;serif"/>
          <w:b w:val="false"/>
          <w:sz w:val="24"/>
        </w:rPr>
        <w:t>Executive acknowledges and recites that:</w:t>
      </w:r>
    </w:p>
    <w:p>
      <w:pPr>
        <w:pStyle w:val="TextBody"/>
        <w:spacing w:before="9"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(a)</w:t>
      </w:r>
    </w:p>
    <w:p>
      <w:pPr>
        <w:pStyle w:val="TextBody"/>
        <w:spacing w:before="1" w:after="283"/>
        <w:jc w:val="both"/>
        <w:rPr>
          <w:rFonts w:ascii="Times New Roman;serif" w:hAnsi="Times New Roman;serif"/>
          <w:b w:val="false"/>
          <w:sz w:val="24"/>
        </w:rPr>
      </w:pPr>
      <w:r>
        <w:rPr>
          <w:rFonts w:ascii="Times New Roman;serif" w:hAnsi="Times New Roman;serif"/>
          <w:b w:val="false"/>
          <w:sz w:val="24"/>
        </w:rPr>
        <w:t>Executive has executed this General Release knowingly and voluntarily;</w:t>
      </w:r>
    </w:p>
    <w:p>
      <w:pPr>
        <w:pStyle w:val="TextBody"/>
        <w:spacing w:before="9"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(b)</w:t>
      </w:r>
    </w:p>
    <w:p>
      <w:pPr>
        <w:pStyle w:val="TextBody"/>
        <w:spacing w:before="1" w:after="283"/>
        <w:jc w:val="both"/>
        <w:rPr>
          <w:rFonts w:ascii="Times New Roman;serif" w:hAnsi="Times New Roman;serif"/>
          <w:b w:val="false"/>
          <w:sz w:val="24"/>
        </w:rPr>
      </w:pPr>
      <w:r>
        <w:rPr>
          <w:rFonts w:ascii="Times New Roman;serif" w:hAnsi="Times New Roman;serif"/>
          <w:b w:val="false"/>
          <w:sz w:val="24"/>
        </w:rPr>
        <w:t>Executive has read and understands this General Release in its entirety;</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(c)</w:t>
      </w:r>
    </w:p>
    <w:p>
      <w:pPr>
        <w:pStyle w:val="TextBody"/>
        <w:jc w:val="both"/>
        <w:rPr>
          <w:rFonts w:ascii="Times New Roman;serif" w:hAnsi="Times New Roman;serif"/>
          <w:b w:val="false"/>
          <w:sz w:val="24"/>
        </w:rPr>
      </w:pPr>
      <w:r>
        <w:rPr>
          <w:rFonts w:ascii="Times New Roman;serif" w:hAnsi="Times New Roman;serif"/>
          <w:b w:val="false"/>
          <w:sz w:val="24"/>
        </w:rPr>
        <w:t>Executive has been advised and directed orally and in writing (and this subsection (c) constitutes such written direction) to seek legal counsel and any other advice he wishes with respect to the terms of this General Release before executing it;</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(d)</w:t>
      </w:r>
    </w:p>
    <w:p>
      <w:pPr>
        <w:pStyle w:val="TextBody"/>
        <w:jc w:val="both"/>
        <w:rPr>
          <w:rFonts w:ascii="Times New Roman;serif" w:hAnsi="Times New Roman;serif"/>
          <w:b w:val="false"/>
          <w:sz w:val="24"/>
        </w:rPr>
      </w:pPr>
      <w:r>
        <w:rPr>
          <w:rFonts w:ascii="Times New Roman;serif" w:hAnsi="Times New Roman;serif"/>
          <w:b w:val="false"/>
          <w:sz w:val="24"/>
        </w:rPr>
        <w:t>Executive’s execution of this General Release has not been forced by any employee or agent of the Company, and Executive has had an opportunity to negotiate about the terms of this General Release;</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(e)</w:t>
      </w:r>
    </w:p>
    <w:p>
      <w:pPr>
        <w:pStyle w:val="TextBody"/>
        <w:jc w:val="both"/>
        <w:rPr>
          <w:rFonts w:ascii="Times New Roman;serif" w:hAnsi="Times New Roman;serif"/>
          <w:b w:val="false"/>
          <w:sz w:val="24"/>
        </w:rPr>
      </w:pPr>
      <w:r>
        <w:rPr>
          <w:rFonts w:ascii="Times New Roman;serif" w:hAnsi="Times New Roman;serif"/>
          <w:b w:val="false"/>
          <w:sz w:val="24"/>
        </w:rPr>
        <w:t>Executive has been given at least twenty-one (21) days to consider this General Release, and if executed prior to the expiration of the twenty-one (21) day period, such execution is knowing and voluntary; and</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(f)</w:t>
      </w:r>
    </w:p>
    <w:p>
      <w:pPr>
        <w:pStyle w:val="TextBody"/>
        <w:jc w:val="both"/>
        <w:rPr>
          <w:rFonts w:ascii="Times New Roman;serif" w:hAnsi="Times New Roman;serif"/>
          <w:b w:val="false"/>
          <w:sz w:val="24"/>
        </w:rPr>
      </w:pPr>
      <w:r>
        <w:rPr>
          <w:rFonts w:ascii="Times New Roman;serif" w:hAnsi="Times New Roman;serif"/>
          <w:b w:val="false"/>
          <w:sz w:val="24"/>
        </w:rPr>
        <w:t>The additional benefits and other promises that Executive is to receive under the Employment Letter are sufficient consideration for this General Release.</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5.</w:t>
      </w:r>
    </w:p>
    <w:p>
      <w:pPr>
        <w:pStyle w:val="TextBody"/>
        <w:jc w:val="both"/>
        <w:rPr>
          <w:rFonts w:ascii="Times New Roman;serif" w:hAnsi="Times New Roman;serif"/>
          <w:b w:val="false"/>
          <w:sz w:val="24"/>
        </w:rPr>
      </w:pPr>
      <w:r>
        <w:rPr>
          <w:rFonts w:ascii="Times New Roman;serif" w:hAnsi="Times New Roman;serif"/>
          <w:b w:val="false"/>
          <w:sz w:val="24"/>
        </w:rPr>
        <w:t>This General Release shall be governed by the internal laws (and not the choice of laws) of the State of Delaware, except for the application of pre-emptive Federal law.</w:t>
      </w:r>
    </w:p>
    <w:p>
      <w:pPr>
        <w:pStyle w:val="TextBody"/>
        <w:spacing w:before="10"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6.</w:t>
      </w:r>
    </w:p>
    <w:p>
      <w:pPr>
        <w:pStyle w:val="TextBody"/>
        <w:spacing w:before="1" w:after="283"/>
        <w:jc w:val="both"/>
        <w:rPr>
          <w:rFonts w:ascii="Times New Roman;serif" w:hAnsi="Times New Roman;serif"/>
          <w:b w:val="false"/>
          <w:sz w:val="24"/>
        </w:rPr>
      </w:pPr>
      <w:r>
        <w:rPr>
          <w:rFonts w:ascii="Times New Roman;serif" w:hAnsi="Times New Roman;serif"/>
          <w:b w:val="false"/>
          <w:sz w:val="24"/>
        </w:rPr>
        <w:t>Any dispute or controversy arising under or in connection with this General Release shall be settled exclusively by arbitration in accordance with the provisions of Section 4 of the Employment Letter.</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7.</w:t>
      </w:r>
    </w:p>
    <w:p>
      <w:pPr>
        <w:pStyle w:val="TextBody"/>
        <w:jc w:val="both"/>
        <w:rPr>
          <w:rFonts w:ascii="Times New Roman;serif" w:hAnsi="Times New Roman;serif"/>
          <w:b w:val="false"/>
          <w:sz w:val="24"/>
        </w:rPr>
      </w:pPr>
      <w:r>
        <w:rPr>
          <w:rFonts w:ascii="Times New Roman;serif" w:hAnsi="Times New Roman;serif"/>
          <w:b w:val="false"/>
          <w:sz w:val="24"/>
        </w:rPr>
        <w:t>Executive may revoke this General Release within seven (7) calendar days after signing it. To be effective, such revocation must be made in writing to the Board of Directors of ProKidney Corp., with a copy received at 2000 Frontis Plaza Blvd., Ste. 250 Winston-Salem, NC 27103, Attention: Todd Girolamo. Revocation can be made by hand delivery, telegram, facsimile, or postmarking before the expiration of this seven (7) day period. None of the obligations of the Company under the Employment Letter shall be effective in the event that Executive revokes this General Release pursuant to this Section 7.</w:t>
      </w:r>
    </w:p>
    <w:p>
      <w:pPr>
        <w:pStyle w:val="TextBody"/>
        <w:spacing w:before="0" w:after="0"/>
        <w:jc w:val="left"/>
        <w:rPr/>
      </w:pPr>
      <w:r>
        <w:rPr/>
        <w:t> </w:t>
      </w:r>
    </w:p>
    <w:p>
      <w:pPr>
        <w:pStyle w:val="HorizontalLine"/>
        <w:rPr/>
      </w:pPr>
      <w:r>
        <w:rPr/>
      </w:r>
    </w:p>
    <w:p>
      <w:pPr>
        <w:pStyle w:val="TextBody"/>
        <w:spacing w:before="0" w:after="0"/>
        <w:jc w:val="both"/>
        <w:rPr/>
      </w:pPr>
      <w:r>
        <w:rPr/>
        <w:t> </w:t>
      </w:r>
    </w:p>
    <w:p>
      <w:pPr>
        <w:pStyle w:val="TextBody"/>
        <w:spacing w:before="0" w:after="0"/>
        <w:jc w:val="left"/>
        <w:rPr/>
      </w:pPr>
      <w:r>
        <w:rPr/>
        <w:t> </w:t>
      </w:r>
    </w:p>
    <w:p>
      <w:pPr>
        <w:pStyle w:val="HorizontalLine"/>
        <w:rPr/>
      </w:pPr>
      <w:r>
        <w:rPr/>
      </w:r>
    </w:p>
    <w:p>
      <w:pPr>
        <w:pStyle w:val="TextBody"/>
        <w:spacing w:before="84" w:after="0"/>
        <w:jc w:val="center"/>
        <w:rPr>
          <w:rFonts w:ascii="Times New Roman;serif" w:hAnsi="Times New Roman;serif"/>
          <w:b w:val="false"/>
          <w:i/>
          <w:sz w:val="24"/>
        </w:rPr>
      </w:pPr>
      <w:r>
        <w:rPr>
          <w:rFonts w:ascii="Times New Roman;serif" w:hAnsi="Times New Roman;serif"/>
          <w:b w:val="false"/>
          <w:i/>
          <w:sz w:val="24"/>
        </w:rPr>
        <w:t>(Signature page follows)</w:t>
      </w:r>
    </w:p>
    <w:p>
      <w:pPr>
        <w:pStyle w:val="TextBody"/>
        <w:spacing w:before="0" w:after="0"/>
        <w:jc w:val="center"/>
        <w:rPr/>
      </w:pPr>
      <w:r>
        <w:rPr/>
        <w:t> </w:t>
      </w:r>
    </w:p>
    <w:p>
      <w:pPr>
        <w:pStyle w:val="TextBody"/>
        <w:spacing w:before="0" w:after="0"/>
        <w:jc w:val="left"/>
        <w:rPr/>
      </w:pPr>
      <w:r>
        <w:rPr/>
        <w:t> </w:t>
      </w:r>
    </w:p>
    <w:p>
      <w:pPr>
        <w:pStyle w:val="HorizontalLine"/>
        <w:rPr/>
      </w:pPr>
      <w:r>
        <w:rPr/>
      </w:r>
    </w:p>
    <w:p>
      <w:pPr>
        <w:pStyle w:val="TextBody"/>
        <w:spacing w:before="84" w:after="0"/>
        <w:jc w:val="left"/>
        <w:rPr>
          <w:rFonts w:ascii="Times New Roman;serif" w:hAnsi="Times New Roman;serif"/>
          <w:b w:val="false"/>
          <w:sz w:val="24"/>
        </w:rPr>
      </w:pPr>
      <w:r>
        <w:rPr>
          <w:rFonts w:ascii="Times New Roman;serif" w:hAnsi="Times New Roman;serif"/>
          <w:b w:val="false"/>
          <w:sz w:val="24"/>
        </w:rPr>
        <w:t>PLEASE READ THIS AGREEMENT CAREFULLY. IT CONTAINS A RELEASE OF ALL KNOWN AND UNKNOWN CLAIMS.</w:t>
      </w:r>
    </w:p>
    <w:p>
      <w:pPr>
        <w:pStyle w:val="TextBody"/>
        <w:spacing w:before="11"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 xml:space="preserve">Date: Executive: </w:t>
      </w:r>
    </w:p>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4"/>
        </w:rPr>
      </w:pPr>
      <w:bookmarkStart w:id="144" w:name="prok-ex10_15.htm"/>
      <w:bookmarkStart w:id="145" w:name="ksprokex10_15"/>
      <w:bookmarkEnd w:id="144"/>
      <w:bookmarkEnd w:id="145"/>
      <w:r>
        <w:rPr>
          <w:rFonts w:ascii="Times New Roman;serif" w:hAnsi="Times New Roman;serif"/>
          <w:b/>
          <w:sz w:val="24"/>
        </w:rPr>
        <w:t>Exhibit 10.15</w:t>
      </w:r>
    </w:p>
    <w:p>
      <w:pPr>
        <w:pStyle w:val="TextBody"/>
        <w:spacing w:before="84" w:after="0"/>
        <w:jc w:val="left"/>
        <w:rPr>
          <w:rFonts w:ascii="Times New Roman;serif" w:hAnsi="Times New Roman;serif"/>
          <w:b w:val="false"/>
          <w:sz w:val="24"/>
        </w:rPr>
      </w:pPr>
      <w:r>
        <w:rPr>
          <w:rFonts w:ascii="Times New Roman;serif" w:hAnsi="Times New Roman;serif"/>
          <w:b w:val="false"/>
          <w:sz w:val="24"/>
        </w:rPr>
        <w:t>December 2, 2022</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Deepak Jain</w:t>
      </w:r>
    </w:p>
    <w:p>
      <w:pPr>
        <w:pStyle w:val="TextBody"/>
        <w:spacing w:before="0" w:after="0"/>
        <w:jc w:val="left"/>
        <w:rPr>
          <w:rFonts w:ascii="Times New Roman;serif" w:hAnsi="Times New Roman;serif"/>
          <w:b w:val="false"/>
          <w:sz w:val="24"/>
        </w:rPr>
      </w:pPr>
      <w:r>
        <w:rPr>
          <w:rFonts w:ascii="Times New Roman;serif" w:hAnsi="Times New Roman;serif"/>
          <w:b w:val="false"/>
          <w:sz w:val="24"/>
        </w:rPr>
        <w:t>559 Suncreek Dr.</w:t>
      </w:r>
    </w:p>
    <w:p>
      <w:pPr>
        <w:pStyle w:val="TextBody"/>
        <w:spacing w:before="0" w:after="0"/>
        <w:jc w:val="left"/>
        <w:rPr>
          <w:rFonts w:ascii="Times New Roman" w:hAnsi="Times New Roman"/>
          <w:sz w:val="20"/>
        </w:rPr>
      </w:pPr>
      <w:r>
        <w:rPr>
          <w:rFonts w:ascii="Times New Roman;serif" w:hAnsi="Times New Roman;serif"/>
          <w:b w:val="false"/>
          <w:sz w:val="24"/>
        </w:rPr>
        <w:t>Winston-Salem, NC 27104</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Dear Deepak:</w:t>
      </w:r>
    </w:p>
    <w:p>
      <w:pPr>
        <w:pStyle w:val="TextBody"/>
        <w:spacing w:before="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bookmarkStart w:id="146" w:name="x__this_letter_agreement__this__agreemen"/>
      <w:bookmarkEnd w:id="146"/>
      <w:r>
        <w:rPr>
          <w:rFonts w:ascii="Times New Roman;serif" w:hAnsi="Times New Roman;serif"/>
          <w:b w:val="false"/>
          <w:sz w:val="24"/>
        </w:rPr>
        <w:t>This letter agreement (this “</w:t>
      </w:r>
      <w:r>
        <w:rPr>
          <w:rFonts w:ascii="Times New Roman;serif" w:hAnsi="Times New Roman;serif"/>
          <w:b w:val="false"/>
          <w:sz w:val="24"/>
          <w:u w:val="single"/>
        </w:rPr>
        <w:t>Agreement</w:t>
      </w:r>
      <w:r>
        <w:rPr/>
        <w:t>”</w:t>
      </w:r>
      <w:r>
        <w:rPr>
          <w:rFonts w:ascii="Times New Roman;serif" w:hAnsi="Times New Roman;serif"/>
          <w:b w:val="false"/>
          <w:sz w:val="24"/>
        </w:rPr>
        <w:t>) sets forth the terms and conditions of your continued employment with ProKidney, LLC, a Delaware limited liability company (the “</w:t>
      </w:r>
      <w:r>
        <w:rPr>
          <w:rFonts w:ascii="Times New Roman;serif" w:hAnsi="Times New Roman;serif"/>
          <w:b w:val="false"/>
          <w:sz w:val="24"/>
          <w:u w:val="single"/>
        </w:rPr>
        <w:t>Company</w:t>
      </w:r>
      <w:r>
        <w:rPr/>
        <w:t>”</w:t>
      </w:r>
      <w:r>
        <w:rPr>
          <w:rFonts w:ascii="Times New Roman;serif" w:hAnsi="Times New Roman;serif"/>
          <w:b w:val="false"/>
          <w:sz w:val="24"/>
        </w:rPr>
        <w:t>) as of October 1, 2022 (the “</w:t>
      </w:r>
      <w:r>
        <w:rPr>
          <w:rFonts w:ascii="Times New Roman;serif" w:hAnsi="Times New Roman;serif"/>
          <w:b w:val="false"/>
          <w:sz w:val="24"/>
          <w:u w:val="single"/>
        </w:rPr>
        <w:t>Effective Date</w:t>
      </w:r>
      <w:r>
        <w:rPr/>
        <w:t>”</w:t>
      </w:r>
      <w:r>
        <w:rPr>
          <w:rFonts w:ascii="Times New Roman;serif" w:hAnsi="Times New Roman;serif"/>
          <w:b w:val="false"/>
          <w:sz w:val="24"/>
        </w:rPr>
        <w:t>). This Agreement will govern your employment with the Company following the Effective Date on the following terms and conditions: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8"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4"/>
        </w:rPr>
        <w:t xml:space="preserve">Term: </w:t>
      </w:r>
      <w:r>
        <w:rPr>
          <w:rFonts w:ascii="Times New Roman;serif" w:hAnsi="Times New Roman;serif"/>
          <w:b w:val="false"/>
          <w:sz w:val="24"/>
        </w:rPr>
        <w:t>The term of your employment with the Company will terminate upon delivery to you of notice to such effect, which notice may be given for any or no reason, or upon your earlier resignation, death or disability (as customarily defined by the Company). You acknowledge that no provision contained in this Agreement will entitle you to remain in the employment of the Company or any of its subsidiaries or affiliates or affect the right of the Company to terminate your employment hereunder at any time for any reason, subject to compliance with the termination provisions set forth herein. The period during which you are employed by the Company pursuant to this Agreement shall be referred to as the “</w:t>
      </w:r>
      <w:r>
        <w:rPr>
          <w:rFonts w:ascii="Times New Roman;serif" w:hAnsi="Times New Roman;serif"/>
          <w:b w:val="false"/>
          <w:sz w:val="24"/>
          <w:u w:val="single"/>
        </w:rPr>
        <w:t>Term</w:t>
      </w:r>
      <w:r>
        <w:rPr>
          <w:rFonts w:ascii="Times New Roman;serif" w:hAnsi="Times New Roman;serif"/>
          <w:b w:val="false"/>
          <w:sz w:val="24"/>
        </w:rPr>
        <w:t>.”</w:t>
      </w:r>
    </w:p>
    <w:p>
      <w:pPr>
        <w:pStyle w:val="TextBody"/>
        <w:spacing w:before="10" w:after="0"/>
        <w:jc w:val="left"/>
        <w:rPr/>
      </w:pPr>
      <w:r>
        <w:rPr/>
        <w:t> </w:t>
      </w:r>
    </w:p>
    <w:p>
      <w:pPr>
        <w:pStyle w:val="TextBody"/>
        <w:spacing w:before="1" w:after="0"/>
        <w:jc w:val="left"/>
        <w:rPr>
          <w:rFonts w:ascii="Times New Roman" w:hAnsi="Times New Roman"/>
          <w:sz w:val="20"/>
        </w:rPr>
      </w:pPr>
      <w:r>
        <w:rPr>
          <w:rFonts w:ascii="Times New Roman;serif" w:hAnsi="Times New Roman;serif"/>
          <w:b/>
          <w:sz w:val="24"/>
        </w:rPr>
        <w:t xml:space="preserve">Position: </w:t>
      </w:r>
      <w:r>
        <w:rPr>
          <w:rFonts w:ascii="Times New Roman;serif" w:hAnsi="Times New Roman;serif"/>
          <w:b w:val="false"/>
          <w:sz w:val="24"/>
        </w:rPr>
        <w:t>Chief Operating Officer of the Company.</w:t>
      </w:r>
    </w:p>
    <w:p>
      <w:pPr>
        <w:pStyle w:val="TextBody"/>
        <w:spacing w:before="193" w:after="0"/>
        <w:jc w:val="left"/>
        <w:rPr>
          <w:rFonts w:ascii="Times New Roman" w:hAnsi="Times New Roman"/>
          <w:sz w:val="20"/>
        </w:rPr>
      </w:pPr>
      <w:r>
        <w:rPr>
          <w:rFonts w:ascii="Times New Roman;serif" w:hAnsi="Times New Roman;serif"/>
          <w:b/>
          <w:sz w:val="24"/>
        </w:rPr>
        <w:t xml:space="preserve">Reporting: </w:t>
      </w:r>
      <w:r>
        <w:rPr>
          <w:rFonts w:ascii="Times New Roman;serif" w:hAnsi="Times New Roman;serif"/>
          <w:b w:val="false"/>
          <w:sz w:val="24"/>
        </w:rPr>
        <w:t>You will report directly to the Chief Executive Officer (“</w:t>
      </w:r>
      <w:r>
        <w:rPr>
          <w:rFonts w:ascii="Times New Roman;serif" w:hAnsi="Times New Roman;serif"/>
          <w:b/>
          <w:sz w:val="24"/>
        </w:rPr>
        <w:t>Supervisor</w:t>
      </w:r>
      <w:r>
        <w:rPr>
          <w:rFonts w:ascii="Times New Roman" w:hAnsi="Times New Roman"/>
          <w:sz w:val="20"/>
        </w:rPr>
        <w:t>”</w:t>
      </w:r>
      <w:r>
        <w:rPr>
          <w:rFonts w:ascii="Times New Roman;serif" w:hAnsi="Times New Roman;serif"/>
          <w:b w:val="false"/>
          <w:sz w:val="24"/>
        </w:rPr>
        <w:t>).</w:t>
      </w:r>
    </w:p>
    <w:p>
      <w:pPr>
        <w:pStyle w:val="TextBody"/>
        <w:spacing w:before="140" w:after="0"/>
        <w:jc w:val="left"/>
        <w:rPr>
          <w:rFonts w:ascii="Times New Roman" w:hAnsi="Times New Roman"/>
          <w:sz w:val="20"/>
        </w:rPr>
      </w:pPr>
      <w:r>
        <w:rPr>
          <w:rFonts w:ascii="Times New Roman;serif" w:hAnsi="Times New Roman;serif"/>
          <w:b/>
          <w:sz w:val="24"/>
        </w:rPr>
        <w:t xml:space="preserve">Duties and Commitment: </w:t>
      </w:r>
      <w:r>
        <w:rPr>
          <w:rFonts w:ascii="Times New Roman;serif" w:hAnsi="Times New Roman;serif"/>
          <w:b w:val="false"/>
          <w:sz w:val="24"/>
        </w:rPr>
        <w:t>You shall be employed by the Company on a full-time basis and shall perform such duties and responsibilities on behalf of the Company and its subsidiaries and affiliates (collectively, the “</w:t>
      </w:r>
      <w:r>
        <w:rPr>
          <w:rFonts w:ascii="Times New Roman;serif" w:hAnsi="Times New Roman;serif"/>
          <w:b w:val="false"/>
          <w:sz w:val="24"/>
          <w:u w:val="single"/>
        </w:rPr>
        <w:t>Company Group</w:t>
      </w:r>
      <w:r>
        <w:rPr>
          <w:rFonts w:ascii="Times New Roman" w:hAnsi="Times New Roman"/>
          <w:sz w:val="20"/>
        </w:rPr>
        <w:t>”</w:t>
      </w:r>
      <w:r>
        <w:rPr>
          <w:rFonts w:ascii="Times New Roman;serif" w:hAnsi="Times New Roman;serif"/>
          <w:b w:val="false"/>
          <w:sz w:val="24"/>
        </w:rPr>
        <w:t>) as are consistent with your position, and such additional duties and responsibilities on behalf of the Company Group, as may be designated from time to time by the Supervisor.</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4"/>
        </w:rPr>
        <w:t>You will be required to devote all of your business time to the business and affairs of the Company Group and to the promotion of its interests. Notwithstanding the foregoing, you may engage in other activities, such as personal investments and civic and charitable activities, so long as: (i) such activities do not interfere with your duties and obligations hereunder and (ii) such activities are disclosed in advance to the Board of Directors (the “</w:t>
      </w:r>
      <w:r>
        <w:rPr>
          <w:rFonts w:ascii="Times New Roman;serif" w:hAnsi="Times New Roman;serif"/>
          <w:b w:val="false"/>
          <w:sz w:val="24"/>
          <w:u w:val="single"/>
        </w:rPr>
        <w:t>Board</w:t>
      </w:r>
      <w:r>
        <w:rPr>
          <w:rFonts w:ascii="Times New Roman" w:hAnsi="Times New Roman"/>
          <w:sz w:val="20"/>
        </w:rPr>
        <w:t>”</w:t>
      </w:r>
      <w:r>
        <w:rPr>
          <w:rFonts w:ascii="Times New Roman;serif" w:hAnsi="Times New Roman;serif"/>
          <w:b w:val="false"/>
          <w:sz w:val="24"/>
        </w:rPr>
        <w:t>) of ProKidney Corp. (“</w:t>
      </w:r>
      <w:r>
        <w:rPr>
          <w:rFonts w:ascii="Times New Roman;serif" w:hAnsi="Times New Roman;serif"/>
          <w:b w:val="false"/>
          <w:sz w:val="24"/>
          <w:u w:val="single"/>
        </w:rPr>
        <w:t>Parent</w:t>
      </w:r>
      <w:r>
        <w:rPr>
          <w:rFonts w:ascii="Times New Roman" w:hAnsi="Times New Roman"/>
          <w:sz w:val="20"/>
        </w:rPr>
        <w:t>”</w:t>
      </w:r>
      <w:r>
        <w:rPr>
          <w:rFonts w:ascii="Times New Roman;serif" w:hAnsi="Times New Roman;serif"/>
          <w:b w:val="false"/>
          <w:sz w:val="24"/>
        </w:rPr>
        <w:t>)). In addition, you shall be permitted to serve as a director on any other company’s board of directors subject to the prior consent of the Board (which will not be unreasonably withheld).</w:t>
      </w:r>
    </w:p>
    <w:p>
      <w:pPr>
        <w:pStyle w:val="TextBody"/>
        <w:spacing w:before="0" w:after="0"/>
        <w:jc w:val="left"/>
        <w:rPr/>
      </w:pPr>
      <w:r>
        <w:rPr/>
        <w:t> </w:t>
      </w:r>
    </w:p>
    <w:p>
      <w:pPr>
        <w:pStyle w:val="TextBody"/>
        <w:spacing w:before="92" w:after="0"/>
        <w:jc w:val="both"/>
        <w:rPr>
          <w:rFonts w:ascii="Times New Roman" w:hAnsi="Times New Roman"/>
          <w:sz w:val="20"/>
        </w:rPr>
      </w:pPr>
      <w:r>
        <w:rPr>
          <w:rFonts w:ascii="Times New Roman;serif" w:hAnsi="Times New Roman;serif"/>
          <w:b/>
          <w:sz w:val="24"/>
        </w:rPr>
        <w:t xml:space="preserve">Base Salary: </w:t>
      </w:r>
      <w:r>
        <w:rPr>
          <w:rFonts w:ascii="Times New Roman;serif" w:hAnsi="Times New Roman;serif"/>
          <w:b w:val="false"/>
          <w:sz w:val="24"/>
        </w:rPr>
        <w:t>During the Term, your annual base salary will be $495,000.00 per year and will be payable in accordance with the Company’s normal payroll practices, less the applicable taxes and elective withholdings. Your base salary may be increased, but not decreased, as determined by the Board or the Compensation Committee of the Board (the “</w:t>
      </w:r>
      <w:r>
        <w:rPr>
          <w:rFonts w:ascii="Times New Roman;serif" w:hAnsi="Times New Roman;serif"/>
          <w:b w:val="false"/>
          <w:sz w:val="24"/>
          <w:u w:val="single"/>
        </w:rPr>
        <w:t>Compensation Committee</w:t>
      </w:r>
      <w:r>
        <w:rPr>
          <w:rFonts w:ascii="Times New Roman" w:hAnsi="Times New Roman"/>
          <w:sz w:val="20"/>
        </w:rPr>
        <w:t>”</w:t>
      </w:r>
      <w:r>
        <w:rPr>
          <w:rFonts w:ascii="Times New Roman;serif" w:hAnsi="Times New Roman;serif"/>
          <w:b w:val="false"/>
          <w:sz w:val="24"/>
        </w:rPr>
        <w:t>).</w:t>
      </w:r>
    </w:p>
    <w:p>
      <w:pPr>
        <w:pStyle w:val="TextBody"/>
        <w:spacing w:before="3" w:after="0"/>
        <w:jc w:val="left"/>
        <w:rPr/>
      </w:pPr>
      <w:r>
        <w:rPr/>
        <w:t> </w:t>
      </w:r>
    </w:p>
    <w:p>
      <w:pPr>
        <w:pStyle w:val="TextBody"/>
        <w:spacing w:before="97" w:after="0"/>
        <w:jc w:val="both"/>
        <w:rPr>
          <w:rFonts w:ascii="Times New Roman" w:hAnsi="Times New Roman"/>
          <w:sz w:val="20"/>
        </w:rPr>
      </w:pPr>
      <w:r>
        <w:rPr>
          <w:rFonts w:ascii="Times New Roman;serif" w:hAnsi="Times New Roman;serif"/>
          <w:b/>
          <w:sz w:val="24"/>
        </w:rPr>
        <w:t>Incentive Bonus Eligibility:</w:t>
      </w:r>
      <w:r>
        <w:rPr>
          <w:rFonts w:ascii="Times New Roman" w:hAnsi="Times New Roman"/>
          <w:sz w:val="20"/>
        </w:rPr>
        <w:t xml:space="preserve"> </w:t>
      </w:r>
      <w:r>
        <w:rPr>
          <w:rFonts w:ascii="Times New Roman;serif" w:hAnsi="Times New Roman;serif"/>
          <w:b w:val="false"/>
          <w:sz w:val="24"/>
        </w:rPr>
        <w:t>During the Term, you will be eligible for an annual cash bonus pursuant to the Company’s annual cash bonus program based on the achievement of performance criteria established by the Compensation Committee for the applicable fiscal year, which may be corporate goals and/or individual criteria. Your initial target bonus will be in an amount equal to 45% of your base salary (“</w:t>
      </w:r>
      <w:r>
        <w:rPr>
          <w:rFonts w:ascii="Times New Roman;serif" w:hAnsi="Times New Roman;serif"/>
          <w:b w:val="false"/>
          <w:sz w:val="24"/>
          <w:u w:val="single"/>
        </w:rPr>
        <w:t>Target Bonus</w:t>
      </w:r>
      <w:r>
        <w:rPr>
          <w:rFonts w:ascii="Times New Roman" w:hAnsi="Times New Roman"/>
          <w:sz w:val="20"/>
        </w:rPr>
        <w:t>”</w:t>
      </w:r>
      <w:r>
        <w:rPr>
          <w:rFonts w:ascii="Times New Roman;serif" w:hAnsi="Times New Roman;serif"/>
          <w:b w:val="false"/>
          <w:sz w:val="24"/>
        </w:rPr>
        <w:t>). The actual amount of any bonus earned shall be determined by the Compensation Committee based on achievement of the applicable performance criteria after the end of the applicable fiscal year.</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40" w:after="0"/>
        <w:jc w:val="left"/>
        <w:rPr>
          <w:rFonts w:ascii="Times New Roman;serif" w:hAnsi="Times New Roman;serif"/>
          <w:b w:val="false"/>
          <w:sz w:val="24"/>
        </w:rPr>
      </w:pPr>
      <w:r>
        <w:rPr>
          <w:rFonts w:ascii="Times New Roman;serif" w:hAnsi="Times New Roman;serif"/>
          <w:b w:val="false"/>
          <w:sz w:val="24"/>
        </w:rPr>
        <w:t>Except as otherwise provided herein, you will be entitled to receive any earned bonus for a fiscal year of the Company if you are employed on the payment date for such bonus.</w:t>
      </w:r>
    </w:p>
    <w:p>
      <w:pPr>
        <w:pStyle w:val="TextBody"/>
        <w:spacing w:before="233" w:after="0"/>
        <w:jc w:val="left"/>
        <w:rPr>
          <w:rFonts w:ascii="Times New Roman" w:hAnsi="Times New Roman"/>
          <w:sz w:val="20"/>
        </w:rPr>
      </w:pPr>
      <w:r>
        <w:rPr>
          <w:rFonts w:ascii="Times New Roman;serif" w:hAnsi="Times New Roman;serif"/>
          <w:b/>
          <w:sz w:val="24"/>
        </w:rPr>
        <w:t xml:space="preserve">Long-Term Incentive: </w:t>
      </w:r>
      <w:r>
        <w:rPr>
          <w:rFonts w:ascii="Times New Roman;serif" w:hAnsi="Times New Roman;serif"/>
          <w:b w:val="false"/>
          <w:sz w:val="24"/>
        </w:rPr>
        <w:t>You will be eligible to receive long-term incentive awards pursuant to the terms of the ProKidney Corp. 2022 Incentive Equity Plan (the “</w:t>
      </w:r>
      <w:r>
        <w:rPr>
          <w:rFonts w:ascii="Times New Roman;serif" w:hAnsi="Times New Roman;serif"/>
          <w:b w:val="false"/>
          <w:sz w:val="24"/>
          <w:u w:val="single"/>
        </w:rPr>
        <w:t>Incentive</w:t>
      </w:r>
      <w:r>
        <w:rPr>
          <w:rFonts w:ascii="Times New Roman" w:hAnsi="Times New Roman"/>
          <w:sz w:val="20"/>
        </w:rPr>
        <w:t xml:space="preserve"> </w:t>
      </w:r>
      <w:r>
        <w:rPr>
          <w:rFonts w:ascii="Times New Roman;serif" w:hAnsi="Times New Roman;serif"/>
          <w:b w:val="false"/>
          <w:sz w:val="24"/>
          <w:u w:val="single"/>
        </w:rPr>
        <w:t>Equity Plan</w:t>
      </w:r>
      <w:r>
        <w:rPr>
          <w:rFonts w:ascii="Times New Roman" w:hAnsi="Times New Roman"/>
          <w:sz w:val="20"/>
        </w:rPr>
        <w:t>”</w:t>
      </w:r>
      <w:r>
        <w:rPr>
          <w:rFonts w:ascii="Times New Roman;serif" w:hAnsi="Times New Roman;serif"/>
          <w:b w:val="false"/>
          <w:sz w:val="24"/>
        </w:rPr>
        <w:t>) (or any successor plan thereto). Long-term incentive awards will be granted at the discretion of the Compensation Committee and in accordance with market guidelines for your role as approved by the Compensation Committee.</w:t>
      </w:r>
    </w:p>
    <w:p>
      <w:pPr>
        <w:pStyle w:val="TextBody"/>
        <w:spacing w:before="109" w:after="0"/>
        <w:jc w:val="both"/>
        <w:rPr>
          <w:rFonts w:ascii="Times New Roman" w:hAnsi="Times New Roman"/>
          <w:sz w:val="20"/>
        </w:rPr>
      </w:pPr>
      <w:r>
        <w:rPr>
          <w:rFonts w:ascii="Times New Roman;serif" w:hAnsi="Times New Roman;serif"/>
          <w:b/>
          <w:sz w:val="24"/>
        </w:rPr>
        <w:t xml:space="preserve">Benefits: </w:t>
      </w:r>
      <w:r>
        <w:rPr>
          <w:rFonts w:ascii="Times New Roman;serif" w:hAnsi="Times New Roman;serif"/>
          <w:b w:val="false"/>
          <w:sz w:val="24"/>
        </w:rPr>
        <w:t>During your employment with the Company, you will be eligible for participation in employee health and welfare benefits programs, retirement programs, and other fringe benefits maintained by the Company, to the extent consistent with applicable law and the terms of the applicable plans and programs, which may include certain plans and programs available to similarly situated executives of the Company or otherwise applicable to your position from time to time, subject to all plan terms and eligibility requirements. The benefit plans and programs for which you may be eligible are more fully described in the applicable plan summaries and related documents. The Company retains all rights to amend or terminate any such benefit plans and programs, subject to the terms of such employee benefit plans and programs and applicable law, and nothing contained herein shall obligate the Company to continue any benefit plans or programs in the future.</w:t>
      </w:r>
    </w:p>
    <w:p>
      <w:pPr>
        <w:pStyle w:val="TextBody"/>
        <w:spacing w:before="1"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You will be eligible to receive vacation in accordance with the terms of the Company’s vacation/Paid Time Off “PTO” policy.</w:t>
      </w:r>
    </w:p>
    <w:p>
      <w:pPr>
        <w:pStyle w:val="TextBody"/>
        <w:spacing w:before="130" w:after="0"/>
        <w:jc w:val="left"/>
        <w:rPr>
          <w:rFonts w:ascii="Times New Roman" w:hAnsi="Times New Roman"/>
          <w:sz w:val="20"/>
        </w:rPr>
      </w:pPr>
      <w:r>
        <w:rPr>
          <w:rFonts w:ascii="Times New Roman;serif" w:hAnsi="Times New Roman;serif"/>
          <w:b/>
          <w:sz w:val="24"/>
        </w:rPr>
        <w:t xml:space="preserve">Business Expenses: </w:t>
      </w:r>
      <w:r>
        <w:rPr>
          <w:rFonts w:ascii="Times New Roman;serif" w:hAnsi="Times New Roman;serif"/>
          <w:b w:val="false"/>
          <w:sz w:val="24"/>
        </w:rPr>
        <w:t>During the Term, the Company will reimburse you for reasonable business expenses, including travel, entertainment, and other expenses (including a mobile phone and data service) incurred by you in the furtherance of the performance of your duties hereunder, in accordance with the Company’s Travel and Entertainment policy as in effect from time to time.</w:t>
      </w:r>
    </w:p>
    <w:p>
      <w:pPr>
        <w:pStyle w:val="TextBody"/>
        <w:spacing w:before="7" w:after="0"/>
        <w:jc w:val="left"/>
        <w:rPr/>
      </w:pPr>
      <w:r>
        <w:rPr/>
        <w:t> </w:t>
      </w:r>
    </w:p>
    <w:p>
      <w:pPr>
        <w:pStyle w:val="TextBody"/>
        <w:spacing w:before="103" w:after="0"/>
        <w:jc w:val="both"/>
        <w:rPr>
          <w:rFonts w:ascii="Times New Roman" w:hAnsi="Times New Roman"/>
          <w:sz w:val="20"/>
        </w:rPr>
      </w:pPr>
      <w:r>
        <w:rPr>
          <w:rFonts w:ascii="Times New Roman;serif" w:hAnsi="Times New Roman;serif"/>
          <w:b/>
          <w:sz w:val="24"/>
        </w:rPr>
        <w:t xml:space="preserve">Termination: </w:t>
      </w:r>
      <w:r>
        <w:rPr>
          <w:rFonts w:ascii="Times New Roman;serif" w:hAnsi="Times New Roman;serif"/>
          <w:b w:val="false"/>
          <w:sz w:val="24"/>
        </w:rPr>
        <w:t>(a) Upon your termination of employment for any reason, the Company shall pay to you (i) your base salary earned through the date of such termination, (ii) amounts for accrued but unused vacation days in the year of termination and (iii) any unreimbursed business expenses in accordance with the Company’s reimbursement policy, not later than thirty (30) business days after the customary documentation regarding such expenses has been received and only to the extent that such expenses are submitted within one year of your termination (collectively, “</w:t>
      </w:r>
      <w:r>
        <w:rPr>
          <w:rFonts w:ascii="Times New Roman;serif" w:hAnsi="Times New Roman;serif"/>
          <w:b w:val="false"/>
          <w:sz w:val="24"/>
          <w:u w:val="single"/>
        </w:rPr>
        <w:t>Accrued Amounts</w:t>
      </w:r>
      <w:r>
        <w:rPr>
          <w:rFonts w:ascii="Times New Roman" w:hAnsi="Times New Roman"/>
          <w:sz w:val="20"/>
        </w:rPr>
        <w:t>”</w:t>
      </w:r>
      <w:r>
        <w:rPr>
          <w:rFonts w:ascii="Times New Roman;serif" w:hAnsi="Times New Roman;serif"/>
          <w:b w:val="false"/>
          <w:sz w:val="24"/>
        </w:rPr>
        <w:t>).</w:t>
      </w:r>
    </w:p>
    <w:p>
      <w:pPr>
        <w:pStyle w:val="TextBody"/>
        <w:spacing w:before="1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(b) In the event your employment is terminated during the Term by the Company without Cause (as defined below) or by you for Good Reason (as defined below), in addition to the Accrued Amounts, you will be entitled to receive, subject to your timely execution and non-revocation of a Release (as defined below) (i) any earned but unpaid bonus for any prior completed fiscal year, payable when such payments would otherwise be paid, (ii) salary continuation for a period of nine (9) months following your termination date, payable in accordance with the Company’s normal payroll cycle and </w:t>
      </w:r>
      <w:r>
        <w:rPr>
          <w:rFonts w:ascii="Times New Roman;serif" w:hAnsi="Times New Roman;serif"/>
          <w:b w:val="false"/>
          <w:sz w:val="22"/>
        </w:rPr>
        <w:t>(iii) continued participation in the Company’s group health plan at active employee rates for a period of nine (9) months following your termination date.</w:t>
      </w:r>
    </w:p>
    <w:p>
      <w:pPr>
        <w:pStyle w:val="TextBody"/>
        <w:spacing w:before="0"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Notwithstanding the foregoing, upon a termination of your employment by the Company without Cause or by you for Good Reason within eighteen</w:t>
      </w:r>
    </w:p>
    <w:p>
      <w:pPr>
        <w:pStyle w:val="TextBody"/>
        <w:spacing w:before="0" w:after="0"/>
        <w:jc w:val="both"/>
        <w:rPr>
          <w:rFonts w:ascii="Times New Roman" w:hAnsi="Times New Roman"/>
          <w:sz w:val="20"/>
        </w:rPr>
      </w:pPr>
      <w:r>
        <w:rPr>
          <w:rFonts w:ascii="Times New Roman;serif" w:hAnsi="Times New Roman;serif"/>
          <w:b w:val="false"/>
          <w:sz w:val="24"/>
        </w:rPr>
        <w:t>(18) months following a Change in Control (as defined in the Incentive Equity Plan), in addition to the Accrued Amounts, you will be entitled to receive, subject to your timely execution and non-revocation of a Release (i) a lump sum payment equal to the sum of twelve (12) months of your base salary as of immediately prior to the Change in Control and one hundred percent (100%) of your then-current Target Bonus, (ii) continued participation in the Company’s group health plan at active employee rates for a period of twelve (12) months following your termination date and (iii) full vesting of any equity awards then outstanding held by you (with any performance-based</w:t>
      </w:r>
      <w:r>
        <w:rPr>
          <w:rFonts w:ascii="Times New Roman" w:hAnsi="Times New Roman"/>
          <w:sz w:val="20"/>
        </w:rPr>
        <w:t xml:space="preserve"> </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equity awards vesting at “target” levels). Notwithstanding anything to the contrary set forth herein, to the extent there is a conflict between any of the terms set forth in this Agreement and any terms set forth in an award agreement relating to the grant of equity awards to you, the terms of the applicable award agreement shall prevail.</w:t>
      </w:r>
    </w:p>
    <w:p>
      <w:pPr>
        <w:pStyle w:val="TextBody"/>
        <w:spacing w:before="0" w:after="0"/>
        <w:jc w:val="both"/>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(c) In the event that your employment is terminated other than for reasons described in subsection (b) above, other than the amounts specified in subsection (a) above, you will not be entitled to receive any payments under this Agreement.</w:t>
      </w:r>
    </w:p>
    <w:p>
      <w:pPr>
        <w:pStyle w:val="TextBody"/>
        <w:spacing w:before="1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(d) Payment of any severance payments or benefits pursuant to subsection (b) above is expressly conditioned upon your (i) execution of a general waiver and release of claims substantially in the form attached hereto as </w:t>
      </w:r>
      <w:r>
        <w:rPr>
          <w:rFonts w:ascii="Times New Roman;serif" w:hAnsi="Times New Roman;serif"/>
          <w:b w:val="false"/>
          <w:sz w:val="24"/>
          <w:u w:val="single"/>
        </w:rPr>
        <w:t>Exhibit A</w:t>
      </w:r>
      <w:r>
        <w:rPr>
          <w:rFonts w:ascii="Times New Roman" w:hAnsi="Times New Roman"/>
          <w:sz w:val="20"/>
        </w:rPr>
        <w:t xml:space="preserve"> </w:t>
      </w:r>
      <w:r>
        <w:rPr>
          <w:rFonts w:ascii="Times New Roman;serif" w:hAnsi="Times New Roman;serif"/>
          <w:b w:val="false"/>
          <w:sz w:val="24"/>
        </w:rPr>
        <w:t>(the “</w:t>
      </w:r>
      <w:r>
        <w:rPr>
          <w:rFonts w:ascii="Times New Roman;serif" w:hAnsi="Times New Roman;serif"/>
          <w:b w:val="false"/>
          <w:sz w:val="24"/>
          <w:u w:val="single"/>
        </w:rPr>
        <w:t>Release</w:t>
      </w:r>
      <w:r>
        <w:rPr>
          <w:rFonts w:ascii="Times New Roman" w:hAnsi="Times New Roman"/>
          <w:sz w:val="20"/>
        </w:rPr>
        <w:t>”</w:t>
      </w:r>
      <w:r>
        <w:rPr>
          <w:rFonts w:ascii="Times New Roman;serif" w:hAnsi="Times New Roman;serif"/>
          <w:b w:val="false"/>
          <w:sz w:val="24"/>
        </w:rPr>
        <w:t>), within fifty (50) days of your termination, and the Release becoming effective upon the expiration of the revocation period (which is 7 days after the Release is executed and returned to the Company) and (ii) continued compliance with this Agreement and the Covenant Agreement (as defined below). If an executed Release is not returned to the Company within fifty (50) days of termination or the Release is revoked by you, the Company shall be relieved of all obligations to pay you severance under this Agreement. The payment described in subsection (b)(ii) will be made on the sixtieth (60th) day following your termination of employment. Any payments described in subsection (b)(i) that would have been paid from the termination date through the sixtieth (60</w:t>
      </w:r>
      <w:r>
        <w:rPr>
          <w:rFonts w:ascii="Times New Roman;serif" w:hAnsi="Times New Roman;serif"/>
          <w:b w:val="false"/>
          <w:sz w:val="16"/>
        </w:rPr>
        <w:t>th</w:t>
      </w:r>
      <w:r>
        <w:rPr>
          <w:rFonts w:ascii="Times New Roman;serif" w:hAnsi="Times New Roman;serif"/>
          <w:b w:val="false"/>
          <w:sz w:val="24"/>
        </w:rPr>
        <w:t>) day following your termination of employment will be paid in a lump sum on the sixtieth (60</w:t>
      </w:r>
      <w:r>
        <w:rPr>
          <w:rFonts w:ascii="Times New Roman;serif" w:hAnsi="Times New Roman;serif"/>
          <w:b w:val="false"/>
          <w:sz w:val="16"/>
        </w:rPr>
        <w:t>th</w:t>
      </w:r>
      <w:r>
        <w:rPr>
          <w:rFonts w:ascii="Times New Roman;serif" w:hAnsi="Times New Roman;serif"/>
          <w:b w:val="false"/>
          <w:sz w:val="24"/>
        </w:rPr>
        <w:t>) day following your termination and the remaining installments will commence as of the next payroll period following the sixtieth (60</w:t>
      </w:r>
      <w:r>
        <w:rPr>
          <w:rFonts w:ascii="Times New Roman;serif" w:hAnsi="Times New Roman;serif"/>
          <w:b w:val="false"/>
          <w:sz w:val="16"/>
        </w:rPr>
        <w:t>th</w:t>
      </w:r>
      <w:r>
        <w:rPr>
          <w:rFonts w:ascii="Times New Roman;serif" w:hAnsi="Times New Roman;serif"/>
          <w:b w:val="false"/>
          <w:sz w:val="24"/>
        </w:rPr>
        <w:t>) day following your termination of employment. Notwithstanding the foregoing, if such sixty (60) day period spans two calendar years, then the foregoing payments shall not commence until the second calendar year. All severance payments shall be subject to legally required tax withholdings and any elective withholdings.</w:t>
      </w:r>
    </w:p>
    <w:p>
      <w:pPr>
        <w:pStyle w:val="TextBody"/>
        <w:spacing w:before="0" w:after="0"/>
        <w:jc w:val="left"/>
        <w:rPr/>
      </w:pPr>
      <w:r>
        <w:rPr/>
        <w:t> </w:t>
      </w:r>
    </w:p>
    <w:p>
      <w:pPr>
        <w:pStyle w:val="TextBody"/>
        <w:spacing w:before="1" w:after="0"/>
        <w:jc w:val="both"/>
        <w:rPr>
          <w:rFonts w:ascii="Times New Roman;serif" w:hAnsi="Times New Roman;serif"/>
          <w:b w:val="false"/>
          <w:sz w:val="24"/>
        </w:rPr>
      </w:pPr>
      <w:r>
        <w:rPr>
          <w:rFonts w:ascii="Times New Roman;serif" w:hAnsi="Times New Roman;serif"/>
          <w:b w:val="false"/>
          <w:sz w:val="24"/>
        </w:rPr>
        <w:t>(e) For purposes of this Agreement:</w:t>
      </w:r>
    </w:p>
    <w:p>
      <w:pPr>
        <w:pStyle w:val="TextBody"/>
        <w:spacing w:before="6" w:after="0"/>
        <w:jc w:val="left"/>
        <w:rPr/>
      </w:pPr>
      <w:r>
        <w:rPr/>
        <w:t> </w:t>
      </w:r>
    </w:p>
    <w:p>
      <w:pPr>
        <w:pStyle w:val="TextBody"/>
        <w:spacing w:before="1" w:after="0"/>
        <w:jc w:val="both"/>
        <w:rPr/>
      </w:pPr>
      <w:r>
        <w:rPr/>
        <w:t>“</w:t>
      </w:r>
      <w:r>
        <w:rPr>
          <w:rFonts w:ascii="Times New Roman;serif" w:hAnsi="Times New Roman;serif"/>
          <w:b w:val="false"/>
          <w:sz w:val="24"/>
          <w:u w:val="single"/>
        </w:rPr>
        <w:t>Cause</w:t>
      </w:r>
      <w:r>
        <w:rPr>
          <w:rFonts w:ascii="Times New Roman" w:hAnsi="Times New Roman"/>
          <w:sz w:val="20"/>
        </w:rPr>
        <w:t xml:space="preserve">” </w:t>
      </w:r>
      <w:r>
        <w:rPr>
          <w:rFonts w:ascii="Times New Roman;serif" w:hAnsi="Times New Roman;serif"/>
          <w:b w:val="false"/>
          <w:sz w:val="24"/>
        </w:rPr>
        <w:t>means (i) any theft, fraud, embezzlement, dishonesty, willful misconduct, breach of fiduciary duty for personal profit, falsification of any documents or records of the Company or any member of the Company Group, felony or similar act by you (whether or not related to your relationship with the Company); (ii) an act of moral turpitude by you, or any act that causes significant injury to, or is otherwise adversely affecting, the reputation, business, assets, operations or business relationship of the Company (or any member of the Company Group); (iii) any breach by you of any material agreement with or of any material duty of yours to the Company or any member of the Company Group (including breach of the Covenant Agreement) or failure to abide by code of conduct or other policies (including, without limitation, policies relating to confidentiality and reasonable workplace conduct); or (iv) any act which constitutes a breach of your fiduciary duty towards the Company or any member of the Company Group including disclosure of confidential or proprietary information thereof or acceptance or solicitation to receive unauthorized or undisclosed benefits, irrespective of their nature, or funds, or promises to receive either, from individuals, consultants or corporate entities that the Company or a Subsidiary does business with; (v) your unauthorized use, misappropriation, destruction, or diversion of any tangible or intangible asset or corporate opportunity of the Company or any member of the Company Group (including, without limitation, the improper use or disclosure of confidential or proprietary information). For the avoidance of doubt, the determination as to whether a termination is for Cause for purposes of this Agreement shall be made in good faith by the Compensation Committee and shall be final and binding on you.</w:t>
      </w:r>
    </w:p>
    <w:p>
      <w:pPr>
        <w:pStyle w:val="TextBody"/>
        <w:spacing w:before="1" w:after="0"/>
        <w:jc w:val="left"/>
        <w:rPr/>
      </w:pPr>
      <w:r>
        <w:rPr/>
        <w:t> </w:t>
      </w:r>
    </w:p>
    <w:p>
      <w:pPr>
        <w:pStyle w:val="TextBody"/>
        <w:spacing w:before="0" w:after="0"/>
        <w:jc w:val="both"/>
        <w:rPr/>
      </w:pPr>
      <w:r>
        <w:rPr/>
        <w:t>“</w:t>
      </w:r>
      <w:r>
        <w:rPr>
          <w:rFonts w:ascii="Times New Roman;serif" w:hAnsi="Times New Roman;serif"/>
          <w:b w:val="false"/>
          <w:sz w:val="24"/>
          <w:u w:val="single"/>
        </w:rPr>
        <w:t>Good Reason</w:t>
      </w:r>
      <w:r>
        <w:rPr>
          <w:rFonts w:ascii="Times New Roman" w:hAnsi="Times New Roman"/>
          <w:sz w:val="20"/>
        </w:rPr>
        <w:t xml:space="preserve">” </w:t>
      </w:r>
      <w:r>
        <w:rPr>
          <w:rFonts w:ascii="Times New Roman;serif" w:hAnsi="Times New Roman;serif"/>
          <w:b w:val="false"/>
          <w:sz w:val="24"/>
        </w:rPr>
        <w:t>means the occurrence of any of the following without your consent: (i) a material reduction in your then-current base salary, other than any such reduction that applies generally to similarly situated employees of the Company; (ii) a material diminution in your authority, duties</w:t>
      </w:r>
      <w:r>
        <w:rPr>
          <w:rFonts w:ascii="Times New Roman" w:hAnsi="Times New Roman"/>
          <w:sz w:val="20"/>
        </w:rPr>
        <w:t xml:space="preserve"> </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or responsibilities under this Agreement; </w:t>
      </w:r>
      <w:r>
        <w:rPr>
          <w:rFonts w:ascii="Times New Roman;serif" w:hAnsi="Times New Roman;serif"/>
          <w:b w:val="false"/>
          <w:i/>
          <w:sz w:val="24"/>
        </w:rPr>
        <w:t>provided</w:t>
      </w:r>
      <w:r>
        <w:rPr>
          <w:rFonts w:ascii="Times New Roman;serif" w:hAnsi="Times New Roman;serif"/>
          <w:b w:val="false"/>
          <w:sz w:val="24"/>
        </w:rPr>
        <w:t>, that you will not have the right to resign for Good Reason pursuant to this provision of the Good Reason definition due to a change in authority, duties or responsibilities solely as a result of Parent or the Company no longer being a publicly traded company; or (iii) a relocation of your principal place of employment by more than 50 miles from its location as of the date hereof. Notwithstanding the foregoing, you will not be deemed to have resigned for Good Reason unless (x) you have provided written notice to the Company of the existence of the circumstances providing grounds for termination for Good Reason within 15 days of the initial existence of such grounds, (y) the Company has not cured such circumstances within 30 days from the date on which such notice is provided and (z) you resign from your employment effective no later than 60 days after the initial existence of such grounds.</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4"/>
        </w:rPr>
        <w:t xml:space="preserve">Resignation: </w:t>
      </w:r>
      <w:r>
        <w:rPr>
          <w:rFonts w:ascii="Times New Roman;serif" w:hAnsi="Times New Roman;serif"/>
          <w:b w:val="false"/>
          <w:sz w:val="24"/>
        </w:rPr>
        <w:t>Effective as of the date of your termination of employment, unless otherwise requested by the Company in writing, you will, automatically and without further action on your part or any other person or entity, resign from all offices, boards of directors (or similar governing bodies) and committees of each member of the Company Group. You agree that you will, at the request of the Company, execute and deliver such documentation as may be required to effect such resignations, and authorize any member of the Company Group to file (or cause to be filed) such documentation, as necessary, with any applicable governmental authority.</w:t>
      </w:r>
    </w:p>
    <w:p>
      <w:pPr>
        <w:pStyle w:val="TextBody"/>
        <w:spacing w:before="10" w:after="0"/>
        <w:jc w:val="left"/>
        <w:rPr/>
      </w:pPr>
      <w:r>
        <w:rPr/>
        <w:t> </w:t>
      </w:r>
    </w:p>
    <w:p>
      <w:pPr>
        <w:pStyle w:val="TextBody"/>
        <w:spacing w:before="1" w:after="0"/>
        <w:jc w:val="both"/>
        <w:rPr>
          <w:rFonts w:ascii="Times New Roman" w:hAnsi="Times New Roman"/>
          <w:sz w:val="20"/>
        </w:rPr>
      </w:pPr>
      <w:r>
        <w:rPr>
          <w:rFonts w:ascii="Times New Roman;serif" w:hAnsi="Times New Roman;serif"/>
          <w:b/>
          <w:sz w:val="24"/>
        </w:rPr>
        <w:t xml:space="preserve">Cooperation: </w:t>
      </w:r>
      <w:r>
        <w:rPr>
          <w:rFonts w:ascii="Times New Roman;serif" w:hAnsi="Times New Roman;serif"/>
          <w:b w:val="false"/>
          <w:sz w:val="24"/>
        </w:rPr>
        <w:t xml:space="preserve">In consideration for the promises and payments by the Company pursuant to this Agreement, at the request of the Company, for a one-year period following your termination of employment for any reason, you agree to cooperate to the fullest extent possible with respect to matters involving any member of the Company Group about which you have or may have knowledge, including any such matters which may arise before or after the Term; </w:t>
      </w:r>
      <w:r>
        <w:rPr>
          <w:rFonts w:ascii="Times New Roman;serif" w:hAnsi="Times New Roman;serif"/>
          <w:b w:val="false"/>
          <w:i/>
          <w:sz w:val="24"/>
        </w:rPr>
        <w:t xml:space="preserve">provided </w:t>
      </w:r>
      <w:r>
        <w:rPr>
          <w:rFonts w:ascii="Times New Roman;serif" w:hAnsi="Times New Roman;serif"/>
          <w:b w:val="false"/>
          <w:sz w:val="24"/>
        </w:rPr>
        <w:t>such cooperation shall not unreasonably interfere with any obligations you may have to your current employer at the time. The Company will reimburse you for any reasonable, properly documented out-of-pocket expenses, including your travel expenses and attorneys’ fees that you actually incur in connection with such cooperation.</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4"/>
        </w:rPr>
        <w:t xml:space="preserve">Section 409A: </w:t>
      </w:r>
      <w:r>
        <w:rPr>
          <w:rFonts w:ascii="Times New Roman;serif" w:hAnsi="Times New Roman;serif"/>
          <w:b w:val="false"/>
          <w:sz w:val="24"/>
        </w:rPr>
        <w:t>All references in this Agreement to your termination of employment shall mean your “separation from service” within the meaning of Section 409A of the Code and Treasury regulations promulgated thereunder. This Agreement is intended to comply with Section 409A of the Code or an exemption thereunder and shall be construed and administered in accordance with Section 409A. Any payments under this Agreement that may be excluded from Section 409A either as separation pay due to an involuntary separation from service or as a short-term deferral shall be excluded from Section 409A to the maximum extent possible. In the event the terms of this Agreement would subject you to the imposition of taxes and penalties under Section 409A (“</w:t>
      </w:r>
      <w:r>
        <w:rPr>
          <w:rFonts w:ascii="Times New Roman;serif" w:hAnsi="Times New Roman;serif"/>
          <w:b w:val="false"/>
          <w:sz w:val="24"/>
          <w:u w:val="single"/>
        </w:rPr>
        <w:t>409A Penalties</w:t>
      </w:r>
      <w:r>
        <w:rPr>
          <w:rFonts w:ascii="Times New Roman" w:hAnsi="Times New Roman"/>
          <w:sz w:val="20"/>
        </w:rPr>
        <w:t>”</w:t>
      </w:r>
      <w:r>
        <w:rPr>
          <w:rFonts w:ascii="Times New Roman;serif" w:hAnsi="Times New Roman;serif"/>
          <w:b w:val="false"/>
          <w:sz w:val="24"/>
        </w:rPr>
        <w:t xml:space="preserve">), the Company and you shall cooperate diligently to amend the terms of this Agreement to avoid such 409A Penalties, to the extent possible; </w:t>
      </w:r>
      <w:r>
        <w:rPr>
          <w:rFonts w:ascii="Times New Roman;serif" w:hAnsi="Times New Roman;serif"/>
          <w:b w:val="false"/>
          <w:i/>
          <w:sz w:val="24"/>
        </w:rPr>
        <w:t xml:space="preserve">provided </w:t>
      </w:r>
      <w:r>
        <w:rPr>
          <w:rFonts w:ascii="Times New Roman;serif" w:hAnsi="Times New Roman;serif"/>
          <w:b w:val="false"/>
          <w:sz w:val="24"/>
        </w:rPr>
        <w:t>that, for the avoidance of doubt, you shall be solely liable for any 409A Penalties incurred by you. To the extent that any amounts payable in installments under this Agreement are reasonably determined to be “nonqualified deferred compensation” within the meaning of Section 409A of the Code, then each such installment shall be treated as a right to receive a series of separate payments and, accordingly, each such installment payment shall at all times be considered a separate and distinct payment as permitted under Section 409A of the Code.</w:t>
      </w:r>
    </w:p>
    <w:p>
      <w:pPr>
        <w:pStyle w:val="TextBody"/>
        <w:spacing w:before="0"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Notwithstanding any other provision in this Agreement, if as of the date on which your employment terminates, you are a “specified employee”, as determined by the Company, then with respect to any amount payable or benefit provided under this Agreement or otherwise that the Company reasonably determines would be nonqualified deferred compensation within the meaning of Section 409A of the Code and that under the terms of this Agreement would be payable prior to the six-month anniversary of your effective date of termination, then if required in order to avoid any penalties under Section 409A of the Code, such payment or benefit shall be delayed until the earlier to occur of (a) the first payroll date following the six-month anniversary of such termination date and (b) the date of your death.</w:t>
      </w:r>
    </w:p>
    <w:p>
      <w:pPr>
        <w:pStyle w:val="HorizontalLine"/>
        <w:rPr/>
      </w:pPr>
      <w:r>
        <w:rPr/>
      </w:r>
    </w:p>
    <w:p>
      <w:pPr>
        <w:pStyle w:val="TextBody"/>
        <w:spacing w:before="0" w:after="0"/>
        <w:jc w:val="left"/>
        <w:rPr/>
      </w:pPr>
      <w:r>
        <w:rPr/>
        <w:t> </w:t>
      </w:r>
    </w:p>
    <w:p>
      <w:pPr>
        <w:pStyle w:val="TextBody"/>
        <w:spacing w:before="1"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With respect to any reimbursements under this Agreement, such reimbursement shall be made on or before the last day of your taxable year following the taxable year in which you incurred the expense. The amount of any expenses eligible for reimbursement or the amount of any in-kind benefits provided, as the case may be, under this Agreement during any calendar year shall not affect the amount of expenses eligible for reimbursement or the amount of any in-kind benefits provided during any other calendar year. The right to reimbursement or to any in-kind benefit pursuant to this Agreement shall not be subject to liquidation or exchange for any other benefit.</w:t>
      </w:r>
    </w:p>
    <w:p>
      <w:pPr>
        <w:pStyle w:val="TextBody"/>
        <w:spacing w:before="0" w:after="0"/>
        <w:jc w:val="both"/>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You acknowledge and agree that notwithstanding any provision of this Agreement, the Company and its affiliates are not providing you with any tax advice with respect to Section 409A of the Code or otherwise and are not making any guarantees or other assurances of any kind to you with respect to the tax consequences or treatment of any amounts paid or payable to you under this Agreement.</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4"/>
        </w:rPr>
        <w:t xml:space="preserve">Section 280G: </w:t>
      </w:r>
      <w:r>
        <w:rPr>
          <w:rFonts w:ascii="Times New Roman;serif" w:hAnsi="Times New Roman;serif"/>
          <w:b w:val="false"/>
          <w:sz w:val="24"/>
        </w:rPr>
        <w:t>If the present value of your Severance Benefits, either alone or together with other payments which you have the right to receive from the Company (the “</w:t>
      </w:r>
      <w:r>
        <w:rPr>
          <w:rFonts w:ascii="Times New Roman;serif" w:hAnsi="Times New Roman;serif"/>
          <w:b/>
          <w:sz w:val="24"/>
        </w:rPr>
        <w:t>Benefits</w:t>
      </w:r>
      <w:r>
        <w:rPr>
          <w:rFonts w:ascii="Times New Roman" w:hAnsi="Times New Roman"/>
          <w:sz w:val="20"/>
        </w:rPr>
        <w:t>”</w:t>
      </w:r>
      <w:r>
        <w:rPr>
          <w:rFonts w:ascii="Times New Roman;serif" w:hAnsi="Times New Roman;serif"/>
          <w:b w:val="false"/>
          <w:sz w:val="24"/>
        </w:rPr>
        <w:t>), would constitute a “parachute payment” as defined in Section 280G of the Code, then your Benefits shall be either (i) provided to you in full, or (ii) provided to you only as to such lesser extent that would result in no portion of such Benefits being subject to the excise tax imposed by Section 4999 of the Code (the “</w:t>
      </w:r>
      <w:r>
        <w:rPr>
          <w:rFonts w:ascii="Times New Roman;serif" w:hAnsi="Times New Roman;serif"/>
          <w:b/>
          <w:sz w:val="24"/>
        </w:rPr>
        <w:t>Excise Tax</w:t>
      </w:r>
      <w:r>
        <w:rPr>
          <w:rFonts w:ascii="Times New Roman" w:hAnsi="Times New Roman"/>
          <w:sz w:val="20"/>
        </w:rPr>
        <w:t>”</w:t>
      </w:r>
      <w:r>
        <w:rPr>
          <w:rFonts w:ascii="Times New Roman;serif" w:hAnsi="Times New Roman;serif"/>
          <w:b w:val="false"/>
          <w:sz w:val="24"/>
        </w:rPr>
        <w:t>), whichever of the foregoing amounts, taking into account the applicable federal, state, and local income and employment taxes and the Excise Tax, results in the receipt by you, on an after-tax basis, of the greatest amount of benefits, notwithstanding that all or some portion of such Benefits may be taxable under the Excise Tax.</w:t>
      </w:r>
    </w:p>
    <w:p>
      <w:pPr>
        <w:pStyle w:val="TextBody"/>
        <w:spacing w:before="10" w:after="0"/>
        <w:jc w:val="left"/>
        <w:rPr/>
      </w:pPr>
      <w:r>
        <w:rPr/>
        <w:t> </w:t>
      </w:r>
    </w:p>
    <w:p>
      <w:pPr>
        <w:pStyle w:val="TextBody"/>
        <w:spacing w:before="1" w:after="0"/>
        <w:jc w:val="both"/>
        <w:rPr>
          <w:rFonts w:ascii="Times New Roman" w:hAnsi="Times New Roman"/>
          <w:sz w:val="20"/>
        </w:rPr>
      </w:pPr>
      <w:r>
        <w:rPr>
          <w:rFonts w:ascii="Times New Roman;serif" w:hAnsi="Times New Roman;serif"/>
          <w:b w:val="false"/>
          <w:sz w:val="24"/>
        </w:rPr>
        <w:t>Unless the Company and you otherwise agree, any determination required under section shall be made in writing in good faith by the Company’s independent accounting firm or such other nationally or regionally recognized accounting firm selected by the Company (the “</w:t>
      </w:r>
      <w:r>
        <w:rPr>
          <w:rFonts w:ascii="Times New Roman;serif" w:hAnsi="Times New Roman;serif"/>
          <w:b/>
          <w:sz w:val="24"/>
        </w:rPr>
        <w:t>Accountants</w:t>
      </w:r>
      <w:r>
        <w:rPr>
          <w:rFonts w:ascii="Times New Roman" w:hAnsi="Times New Roman"/>
          <w:sz w:val="20"/>
        </w:rPr>
        <w:t>”</w:t>
      </w:r>
      <w:r>
        <w:rPr>
          <w:rFonts w:ascii="Times New Roman;serif" w:hAnsi="Times New Roman;serif"/>
          <w:b w:val="false"/>
          <w:sz w:val="24"/>
        </w:rPr>
        <w:t xml:space="preserve">), whose determination shall be conclusive and binding upon you and the Company for all purposes. In the event that a reduction to the Benefits under this section, the reduction shall apply first to the Benefits that are not deferred compensation subject to Section 409A of the Code and you shall be given the choice, subject to approval by the Company, of which of such Benefits to reduce; </w:t>
      </w:r>
      <w:r>
        <w:rPr>
          <w:rFonts w:ascii="Times New Roman;serif" w:hAnsi="Times New Roman;serif"/>
          <w:b w:val="false"/>
          <w:i/>
          <w:sz w:val="24"/>
        </w:rPr>
        <w:t>provided</w:t>
      </w:r>
      <w:r>
        <w:rPr>
          <w:rFonts w:ascii="Times New Roman;serif" w:hAnsi="Times New Roman;serif"/>
          <w:b w:val="false"/>
          <w:sz w:val="24"/>
        </w:rPr>
        <w:t xml:space="preserve">, </w:t>
      </w:r>
      <w:r>
        <w:rPr>
          <w:rFonts w:ascii="Times New Roman;serif" w:hAnsi="Times New Roman;serif"/>
          <w:b w:val="false"/>
          <w:i/>
          <w:sz w:val="24"/>
        </w:rPr>
        <w:t xml:space="preserve">that </w:t>
      </w:r>
      <w:r>
        <w:rPr>
          <w:rFonts w:ascii="Times New Roman;serif" w:hAnsi="Times New Roman;serif"/>
          <w:b w:val="false"/>
          <w:sz w:val="24"/>
        </w:rPr>
        <w:t>such reduction achieves the result specified in clause (ii) above of this section. If a reduction in the Benefits that are subject to Section 409A of the Code is required, such Benefits shall be reduced pro rata, but with no change in the time at which such Benefits shall be paid. For purposes of making the calculations required by this section, the Accountants may make reasonable assumptions and approximations concerning applicable taxes and may rely on reasonable, good faith interpretations concerning the application of the Code. The Company and you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w:t>
      </w:r>
    </w:p>
    <w:p>
      <w:pPr>
        <w:pStyle w:val="TextBody"/>
        <w:spacing w:before="4"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1" w:after="0"/>
        <w:jc w:val="both"/>
        <w:rPr/>
      </w:pPr>
      <w:bookmarkStart w:id="147" w:name="x__you_acknowledge_and_agree_that_you_wi"/>
      <w:bookmarkEnd w:id="147"/>
      <w:r>
        <w:rPr>
          <w:rFonts w:ascii="Times New Roman;serif" w:hAnsi="Times New Roman;serif"/>
          <w:b w:val="false"/>
          <w:sz w:val="24"/>
        </w:rPr>
        <w:t>You acknowledge and agree that you will continue to be subject to any confidentiality, non-disclosure, non-use, non-competition, non-solicitation or other covenants that you may be subject to under any agreement with the Company or any member of the Company Group (collectively, the “</w:t>
      </w:r>
      <w:r>
        <w:rPr>
          <w:rFonts w:ascii="Times New Roman;serif" w:hAnsi="Times New Roman;serif"/>
          <w:b w:val="false"/>
          <w:sz w:val="24"/>
          <w:u w:val="single"/>
        </w:rPr>
        <w:t>Covenant Agreement</w:t>
      </w:r>
      <w:r>
        <w:rPr/>
        <w:t>”</w:t>
      </w:r>
      <w:r>
        <w:rPr>
          <w:rFonts w:ascii="Times New Roman;serif" w:hAnsi="Times New Roman;serif"/>
          <w:b w:val="false"/>
          <w:sz w:val="24"/>
        </w:rPr>
        <w:t>). Notwithstanding any provision in this Agreement, the Covenant Agreement or otherwise to the contrary, nothing in this Agreement, the Covenant Agreement or otherwise precludes or otherwise limits your ability to (A) communicate d</w:t>
      </w:r>
      <w:r>
        <w:rPr>
          <w:rFonts w:ascii="Times New Roman;serif" w:hAnsi="Times New Roman;serif"/>
          <w:b w:val="false"/>
          <w:sz w:val="22"/>
        </w:rPr>
        <w:t>irectly with and provide information, including documents, not otherwise protected from disclosure by any applicable law or privilege to the Securities and Exchange Commission (the “</w:t>
      </w:r>
      <w:r>
        <w:rPr>
          <w:rFonts w:ascii="Times New Roman;serif" w:hAnsi="Times New Roman;serif"/>
          <w:b w:val="false"/>
          <w:sz w:val="22"/>
          <w:u w:val="single"/>
        </w:rPr>
        <w:t>SEC</w:t>
      </w:r>
      <w:r>
        <w:rPr/>
        <w:t>”</w:t>
      </w:r>
      <w:r>
        <w:rPr>
          <w:rFonts w:ascii="Times New Roman;serif" w:hAnsi="Times New Roman;serif"/>
          <w:b w:val="false"/>
          <w:sz w:val="22"/>
        </w:rPr>
        <w:t>) or any other federal, state or local governmental agency or commission (“</w:t>
      </w:r>
      <w:r>
        <w:rPr>
          <w:rFonts w:ascii="Times New Roman;serif" w:hAnsi="Times New Roman;serif"/>
          <w:b w:val="false"/>
          <w:sz w:val="22"/>
          <w:u w:val="single"/>
        </w:rPr>
        <w:t>Government</w:t>
      </w:r>
      <w:r>
        <w:rPr/>
        <w:t xml:space="preserve"> </w:t>
      </w:r>
      <w:r>
        <w:rPr>
          <w:rFonts w:ascii="Times New Roman;serif" w:hAnsi="Times New Roman;serif"/>
          <w:b w:val="false"/>
          <w:sz w:val="22"/>
          <w:u w:val="single"/>
        </w:rPr>
        <w:t>Agency</w:t>
      </w:r>
      <w:r>
        <w:rPr/>
        <w:t>”</w:t>
      </w:r>
      <w:r>
        <w:rPr>
          <w:rFonts w:ascii="Times New Roman;serif" w:hAnsi="Times New Roman;serif"/>
          <w:b w:val="false"/>
          <w:sz w:val="22"/>
        </w:rPr>
        <w:t xml:space="preserve">) or self-regulatory organization regarding possible legal violations, without disclosure to the Company, or (B) disclose information which is required to be disclosed by applicable law, regulation, or order or requirement (including without limitation,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jc w:val="left"/>
        <w:rPr/>
      </w:pPr>
      <w:r>
        <w:rPr/>
        <w:t> </w:t>
      </w:r>
    </w:p>
    <w:p>
      <w:pPr>
        <w:pStyle w:val="TextBody"/>
        <w:spacing w:before="1" w:after="283"/>
        <w:jc w:val="both"/>
        <w:rPr>
          <w:rFonts w:ascii="Times New Roman;serif" w:hAnsi="Times New Roman;serif"/>
          <w:b w:val="false"/>
          <w:sz w:val="22"/>
        </w:rPr>
      </w:pPr>
      <w:r>
        <w:rPr>
          <w:rFonts w:ascii="Times New Roman;serif" w:hAnsi="Times New Roman;serif"/>
          <w:b w:val="false"/>
          <w:sz w:val="22"/>
        </w:rPr>
        <w:t>by deposition, interrogatory, requests for documents, subpoena, civil investigative demand or similar process) of courts, administrative agencies, the SEC, any Government Agency or self-regulatory organizations, provided that you provide the Company with prior notice of the contemplated disclosure and cooperate with the Company in seeking a protective order or other appropriate protection of such information. The Company may not retaliate against you for any of these activities.</w:t>
      </w:r>
    </w:p>
    <w:p>
      <w:pPr>
        <w:pStyle w:val="TextBody"/>
        <w:spacing w:before="1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bookmarkStart w:id="148" w:name="x__you_represent_that_your_performance_o"/>
      <w:bookmarkEnd w:id="148"/>
      <w:r>
        <w:rPr>
          <w:rFonts w:ascii="Times New Roman;serif" w:hAnsi="Times New Roman;serif"/>
          <w:b w:val="false"/>
          <w:sz w:val="24"/>
        </w:rPr>
        <w:t>You represent that your performance of all of the terms of this Agreement and the performance of the services for the Company Group do not and will not breach or conflict with any agreement with a third party, including an agreement not to compete or to keep in confidence any proprietary information of another entity acquired by you in confidence or in trust prior to the date of this Agreement. You agree that you will not enter into any agreement that conflicts with this Agreement at any time prior to the Effective Date or during the term of your employment with the Company.</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bookmarkStart w:id="149" w:name="x__all_payments_made_under_this_agreemen"/>
      <w:bookmarkEnd w:id="149"/>
      <w:r>
        <w:rPr>
          <w:rFonts w:ascii="Times New Roman;serif" w:hAnsi="Times New Roman;serif"/>
          <w:b w:val="false"/>
          <w:sz w:val="24"/>
        </w:rPr>
        <w:t>All payments made under this Agreement shall be reduced by any tax or other amounts required to be withheld under applicable law.</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bookmarkStart w:id="150" w:name="x__the_parties_hereby_agree_that_any_sui"/>
      <w:bookmarkEnd w:id="150"/>
      <w:r>
        <w:rPr>
          <w:rFonts w:ascii="Times New Roman;serif" w:hAnsi="Times New Roman;serif"/>
          <w:b w:val="false"/>
          <w:sz w:val="24"/>
        </w:rPr>
        <w:t>The parties hereby agree that any suit, action or proceeding seeking to enforce any provision of, or based on any matter arising out of or in connection with, this Agreement shall only be brought in the Chancery Court of the State of Delaware (or other appropriate state court in the State of Delaware) or the Federal courts located in the State of Delaware and not in any other State or Federal courts located in the United States of America or any court in any other country, and each of the parties hereby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 The parties hereby agree that process in any such suit, action or proceeding may be served on either party anywhere in the world, whether within or without the jurisdiction of any such court. EACH OF THE PARTIES HERETO HEREBY IRREVOCABLY WAIVES ANY AND ALL RIGHTS TO TRIAL BY JURY IN ANY LEGAL PROCEEDING ARISING OUT OF OR RELATED TO THIS AGREEMENT OR THE TRANSACTIONS CONTEMPLATED HEREBY.</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bookmarkStart w:id="151" w:name="x__this_agreement_shall_be_governed__con"/>
      <w:bookmarkEnd w:id="151"/>
      <w:r>
        <w:rPr>
          <w:rFonts w:ascii="Times New Roman;serif" w:hAnsi="Times New Roman;serif"/>
          <w:b w:val="false"/>
          <w:sz w:val="24"/>
        </w:rPr>
        <w:t>This Agreement shall be governed, construed, interpreted and enforced in accordance with its express terms, and otherwise in accordance with the substantive laws of the State of Delaware, without reference to the principles of conflicts of law or choice of law of the State of Delaware, or any other jurisdiction, and where applicable, the laws of the United States.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bookmarkStart w:id="152" w:name="x__the_invalidity_or_unenforceability_of"/>
      <w:bookmarkEnd w:id="152"/>
      <w:r>
        <w:rPr>
          <w:rFonts w:ascii="Times New Roman;serif" w:hAnsi="Times New Roman;serif"/>
          <w:b w:val="false"/>
          <w:sz w:val="24"/>
        </w:rPr>
        <w:t>The invalidity or unenforceability of any provision or provisions of this Agreement shall not affect the validity or enforceability of any other provision of this Agreement, which shall remain in full force and effect.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84" w:after="0"/>
        <w:jc w:val="both"/>
        <w:rPr>
          <w:rFonts w:ascii="Times New Roman" w:hAnsi="Times New Roman"/>
          <w:b w:val="false"/>
          <w:sz w:val="24"/>
        </w:rPr>
      </w:pPr>
      <w:r>
        <w:rPr>
          <w:rFonts w:ascii="Times New Roman" w:hAnsi="Times New Roman"/>
          <w:b w:val="false"/>
          <w:sz w:val="24"/>
        </w:rPr>
        <w:t>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84" w:after="0"/>
        <w:jc w:val="both"/>
        <w:rPr/>
      </w:pPr>
      <w:bookmarkStart w:id="153" w:name="x__the_terms_of_this_agreement_and_the_c"/>
      <w:bookmarkEnd w:id="153"/>
      <w:r>
        <w:rPr>
          <w:rFonts w:ascii="Times New Roman;serif" w:hAnsi="Times New Roman;serif"/>
          <w:b w:val="false"/>
          <w:sz w:val="24"/>
        </w:rPr>
        <w:t xml:space="preserve">The terms of this Agreement and the Covenant Agreement are intended by the parties to be the final expression of their agreement with respect to your employment by the Company and supersede, effective as of the Effective Date, all prior understandings and agreements with respect to your employment by the Company, whether written or oral. For the avoidance of doubt, if the Effective Date does not occur, this Agreement will be void </w:t>
      </w:r>
      <w:r>
        <w:rPr>
          <w:rFonts w:ascii="Times New Roman;serif" w:hAnsi="Times New Roman;serif"/>
          <w:b w:val="false"/>
          <w:i/>
          <w:sz w:val="24"/>
        </w:rPr>
        <w:t>ab initio</w:t>
      </w:r>
      <w:r>
        <w:rPr>
          <w:rFonts w:ascii="Times New Roman;serif" w:hAnsi="Times New Roman;serif"/>
          <w:b w:val="false"/>
          <w:sz w:val="24"/>
        </w:rPr>
        <w: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bookmarkStart w:id="154" w:name="x__by_signing_this_agreement__you_acknow"/>
      <w:bookmarkEnd w:id="154"/>
      <w:r>
        <w:rPr>
          <w:rFonts w:ascii="Times New Roman;serif" w:hAnsi="Times New Roman;serif"/>
          <w:b w:val="false"/>
          <w:sz w:val="24"/>
        </w:rPr>
        <w:t xml:space="preserve">By signing this Agreement, you acknowledge that the terms of this Agreement are confidential and may not be disclosed in any manner or form to any party, other than as required by applicable law (including any public disclosure requirements) or as necessary to enforce the terms of this Agreement or to your spouse, attorney and/or tax advisor (if any), without the prior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jc w:val="left"/>
        <w:rPr/>
      </w:pPr>
      <w:r>
        <w:rPr/>
        <w:t> </w:t>
      </w:r>
    </w:p>
    <w:p>
      <w:pPr>
        <w:pStyle w:val="TextBody"/>
        <w:jc w:val="both"/>
        <w:rPr>
          <w:rFonts w:ascii="Times New Roman;serif" w:hAnsi="Times New Roman;serif"/>
          <w:b w:val="false"/>
          <w:sz w:val="24"/>
        </w:rPr>
      </w:pPr>
      <w:r>
        <w:rPr>
          <w:rFonts w:ascii="Times New Roman;serif" w:hAnsi="Times New Roman;serif"/>
          <w:b w:val="false"/>
          <w:sz w:val="24"/>
        </w:rPr>
        <w:t>written approval of the Company. You further acknowledge that you will be bound by the terms and conditions contained in the Company’s employee handbook, as it may be amended from time to time to the extent not inconsistent with this Agreement and will, upon request of the Company, sign a copy thereof from time to time.</w:t>
      </w:r>
    </w:p>
    <w:p>
      <w:pPr>
        <w:pStyle w:val="TextBody"/>
        <w:spacing w:before="10"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10.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1" w:after="0"/>
        <w:jc w:val="both"/>
        <w:rPr>
          <w:rFonts w:ascii="Times New Roman;serif" w:hAnsi="Times New Roman;serif"/>
          <w:b w:val="false"/>
          <w:sz w:val="24"/>
        </w:rPr>
      </w:pPr>
      <w:bookmarkStart w:id="155" w:name="x0__the_rights_and_benefits_under_this_a"/>
      <w:bookmarkEnd w:id="155"/>
      <w:r>
        <w:rPr>
          <w:rFonts w:ascii="Times New Roman;serif" w:hAnsi="Times New Roman;serif"/>
          <w:b w:val="false"/>
          <w:sz w:val="24"/>
        </w:rPr>
        <w:t>The rights and benefits under this Agreement are personal to you and such rights and benefits shall not be subject to assignment, alienation or transfer, except to the extent such rights and benefits are lawfully available to your estate or any of your beneficiaries upon your death. The Company may assign this Agreement to any affiliate or subsidiary at any time and shall require any entity which at any time becomes a successor, whether by merger, purchase, or otherwise, or otherwise acquires all or substantially all of the assets, membership interests or business of the Company, to expressly assume this Agreement.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11.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bookmarkStart w:id="156" w:name="x1__this_agreement_may_be_executed_in_se"/>
      <w:bookmarkEnd w:id="156"/>
      <w:r>
        <w:rPr>
          <w:rFonts w:ascii="Times New Roman;serif" w:hAnsi="Times New Roman;serif"/>
          <w:b w:val="false"/>
          <w:sz w:val="24"/>
        </w:rPr>
        <w:t>This Agreement may be executed in several counterparts, each of which shall be deemed to be an original, but all of which together will constitute one and the same Agreement. Signatures delivered by facsimile shall be deemed effective for all purposes.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center"/>
        <w:rPr>
          <w:rFonts w:ascii="Times New Roman;serif" w:hAnsi="Times New Roman;serif"/>
          <w:b w:val="false"/>
          <w:i/>
          <w:sz w:val="24"/>
        </w:rPr>
      </w:pPr>
      <w:r>
        <w:rPr>
          <w:rFonts w:ascii="Times New Roman;serif" w:hAnsi="Times New Roman;serif"/>
          <w:b w:val="false"/>
          <w:i/>
          <w:sz w:val="24"/>
        </w:rPr>
        <w:t>[Signature page follows]</w:t>
      </w:r>
    </w:p>
    <w:p>
      <w:pPr>
        <w:pStyle w:val="TextBody"/>
        <w:spacing w:before="0" w:after="0"/>
        <w:jc w:val="center"/>
        <w:rPr/>
      </w:pPr>
      <w:r>
        <w:rPr/>
        <w:t> </w:t>
      </w:r>
    </w:p>
    <w:p>
      <w:pPr>
        <w:pStyle w:val="TextBody"/>
        <w:spacing w:before="84" w:after="0"/>
        <w:jc w:val="left"/>
        <w:rPr>
          <w:rFonts w:ascii="Times New Roman;serif" w:hAnsi="Times New Roman;serif"/>
          <w:b w:val="false"/>
          <w:sz w:val="24"/>
        </w:rPr>
      </w:pPr>
      <w:r>
        <w:rPr>
          <w:rFonts w:ascii="Times New Roman;serif" w:hAnsi="Times New Roman;serif"/>
          <w:b w:val="false"/>
          <w:sz w:val="24"/>
        </w:rPr>
        <w:t>Please sign and date this Agreement in the space indicated and return it to my attention to evidence your understanding and acceptance of the terms set forth herein.</w:t>
      </w:r>
    </w:p>
    <w:p>
      <w:pPr>
        <w:pStyle w:val="TextBody"/>
        <w:spacing w:before="11"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Sincerely,</w:t>
      </w:r>
    </w:p>
    <w:p>
      <w:pPr>
        <w:pStyle w:val="TextBody"/>
        <w:spacing w:before="0" w:after="0"/>
        <w:jc w:val="left"/>
        <w:rPr/>
      </w:pPr>
      <w:r>
        <w:rPr/>
        <w:t> </w:t>
      </w:r>
    </w:p>
    <w:p>
      <w:pPr>
        <w:pStyle w:val="TextBody"/>
        <w:spacing w:before="0" w:after="0"/>
        <w:jc w:val="left"/>
        <w:rPr/>
      </w:pPr>
      <w:r>
        <w:rPr/>
        <w:t> </w:t>
      </w:r>
    </w:p>
    <w:p>
      <w:pPr>
        <w:pStyle w:val="TextBody"/>
        <w:spacing w:before="158" w:after="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/s/ Tim Bertram</w:t>
      </w:r>
      <w:r>
        <w:rPr>
          <w:rFonts w:ascii="Times New Roman" w:hAnsi="Times New Roman"/>
          <w:sz w:val="20"/>
        </w:rPr>
        <w:t xml:space="preserve"> </w:t>
      </w:r>
    </w:p>
    <w:p>
      <w:pPr>
        <w:pStyle w:val="TextBody"/>
        <w:spacing w:before="90" w:after="0"/>
        <w:jc w:val="left"/>
        <w:rPr>
          <w:rFonts w:ascii="Times New Roman;serif" w:hAnsi="Times New Roman;serif"/>
          <w:b w:val="false"/>
          <w:sz w:val="24"/>
        </w:rPr>
      </w:pPr>
      <w:r>
        <w:rPr>
          <w:rFonts w:ascii="Times New Roman;serif" w:hAnsi="Times New Roman;serif"/>
          <w:b w:val="false"/>
          <w:sz w:val="24"/>
        </w:rPr>
        <w:t>Position: Chief Executive Officer</w:t>
      </w:r>
    </w:p>
    <w:p>
      <w:pPr>
        <w:pStyle w:val="TextBody"/>
        <w:spacing w:before="0" w:after="0"/>
        <w:jc w:val="left"/>
        <w:rPr/>
      </w:pPr>
      <w:r>
        <w:rPr/>
        <w:t> </w:t>
      </w:r>
    </w:p>
    <w:p>
      <w:pPr>
        <w:pStyle w:val="TextBody"/>
        <w:spacing w:before="0" w:after="0"/>
        <w:jc w:val="left"/>
        <w:rPr/>
      </w:pPr>
      <w:r>
        <w:rPr/>
        <w:t> </w:t>
      </w:r>
    </w:p>
    <w:p>
      <w:pPr>
        <w:pStyle w:val="TextBody"/>
        <w:spacing w:before="11" w:after="0"/>
        <w:jc w:val="left"/>
        <w:rPr/>
      </w:pPr>
      <w:r>
        <w:rPr/>
        <w:t> </w:t>
      </w:r>
    </w:p>
    <w:p>
      <w:pPr>
        <w:pStyle w:val="TextBody"/>
        <w:spacing w:before="90" w:after="0"/>
        <w:jc w:val="left"/>
        <w:rPr>
          <w:rFonts w:ascii="Times New Roman;serif" w:hAnsi="Times New Roman;serif"/>
          <w:b w:val="false"/>
          <w:sz w:val="24"/>
        </w:rPr>
      </w:pPr>
      <w:r>
        <w:rPr>
          <w:rFonts w:ascii="Times New Roman;serif" w:hAnsi="Times New Roman;serif"/>
          <w:b w:val="false"/>
          <w:sz w:val="24"/>
        </w:rPr>
        <w:t>Agreed to and Accepted:</w:t>
      </w:r>
    </w:p>
    <w:p>
      <w:pPr>
        <w:pStyle w:val="TextBody"/>
        <w:spacing w:before="4" w:after="0"/>
        <w:jc w:val="left"/>
        <w:rPr/>
      </w:pPr>
      <w:r>
        <w:rPr/>
        <w:t> </w:t>
      </w:r>
    </w:p>
    <w:p>
      <w:pPr>
        <w:pStyle w:val="TextBody"/>
        <w:spacing w:before="0" w:after="0"/>
        <w:jc w:val="left"/>
        <w:rPr/>
      </w:pPr>
      <w:r>
        <w:rPr/>
        <w:t> </w:t>
      </w:r>
    </w:p>
    <w:p>
      <w:pPr>
        <w:pStyle w:val="TextBody"/>
        <w:spacing w:before="90" w:after="0"/>
        <w:jc w:val="left"/>
        <w:rPr>
          <w:rFonts w:ascii="Times New Roman" w:hAnsi="Times New Roman"/>
          <w:sz w:val="20"/>
        </w:rPr>
      </w:pPr>
      <w:r>
        <w:rPr>
          <w:rFonts w:ascii="Times New Roman;serif" w:hAnsi="Times New Roman;serif"/>
          <w:b w:val="false"/>
          <w:sz w:val="24"/>
          <w:u w:val="single"/>
        </w:rPr>
        <w:t>/s/ Deepak Jain</w:t>
      </w:r>
      <w:r>
        <w:rPr>
          <w:rFonts w:ascii="Times New Roman" w:hAnsi="Times New Roman"/>
          <w:sz w:val="20"/>
        </w:rPr>
        <w:t xml:space="preserve"> </w:t>
      </w:r>
    </w:p>
    <w:p>
      <w:pPr>
        <w:pStyle w:val="TextBody"/>
        <w:spacing w:before="90" w:after="0"/>
        <w:jc w:val="left"/>
        <w:rPr>
          <w:rFonts w:ascii="Times New Roman;serif" w:hAnsi="Times New Roman;serif"/>
          <w:b w:val="false"/>
          <w:sz w:val="24"/>
        </w:rPr>
      </w:pPr>
      <w:r>
        <w:rPr>
          <w:rFonts w:ascii="Times New Roman;serif" w:hAnsi="Times New Roman;serif"/>
          <w:b w:val="false"/>
          <w:sz w:val="24"/>
        </w:rPr>
        <w:t>Deepak Jain</w:t>
      </w:r>
    </w:p>
    <w:p>
      <w:pPr>
        <w:pStyle w:val="TextBody"/>
        <w:spacing w:before="90" w:after="0"/>
        <w:jc w:val="left"/>
        <w:rPr>
          <w:rFonts w:ascii="Times New Roman;serif" w:hAnsi="Times New Roman;serif"/>
          <w:b w:val="false"/>
          <w:sz w:val="24"/>
        </w:rPr>
      </w:pPr>
      <w:r>
        <w:rPr>
          <w:rFonts w:ascii="Times New Roman;serif" w:hAnsi="Times New Roman;serif"/>
          <w:b w:val="false"/>
          <w:sz w:val="24"/>
        </w:rPr>
        <w:t>Date: December 2, 2022</w:t>
      </w:r>
    </w:p>
    <w:p>
      <w:pPr>
        <w:pStyle w:val="TextBody"/>
        <w:spacing w:before="0" w:after="0"/>
        <w:jc w:val="left"/>
        <w:rPr/>
      </w:pPr>
      <w:r>
        <w:rPr/>
        <w:t> </w:t>
      </w:r>
    </w:p>
    <w:p>
      <w:pPr>
        <w:pStyle w:val="TextBody"/>
        <w:spacing w:before="89" w:after="0"/>
        <w:jc w:val="center"/>
        <w:rPr>
          <w:rFonts w:ascii="Times New Roman;serif" w:hAnsi="Times New Roman;serif"/>
          <w:b/>
          <w:sz w:val="24"/>
          <w:u w:val="single"/>
        </w:rPr>
      </w:pPr>
      <w:r>
        <w:rPr>
          <w:rFonts w:ascii="Times New Roman;serif" w:hAnsi="Times New Roman;serif"/>
          <w:b/>
          <w:sz w:val="24"/>
          <w:u w:val="single"/>
        </w:rPr>
        <w:t>EXHIBIT A</w:t>
      </w:r>
    </w:p>
    <w:p>
      <w:pPr>
        <w:pStyle w:val="TextBody"/>
        <w:spacing w:before="6"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w:t>
      </w:r>
      <w:r>
        <w:rPr>
          <w:rFonts w:ascii="Times New Roman;serif" w:hAnsi="Times New Roman;serif"/>
          <w:b/>
          <w:i/>
          <w:sz w:val="24"/>
          <w:u w:val="single"/>
        </w:rPr>
        <w:t>The language in this Release may change based on legal developments and evolving best</w:t>
      </w:r>
      <w:r>
        <w:rPr>
          <w:rFonts w:ascii="Times New Roman" w:hAnsi="Times New Roman"/>
          <w:sz w:val="20"/>
        </w:rPr>
        <w:t xml:space="preserve"> </w:t>
      </w:r>
      <w:r>
        <w:rPr>
          <w:rFonts w:ascii="Times New Roman;serif" w:hAnsi="Times New Roman;serif"/>
          <w:b/>
          <w:i/>
          <w:sz w:val="24"/>
          <w:u w:val="single"/>
        </w:rPr>
        <w:t>practices; this form is provided as an example of what will be included in the final Release</w:t>
      </w:r>
      <w:r>
        <w:rPr>
          <w:rFonts w:ascii="Times New Roman" w:hAnsi="Times New Roman"/>
          <w:sz w:val="20"/>
        </w:rPr>
        <w:t xml:space="preserve"> </w:t>
      </w:r>
      <w:r>
        <w:rPr>
          <w:rFonts w:ascii="Times New Roman;serif" w:hAnsi="Times New Roman;serif"/>
          <w:b/>
          <w:i/>
          <w:sz w:val="24"/>
          <w:u w:val="single"/>
        </w:rPr>
        <w:t>document.</w:t>
      </w:r>
      <w:r>
        <w:rPr>
          <w:rFonts w:ascii="Times New Roman;serif" w:hAnsi="Times New Roman;serif"/>
          <w:b w:val="false"/>
          <w:sz w:val="24"/>
        </w:rPr>
        <w:t>]</w:t>
      </w:r>
      <w:r>
        <w:rPr>
          <w:rFonts w:ascii="Times New Roman;serif" w:hAnsi="Times New Roman;serif"/>
          <w:b w:val="false"/>
          <w:sz w:val="16"/>
        </w:rPr>
        <w:t>1</w:t>
      </w:r>
    </w:p>
    <w:p>
      <w:pPr>
        <w:pStyle w:val="TextBody"/>
        <w:spacing w:before="5" w:after="0"/>
        <w:jc w:val="left"/>
        <w:rPr/>
      </w:pPr>
      <w:r>
        <w:rPr/>
        <w:t> </w:t>
      </w:r>
    </w:p>
    <w:p>
      <w:pPr>
        <w:pStyle w:val="TextBody"/>
        <w:spacing w:before="90" w:after="0"/>
        <w:jc w:val="center"/>
        <w:rPr>
          <w:rFonts w:ascii="Times New Roman;serif" w:hAnsi="Times New Roman;serif"/>
          <w:b/>
          <w:sz w:val="24"/>
          <w:u w:val="single"/>
        </w:rPr>
      </w:pPr>
      <w:r>
        <w:rPr>
          <w:rFonts w:ascii="Times New Roman;serif" w:hAnsi="Times New Roman;serif"/>
          <w:b/>
          <w:sz w:val="24"/>
          <w:u w:val="single"/>
        </w:rPr>
        <w:t>GENERAL RELEASE OF ALL CLAIMS</w:t>
      </w:r>
    </w:p>
    <w:p>
      <w:pPr>
        <w:pStyle w:val="TextBody"/>
        <w:spacing w:before="5"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1.</w:t>
      </w:r>
    </w:p>
    <w:p>
      <w:pPr>
        <w:pStyle w:val="TextBody"/>
        <w:spacing w:before="0" w:after="0"/>
        <w:jc w:val="both"/>
        <w:rPr/>
      </w:pPr>
      <w:r>
        <w:rPr>
          <w:rFonts w:ascii="Times New Roman;serif" w:hAnsi="Times New Roman;serif"/>
          <w:b w:val="false"/>
          <w:sz w:val="24"/>
        </w:rPr>
        <w:t>For valuable consideration, the adequacy of which is hereby acknowledged, [NAME] (“</w:t>
      </w:r>
      <w:r>
        <w:rPr>
          <w:rFonts w:ascii="Times New Roman;serif" w:hAnsi="Times New Roman;serif"/>
          <w:b w:val="false"/>
          <w:sz w:val="24"/>
          <w:u w:val="single"/>
        </w:rPr>
        <w:t>Executive</w:t>
      </w:r>
      <w:r>
        <w:rPr/>
        <w:t>”</w:t>
      </w:r>
      <w:r>
        <w:rPr>
          <w:rFonts w:ascii="Times New Roman;serif" w:hAnsi="Times New Roman;serif"/>
          <w:b w:val="false"/>
          <w:sz w:val="24"/>
        </w:rPr>
        <w:t>), for himself, his spouse, heirs, administrators, children, representatives, executors, successors, assigns, trusts for his benefit and all other persons claiming through Executive, if any (collectively, “</w:t>
      </w:r>
      <w:r>
        <w:rPr>
          <w:rFonts w:ascii="Times New Roman;serif" w:hAnsi="Times New Roman;serif"/>
          <w:b w:val="false"/>
          <w:sz w:val="24"/>
          <w:u w:val="single"/>
        </w:rPr>
        <w:t>Releasers</w:t>
      </w:r>
      <w:r>
        <w:rPr/>
        <w:t>”</w:t>
      </w:r>
      <w:r>
        <w:rPr>
          <w:rFonts w:ascii="Times New Roman;serif" w:hAnsi="Times New Roman;serif"/>
          <w:b w:val="false"/>
          <w:sz w:val="24"/>
        </w:rPr>
        <w:t xml:space="preserve">), does hereby release, waive, and forever discharge </w:t>
      </w:r>
    </w:p>
    <w:p>
      <w:pPr>
        <w:pStyle w:val="HorizontalLine"/>
        <w:rPr/>
      </w:pPr>
      <w:r>
        <w:rPr/>
      </w:r>
    </w:p>
    <w:p>
      <w:pPr>
        <w:pStyle w:val="TextBody"/>
        <w:spacing w:before="0" w:after="0"/>
        <w:jc w:val="left"/>
        <w:rPr/>
      </w:pPr>
      <w:r>
        <w:rPr/>
        <w:t> </w:t>
      </w:r>
    </w:p>
    <w:p>
      <w:pPr>
        <w:pStyle w:val="TextBody"/>
        <w:jc w:val="both"/>
        <w:rPr/>
      </w:pPr>
      <w:r>
        <w:rPr>
          <w:rFonts w:ascii="Times New Roman;serif" w:hAnsi="Times New Roman;serif"/>
          <w:b w:val="false"/>
          <w:sz w:val="24"/>
        </w:rPr>
        <w:t>[ProKidney, LLC, a Delaware limited liability company] (the “</w:t>
      </w:r>
      <w:r>
        <w:rPr>
          <w:rFonts w:ascii="Times New Roman;serif" w:hAnsi="Times New Roman;serif"/>
          <w:b w:val="false"/>
          <w:sz w:val="24"/>
          <w:u w:val="single"/>
        </w:rPr>
        <w:t>Company</w:t>
      </w:r>
      <w:r>
        <w:rPr/>
        <w:t>”</w:t>
      </w:r>
      <w:r>
        <w:rPr>
          <w:rFonts w:ascii="Times New Roman;serif" w:hAnsi="Times New Roman;serif"/>
          <w:b w:val="false"/>
          <w:sz w:val="24"/>
        </w:rPr>
        <w:t>), ProKidney Corp. and their respective subsidiaries, parents, affiliates, related organizations, and equity holders, and their respective affiliates (including trustees and beneficiaries of trusts that are direct and indirect equity holders), employees, officers, directors, attorneys, successors, and assigns or each of the foregoing (collectively, the “</w:t>
      </w:r>
      <w:r>
        <w:rPr>
          <w:rFonts w:ascii="Times New Roman;serif" w:hAnsi="Times New Roman;serif"/>
          <w:b w:val="false"/>
          <w:sz w:val="24"/>
          <w:u w:val="single"/>
        </w:rPr>
        <w:t>Releasees</w:t>
      </w:r>
      <w:r>
        <w:rPr/>
        <w:t>”</w:t>
      </w:r>
      <w:r>
        <w:rPr>
          <w:rFonts w:ascii="Times New Roman;serif" w:hAnsi="Times New Roman;serif"/>
          <w:b w:val="false"/>
          <w:sz w:val="24"/>
        </w:rPr>
        <w:t>) from, and does fully waive any obligations or liabilities of Releasees to Releasers of any kind and nature that Releasers had, have, or might claim to have against Releasees at the time Executive executes this General Release for or in respect of any and all liability, actions, charges, causes of action, demands, damages, or claims for relief, remuneration, sums of money, accounts or expenses, and any action arising in tort including libel, slander, defamation or intentional infliction of emotional distress, and claims under any federal, state or local statute including Title VII of the Civil Rights Act of 1964, the Civil Rights Act of 1866 and 1871 (42 U.S.C. § 1981), the Equal Pay Act, Employee Retirement Income Security Act, Family and Medical Leave Act, the National Labor Relations Act, the Fair Labor Standards Act, the Americans with Disabilities Act of 1990, the Age Discrimination in Employment Act of 1967, the Rehabilitation Act of 1973, or the discrimination or employment laws of any state or municipality, and/or any claims under any express or implied contract which Releasers may claim existed with Releasees. This also includes a release by Executive of any claims for breach of contract, wrongful discharge and all claims for alleged physical or personal injury, emotional distress relating to or arising out of Executive’s employment with Company or the termination of that employment; and any claims under the WARN Act or any similar law, which requires, among other things, that advance notice be given of certain work force reductions. This release and waiver does not apply to any claims or rights that may arise after the date Executive signs this General Release. The foregoing release does not apply to (a) any claims or rights for compensation, benefits, indemnification and any other surviving rights now existing under the Employment Letter between the Company and Executive dated as of [●], 2022 (the “</w:t>
      </w:r>
      <w:r>
        <w:rPr>
          <w:rFonts w:ascii="Times New Roman;serif" w:hAnsi="Times New Roman;serif"/>
          <w:b w:val="false"/>
          <w:sz w:val="24"/>
          <w:u w:val="single"/>
        </w:rPr>
        <w:t>Employment Letter</w:t>
      </w:r>
      <w:r>
        <w:rPr/>
        <w:t>”</w:t>
      </w:r>
      <w:r>
        <w:rPr>
          <w:rFonts w:ascii="Times New Roman;serif" w:hAnsi="Times New Roman;serif"/>
          <w:b w:val="false"/>
          <w:sz w:val="24"/>
        </w:rPr>
        <w:t>), the organizational documents of the Company or any of its affiliates or any other agreement providing for indemnification regardless of when any claim is filed, (b) any claims or rights under directors and officers liability insurance, or (c) any claims or rights accruing to any Releaser in its capacity as an equity holder of ProKidney Corp. or any of its subsidiaries.</w:t>
      </w:r>
    </w:p>
    <w:p>
      <w:pPr>
        <w:pStyle w:val="TextBody"/>
        <w:spacing w:before="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2.</w:t>
      </w:r>
    </w:p>
    <w:p>
      <w:pPr>
        <w:pStyle w:val="TextBody"/>
        <w:jc w:val="both"/>
        <w:rPr>
          <w:rFonts w:ascii="Times New Roman;serif" w:hAnsi="Times New Roman;serif"/>
          <w:b w:val="false"/>
          <w:sz w:val="24"/>
        </w:rPr>
      </w:pPr>
      <w:r>
        <w:rPr>
          <w:rFonts w:ascii="Times New Roman;serif" w:hAnsi="Times New Roman;serif"/>
          <w:b w:val="false"/>
          <w:sz w:val="24"/>
        </w:rPr>
        <w:t>Excluded from this release and waiver are any claims which cannot be waived by law, including but not limited to the right to participate in an investigation conducted by certain</w:t>
      </w:r>
    </w:p>
    <w:p>
      <w:pPr>
        <w:pStyle w:val="TextBody"/>
        <w:spacing w:before="8" w:after="0"/>
        <w:jc w:val="left"/>
        <w:rPr/>
      </w:pPr>
      <w:r>
        <w:rPr/>
        <w:t> </w:t>
      </w:r>
    </w:p>
    <w:p>
      <w:pPr>
        <w:pStyle w:val="TextBody"/>
        <w:spacing w:before="103" w:after="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sz w:val="20"/>
        </w:rPr>
        <w:t>Note to Draft</w:t>
      </w:r>
      <w:r>
        <w:rPr>
          <w:rFonts w:ascii="Times New Roman;serif" w:hAnsi="Times New Roman;serif"/>
          <w:b w:val="false"/>
          <w:sz w:val="20"/>
        </w:rPr>
        <w:t>: To be updated for applicability of ADEA and multiple terminations of employment.</w:t>
      </w:r>
    </w:p>
    <w:p>
      <w:pPr>
        <w:pStyle w:val="TextBody"/>
        <w:spacing w:before="0" w:after="0"/>
        <w:jc w:val="left"/>
        <w:rPr/>
      </w:pPr>
      <w:r>
        <w:rPr/>
        <w:t> </w:t>
      </w:r>
    </w:p>
    <w:p>
      <w:pPr>
        <w:pStyle w:val="TextBody"/>
        <w:spacing w:before="84" w:after="0"/>
        <w:jc w:val="both"/>
        <w:rPr>
          <w:rFonts w:ascii="Times New Roman;serif" w:hAnsi="Times New Roman;serif"/>
          <w:b w:val="false"/>
          <w:sz w:val="24"/>
        </w:rPr>
      </w:pPr>
      <w:r>
        <w:rPr>
          <w:rFonts w:ascii="Times New Roman;serif" w:hAnsi="Times New Roman;serif"/>
          <w:b w:val="false"/>
          <w:sz w:val="24"/>
        </w:rPr>
        <w:t>government agencies. Executive does, however, waive Executive’s right to any monetary recovery should any agency (such as the Equal Employment Opportunity Commission) pursue any claims on Executive’s behalf. Executive represents and warrants that Executive has not filed any complaint, charge, or lawsuit against the Releasees with any government agency or any court.</w:t>
      </w:r>
    </w:p>
    <w:p>
      <w:pPr>
        <w:pStyle w:val="TextBody"/>
        <w:spacing w:before="1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3.</w:t>
      </w:r>
    </w:p>
    <w:p>
      <w:pPr>
        <w:pStyle w:val="TextBody"/>
        <w:jc w:val="both"/>
        <w:rPr>
          <w:rFonts w:ascii="Times New Roman;serif" w:hAnsi="Times New Roman;serif"/>
          <w:b w:val="false"/>
          <w:sz w:val="24"/>
        </w:rPr>
      </w:pPr>
      <w:r>
        <w:rPr>
          <w:rFonts w:ascii="Times New Roman;serif" w:hAnsi="Times New Roman;serif"/>
          <w:b w:val="false"/>
          <w:sz w:val="24"/>
        </w:rPr>
        <w:t>Executive agrees never to sue Releasees in any forum for any claim covered by the above waiver and release language. If Executive violates this General Release by suing Releasees, other than as set forth in Section 1 hereof, Executive shall be liable to the Company for its reasonable attorneys’ fees and other litigation costs incurred in defending against such a suit. Executive represents and warrants that he has not assigned or transferred, in any manner, including by subrogation or operation of law, any portion of any claim, action, complaint, charge or suit encompassed by the releases set forth in this General Release.</w:t>
      </w:r>
    </w:p>
    <w:p>
      <w:pPr>
        <w:pStyle w:val="TextBody"/>
        <w:spacing w:before="10"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4.</w:t>
      </w:r>
    </w:p>
    <w:p>
      <w:pPr>
        <w:pStyle w:val="TextBody"/>
        <w:spacing w:before="1" w:after="283"/>
        <w:jc w:val="both"/>
        <w:rPr>
          <w:rFonts w:ascii="Times New Roman;serif" w:hAnsi="Times New Roman;serif"/>
          <w:b w:val="false"/>
          <w:sz w:val="24"/>
        </w:rPr>
      </w:pPr>
      <w:r>
        <w:rPr>
          <w:rFonts w:ascii="Times New Roman;serif" w:hAnsi="Times New Roman;serif"/>
          <w:b w:val="false"/>
          <w:sz w:val="24"/>
        </w:rPr>
        <w:t>Executive acknowledges and recites that:</w:t>
      </w:r>
    </w:p>
    <w:p>
      <w:pPr>
        <w:pStyle w:val="TextBody"/>
        <w:spacing w:before="9"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(a)</w:t>
      </w:r>
    </w:p>
    <w:p>
      <w:pPr>
        <w:pStyle w:val="TextBody"/>
        <w:spacing w:before="1" w:after="0"/>
        <w:jc w:val="both"/>
        <w:rPr>
          <w:rFonts w:ascii="Times New Roman;serif" w:hAnsi="Times New Roman;serif"/>
          <w:b w:val="false"/>
          <w:sz w:val="24"/>
        </w:rPr>
      </w:pPr>
      <w:r>
        <w:rPr>
          <w:rFonts w:ascii="Times New Roman;serif" w:hAnsi="Times New Roman;serif"/>
          <w:b w:val="false"/>
          <w:sz w:val="24"/>
        </w:rPr>
        <w:t>Executive has executed this General Release knowingly and voluntarily;</w:t>
      </w:r>
    </w:p>
    <w:p>
      <w:pPr>
        <w:pStyle w:val="HorizontalLine"/>
        <w:rPr/>
      </w:pPr>
      <w:r>
        <w:rPr/>
      </w:r>
    </w:p>
    <w:p>
      <w:pPr>
        <w:pStyle w:val="TextBody"/>
        <w:spacing w:before="0" w:after="0"/>
        <w:jc w:val="left"/>
        <w:rPr/>
      </w:pPr>
      <w:r>
        <w:rPr/>
        <w:t> </w:t>
      </w:r>
    </w:p>
    <w:p>
      <w:pPr>
        <w:pStyle w:val="TextBody"/>
        <w:spacing w:before="9"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(b)</w:t>
      </w:r>
    </w:p>
    <w:p>
      <w:pPr>
        <w:pStyle w:val="TextBody"/>
        <w:spacing w:before="1" w:after="283"/>
        <w:jc w:val="both"/>
        <w:rPr>
          <w:rFonts w:ascii="Times New Roman;serif" w:hAnsi="Times New Roman;serif"/>
          <w:b w:val="false"/>
          <w:sz w:val="24"/>
        </w:rPr>
      </w:pPr>
      <w:r>
        <w:rPr>
          <w:rFonts w:ascii="Times New Roman;serif" w:hAnsi="Times New Roman;serif"/>
          <w:b w:val="false"/>
          <w:sz w:val="24"/>
        </w:rPr>
        <w:t>Executive has read and understands this General Release in its entirety;</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(c)</w:t>
      </w:r>
    </w:p>
    <w:p>
      <w:pPr>
        <w:pStyle w:val="TextBody"/>
        <w:jc w:val="both"/>
        <w:rPr>
          <w:rFonts w:ascii="Times New Roman;serif" w:hAnsi="Times New Roman;serif"/>
          <w:b w:val="false"/>
          <w:sz w:val="24"/>
        </w:rPr>
      </w:pPr>
      <w:r>
        <w:rPr>
          <w:rFonts w:ascii="Times New Roman;serif" w:hAnsi="Times New Roman;serif"/>
          <w:b w:val="false"/>
          <w:sz w:val="24"/>
        </w:rPr>
        <w:t>Executive has been advised and directed orally and in writing (and this subsection (c) constitutes such written direction) to seek legal counsel and any other advice he wishes with respect to the terms of this General Release before executing it;</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(d)</w:t>
      </w:r>
    </w:p>
    <w:p>
      <w:pPr>
        <w:pStyle w:val="TextBody"/>
        <w:jc w:val="both"/>
        <w:rPr>
          <w:rFonts w:ascii="Times New Roman;serif" w:hAnsi="Times New Roman;serif"/>
          <w:b w:val="false"/>
          <w:sz w:val="24"/>
        </w:rPr>
      </w:pPr>
      <w:r>
        <w:rPr>
          <w:rFonts w:ascii="Times New Roman;serif" w:hAnsi="Times New Roman;serif"/>
          <w:b w:val="false"/>
          <w:sz w:val="24"/>
        </w:rPr>
        <w:t>Executive’s execution of this General Release has not been forced by any employee or agent of the Company, and Executive has had an opportunity to negotiate about the terms of this General Release;</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(e)</w:t>
      </w:r>
    </w:p>
    <w:p>
      <w:pPr>
        <w:pStyle w:val="TextBody"/>
        <w:jc w:val="both"/>
        <w:rPr>
          <w:rFonts w:ascii="Times New Roman;serif" w:hAnsi="Times New Roman;serif"/>
          <w:b w:val="false"/>
          <w:sz w:val="24"/>
        </w:rPr>
      </w:pPr>
      <w:r>
        <w:rPr>
          <w:rFonts w:ascii="Times New Roman;serif" w:hAnsi="Times New Roman;serif"/>
          <w:b w:val="false"/>
          <w:sz w:val="24"/>
        </w:rPr>
        <w:t>Executive has been given at least twenty-one (21) days to consider this General Release, and if executed prior to the expiration of the twenty-one (21) day period, such execution is knowing and voluntary; and</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(f)</w:t>
      </w:r>
    </w:p>
    <w:p>
      <w:pPr>
        <w:pStyle w:val="TextBody"/>
        <w:jc w:val="both"/>
        <w:rPr>
          <w:rFonts w:ascii="Times New Roman;serif" w:hAnsi="Times New Roman;serif"/>
          <w:b w:val="false"/>
          <w:sz w:val="24"/>
        </w:rPr>
      </w:pPr>
      <w:r>
        <w:rPr>
          <w:rFonts w:ascii="Times New Roman;serif" w:hAnsi="Times New Roman;serif"/>
          <w:b w:val="false"/>
          <w:sz w:val="24"/>
        </w:rPr>
        <w:t>The additional benefits and other promises that Executive is to receive under the Employment Letter are sufficient consideration for this General Release.</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5.</w:t>
      </w:r>
    </w:p>
    <w:p>
      <w:pPr>
        <w:pStyle w:val="TextBody"/>
        <w:jc w:val="both"/>
        <w:rPr>
          <w:rFonts w:ascii="Times New Roman;serif" w:hAnsi="Times New Roman;serif"/>
          <w:b w:val="false"/>
          <w:sz w:val="24"/>
        </w:rPr>
      </w:pPr>
      <w:r>
        <w:rPr>
          <w:rFonts w:ascii="Times New Roman;serif" w:hAnsi="Times New Roman;serif"/>
          <w:b w:val="false"/>
          <w:sz w:val="24"/>
        </w:rPr>
        <w:t>This General Release shall be governed by the internal laws (and not the choice of laws) of the State of Delaware, except for the application of pre-emptive Federal law.</w:t>
      </w:r>
    </w:p>
    <w:p>
      <w:pPr>
        <w:pStyle w:val="TextBody"/>
        <w:spacing w:before="10"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6.</w:t>
      </w:r>
    </w:p>
    <w:p>
      <w:pPr>
        <w:pStyle w:val="TextBody"/>
        <w:spacing w:before="1" w:after="283"/>
        <w:jc w:val="both"/>
        <w:rPr>
          <w:rFonts w:ascii="Times New Roman;serif" w:hAnsi="Times New Roman;serif"/>
          <w:b w:val="false"/>
          <w:sz w:val="24"/>
        </w:rPr>
      </w:pPr>
      <w:r>
        <w:rPr>
          <w:rFonts w:ascii="Times New Roman;serif" w:hAnsi="Times New Roman;serif"/>
          <w:b w:val="false"/>
          <w:sz w:val="24"/>
        </w:rPr>
        <w:t>Any dispute or controversy arising under or in connection with this General Release shall be settled exclusively by arbitration in accordance with the provisions of Section 4 of the Employment Letter.</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7.</w:t>
      </w:r>
    </w:p>
    <w:p>
      <w:pPr>
        <w:pStyle w:val="TextBody"/>
        <w:jc w:val="both"/>
        <w:rPr>
          <w:rFonts w:ascii="Times New Roman;serif" w:hAnsi="Times New Roman;serif"/>
          <w:b w:val="false"/>
          <w:sz w:val="24"/>
        </w:rPr>
      </w:pPr>
      <w:r>
        <w:rPr>
          <w:rFonts w:ascii="Times New Roman;serif" w:hAnsi="Times New Roman;serif"/>
          <w:b w:val="false"/>
          <w:sz w:val="24"/>
        </w:rPr>
        <w:t>Executive may revoke this General Release within seven (7) calendar days after signing it. To be effective, such revocation must be made in writing to the Board of Directors of ProKidney Corp., with a copy received at 2000 Frontis Plaza Blvd., Ste. 250 Winston-Salem, NC 27103 Attention: Todd Girolamo. Revocation can be made by hand delivery, telegram, facsimile, or postmarking before the expiration of this seven (7) day period. None of the obligations of the Company under the Employment Letter shall be effective in the event that Executive revokes this General Release pursuant to this Section 7.</w:t>
      </w:r>
    </w:p>
    <w:p>
      <w:pPr>
        <w:pStyle w:val="TextBody"/>
        <w:spacing w:before="0" w:after="0"/>
        <w:jc w:val="both"/>
        <w:rPr/>
      </w:pPr>
      <w:r>
        <w:rPr/>
        <w:t> </w:t>
      </w:r>
    </w:p>
    <w:p>
      <w:pPr>
        <w:pStyle w:val="HorizontalLine"/>
        <w:rPr/>
      </w:pPr>
      <w:r>
        <w:rPr/>
      </w:r>
    </w:p>
    <w:p>
      <w:pPr>
        <w:pStyle w:val="TextBody"/>
        <w:spacing w:before="84" w:after="0"/>
        <w:jc w:val="center"/>
        <w:rPr>
          <w:rFonts w:ascii="Times New Roman;serif" w:hAnsi="Times New Roman;serif"/>
          <w:b w:val="false"/>
          <w:i/>
          <w:sz w:val="24"/>
        </w:rPr>
      </w:pPr>
      <w:r>
        <w:rPr>
          <w:rFonts w:ascii="Times New Roman;serif" w:hAnsi="Times New Roman;serif"/>
          <w:b w:val="false"/>
          <w:i/>
          <w:sz w:val="24"/>
        </w:rPr>
        <w:t>(Signature page follows)</w:t>
      </w:r>
    </w:p>
    <w:p>
      <w:pPr>
        <w:pStyle w:val="TextBody"/>
        <w:spacing w:before="0" w:after="0"/>
        <w:jc w:val="center"/>
        <w:rPr/>
      </w:pPr>
      <w:r>
        <w:rPr/>
        <w:t> </w:t>
      </w:r>
    </w:p>
    <w:p>
      <w:pPr>
        <w:pStyle w:val="HorizontalLine"/>
        <w:rPr/>
      </w:pPr>
      <w:r>
        <w:rPr/>
      </w:r>
    </w:p>
    <w:p>
      <w:pPr>
        <w:pStyle w:val="TextBody"/>
        <w:spacing w:before="84" w:after="0"/>
        <w:jc w:val="left"/>
        <w:rPr>
          <w:rFonts w:ascii="Times New Roman;serif" w:hAnsi="Times New Roman;serif"/>
          <w:b w:val="false"/>
          <w:sz w:val="24"/>
        </w:rPr>
      </w:pPr>
      <w:r>
        <w:rPr>
          <w:rFonts w:ascii="Times New Roman;serif" w:hAnsi="Times New Roman;serif"/>
          <w:b w:val="false"/>
          <w:sz w:val="24"/>
        </w:rPr>
        <w:t>PLEASE READ THIS AGREEMENT CAREFULLY. IT CONTAINS A RELEASE OF ALL KNOWN AND UNKNOWN CLAIMS.</w:t>
      </w:r>
    </w:p>
    <w:p>
      <w:pPr>
        <w:pStyle w:val="TextBody"/>
        <w:spacing w:before="0" w:after="0"/>
        <w:jc w:val="left"/>
        <w:rPr/>
      </w:pPr>
      <w:r>
        <w:rPr/>
        <w:t> </w:t>
      </w:r>
    </w:p>
    <w:p>
      <w:pPr>
        <w:pStyle w:val="TextBody"/>
        <w:spacing w:before="11"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Date:</w:t>
      </w:r>
    </w:p>
    <w:p>
      <w:pPr>
        <w:pStyle w:val="TextBody"/>
        <w:spacing w:before="0" w:after="0"/>
        <w:jc w:val="left"/>
        <w:rPr>
          <w:rFonts w:ascii="Times New Roman;serif" w:hAnsi="Times New Roman;serif"/>
          <w:b w:val="false"/>
          <w:sz w:val="24"/>
        </w:rPr>
      </w:pPr>
      <w:r>
        <w:rPr>
          <w:rFonts w:ascii="Times New Roman;serif" w:hAnsi="Times New Roman;serif"/>
          <w:b w:val="false"/>
          <w:sz w:val="24"/>
        </w:rPr>
        <w:t>Executive:</w:t>
      </w:r>
    </w:p>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2"/>
        </w:rPr>
      </w:pPr>
      <w:bookmarkStart w:id="157" w:name="prok-ex10_16.htm"/>
      <w:bookmarkStart w:id="158" w:name="ksprokex10_16"/>
      <w:bookmarkEnd w:id="157"/>
      <w:bookmarkEnd w:id="158"/>
      <w:r>
        <w:rPr>
          <w:rFonts w:ascii="Times New Roman;serif" w:hAnsi="Times New Roman;serif"/>
          <w:b/>
          <w:sz w:val="22"/>
        </w:rPr>
        <w:t>Exhibit 10.16</w:t>
      </w:r>
    </w:p>
    <w:p>
      <w:pPr>
        <w:pStyle w:val="TextBody"/>
        <w:spacing w:before="6"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December 3, 2022</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Joe Stavas, MD</w:t>
      </w:r>
      <w:r>
        <w:rPr>
          <w:rFonts w:ascii="Times New Roman" w:hAnsi="Times New Roman"/>
          <w:sz w:val="20"/>
        </w:rPr>
        <w:t xml:space="preserv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315 Park Top Drive</w:t>
      </w:r>
    </w:p>
    <w:p>
      <w:pPr>
        <w:pStyle w:val="TextBody"/>
        <w:spacing w:before="0" w:after="0"/>
        <w:jc w:val="left"/>
        <w:rPr>
          <w:rFonts w:ascii="Times New Roman" w:hAnsi="Times New Roman"/>
          <w:sz w:val="20"/>
        </w:rPr>
      </w:pPr>
      <w:r>
        <w:rPr>
          <w:rFonts w:ascii="Times New Roman;serif" w:hAnsi="Times New Roman;serif"/>
          <w:b w:val="false"/>
          <w:sz w:val="24"/>
        </w:rPr>
        <w:t>Cary, North Carolina 27513</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Dear Joe:</w:t>
      </w:r>
    </w:p>
    <w:p>
      <w:pPr>
        <w:pStyle w:val="TextBody"/>
        <w:spacing w:before="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bookmarkStart w:id="159" w:name="x__this_letter_agreement__this__agreemen"/>
      <w:bookmarkEnd w:id="159"/>
      <w:r>
        <w:rPr>
          <w:rFonts w:ascii="Times New Roman;serif" w:hAnsi="Times New Roman;serif"/>
          <w:b w:val="false"/>
          <w:sz w:val="24"/>
        </w:rPr>
        <w:t>This letter agreement (this “</w:t>
      </w:r>
      <w:r>
        <w:rPr>
          <w:rFonts w:ascii="Times New Roman;serif" w:hAnsi="Times New Roman;serif"/>
          <w:b w:val="false"/>
          <w:sz w:val="24"/>
          <w:u w:val="single"/>
        </w:rPr>
        <w:t>Agreement</w:t>
      </w:r>
      <w:r>
        <w:rPr/>
        <w:t>”</w:t>
      </w:r>
      <w:r>
        <w:rPr>
          <w:rFonts w:ascii="Times New Roman;serif" w:hAnsi="Times New Roman;serif"/>
          <w:b w:val="false"/>
          <w:sz w:val="24"/>
        </w:rPr>
        <w:t xml:space="preserve">) sets forth the terms and conditions of your </w:t>
      </w:r>
      <w:r>
        <w:rPr>
          <w:rFonts w:ascii="Times New Roman;serif" w:hAnsi="Times New Roman;serif"/>
          <w:b w:val="false"/>
          <w:sz w:val="22"/>
        </w:rPr>
        <w:t>continued employment with ProKidney, LLC, a Delaware limited liability company (the “</w:t>
      </w:r>
      <w:r>
        <w:rPr>
          <w:rFonts w:ascii="Times New Roman;serif" w:hAnsi="Times New Roman;serif"/>
          <w:b w:val="false"/>
          <w:sz w:val="22"/>
          <w:u w:val="single"/>
        </w:rPr>
        <w:t>Company</w:t>
      </w:r>
      <w:r>
        <w:rPr/>
        <w:t>”</w:t>
      </w:r>
      <w:r>
        <w:rPr>
          <w:rFonts w:ascii="Times New Roman;serif" w:hAnsi="Times New Roman;serif"/>
          <w:b w:val="false"/>
          <w:sz w:val="22"/>
        </w:rPr>
        <w:t>) as of December 3, 2022 (the “</w:t>
      </w:r>
      <w:r>
        <w:rPr>
          <w:rFonts w:ascii="Times New Roman;serif" w:hAnsi="Times New Roman;serif"/>
          <w:b w:val="false"/>
          <w:sz w:val="22"/>
          <w:u w:val="single"/>
        </w:rPr>
        <w:t>Effective Date</w:t>
      </w:r>
      <w:r>
        <w:rPr/>
        <w:t>”</w:t>
      </w:r>
      <w:r>
        <w:rPr>
          <w:rFonts w:ascii="Times New Roman;serif" w:hAnsi="Times New Roman;serif"/>
          <w:b w:val="false"/>
          <w:sz w:val="22"/>
        </w:rPr>
        <w:t>). This Agreement will govern your employment with the Company following the Effective Date on the following terms and conditions: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6"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4"/>
        </w:rPr>
        <w:t xml:space="preserve">Term: </w:t>
      </w:r>
      <w:r>
        <w:rPr>
          <w:rFonts w:ascii="Times New Roman;serif" w:hAnsi="Times New Roman;serif"/>
          <w:b w:val="false"/>
          <w:sz w:val="24"/>
        </w:rPr>
        <w:t>The term of your employment with the Company will terminate upon delivery to you of notice to such effect, which notice may be given for any or no reason, or upon your earlier resignation, death or disability (as customarily defined by the Company). You acknowledge that no provision contained in this Agreement will entitle you to remain in the employment of the Company or any of its subsidiaries or affiliates or affect the right of the Company to terminate your employment hereunder at any time for any reason, subject to compliance with the termination provisions set forth herein. The period during which you are employed by the Company pursuant to this Agreement shall be referred to as the “</w:t>
      </w:r>
      <w:r>
        <w:rPr>
          <w:rFonts w:ascii="Times New Roman;serif" w:hAnsi="Times New Roman;serif"/>
          <w:b w:val="false"/>
          <w:sz w:val="24"/>
          <w:u w:val="single"/>
        </w:rPr>
        <w:t>Term</w:t>
      </w:r>
      <w:r>
        <w:rPr>
          <w:rFonts w:ascii="Times New Roman;serif" w:hAnsi="Times New Roman;serif"/>
          <w:b w:val="false"/>
          <w:sz w:val="24"/>
        </w:rPr>
        <w:t>.”</w:t>
      </w:r>
    </w:p>
    <w:p>
      <w:pPr>
        <w:pStyle w:val="TextBody"/>
        <w:spacing w:before="1"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4"/>
        </w:rPr>
        <w:t xml:space="preserve">Position: </w:t>
      </w:r>
      <w:r>
        <w:rPr>
          <w:rFonts w:ascii="Times New Roman;serif" w:hAnsi="Times New Roman;serif"/>
          <w:b w:val="false"/>
          <w:sz w:val="24"/>
        </w:rPr>
        <w:t>Senior Vice President, Global Head of Clinical Development &amp; Interventional Procedures of the Company.</w:t>
      </w:r>
    </w:p>
    <w:p>
      <w:pPr>
        <w:pStyle w:val="TextBody"/>
        <w:spacing w:before="11"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4"/>
        </w:rPr>
        <w:t xml:space="preserve">Reporting: </w:t>
      </w:r>
      <w:r>
        <w:rPr>
          <w:rFonts w:ascii="Times New Roman;serif" w:hAnsi="Times New Roman;serif"/>
          <w:b w:val="false"/>
          <w:sz w:val="24"/>
        </w:rPr>
        <w:t>You will report directly to the Chief Executive Officer (“</w:t>
      </w:r>
      <w:r>
        <w:rPr>
          <w:rFonts w:ascii="Times New Roman;serif" w:hAnsi="Times New Roman;serif"/>
          <w:b/>
          <w:sz w:val="24"/>
        </w:rPr>
        <w:t>Supervisor</w:t>
      </w:r>
      <w:r>
        <w:rPr>
          <w:rFonts w:ascii="Times New Roman" w:hAnsi="Times New Roman"/>
          <w:sz w:val="20"/>
        </w:rPr>
        <w:t>”</w:t>
      </w:r>
      <w:r>
        <w:rPr>
          <w:rFonts w:ascii="Times New Roman;serif" w:hAnsi="Times New Roman;serif"/>
          <w:b w:val="false"/>
          <w:sz w:val="24"/>
        </w:rPr>
        <w:t>).</w:t>
      </w:r>
    </w:p>
    <w:p>
      <w:pPr>
        <w:pStyle w:val="TextBody"/>
        <w:spacing w:before="140" w:after="0"/>
        <w:jc w:val="left"/>
        <w:rPr>
          <w:rFonts w:ascii="Times New Roman" w:hAnsi="Times New Roman"/>
          <w:sz w:val="20"/>
        </w:rPr>
      </w:pPr>
      <w:r>
        <w:rPr>
          <w:rFonts w:ascii="Times New Roman;serif" w:hAnsi="Times New Roman;serif"/>
          <w:b/>
          <w:sz w:val="24"/>
        </w:rPr>
        <w:t xml:space="preserve">Duties and Commitment: </w:t>
      </w:r>
      <w:r>
        <w:rPr>
          <w:rFonts w:ascii="Times New Roman;serif" w:hAnsi="Times New Roman;serif"/>
          <w:b w:val="false"/>
          <w:sz w:val="24"/>
        </w:rPr>
        <w:t>You shall be employed by the Company on a full-time basis and shall perform such duties and responsibilities on behalf of the Company and its subsidiaries and affiliates (collectively, the “</w:t>
      </w:r>
      <w:r>
        <w:rPr>
          <w:rFonts w:ascii="Times New Roman;serif" w:hAnsi="Times New Roman;serif"/>
          <w:b w:val="false"/>
          <w:sz w:val="24"/>
          <w:u w:val="single"/>
        </w:rPr>
        <w:t>Company Group</w:t>
      </w:r>
      <w:r>
        <w:rPr>
          <w:rFonts w:ascii="Times New Roman" w:hAnsi="Times New Roman"/>
          <w:sz w:val="20"/>
        </w:rPr>
        <w:t>”</w:t>
      </w:r>
      <w:r>
        <w:rPr>
          <w:rFonts w:ascii="Times New Roman;serif" w:hAnsi="Times New Roman;serif"/>
          <w:b w:val="false"/>
          <w:sz w:val="24"/>
        </w:rPr>
        <w:t>) as are consistent with your position, and such additional duties and responsibilities on behalf of the Company Group, as may be designated from time to time by the Supervisor.</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You will be required to devote all of your business time to the business and affairs of the Company Group and to the promotion of its interests. Notwithstanding the foregoing, you may engage in other activities, such as personal investments and civic and charitable activities, so long as: (i) such activities do not interfere with your duties and obligations hereunder and (ii) such activities are disclosed in advance to the Board of Directors (the “</w:t>
      </w:r>
      <w:r>
        <w:rPr>
          <w:rFonts w:ascii="Times New Roman;serif" w:hAnsi="Times New Roman;serif"/>
          <w:b w:val="false"/>
          <w:sz w:val="24"/>
          <w:u w:val="single"/>
        </w:rPr>
        <w:t>Board</w:t>
      </w:r>
      <w:r>
        <w:rPr>
          <w:rFonts w:ascii="Times New Roman" w:hAnsi="Times New Roman"/>
          <w:sz w:val="20"/>
        </w:rPr>
        <w:t>”</w:t>
      </w:r>
      <w:r>
        <w:rPr>
          <w:rFonts w:ascii="Times New Roman;serif" w:hAnsi="Times New Roman;serif"/>
          <w:b w:val="false"/>
          <w:sz w:val="24"/>
        </w:rPr>
        <w:t>) of ProKidney Corp. (“</w:t>
      </w:r>
      <w:r>
        <w:rPr>
          <w:rFonts w:ascii="Times New Roman;serif" w:hAnsi="Times New Roman;serif"/>
          <w:b w:val="false"/>
          <w:sz w:val="24"/>
          <w:u w:val="single"/>
        </w:rPr>
        <w:t>Parent</w:t>
      </w:r>
      <w:r>
        <w:rPr>
          <w:rFonts w:ascii="Times New Roman" w:hAnsi="Times New Roman"/>
          <w:sz w:val="20"/>
        </w:rPr>
        <w:t>”</w:t>
      </w:r>
      <w:r>
        <w:rPr>
          <w:rFonts w:ascii="Times New Roman;serif" w:hAnsi="Times New Roman;serif"/>
          <w:b w:val="false"/>
          <w:sz w:val="24"/>
        </w:rPr>
        <w:t>)). In addition, you shall be permitted to serve as a director on any other company’s board of directors subject to the prior consent of the Board (which will not be unreasonably withheld).</w:t>
      </w:r>
    </w:p>
    <w:p>
      <w:pPr>
        <w:pStyle w:val="TextBody"/>
        <w:spacing w:before="0" w:after="0"/>
        <w:jc w:val="left"/>
        <w:rPr/>
      </w:pPr>
      <w:r>
        <w:rPr/>
        <w:t> </w:t>
      </w:r>
    </w:p>
    <w:p>
      <w:pPr>
        <w:pStyle w:val="TextBody"/>
        <w:spacing w:before="92" w:after="0"/>
        <w:jc w:val="both"/>
        <w:rPr>
          <w:rFonts w:ascii="Times New Roman" w:hAnsi="Times New Roman"/>
          <w:sz w:val="20"/>
        </w:rPr>
      </w:pPr>
      <w:r>
        <w:rPr>
          <w:rFonts w:ascii="Times New Roman;serif" w:hAnsi="Times New Roman;serif"/>
          <w:b/>
          <w:sz w:val="24"/>
        </w:rPr>
        <w:t xml:space="preserve">Base Salary: </w:t>
      </w:r>
      <w:r>
        <w:rPr>
          <w:rFonts w:ascii="Times New Roman;serif" w:hAnsi="Times New Roman;serif"/>
          <w:b w:val="false"/>
          <w:sz w:val="24"/>
        </w:rPr>
        <w:t>During the Term, your annual base salary will be $560,000.00 per year and will be payable in accordance with the Company’s normal payroll practices, less the applicable taxes and elective withholdings. Your base salary may be increased, but not decreased, as determined by the Board or the Compensation Committee of the Board (the “</w:t>
      </w:r>
      <w:r>
        <w:rPr>
          <w:rFonts w:ascii="Times New Roman;serif" w:hAnsi="Times New Roman;serif"/>
          <w:b w:val="false"/>
          <w:sz w:val="24"/>
          <w:u w:val="single"/>
        </w:rPr>
        <w:t>Compensation Committee</w:t>
      </w:r>
      <w:r>
        <w:rPr>
          <w:rFonts w:ascii="Times New Roman" w:hAnsi="Times New Roman"/>
          <w:sz w:val="20"/>
        </w:rPr>
        <w:t>”</w:t>
      </w:r>
      <w:r>
        <w:rPr>
          <w:rFonts w:ascii="Times New Roman;serif" w:hAnsi="Times New Roman;serif"/>
          <w:b w:val="false"/>
          <w:sz w:val="24"/>
        </w:rPr>
        <w:t>).</w:t>
      </w:r>
    </w:p>
    <w:p>
      <w:pPr>
        <w:pStyle w:val="TextBody"/>
        <w:spacing w:before="97" w:after="0"/>
        <w:jc w:val="both"/>
        <w:rPr/>
      </w:pPr>
      <w:r>
        <w:rPr/>
        <w:t> </w:t>
      </w:r>
    </w:p>
    <w:p>
      <w:pPr>
        <w:pStyle w:val="TextBody"/>
        <w:spacing w:before="97" w:after="0"/>
        <w:jc w:val="both"/>
        <w:rPr>
          <w:rFonts w:ascii="Times New Roman" w:hAnsi="Times New Roman"/>
          <w:sz w:val="20"/>
        </w:rPr>
      </w:pPr>
      <w:r>
        <w:rPr>
          <w:rFonts w:ascii="Times New Roman;serif" w:hAnsi="Times New Roman;serif"/>
          <w:b/>
          <w:sz w:val="24"/>
        </w:rPr>
        <w:t>Incentive Bonus Eligibility:</w:t>
      </w:r>
      <w:r>
        <w:rPr>
          <w:rFonts w:ascii="Times New Roman" w:hAnsi="Times New Roman"/>
          <w:sz w:val="20"/>
        </w:rPr>
        <w:t xml:space="preserve"> </w:t>
      </w:r>
      <w:r>
        <w:rPr>
          <w:rFonts w:ascii="Times New Roman;serif" w:hAnsi="Times New Roman;serif"/>
          <w:b w:val="false"/>
          <w:sz w:val="24"/>
        </w:rPr>
        <w:t>During the Term, you will be eligible for an annual cash bonus pursuant to the Company’s annual cash bonus program based on the achievement of performance criteria established by the Compensation Committee for the applicable fiscal year, which may be corporate goals and/or individual criteria. Your initial target bonus will be in an amount equal to 40% of your base salary (“</w:t>
      </w:r>
      <w:r>
        <w:rPr>
          <w:rFonts w:ascii="Times New Roman;serif" w:hAnsi="Times New Roman;serif"/>
          <w:b w:val="false"/>
          <w:sz w:val="24"/>
          <w:u w:val="single"/>
        </w:rPr>
        <w:t>Target Bonus</w:t>
      </w:r>
      <w:r>
        <w:rPr>
          <w:rFonts w:ascii="Times New Roman" w:hAnsi="Times New Roman"/>
          <w:sz w:val="20"/>
        </w:rPr>
        <w:t>”</w:t>
      </w:r>
      <w:r>
        <w:rPr>
          <w:rFonts w:ascii="Times New Roman;serif" w:hAnsi="Times New Roman;serif"/>
          <w:b w:val="false"/>
          <w:sz w:val="24"/>
        </w:rPr>
        <w:t>). The actual amount of any bonus earned shall be determined by the Compensation Committee based on achievement of the applicable performance</w:t>
      </w:r>
      <w:r>
        <w:rPr>
          <w:rFonts w:ascii="Times New Roman" w:hAnsi="Times New Roman"/>
          <w:sz w:val="20"/>
        </w:rPr>
        <w:t xml:space="preserve"> </w:t>
      </w:r>
    </w:p>
    <w:p>
      <w:pPr>
        <w:pStyle w:val="HorizontalLine"/>
        <w:rPr/>
      </w:pPr>
      <w:r>
        <w:rPr/>
      </w:r>
    </w:p>
    <w:p>
      <w:pPr>
        <w:pStyle w:val="TextBody"/>
        <w:spacing w:before="0" w:after="0"/>
        <w:jc w:val="left"/>
        <w:rPr/>
      </w:pPr>
      <w:r>
        <w:rPr/>
        <w:t> </w:t>
      </w:r>
    </w:p>
    <w:p>
      <w:pPr>
        <w:pStyle w:val="TextBody"/>
        <w:spacing w:before="97" w:after="0"/>
        <w:jc w:val="both"/>
        <w:rPr>
          <w:rFonts w:ascii="Times New Roman;serif" w:hAnsi="Times New Roman;serif"/>
          <w:b w:val="false"/>
          <w:sz w:val="24"/>
        </w:rPr>
      </w:pPr>
      <w:r>
        <w:rPr>
          <w:rFonts w:ascii="Times New Roman;serif" w:hAnsi="Times New Roman;serif"/>
          <w:b w:val="false"/>
          <w:sz w:val="24"/>
        </w:rPr>
        <w:t>criteria after the end of the applicable fiscal year.</w:t>
      </w:r>
    </w:p>
    <w:p>
      <w:pPr>
        <w:pStyle w:val="TextBody"/>
        <w:spacing w:before="0" w:after="0"/>
        <w:jc w:val="left"/>
        <w:rPr/>
      </w:pPr>
      <w:r>
        <w:rPr/>
        <w:t> </w:t>
      </w:r>
    </w:p>
    <w:p>
      <w:pPr>
        <w:pStyle w:val="TextBody"/>
        <w:spacing w:before="140" w:after="0"/>
        <w:jc w:val="left"/>
        <w:rPr>
          <w:rFonts w:ascii="Times New Roman;serif" w:hAnsi="Times New Roman;serif"/>
          <w:b w:val="false"/>
          <w:sz w:val="24"/>
        </w:rPr>
      </w:pPr>
      <w:r>
        <w:rPr>
          <w:rFonts w:ascii="Times New Roman;serif" w:hAnsi="Times New Roman;serif"/>
          <w:b w:val="false"/>
          <w:sz w:val="24"/>
        </w:rPr>
        <w:t>Except as otherwise provided herein, you will be entitled to receive any earned bonus for a fiscal year of the Company if you are employed on the payment date for such bonus.</w:t>
      </w:r>
    </w:p>
    <w:p>
      <w:pPr>
        <w:pStyle w:val="TextBody"/>
        <w:spacing w:before="233" w:after="0"/>
        <w:jc w:val="left"/>
        <w:rPr>
          <w:rFonts w:ascii="Times New Roman" w:hAnsi="Times New Roman"/>
          <w:sz w:val="20"/>
        </w:rPr>
      </w:pPr>
      <w:r>
        <w:rPr>
          <w:rFonts w:ascii="Times New Roman;serif" w:hAnsi="Times New Roman;serif"/>
          <w:b/>
          <w:sz w:val="24"/>
        </w:rPr>
        <w:t xml:space="preserve">Long-Term Incentive: </w:t>
      </w:r>
      <w:r>
        <w:rPr>
          <w:rFonts w:ascii="Times New Roman;serif" w:hAnsi="Times New Roman;serif"/>
          <w:b w:val="false"/>
          <w:sz w:val="24"/>
        </w:rPr>
        <w:t>You will be eligible to receive long-term incentive awards pursuant to the terms of the ProKidney Corp. 2022 Incentive Equity Plan (the “</w:t>
      </w:r>
      <w:r>
        <w:rPr>
          <w:rFonts w:ascii="Times New Roman;serif" w:hAnsi="Times New Roman;serif"/>
          <w:b w:val="false"/>
          <w:sz w:val="24"/>
          <w:u w:val="single"/>
        </w:rPr>
        <w:t>Incentive</w:t>
      </w:r>
      <w:r>
        <w:rPr>
          <w:rFonts w:ascii="Times New Roman" w:hAnsi="Times New Roman"/>
          <w:sz w:val="20"/>
        </w:rPr>
        <w:t xml:space="preserve"> </w:t>
      </w:r>
      <w:r>
        <w:rPr>
          <w:rFonts w:ascii="Times New Roman;serif" w:hAnsi="Times New Roman;serif"/>
          <w:b w:val="false"/>
          <w:sz w:val="24"/>
          <w:u w:val="single"/>
        </w:rPr>
        <w:t>Equity Plan</w:t>
      </w:r>
      <w:r>
        <w:rPr>
          <w:rFonts w:ascii="Times New Roman" w:hAnsi="Times New Roman"/>
          <w:sz w:val="20"/>
        </w:rPr>
        <w:t>”</w:t>
      </w:r>
      <w:r>
        <w:rPr>
          <w:rFonts w:ascii="Times New Roman;serif" w:hAnsi="Times New Roman;serif"/>
          <w:b w:val="false"/>
          <w:sz w:val="24"/>
        </w:rPr>
        <w:t>) (or any successor plan thereto). Long-term incentive awards will be granted at the discretion of the Compensation Committee and in accordance with market guidelines for your role as approved by the Compensation Committee.</w:t>
      </w:r>
    </w:p>
    <w:p>
      <w:pPr>
        <w:pStyle w:val="TextBody"/>
        <w:spacing w:before="7" w:after="0"/>
        <w:jc w:val="left"/>
        <w:rPr/>
      </w:pPr>
      <w:r>
        <w:rPr/>
        <w:t> </w:t>
      </w:r>
    </w:p>
    <w:p>
      <w:pPr>
        <w:pStyle w:val="TextBody"/>
        <w:spacing w:before="109" w:after="0"/>
        <w:jc w:val="both"/>
        <w:rPr>
          <w:rFonts w:ascii="Times New Roman" w:hAnsi="Times New Roman"/>
          <w:sz w:val="20"/>
        </w:rPr>
      </w:pPr>
      <w:r>
        <w:rPr>
          <w:rFonts w:ascii="Times New Roman;serif" w:hAnsi="Times New Roman;serif"/>
          <w:b/>
          <w:sz w:val="24"/>
        </w:rPr>
        <w:t xml:space="preserve">Benefits: </w:t>
      </w:r>
      <w:r>
        <w:rPr>
          <w:rFonts w:ascii="Times New Roman;serif" w:hAnsi="Times New Roman;serif"/>
          <w:b w:val="false"/>
          <w:sz w:val="24"/>
        </w:rPr>
        <w:t>During your employment with the Company, you will be eligible for participation in employee health and welfare benefits programs, retirement programs, and other fringe benefits maintained by the Company, to the extent consistent with applicable law and the terms of the applicable plans and programs, which may include certain plans and programs available to similarly situated executives of the Company or otherwise applicable to your position from time to time, subject to all plan terms and eligibility requirements. The benefit plans and programs for which you may be eligible are more fully described in the applicable plan summaries and related documents. The Company retains all rights to amend or terminate any such benefit plans and programs, subject to the terms of such employee benefit plans and programs and applicable law, and nothing contained herein shall obligate the Company to continue any benefit plans or programs in the future.</w:t>
      </w:r>
    </w:p>
    <w:p>
      <w:pPr>
        <w:pStyle w:val="TextBody"/>
        <w:spacing w:before="1"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You will be eligible to receive vacation in accordance with the terms of the Company’s vacation/Paid Time Off “PTO” policy.</w:t>
      </w:r>
    </w:p>
    <w:p>
      <w:pPr>
        <w:pStyle w:val="TextBody"/>
        <w:spacing w:before="130" w:after="0"/>
        <w:jc w:val="left"/>
        <w:rPr>
          <w:rFonts w:ascii="Times New Roman" w:hAnsi="Times New Roman"/>
          <w:sz w:val="20"/>
        </w:rPr>
      </w:pPr>
      <w:r>
        <w:rPr>
          <w:rFonts w:ascii="Times New Roman;serif" w:hAnsi="Times New Roman;serif"/>
          <w:b/>
          <w:sz w:val="24"/>
        </w:rPr>
        <w:t xml:space="preserve">Business Expenses: </w:t>
      </w:r>
      <w:r>
        <w:rPr>
          <w:rFonts w:ascii="Times New Roman;serif" w:hAnsi="Times New Roman;serif"/>
          <w:b w:val="false"/>
          <w:sz w:val="24"/>
        </w:rPr>
        <w:t>During the Term, the Company will reimburse you for reasonable business expenses, including travel, entertainment, and other expenses (including a mobile phone and data service) incurred by you in the furtherance of the performance of your duties hereunder, in accordance with the Company’s Travel and Entertainment policy as in effect from time to time.</w:t>
      </w:r>
    </w:p>
    <w:p>
      <w:pPr>
        <w:pStyle w:val="TextBody"/>
        <w:spacing w:before="7" w:after="0"/>
        <w:jc w:val="left"/>
        <w:rPr/>
      </w:pPr>
      <w:r>
        <w:rPr/>
        <w:t> </w:t>
      </w:r>
    </w:p>
    <w:p>
      <w:pPr>
        <w:pStyle w:val="TextBody"/>
        <w:spacing w:before="103" w:after="0"/>
        <w:jc w:val="both"/>
        <w:rPr>
          <w:rFonts w:ascii="Times New Roman" w:hAnsi="Times New Roman"/>
          <w:sz w:val="20"/>
        </w:rPr>
      </w:pPr>
      <w:r>
        <w:rPr>
          <w:rFonts w:ascii="Times New Roman;serif" w:hAnsi="Times New Roman;serif"/>
          <w:b/>
          <w:sz w:val="24"/>
        </w:rPr>
        <w:t xml:space="preserve">Termination: </w:t>
      </w:r>
      <w:r>
        <w:rPr>
          <w:rFonts w:ascii="Times New Roman;serif" w:hAnsi="Times New Roman;serif"/>
          <w:b w:val="false"/>
          <w:sz w:val="24"/>
        </w:rPr>
        <w:t>(a) Upon your termination of employment for any reason, the Company shall pay to you (i) your base salary earned through the date of such termination, (ii) amounts for accrued but unused vacation days in the year of termination and (iii) any unreimbursed business expenses in accordance with the Company’s reimbursement policy, not later than thirty (30) business days after the customary documentation regarding such expenses has been received and only to the extent that such expenses are submitted within one year of your termination (collectively, “</w:t>
      </w:r>
      <w:r>
        <w:rPr>
          <w:rFonts w:ascii="Times New Roman;serif" w:hAnsi="Times New Roman;serif"/>
          <w:b w:val="false"/>
          <w:sz w:val="24"/>
          <w:u w:val="single"/>
        </w:rPr>
        <w:t>Accrued Amounts</w:t>
      </w:r>
      <w:r>
        <w:rPr>
          <w:rFonts w:ascii="Times New Roman" w:hAnsi="Times New Roman"/>
          <w:sz w:val="20"/>
        </w:rPr>
        <w:t>”</w:t>
      </w:r>
      <w:r>
        <w:rPr>
          <w:rFonts w:ascii="Times New Roman;serif" w:hAnsi="Times New Roman;serif"/>
          <w:b w:val="false"/>
          <w:sz w:val="24"/>
        </w:rPr>
        <w:t>).</w:t>
      </w:r>
    </w:p>
    <w:p>
      <w:pPr>
        <w:pStyle w:val="TextBody"/>
        <w:spacing w:before="10"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(b) In the event your employment is terminated during the Term by the Company without Cause (as defined below) or by you for Good Reason (as defined below), in addition to the Accrued Amounts, you will be entitled to receive, subject to your timely execution and non-revocation of a Release (as defined below) (i) any earned but unpaid bonus for any prior completed fiscal year, payable when such payments would otherwise be paid, (ii) salary continuation for a period of nine (9) months following your termination date, payable in accordance with the Company’s normal payroll cycle and (iii) continued participation in the Company’s group health plan at active employee rates for a period of nine (9) months following your termination date.</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Notwithstanding the foregoing, upon a termination of your employment by the Company without Cause or by you for Good Reason within eighteen (18) months following a Change in Control (as defined in the Incentive Equity Plan), in addition to the Accrued Amounts, you will be entitled to receive, subject to your timely execution and non-revocation of a Release (i) a lump sum payment equal to the sum of twelve (12) months of your base salary as of immediately prior to the Change in Control and one hundred percent (100%) of your then-current Target Bonus, (ii) continued</w:t>
      </w:r>
      <w:r>
        <w:rPr>
          <w:rFonts w:ascii="Times New Roman" w:hAnsi="Times New Roman"/>
          <w:sz w:val="20"/>
        </w:rPr>
        <w:t xml:space="preserve"> </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participation in the Company’s group health plan at active employee rates for a period of twelve (12) months following your termination date and (iii) full vesting of any equity awards then outstanding held by you (with any performance-based equity awards vesting at “target” levels). Notwithstanding anything to the contrary set forth herein, to the extent there is a conflict between any of the terms set forth in this Agreement and any terms set forth in an award agreement relating to the grant of equity awards to you, the terms of the applicable award agreement shall prevail.</w:t>
      </w:r>
    </w:p>
    <w:p>
      <w:pPr>
        <w:pStyle w:val="TextBody"/>
        <w:spacing w:before="0" w:after="0"/>
        <w:jc w:val="both"/>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(c) In the event that your employment is terminated other than for reasons described in subsection (b) above, other than the amounts specified in subsection (a) above, you will not be entitled to receive any payments under this Agreement.</w:t>
      </w:r>
    </w:p>
    <w:p>
      <w:pPr>
        <w:pStyle w:val="TextBody"/>
        <w:spacing w:before="1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(d) Payment of any severance payments or benefits pursuant to subsection (b) above is expressly conditioned upon your (i) execution of a general waiver and release of claims substantially in the form attached hereto as </w:t>
      </w:r>
      <w:r>
        <w:rPr>
          <w:rFonts w:ascii="Times New Roman;serif" w:hAnsi="Times New Roman;serif"/>
          <w:b w:val="false"/>
          <w:sz w:val="24"/>
          <w:u w:val="single"/>
        </w:rPr>
        <w:t>Exhibit A</w:t>
      </w:r>
      <w:r>
        <w:rPr>
          <w:rFonts w:ascii="Times New Roman" w:hAnsi="Times New Roman"/>
          <w:sz w:val="20"/>
        </w:rPr>
        <w:t xml:space="preserve"> </w:t>
      </w:r>
      <w:r>
        <w:rPr>
          <w:rFonts w:ascii="Times New Roman;serif" w:hAnsi="Times New Roman;serif"/>
          <w:b w:val="false"/>
          <w:sz w:val="24"/>
        </w:rPr>
        <w:t>(the “</w:t>
      </w:r>
      <w:r>
        <w:rPr>
          <w:rFonts w:ascii="Times New Roman;serif" w:hAnsi="Times New Roman;serif"/>
          <w:b w:val="false"/>
          <w:sz w:val="24"/>
          <w:u w:val="single"/>
        </w:rPr>
        <w:t>Release</w:t>
      </w:r>
      <w:r>
        <w:rPr>
          <w:rFonts w:ascii="Times New Roman" w:hAnsi="Times New Roman"/>
          <w:sz w:val="20"/>
        </w:rPr>
        <w:t>”</w:t>
      </w:r>
      <w:r>
        <w:rPr>
          <w:rFonts w:ascii="Times New Roman;serif" w:hAnsi="Times New Roman;serif"/>
          <w:b w:val="false"/>
          <w:sz w:val="24"/>
        </w:rPr>
        <w:t>), within fifty (50) days of your termination, and the Release becoming effective upon the expiration of the revocation period (which is 7 days after the Release is executed and returned to the Company) and (ii) continued compliance with this Agreement and the Covenant Agreement (as defined below). If an executed Release is not returned to the Company within fifty (50) days of termination or the Release is revoked by you, the Company shall be relieved of all obligations to pay you severance under this Agreement. The payment described in subsection (b)(ii) will be made on the sixtieth (60th) day following your termination of employment. Any payments described in subsection (b)(i) that would have been paid from the termination date through the sixtieth (60</w:t>
      </w:r>
      <w:r>
        <w:rPr>
          <w:rFonts w:ascii="Times New Roman;serif" w:hAnsi="Times New Roman;serif"/>
          <w:b w:val="false"/>
          <w:sz w:val="16"/>
        </w:rPr>
        <w:t>th</w:t>
      </w:r>
      <w:r>
        <w:rPr>
          <w:rFonts w:ascii="Times New Roman;serif" w:hAnsi="Times New Roman;serif"/>
          <w:b w:val="false"/>
          <w:sz w:val="24"/>
        </w:rPr>
        <w:t>) day following your termination of employment will be paid in a lump sum on the sixtieth (60</w:t>
      </w:r>
      <w:r>
        <w:rPr>
          <w:rFonts w:ascii="Times New Roman;serif" w:hAnsi="Times New Roman;serif"/>
          <w:b w:val="false"/>
          <w:sz w:val="16"/>
        </w:rPr>
        <w:t>th</w:t>
      </w:r>
      <w:r>
        <w:rPr>
          <w:rFonts w:ascii="Times New Roman;serif" w:hAnsi="Times New Roman;serif"/>
          <w:b w:val="false"/>
          <w:sz w:val="24"/>
        </w:rPr>
        <w:t>) day following your termination and the remaining installments will commence as of the next payroll period following the sixtieth (60</w:t>
      </w:r>
      <w:r>
        <w:rPr>
          <w:rFonts w:ascii="Times New Roman;serif" w:hAnsi="Times New Roman;serif"/>
          <w:b w:val="false"/>
          <w:sz w:val="16"/>
        </w:rPr>
        <w:t>th</w:t>
      </w:r>
      <w:r>
        <w:rPr>
          <w:rFonts w:ascii="Times New Roman;serif" w:hAnsi="Times New Roman;serif"/>
          <w:b w:val="false"/>
          <w:sz w:val="24"/>
        </w:rPr>
        <w:t>) day following your termination of employment. Notwithstanding the foregoing, if such sixty (60) day period spans two calendar years, then the foregoing payments shall not commence until the second calendar year. All severance payments shall be subject to legally required tax withholdings and any elective withholdings.</w:t>
      </w:r>
    </w:p>
    <w:p>
      <w:pPr>
        <w:pStyle w:val="TextBody"/>
        <w:spacing w:before="0" w:after="0"/>
        <w:jc w:val="left"/>
        <w:rPr/>
      </w:pPr>
      <w:r>
        <w:rPr/>
        <w:t> </w:t>
      </w:r>
    </w:p>
    <w:p>
      <w:pPr>
        <w:pStyle w:val="TextBody"/>
        <w:spacing w:before="1" w:after="0"/>
        <w:jc w:val="both"/>
        <w:rPr>
          <w:rFonts w:ascii="Times New Roman;serif" w:hAnsi="Times New Roman;serif"/>
          <w:b w:val="false"/>
          <w:sz w:val="24"/>
        </w:rPr>
      </w:pPr>
      <w:r>
        <w:rPr>
          <w:rFonts w:ascii="Times New Roman;serif" w:hAnsi="Times New Roman;serif"/>
          <w:b w:val="false"/>
          <w:sz w:val="24"/>
        </w:rPr>
        <w:t>(e) For purposes of this Agreement:</w:t>
      </w:r>
    </w:p>
    <w:p>
      <w:pPr>
        <w:pStyle w:val="TextBody"/>
        <w:spacing w:before="6" w:after="0"/>
        <w:jc w:val="left"/>
        <w:rPr/>
      </w:pPr>
      <w:r>
        <w:rPr/>
        <w:t> </w:t>
      </w:r>
    </w:p>
    <w:p>
      <w:pPr>
        <w:pStyle w:val="TextBody"/>
        <w:spacing w:before="1" w:after="0"/>
        <w:jc w:val="both"/>
        <w:rPr/>
      </w:pPr>
      <w:r>
        <w:rPr/>
        <w:t>“</w:t>
      </w:r>
      <w:r>
        <w:rPr>
          <w:rFonts w:ascii="Times New Roman;serif" w:hAnsi="Times New Roman;serif"/>
          <w:b w:val="false"/>
          <w:sz w:val="24"/>
          <w:u w:val="single"/>
        </w:rPr>
        <w:t>Cause</w:t>
      </w:r>
      <w:r>
        <w:rPr>
          <w:rFonts w:ascii="Times New Roman" w:hAnsi="Times New Roman"/>
          <w:sz w:val="20"/>
        </w:rPr>
        <w:t xml:space="preserve">” </w:t>
      </w:r>
      <w:r>
        <w:rPr>
          <w:rFonts w:ascii="Times New Roman;serif" w:hAnsi="Times New Roman;serif"/>
          <w:b w:val="false"/>
          <w:sz w:val="24"/>
        </w:rPr>
        <w:t>means (i) any theft, fraud, embezzlement, dishonesty, willful misconduct, breach of fiduciary duty for personal profit, falsification of any documents or records of the Company or any member of the Company Group, felony or similar act by you (whether or not related to your relationship with the Company); (ii) an act of moral turpitude by you, or any act that causes significant injury to, or is otherwise adversely affecting, the reputation, business, assets, operations or business relationship of the Company (or any member of the Company Group); (iii) any breach by you of any material agreement with or of any material duty of yours to the Company or any member of the Company Group (including breach of the Covenant Agreement) or failure to abide by code of conduct or other policies (including, without limitation, policies relating to confidentiality and reasonable workplace conduct); or (iv) any act which constitutes a breach of your fiduciary duty towards the Company or any member of the Company Group including disclosure of confidential or proprietary information thereof or acceptance or solicitation to receive unauthorized or undisclosed benefits, irrespective of their nature, or funds, or promises to receive either, from individuals, consultants or corporate entities that the Company or a Subsidiary does business with; (v) your unauthorized use, misappropriation, destruction, or diversion of any tangible or intangible asset or corporate opportunity of the Company or any member of the Company Group (including, without limitation, the improper use or disclosure of confidential or proprietary information). For the avoidance of doubt, the determination as to whether a termination is for Cause for purposes of this Agreement shall be made in good faith by the Compensation Committee and shall be final and binding on you.</w:t>
      </w:r>
    </w:p>
    <w:p>
      <w:pPr>
        <w:pStyle w:val="TextBody"/>
        <w:spacing w:before="1" w:after="0"/>
        <w:jc w:val="left"/>
        <w:rPr/>
      </w:pPr>
      <w:r>
        <w:rPr/>
        <w:t> </w:t>
      </w:r>
    </w:p>
    <w:p>
      <w:pPr>
        <w:pStyle w:val="TextBody"/>
        <w:spacing w:before="0" w:after="0"/>
        <w:jc w:val="both"/>
        <w:rPr/>
      </w:pPr>
      <w:r>
        <w:rPr/>
        <w:t>“</w:t>
      </w:r>
      <w:r>
        <w:rPr>
          <w:rFonts w:ascii="Times New Roman;serif" w:hAnsi="Times New Roman;serif"/>
          <w:b w:val="false"/>
          <w:sz w:val="24"/>
          <w:u w:val="single"/>
        </w:rPr>
        <w:t>Good Reason</w:t>
      </w:r>
      <w:r>
        <w:rPr>
          <w:rFonts w:ascii="Times New Roman" w:hAnsi="Times New Roman"/>
          <w:sz w:val="20"/>
        </w:rPr>
        <w:t xml:space="preserve">” </w:t>
      </w:r>
      <w:r>
        <w:rPr>
          <w:rFonts w:ascii="Times New Roman;serif" w:hAnsi="Times New Roman;serif"/>
          <w:b w:val="false"/>
          <w:sz w:val="24"/>
        </w:rPr>
        <w:t>means the occurrence of any of the following without your consent: (i) a material</w:t>
      </w:r>
      <w:r>
        <w:rPr>
          <w:rFonts w:ascii="Times New Roman" w:hAnsi="Times New Roman"/>
          <w:sz w:val="20"/>
        </w:rPr>
        <w:t xml:space="preserve"> </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reduction in your then-current base salary, other than any such reduction that applies generally to similarly situated employees of the Company; (ii) a material diminution in your authority, duties or responsibilities under this Agreement; </w:t>
      </w:r>
      <w:r>
        <w:rPr>
          <w:rFonts w:ascii="Times New Roman;serif" w:hAnsi="Times New Roman;serif"/>
          <w:b w:val="false"/>
          <w:i/>
          <w:sz w:val="24"/>
        </w:rPr>
        <w:t>provided</w:t>
      </w:r>
      <w:r>
        <w:rPr>
          <w:rFonts w:ascii="Times New Roman;serif" w:hAnsi="Times New Roman;serif"/>
          <w:b w:val="false"/>
          <w:sz w:val="24"/>
        </w:rPr>
        <w:t>, that you will not have the right to resign for Good Reason pursuant to this provision of the Good Reason definition due to a change in authority, duties or responsibilities solely as a result of Parent or the Company no longer being a publicly traded company; or (iii) a relocation of your principal place of employment by more than 50 miles from its location as of the date hereof. Notwithstanding the foregoing, you will not be deemed to have resigned for Good Reason unless (x) you have provided written notice to the Company of the existence of the circumstances providing grounds for termination for Good Reason within 15 days of the initial existence of such grounds, (y) the Company has not cured such circumstances within 30 days from the date on which such notice is provided and (z) you resign from your employment effective no later than 60 days after the initial existence of such grounds.</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4"/>
        </w:rPr>
        <w:t xml:space="preserve">Resignation: </w:t>
      </w:r>
      <w:r>
        <w:rPr>
          <w:rFonts w:ascii="Times New Roman;serif" w:hAnsi="Times New Roman;serif"/>
          <w:b w:val="false"/>
          <w:sz w:val="24"/>
        </w:rPr>
        <w:t>Effective as of the date of your termination of employment, unless otherwise requested by the Company in writing, you will, automatically and without further action on your part or any other person or entity, resign from all offices, boards of directors (or similar governing bodies) and committees of each member of the Company Group. You agree that you will, at the request of the Company, execute and deliver such documentation as may be required to effect such resignations, and authorize any member of the Company Group to file (or cause to be filed) such documentation, as necessary, with any applicable governmental authority.</w:t>
      </w:r>
    </w:p>
    <w:p>
      <w:pPr>
        <w:pStyle w:val="TextBody"/>
        <w:spacing w:before="10" w:after="0"/>
        <w:jc w:val="left"/>
        <w:rPr/>
      </w:pPr>
      <w:r>
        <w:rPr/>
        <w:t> </w:t>
      </w:r>
    </w:p>
    <w:p>
      <w:pPr>
        <w:pStyle w:val="TextBody"/>
        <w:spacing w:before="1" w:after="0"/>
        <w:jc w:val="both"/>
        <w:rPr>
          <w:rFonts w:ascii="Times New Roman" w:hAnsi="Times New Roman"/>
          <w:sz w:val="20"/>
        </w:rPr>
      </w:pPr>
      <w:r>
        <w:rPr>
          <w:rFonts w:ascii="Times New Roman;serif" w:hAnsi="Times New Roman;serif"/>
          <w:b/>
          <w:sz w:val="24"/>
        </w:rPr>
        <w:t xml:space="preserve">Cooperation: </w:t>
      </w:r>
      <w:r>
        <w:rPr>
          <w:rFonts w:ascii="Times New Roman;serif" w:hAnsi="Times New Roman;serif"/>
          <w:b w:val="false"/>
          <w:sz w:val="24"/>
        </w:rPr>
        <w:t xml:space="preserve">In consideration for the promises and payments by the Company pursuant to this Agreement, at the request of the Company, for a one-year period following your termination of employment for any reason, you agree to cooperate to the fullest extent possible with respect to matters involving any member of the Company Group about which you have or may have knowledge, including any such matters which may arise before or after the Term; </w:t>
      </w:r>
      <w:r>
        <w:rPr>
          <w:rFonts w:ascii="Times New Roman;serif" w:hAnsi="Times New Roman;serif"/>
          <w:b w:val="false"/>
          <w:i/>
          <w:sz w:val="24"/>
        </w:rPr>
        <w:t xml:space="preserve">provided </w:t>
      </w:r>
      <w:r>
        <w:rPr>
          <w:rFonts w:ascii="Times New Roman;serif" w:hAnsi="Times New Roman;serif"/>
          <w:b w:val="false"/>
          <w:sz w:val="24"/>
        </w:rPr>
        <w:t>such cooperation shall not unreasonably interfere with any obligations you may have to your current employer at the time. The Company will reimburse you for any reasonable, properly documented out-of-pocket expenses, including your travel expenses and attorneys’ fees that you actually incur in connection with such cooperation.</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4"/>
        </w:rPr>
        <w:t xml:space="preserve">Section 409A: </w:t>
      </w:r>
      <w:r>
        <w:rPr>
          <w:rFonts w:ascii="Times New Roman;serif" w:hAnsi="Times New Roman;serif"/>
          <w:b w:val="false"/>
          <w:sz w:val="24"/>
        </w:rPr>
        <w:t>All references in this Agreement to your termination of employment shall mean your “separation from service” within the meaning of Section 409A of the Code and Treasury regulations promulgated thereunder. This Agreement is intended to comply with Section 409A of the Code or an exemption thereunder and shall be construed and administered in accordance with Section 409A. Any payments under this Agreement that may be excluded from Section 409A either as separation pay due to an involuntary separation from service or as a short-term deferral shall be excluded from Section 409A to the maximum extent possible. In the event the terms of this Agreement would subject you to the imposition of taxes and penalties under Section 409A (“</w:t>
      </w:r>
      <w:r>
        <w:rPr>
          <w:rFonts w:ascii="Times New Roman;serif" w:hAnsi="Times New Roman;serif"/>
          <w:b w:val="false"/>
          <w:sz w:val="24"/>
          <w:u w:val="single"/>
        </w:rPr>
        <w:t>409A Penalties</w:t>
      </w:r>
      <w:r>
        <w:rPr>
          <w:rFonts w:ascii="Times New Roman" w:hAnsi="Times New Roman"/>
          <w:sz w:val="20"/>
        </w:rPr>
        <w:t>”</w:t>
      </w:r>
      <w:r>
        <w:rPr>
          <w:rFonts w:ascii="Times New Roman;serif" w:hAnsi="Times New Roman;serif"/>
          <w:b w:val="false"/>
          <w:sz w:val="24"/>
        </w:rPr>
        <w:t xml:space="preserve">), the Company and you shall cooperate diligently to amend the terms of this Agreement to avoid such 409A Penalties, to the extent possible; </w:t>
      </w:r>
      <w:r>
        <w:rPr>
          <w:rFonts w:ascii="Times New Roman;serif" w:hAnsi="Times New Roman;serif"/>
          <w:b w:val="false"/>
          <w:i/>
          <w:sz w:val="24"/>
        </w:rPr>
        <w:t xml:space="preserve">provided </w:t>
      </w:r>
      <w:r>
        <w:rPr>
          <w:rFonts w:ascii="Times New Roman;serif" w:hAnsi="Times New Roman;serif"/>
          <w:b w:val="false"/>
          <w:sz w:val="24"/>
        </w:rPr>
        <w:t>that, for the avoidance of doubt, you shall be solely liable for any 409A Penalties incurred by you. To the extent that any amounts payable in installments under this Agreement are reasonably determined to be “nonqualified deferred compensation” within the meaning of Section 409A of the Code, then each such installment shall be treated as a right to receive a series of separate payments and, accordingly, each such installment payment shall at all times be considered a separate and distinct payment as permitted under Section 409A of the Code.</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Notwithstanding any other provision in this Agreement, if as of the date on which your employment terminates, you are a “specified employee”, as determined by the Company, then with respect to any amount payable or benefit provided under this Agreement or otherwise that the Company reasonably determines would be nonqualified deferred compensation within the meaning of Section 409A of the Code and that under the terms of this Agreement would be payable prior to the six-month anniversary of your effective date of termination, then if required in order to avoid any penalties under Section 409A of the Code, such payment or benefit shall be delayed</w:t>
      </w:r>
      <w:r>
        <w:rPr>
          <w:rFonts w:ascii="Times New Roman" w:hAnsi="Times New Roman"/>
          <w:sz w:val="20"/>
        </w:rPr>
        <w:t xml:space="preserve"> </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until the earlier to occur of (a) the first payroll date following the six-month anniversary of such termination date and (b) the date of your death.</w:t>
      </w:r>
    </w:p>
    <w:p>
      <w:pPr>
        <w:pStyle w:val="TextBody"/>
        <w:spacing w:before="1"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With respect to any reimbursements under this Agreement, such reimbursement shall be made on or before the last day of your taxable year following the taxable year in which you incurred the expense. The amount of any expenses eligible for reimbursement or the amount of any in-kind benefits provided, as the case may be, under this Agreement during any calendar year shall not affect the amount of expenses eligible for reimbursement or the amount of any in-kind benefits provided during any other calendar year. The right to reimbursement or to any in-kind benefit pursuant to this Agreement shall not be subject to liquidation or exchange for any other benefit.</w:t>
      </w:r>
    </w:p>
    <w:p>
      <w:pPr>
        <w:pStyle w:val="TextBody"/>
        <w:spacing w:before="86" w:after="0"/>
        <w:jc w:val="both"/>
        <w:rPr>
          <w:rFonts w:ascii="Times New Roman;serif" w:hAnsi="Times New Roman;serif"/>
          <w:b w:val="false"/>
          <w:sz w:val="24"/>
        </w:rPr>
      </w:pPr>
      <w:r>
        <w:rPr>
          <w:rFonts w:ascii="Times New Roman;serif" w:hAnsi="Times New Roman;serif"/>
          <w:b w:val="false"/>
          <w:sz w:val="24"/>
        </w:rPr>
        <w:t>You acknowledge and agree that notwithstanding any provision of this Agreement, the Company and its affiliates are not providing you with any tax advice with respect to Section 409A of the Code or otherwise and are not making any guarantees or other assurances of any kind to you with respect to the tax consequences or treatment of any amounts paid or payable to you under this Agreement.</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4"/>
        </w:rPr>
        <w:t xml:space="preserve">Section 280G: </w:t>
      </w:r>
      <w:r>
        <w:rPr>
          <w:rFonts w:ascii="Times New Roman;serif" w:hAnsi="Times New Roman;serif"/>
          <w:b w:val="false"/>
          <w:sz w:val="24"/>
        </w:rPr>
        <w:t>If the present value of your Severance Benefits, either alone or together with other payments which you have the right to receive from the Company (the “</w:t>
      </w:r>
      <w:r>
        <w:rPr>
          <w:rFonts w:ascii="Times New Roman;serif" w:hAnsi="Times New Roman;serif"/>
          <w:b/>
          <w:sz w:val="24"/>
        </w:rPr>
        <w:t>Benefits</w:t>
      </w:r>
      <w:r>
        <w:rPr>
          <w:rFonts w:ascii="Times New Roman" w:hAnsi="Times New Roman"/>
          <w:sz w:val="20"/>
        </w:rPr>
        <w:t>”</w:t>
      </w:r>
      <w:r>
        <w:rPr>
          <w:rFonts w:ascii="Times New Roman;serif" w:hAnsi="Times New Roman;serif"/>
          <w:b w:val="false"/>
          <w:sz w:val="24"/>
        </w:rPr>
        <w:t>), would constitute a “parachute payment” as defined in Section 280G of the Code, then your Benefits shall be either (i) provided to you in full, or (ii) provided to you only as to such lesser extent that would result in no portion of such Benefits being subject to the excise tax imposed by Section 4999 of the Code (the “</w:t>
      </w:r>
      <w:r>
        <w:rPr>
          <w:rFonts w:ascii="Times New Roman;serif" w:hAnsi="Times New Roman;serif"/>
          <w:b/>
          <w:sz w:val="24"/>
        </w:rPr>
        <w:t>Excise Tax</w:t>
      </w:r>
      <w:r>
        <w:rPr>
          <w:rFonts w:ascii="Times New Roman" w:hAnsi="Times New Roman"/>
          <w:sz w:val="20"/>
        </w:rPr>
        <w:t>”</w:t>
      </w:r>
      <w:r>
        <w:rPr>
          <w:rFonts w:ascii="Times New Roman;serif" w:hAnsi="Times New Roman;serif"/>
          <w:b w:val="false"/>
          <w:sz w:val="24"/>
        </w:rPr>
        <w:t>), whichever of the foregoing amounts, taking into account the applicable federal, state, and local income and employment taxes and the Excise Tax, results in the receipt by you, on an after-tax basis, of the greatest amount of benefits, notwithstanding that all or some portion of such Benefits may be taxable under the Excise Tax.</w:t>
      </w:r>
    </w:p>
    <w:p>
      <w:pPr>
        <w:pStyle w:val="TextBody"/>
        <w:spacing w:before="10" w:after="0"/>
        <w:jc w:val="left"/>
        <w:rPr/>
      </w:pPr>
      <w:r>
        <w:rPr/>
        <w:t> </w:t>
      </w:r>
    </w:p>
    <w:p>
      <w:pPr>
        <w:pStyle w:val="TextBody"/>
        <w:spacing w:before="1" w:after="0"/>
        <w:jc w:val="both"/>
        <w:rPr>
          <w:rFonts w:ascii="Times New Roman" w:hAnsi="Times New Roman"/>
          <w:sz w:val="20"/>
        </w:rPr>
      </w:pPr>
      <w:r>
        <w:rPr>
          <w:rFonts w:ascii="Times New Roman;serif" w:hAnsi="Times New Roman;serif"/>
          <w:b w:val="false"/>
          <w:sz w:val="24"/>
        </w:rPr>
        <w:t>Unless the Company and you otherwise agree, any determination required under section shall be made in writing in good faith by the Company’s independent accounting firm or such other nationally or regionally recognized accounting firm selected by the Company (the “</w:t>
      </w:r>
      <w:r>
        <w:rPr>
          <w:rFonts w:ascii="Times New Roman;serif" w:hAnsi="Times New Roman;serif"/>
          <w:b/>
          <w:sz w:val="24"/>
        </w:rPr>
        <w:t>Accountants</w:t>
      </w:r>
      <w:r>
        <w:rPr>
          <w:rFonts w:ascii="Times New Roman" w:hAnsi="Times New Roman"/>
          <w:sz w:val="20"/>
        </w:rPr>
        <w:t>”</w:t>
      </w:r>
      <w:r>
        <w:rPr>
          <w:rFonts w:ascii="Times New Roman;serif" w:hAnsi="Times New Roman;serif"/>
          <w:b w:val="false"/>
          <w:sz w:val="24"/>
        </w:rPr>
        <w:t xml:space="preserve">), whose determination shall be conclusive and binding upon you and the Company for all purposes. In the event that a reduction to the Benefits under this section, the reduction shall apply first to the Benefits that are not deferred compensation subject to Section 409A of the Code and you shall be given the choice, subject to approval by the Company, of which of such Benefits to reduce; </w:t>
      </w:r>
      <w:r>
        <w:rPr>
          <w:rFonts w:ascii="Times New Roman;serif" w:hAnsi="Times New Roman;serif"/>
          <w:b w:val="false"/>
          <w:i/>
          <w:sz w:val="24"/>
        </w:rPr>
        <w:t>provided</w:t>
      </w:r>
      <w:r>
        <w:rPr>
          <w:rFonts w:ascii="Times New Roman;serif" w:hAnsi="Times New Roman;serif"/>
          <w:b w:val="false"/>
          <w:sz w:val="24"/>
        </w:rPr>
        <w:t xml:space="preserve">, </w:t>
      </w:r>
      <w:r>
        <w:rPr>
          <w:rFonts w:ascii="Times New Roman;serif" w:hAnsi="Times New Roman;serif"/>
          <w:b w:val="false"/>
          <w:i/>
          <w:sz w:val="24"/>
        </w:rPr>
        <w:t xml:space="preserve">that </w:t>
      </w:r>
      <w:r>
        <w:rPr>
          <w:rFonts w:ascii="Times New Roman;serif" w:hAnsi="Times New Roman;serif"/>
          <w:b w:val="false"/>
          <w:sz w:val="24"/>
        </w:rPr>
        <w:t>such reduction achieves the result specified in clause (ii) above of this section. If a reduction in the Benefits that are subject to Section 409A of the Code is required, such Benefits shall be reduced pro rata, but with no change in the time at which such Benefits shall be paid. For purposes of making the calculations required by this section, the Accountants may make reasonable assumptions and approximations concerning applicable taxes and may rely on reasonable, good faith interpretations concerning the application of the Code. The Company and you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w:t>
      </w:r>
    </w:p>
    <w:p>
      <w:pPr>
        <w:pStyle w:val="TextBody"/>
        <w:spacing w:before="4" w:after="0"/>
        <w:jc w:val="left"/>
        <w:rPr/>
      </w:pPr>
      <w:r>
        <w:rPr/>
        <w:t> </w:t>
      </w:r>
    </w:p>
    <w:p>
      <w:pPr>
        <w:pStyle w:val="TextBody"/>
        <w:spacing w:before="84" w:after="0"/>
        <w:jc w:val="both"/>
        <w:rPr>
          <w:rFonts w:ascii="Times New Roman" w:hAnsi="Times New Roman"/>
          <w:b w:val="false"/>
          <w:sz w:val="24"/>
        </w:rPr>
      </w:pPr>
      <w:r>
        <w:rPr>
          <w:rFonts w:ascii="Times New Roman" w:hAnsi="Times New Roman"/>
          <w:b w:val="false"/>
          <w:sz w:val="24"/>
        </w:rPr>
        <w:t>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84" w:after="0"/>
        <w:jc w:val="both"/>
        <w:rPr/>
      </w:pPr>
      <w:bookmarkStart w:id="160" w:name="x__you_acknowledge_and_agree_that_you_wi"/>
      <w:bookmarkEnd w:id="160"/>
      <w:r>
        <w:rPr>
          <w:rFonts w:ascii="Times New Roman;serif" w:hAnsi="Times New Roman;serif"/>
          <w:b w:val="false"/>
          <w:sz w:val="24"/>
        </w:rPr>
        <w:t>You acknowledge and agree that you will continue to be subject to any confidentiality, non-disclosure, non-use, non-competition, non-solicitation or other covenants that you may be subject to under any agreement with the Company or any member of the Company Group (collectively, the “</w:t>
      </w:r>
      <w:r>
        <w:rPr>
          <w:rFonts w:ascii="Times New Roman;serif" w:hAnsi="Times New Roman;serif"/>
          <w:b w:val="false"/>
          <w:sz w:val="24"/>
          <w:u w:val="single"/>
        </w:rPr>
        <w:t>Covenant Agreement</w:t>
      </w:r>
      <w:r>
        <w:rPr/>
        <w:t>”</w:t>
      </w:r>
      <w:r>
        <w:rPr>
          <w:rFonts w:ascii="Times New Roman;serif" w:hAnsi="Times New Roman;serif"/>
          <w:b w:val="false"/>
          <w:sz w:val="24"/>
        </w:rPr>
        <w:t xml:space="preserve">). Notwithstanding any provision in this Agreement, the Covenant Agreement or otherwise to the contrary, nothing in this Agreement, the Covenant Agreement or otherwise precludes or otherwise limits your ability to (A) communicate directly with and provide information, including documents, not otherwise protected from disclosure by any applicable law or privilege to the Securities and Exchange Commission (the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spacing w:before="0" w:after="0"/>
        <w:jc w:val="left"/>
        <w:rPr/>
      </w:pPr>
      <w:r>
        <w:rPr/>
        <w:t> </w:t>
      </w:r>
    </w:p>
    <w:p>
      <w:pPr>
        <w:pStyle w:val="TextBody"/>
        <w:spacing w:before="84" w:after="283"/>
        <w:jc w:val="both"/>
        <w:rPr/>
      </w:pPr>
      <w:r>
        <w:rPr/>
        <w:t>“</w:t>
      </w:r>
      <w:r>
        <w:rPr>
          <w:rFonts w:ascii="Times New Roman;serif" w:hAnsi="Times New Roman;serif"/>
          <w:b w:val="false"/>
          <w:sz w:val="24"/>
          <w:u w:val="single"/>
        </w:rPr>
        <w:t>SEC</w:t>
      </w:r>
      <w:r>
        <w:rPr/>
        <w:t>”</w:t>
      </w:r>
      <w:r>
        <w:rPr>
          <w:rFonts w:ascii="Times New Roman;serif" w:hAnsi="Times New Roman;serif"/>
          <w:b w:val="false"/>
          <w:sz w:val="24"/>
        </w:rPr>
        <w:t>) or any other federal, state or local governmental agency or commission (“</w:t>
      </w:r>
      <w:r>
        <w:rPr>
          <w:rFonts w:ascii="Times New Roman;serif" w:hAnsi="Times New Roman;serif"/>
          <w:b w:val="false"/>
          <w:sz w:val="24"/>
          <w:u w:val="single"/>
        </w:rPr>
        <w:t>Government</w:t>
      </w:r>
      <w:r>
        <w:rPr/>
        <w:t xml:space="preserve"> </w:t>
      </w:r>
      <w:r>
        <w:rPr>
          <w:rFonts w:ascii="Times New Roman;serif" w:hAnsi="Times New Roman;serif"/>
          <w:b w:val="false"/>
          <w:sz w:val="24"/>
          <w:u w:val="single"/>
        </w:rPr>
        <w:t>Agency</w:t>
      </w:r>
      <w:r>
        <w:rPr/>
        <w:t>”</w:t>
      </w:r>
      <w:r>
        <w:rPr>
          <w:rFonts w:ascii="Times New Roman;serif" w:hAnsi="Times New Roman;serif"/>
          <w:b w:val="false"/>
          <w:sz w:val="24"/>
        </w:rPr>
        <w:t>) or self-regulatory organization regarding possible legal violations, without disclosure to the Company, or (B) disclose information which is required to be disclosed by applicable law, regulation, or order or requirement (including without limitation, by deposition, interrogatory, requests for documents, subpoena, civil investigative demand or similar process) of courts, administrative agencies, the SEC, any Government Agency or self-regulatory organizations, provided that you provide the Company with prior notice of the contemplated disclosure and cooperate with the Company in seeking a protective order or other appropriate protection of such information. The Company may not retaliate against you for any of these activities.</w:t>
      </w:r>
    </w:p>
    <w:p>
      <w:pPr>
        <w:pStyle w:val="TextBody"/>
        <w:spacing w:before="1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bookmarkStart w:id="161" w:name="x__you_represent_that_your_performance_o"/>
      <w:bookmarkEnd w:id="161"/>
      <w:r>
        <w:rPr>
          <w:rFonts w:ascii="Times New Roman;serif" w:hAnsi="Times New Roman;serif"/>
          <w:b w:val="false"/>
          <w:sz w:val="24"/>
        </w:rPr>
        <w:t>You represent that your performance of all of the terms of this Agreement and the performance of the services for the Company Group do not and will not breach or conflict with any agreement with a third party, including an agreement not to compete or to keep in confidence any proprietary information of another entity acquired by you in confidence or in trust prior to the date of this Agreement. You agree that you will not enter into any agreement that conflicts with this Agreement at any time prior to the Effective Date or during the term of your employment with the Company.</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bookmarkStart w:id="162" w:name="x__all_payments_made_under_this_agreemen"/>
      <w:bookmarkEnd w:id="162"/>
      <w:r>
        <w:rPr>
          <w:rFonts w:ascii="Times New Roman;serif" w:hAnsi="Times New Roman;serif"/>
          <w:b w:val="false"/>
          <w:sz w:val="24"/>
        </w:rPr>
        <w:t>All payments made under this Agreement shall be reduced by any tax or other amounts required to be withheld under applicable law.</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bookmarkStart w:id="163" w:name="x__the_parties_hereby_agree_that_any_sui"/>
      <w:bookmarkEnd w:id="163"/>
      <w:r>
        <w:rPr>
          <w:rFonts w:ascii="Times New Roman;serif" w:hAnsi="Times New Roman;serif"/>
          <w:b w:val="false"/>
          <w:sz w:val="24"/>
        </w:rPr>
        <w:t>The parties hereby agree that any suit, action or proceeding seeking to enforce any provision of, or based on any matter arising out of or in connection with, this Agreement shall only be brought in the Chancery Court of the State of Delaware (or other appropriate state court in the State of Delaware) or the Federal courts located in the State of Delaware and not in any other State or Federal courts located in the United States of America or any court in any other country, and each of the parties hereby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 The parties hereby agree that process in any such suit, action or proceeding may be served on either party anywhere in the world, whether within or without the jurisdiction of any such court. EACH OF THE PARTIES HERETO HEREBY IRREVOCABLY WAIVES ANY AND ALL RIGHTS TO TRIAL BY JURY IN ANY LEGAL PROCEEDING ARISING OUT OF OR RELATED TO THIS AGREEMENT OR THE TRANSACTIONS CONTEMPLATED HEREBY.</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bookmarkStart w:id="164" w:name="x__this_agreement_shall_be_governed__con"/>
      <w:bookmarkEnd w:id="164"/>
      <w:r>
        <w:rPr>
          <w:rFonts w:ascii="Times New Roman;serif" w:hAnsi="Times New Roman;serif"/>
          <w:b w:val="false"/>
          <w:sz w:val="24"/>
        </w:rPr>
        <w:t>This Agreement shall be governed, construed, interpreted and enforced in accordance with its express terms, and otherwise in accordance with the substantive laws of the State of Delaware, without reference to the principles of conflicts of law or choice of law of the State of Delaware, or any other jurisdiction, and where applicable, the laws of the United States.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bookmarkStart w:id="165" w:name="x__the_invalidity_or_unenforceability_of"/>
      <w:bookmarkEnd w:id="165"/>
      <w:r>
        <w:rPr>
          <w:rFonts w:ascii="Times New Roman;serif" w:hAnsi="Times New Roman;serif"/>
          <w:b w:val="false"/>
          <w:sz w:val="24"/>
        </w:rPr>
        <w:t>The invalidity or unenforceability of any provision or provisions of this Agreement shall not affect the validity or enforceability of any other provision of this Agreement, which shall remain in full force and effect.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84" w:after="0"/>
        <w:jc w:val="both"/>
        <w:rPr>
          <w:rFonts w:ascii="Times New Roman" w:hAnsi="Times New Roman"/>
          <w:b w:val="false"/>
          <w:sz w:val="24"/>
        </w:rPr>
      </w:pPr>
      <w:r>
        <w:rPr>
          <w:rFonts w:ascii="Times New Roman" w:hAnsi="Times New Roman"/>
          <w:b w:val="false"/>
          <w:sz w:val="24"/>
        </w:rPr>
        <w:t>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84" w:after="0"/>
        <w:jc w:val="both"/>
        <w:rPr/>
      </w:pPr>
      <w:bookmarkStart w:id="166" w:name="x__the_terms_of_this_agreement_and_the_c"/>
      <w:bookmarkEnd w:id="166"/>
      <w:r>
        <w:rPr>
          <w:rFonts w:ascii="Times New Roman;serif" w:hAnsi="Times New Roman;serif"/>
          <w:b w:val="false"/>
          <w:sz w:val="24"/>
        </w:rPr>
        <w:t xml:space="preserve">The terms of this Agreement and the Covenant Agreement are intended by the parties to be the final expression of their agreement with respect to your employment by the Company and supersede, effective as of the Effective Date, all prior understandings and agreements with respect to your employment by the Company, whether written or oral. For the avoidance of doubt, if the Effective Date does not occur, this Agreement will be void </w:t>
      </w:r>
      <w:r>
        <w:rPr>
          <w:rFonts w:ascii="Times New Roman;serif" w:hAnsi="Times New Roman;serif"/>
          <w:b w:val="false"/>
          <w:i/>
          <w:sz w:val="24"/>
        </w:rPr>
        <w:t>ab initio</w:t>
      </w:r>
      <w:r>
        <w:rPr>
          <w:rFonts w:ascii="Times New Roman;serif" w:hAnsi="Times New Roman;serif"/>
          <w:b w:val="false"/>
          <w:sz w:val="24"/>
        </w:rPr>
        <w: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1" w:after="0"/>
        <w:jc w:val="left"/>
        <w:rPr/>
      </w:pPr>
      <w:r>
        <w:rPr/>
        <w:t> </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bookmarkStart w:id="167" w:name="x__by_signing_this_agreement__you_acknow"/>
      <w:bookmarkEnd w:id="167"/>
      <w:r>
        <w:rPr>
          <w:rFonts w:ascii="Times New Roman;serif" w:hAnsi="Times New Roman;serif"/>
          <w:b w:val="false"/>
          <w:sz w:val="24"/>
        </w:rPr>
        <w:t>By signing this Agreement, you acknowledge that the terms of this Agreement are confidential and may not be disclosed in any manner or form to any party, other than as required by applicable law (including any public disclosure requirements) or as necessary to enforce the terms of this Agreement or to your spouse, attorney and/or tax advisor (if any), without the prior written approval of the Company. You further acknowledge that you will be bound by the terms and conditions contained in the Company’s employee handbook, as it may be amended from time to time to the extent not inconsistent with this Agreement and will, upon request of the Company, sign a copy thereof from time to time.</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10.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1" w:after="0"/>
        <w:jc w:val="both"/>
        <w:rPr>
          <w:rFonts w:ascii="Times New Roman;serif" w:hAnsi="Times New Roman;serif"/>
          <w:b w:val="false"/>
          <w:sz w:val="24"/>
        </w:rPr>
      </w:pPr>
      <w:bookmarkStart w:id="168" w:name="x0__the_rights_and_benefits_under_this_a"/>
      <w:bookmarkEnd w:id="168"/>
      <w:r>
        <w:rPr>
          <w:rFonts w:ascii="Times New Roman;serif" w:hAnsi="Times New Roman;serif"/>
          <w:b w:val="false"/>
          <w:sz w:val="24"/>
        </w:rPr>
        <w:t>The rights and benefits under this Agreement are personal to you and such rights and benefits shall not be subject to assignment, alienation or transfer, except to the extent such rights and benefits are lawfully available to your estate or any of your beneficiaries upon your death. The Company may assign this Agreement to any affiliate or subsidiary at any time and shall require any entity which at any time becomes a successor, whether by merger, purchase, or otherwise, or otherwise acquires all or substantially all of the assets, membership interests or business of the Company, to expressly assume this Agreement.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11.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bookmarkStart w:id="169" w:name="x1__this_agreement_may_be_executed_in_se"/>
      <w:bookmarkEnd w:id="169"/>
      <w:r>
        <w:rPr>
          <w:rFonts w:ascii="Times New Roman;serif" w:hAnsi="Times New Roman;serif"/>
          <w:b w:val="false"/>
          <w:sz w:val="24"/>
        </w:rPr>
        <w:t>This Agreement may be executed in several counterparts, each of which shall be deemed to be an original, but all of which together will constitute one and the same Agreement. Signatures delivered by facsimile shall be deemed effective for all purposes.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center"/>
        <w:rPr>
          <w:rFonts w:ascii="Times New Roman;serif" w:hAnsi="Times New Roman;serif"/>
          <w:b w:val="false"/>
          <w:i/>
          <w:sz w:val="24"/>
        </w:rPr>
      </w:pPr>
      <w:r>
        <w:rPr>
          <w:rFonts w:ascii="Times New Roman;serif" w:hAnsi="Times New Roman;serif"/>
          <w:b w:val="false"/>
          <w:i/>
          <w:sz w:val="24"/>
        </w:rPr>
        <w:t>[Signature page follows]</w:t>
      </w:r>
    </w:p>
    <w:p>
      <w:pPr>
        <w:pStyle w:val="TextBody"/>
        <w:spacing w:before="0" w:after="0"/>
        <w:jc w:val="center"/>
        <w:rPr/>
      </w:pPr>
      <w:r>
        <w:rPr/>
        <w:t> </w:t>
      </w:r>
    </w:p>
    <w:p>
      <w:pPr>
        <w:pStyle w:val="HorizontalLine"/>
        <w:rPr/>
      </w:pPr>
      <w:r>
        <w:rPr/>
      </w:r>
    </w:p>
    <w:p>
      <w:pPr>
        <w:pStyle w:val="TextBody"/>
        <w:spacing w:before="84" w:after="0"/>
        <w:jc w:val="left"/>
        <w:rPr>
          <w:rFonts w:ascii="Times New Roman;serif" w:hAnsi="Times New Roman;serif"/>
          <w:b w:val="false"/>
          <w:sz w:val="24"/>
        </w:rPr>
      </w:pPr>
      <w:r>
        <w:rPr>
          <w:rFonts w:ascii="Times New Roman;serif" w:hAnsi="Times New Roman;serif"/>
          <w:b w:val="false"/>
          <w:sz w:val="24"/>
        </w:rPr>
        <w:t>Please sign and date this Agreement in the space indicated and return it to my attention to evidence your understanding and acceptance of the terms set forth herein.</w:t>
      </w:r>
    </w:p>
    <w:p>
      <w:pPr>
        <w:pStyle w:val="TextBody"/>
        <w:spacing w:before="11" w:after="0"/>
        <w:jc w:val="left"/>
        <w:rPr/>
      </w:pPr>
      <w:r>
        <w:rPr/>
        <w:t>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Sincerely,</w:t>
      </w:r>
    </w:p>
    <w:p>
      <w:pPr>
        <w:pStyle w:val="TextBody"/>
        <w:spacing w:before="0" w:after="0"/>
        <w:jc w:val="left"/>
        <w:rPr/>
      </w:pPr>
      <w:r>
        <w:rPr/>
        <w:t> </w:t>
      </w:r>
    </w:p>
    <w:p>
      <w:pPr>
        <w:pStyle w:val="TextBody"/>
        <w:spacing w:before="0" w:after="0"/>
        <w:jc w:val="left"/>
        <w:rPr/>
      </w:pPr>
      <w:r>
        <w:rPr/>
        <w:t> </w:t>
      </w:r>
    </w:p>
    <w:p>
      <w:pPr>
        <w:pStyle w:val="TextBody"/>
        <w:spacing w:before="10" w:after="0"/>
        <w:jc w:val="left"/>
        <w:rPr/>
      </w:pPr>
      <w:r>
        <w:rPr/>
        <w:t> </w:t>
      </w:r>
    </w:p>
    <w:p>
      <w:pPr>
        <w:pStyle w:val="TextBody"/>
        <w:spacing w:before="90" w:after="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 xml:space="preserve">/s/ Tim Bertram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Name: Tim Bertram</w:t>
      </w:r>
    </w:p>
    <w:p>
      <w:pPr>
        <w:pStyle w:val="TextBody"/>
        <w:spacing w:before="1" w:after="0"/>
        <w:jc w:val="left"/>
        <w:rPr>
          <w:rFonts w:ascii="Times New Roman;serif" w:hAnsi="Times New Roman;serif"/>
          <w:b w:val="false"/>
          <w:sz w:val="24"/>
        </w:rPr>
      </w:pPr>
      <w:r>
        <w:rPr>
          <w:rFonts w:ascii="Times New Roman;serif" w:hAnsi="Times New Roman;serif"/>
          <w:b w:val="false"/>
          <w:sz w:val="24"/>
        </w:rPr>
        <w:t>Position: Chief Executive Officer</w:t>
      </w:r>
    </w:p>
    <w:p>
      <w:pPr>
        <w:pStyle w:val="TextBody"/>
        <w:spacing w:before="0" w:after="0"/>
        <w:jc w:val="left"/>
        <w:rPr/>
      </w:pPr>
      <w:r>
        <w:rPr/>
        <w:t> </w:t>
      </w:r>
    </w:p>
    <w:p>
      <w:pPr>
        <w:pStyle w:val="TextBody"/>
        <w:spacing w:before="0" w:after="0"/>
        <w:jc w:val="left"/>
        <w:rPr/>
      </w:pPr>
      <w:r>
        <w:rPr/>
        <w:t> </w:t>
      </w:r>
    </w:p>
    <w:p>
      <w:pPr>
        <w:pStyle w:val="TextBody"/>
        <w:spacing w:before="11" w:after="0"/>
        <w:jc w:val="left"/>
        <w:rPr/>
      </w:pPr>
      <w:r>
        <w:rPr/>
        <w:t> </w:t>
      </w:r>
    </w:p>
    <w:p>
      <w:pPr>
        <w:pStyle w:val="TextBody"/>
        <w:spacing w:before="90" w:after="0"/>
        <w:jc w:val="left"/>
        <w:rPr>
          <w:rFonts w:ascii="Times New Roman;serif" w:hAnsi="Times New Roman;serif"/>
          <w:b w:val="false"/>
          <w:sz w:val="24"/>
        </w:rPr>
      </w:pPr>
      <w:r>
        <w:rPr>
          <w:rFonts w:ascii="Times New Roman;serif" w:hAnsi="Times New Roman;serif"/>
          <w:b w:val="false"/>
          <w:sz w:val="24"/>
        </w:rPr>
        <w:t>Agreed to and Accepted:</w:t>
      </w:r>
    </w:p>
    <w:p>
      <w:pPr>
        <w:pStyle w:val="TextBody"/>
        <w:spacing w:before="3"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4"/>
          <w:u w:val="single"/>
        </w:rPr>
      </w:pPr>
      <w:r>
        <w:rPr>
          <w:rFonts w:ascii="Times New Roman;serif" w:hAnsi="Times New Roman;serif"/>
          <w:b w:val="false"/>
          <w:sz w:val="24"/>
          <w:u w:val="single"/>
        </w:rPr>
        <w:t xml:space="preserve">/s/ Joseph Stavas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Joe Stavas</w:t>
      </w:r>
    </w:p>
    <w:p>
      <w:pPr>
        <w:pStyle w:val="TextBody"/>
        <w:spacing w:before="202" w:after="0"/>
        <w:jc w:val="left"/>
        <w:rPr>
          <w:rFonts w:ascii="Times New Roman;serif" w:hAnsi="Times New Roman;serif"/>
          <w:b w:val="false"/>
          <w:sz w:val="24"/>
        </w:rPr>
      </w:pPr>
      <w:r>
        <w:rPr>
          <w:rFonts w:ascii="Times New Roman;serif" w:hAnsi="Times New Roman;serif"/>
          <w:b w:val="false"/>
          <w:sz w:val="24"/>
        </w:rPr>
        <w:t>Date: December 3, 2022</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89" w:after="0"/>
        <w:jc w:val="center"/>
        <w:rPr>
          <w:rFonts w:ascii="Times New Roman;serif" w:hAnsi="Times New Roman;serif"/>
          <w:b/>
          <w:sz w:val="24"/>
          <w:u w:val="single"/>
        </w:rPr>
      </w:pPr>
      <w:r>
        <w:rPr>
          <w:rFonts w:ascii="Times New Roman;serif" w:hAnsi="Times New Roman;serif"/>
          <w:b/>
          <w:sz w:val="24"/>
          <w:u w:val="single"/>
        </w:rPr>
        <w:t>EXHIBIT A</w:t>
      </w:r>
    </w:p>
    <w:p>
      <w:pPr>
        <w:pStyle w:val="TextBody"/>
        <w:spacing w:before="6"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w:t>
      </w:r>
      <w:r>
        <w:rPr>
          <w:rFonts w:ascii="Times New Roman;serif" w:hAnsi="Times New Roman;serif"/>
          <w:b/>
          <w:i/>
          <w:sz w:val="24"/>
          <w:u w:val="single"/>
        </w:rPr>
        <w:t>The language in this Release may change based on legal developments and evolving best</w:t>
      </w:r>
      <w:r>
        <w:rPr>
          <w:rFonts w:ascii="Times New Roman" w:hAnsi="Times New Roman"/>
          <w:sz w:val="20"/>
        </w:rPr>
        <w:t xml:space="preserve"> </w:t>
      </w:r>
      <w:r>
        <w:rPr>
          <w:rFonts w:ascii="Times New Roman;serif" w:hAnsi="Times New Roman;serif"/>
          <w:b/>
          <w:i/>
          <w:sz w:val="24"/>
          <w:u w:val="single"/>
        </w:rPr>
        <w:t>practices; this form is provided as an example of what will be included in the final Release</w:t>
      </w:r>
      <w:r>
        <w:rPr>
          <w:rFonts w:ascii="Times New Roman" w:hAnsi="Times New Roman"/>
          <w:sz w:val="20"/>
        </w:rPr>
        <w:t xml:space="preserve"> </w:t>
      </w:r>
      <w:r>
        <w:rPr>
          <w:rFonts w:ascii="Times New Roman;serif" w:hAnsi="Times New Roman;serif"/>
          <w:b/>
          <w:i/>
          <w:sz w:val="24"/>
          <w:u w:val="single"/>
        </w:rPr>
        <w:t>document.</w:t>
      </w:r>
      <w:r>
        <w:rPr>
          <w:rFonts w:ascii="Times New Roman;serif" w:hAnsi="Times New Roman;serif"/>
          <w:b w:val="false"/>
          <w:sz w:val="24"/>
        </w:rPr>
        <w:t>]</w:t>
      </w:r>
      <w:r>
        <w:rPr>
          <w:rFonts w:ascii="Times New Roman;serif" w:hAnsi="Times New Roman;serif"/>
          <w:b w:val="false"/>
          <w:sz w:val="16"/>
        </w:rPr>
        <w:t>1</w:t>
      </w:r>
    </w:p>
    <w:p>
      <w:pPr>
        <w:pStyle w:val="TextBody"/>
        <w:spacing w:before="5" w:after="0"/>
        <w:jc w:val="left"/>
        <w:rPr/>
      </w:pPr>
      <w:r>
        <w:rPr/>
        <w:t> </w:t>
      </w:r>
    </w:p>
    <w:p>
      <w:pPr>
        <w:pStyle w:val="TextBody"/>
        <w:spacing w:before="90" w:after="0"/>
        <w:jc w:val="center"/>
        <w:rPr>
          <w:rFonts w:ascii="Times New Roman;serif" w:hAnsi="Times New Roman;serif"/>
          <w:b/>
          <w:sz w:val="24"/>
          <w:u w:val="single"/>
        </w:rPr>
      </w:pPr>
      <w:r>
        <w:rPr>
          <w:rFonts w:ascii="Times New Roman;serif" w:hAnsi="Times New Roman;serif"/>
          <w:b/>
          <w:sz w:val="24"/>
          <w:u w:val="single"/>
        </w:rPr>
        <w:t>GENERAL RELEASE OF ALL CLAIMS</w:t>
      </w:r>
    </w:p>
    <w:p>
      <w:pPr>
        <w:pStyle w:val="TextBody"/>
        <w:spacing w:before="5"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1.</w:t>
      </w:r>
    </w:p>
    <w:p>
      <w:pPr>
        <w:pStyle w:val="TextBody"/>
        <w:jc w:val="both"/>
        <w:rPr/>
      </w:pPr>
      <w:r>
        <w:rPr>
          <w:rFonts w:ascii="Times New Roman;serif" w:hAnsi="Times New Roman;serif"/>
          <w:b w:val="false"/>
          <w:sz w:val="24"/>
        </w:rPr>
        <w:t>For valuable consideration, the adequacy of which is hereby acknowledged, [NAME] (“</w:t>
      </w:r>
      <w:r>
        <w:rPr>
          <w:rFonts w:ascii="Times New Roman;serif" w:hAnsi="Times New Roman;serif"/>
          <w:b w:val="false"/>
          <w:sz w:val="24"/>
          <w:u w:val="single"/>
        </w:rPr>
        <w:t>Executive</w:t>
      </w:r>
      <w:r>
        <w:rPr/>
        <w:t>”</w:t>
      </w:r>
      <w:r>
        <w:rPr>
          <w:rFonts w:ascii="Times New Roman;serif" w:hAnsi="Times New Roman;serif"/>
          <w:b w:val="false"/>
          <w:sz w:val="24"/>
        </w:rPr>
        <w:t>), for himself, his spouse, heirs, administrators, children, representatives, executors, successors, assigns, trusts for his benefit and all other persons claiming through Executive, if any (collectively, “</w:t>
      </w:r>
      <w:r>
        <w:rPr>
          <w:rFonts w:ascii="Times New Roman;serif" w:hAnsi="Times New Roman;serif"/>
          <w:b w:val="false"/>
          <w:sz w:val="24"/>
          <w:u w:val="single"/>
        </w:rPr>
        <w:t>Releasers</w:t>
      </w:r>
      <w:r>
        <w:rPr/>
        <w:t>”</w:t>
      </w:r>
      <w:r>
        <w:rPr>
          <w:rFonts w:ascii="Times New Roman;serif" w:hAnsi="Times New Roman;serif"/>
          <w:b w:val="false"/>
          <w:sz w:val="24"/>
        </w:rPr>
        <w:t>), does hereby release, waive, and forever discharge [ProKidney, LLC, a Delaware limited liability company] (the “</w:t>
      </w:r>
      <w:r>
        <w:rPr>
          <w:rFonts w:ascii="Times New Roman;serif" w:hAnsi="Times New Roman;serif"/>
          <w:b w:val="false"/>
          <w:sz w:val="24"/>
          <w:u w:val="single"/>
        </w:rPr>
        <w:t>Company</w:t>
      </w:r>
      <w:r>
        <w:rPr/>
        <w:t>”</w:t>
      </w:r>
      <w:r>
        <w:rPr>
          <w:rFonts w:ascii="Times New Roman;serif" w:hAnsi="Times New Roman;serif"/>
          <w:b w:val="false"/>
          <w:sz w:val="24"/>
        </w:rPr>
        <w:t>), ProKidney Corp. and their respective subsidiaries, parents, affiliates, related organizations, and equity holders, and their respective affiliates (including trustees and beneficiaries of trusts that are direct and indirect equity holders), employees, officers, directors, attorneys, successors, and assigns or each of the foregoing (collectively, the “</w:t>
      </w:r>
      <w:r>
        <w:rPr>
          <w:rFonts w:ascii="Times New Roman;serif" w:hAnsi="Times New Roman;serif"/>
          <w:b w:val="false"/>
          <w:sz w:val="24"/>
          <w:u w:val="single"/>
        </w:rPr>
        <w:t>Releasees</w:t>
      </w:r>
      <w:r>
        <w:rPr/>
        <w:t>”</w:t>
      </w:r>
      <w:r>
        <w:rPr>
          <w:rFonts w:ascii="Times New Roman;serif" w:hAnsi="Times New Roman;serif"/>
          <w:b w:val="false"/>
          <w:sz w:val="24"/>
        </w:rPr>
        <w:t>) from, and does fully waive any obligations or liabilities of Releasees to Releasers of any kind and nature that Releasers had, have, or might claim to have against Releasees at the time Executive executes this General Release for or in respect of any and all liability, actions, charges, causes of action, demands, damages, or claims for relief, remuneration, sums of money, accounts or expenses, and any action arising in tort including libel, slander, defamation or intentional infliction of emotional distress, and claims under any federal, state or local statute including Title VII of the Civil Rights Act of 1964, the Civil Rights Act of 1866 and 1871 (42 U.S.C. § 1981), the Equal Pay Act, Employee Retirement Income Security Act, Family and Medical Leave Act, the National Labor Relations Act, the Fair Labor Standards Act, the Americans with Disabilities Act of 1990, the Age Discrimination in Employment Act of 1967, the Rehabilitation Act of 1973, or the discrimination or employment laws of any state or municipality, and/or any claims under any express or implied contract which Releasers may claim existed with Releasees. This also includes a release by Executive of any claims for breach of contract, wrongful discharge and all claims for alleged physical or personal injury, emotional distress relating to or arising out of Executive’s employment with Company or the termination of that employment; and any claims under the WARN Act or any similar law, which requires, among other things, that advance notice be given of certain work force reductions. This release and waiver does not apply to any claims or rights that may arise after the date Executive signs this General Release. The foregoing release does not apply to (a) any claims or rights for compensation, benefits, indemnification and any other surviving rights now existing under the Employment Letter between the Company and Executive dated as of December 1, 2022 (the “</w:t>
      </w:r>
      <w:r>
        <w:rPr>
          <w:rFonts w:ascii="Times New Roman;serif" w:hAnsi="Times New Roman;serif"/>
          <w:b w:val="false"/>
          <w:sz w:val="24"/>
          <w:u w:val="single"/>
        </w:rPr>
        <w:t>Employment Letter</w:t>
      </w:r>
      <w:r>
        <w:rPr/>
        <w:t>”</w:t>
      </w:r>
      <w:r>
        <w:rPr>
          <w:rFonts w:ascii="Times New Roman;serif" w:hAnsi="Times New Roman;serif"/>
          <w:b w:val="false"/>
          <w:sz w:val="24"/>
        </w:rPr>
        <w:t>), the organizational documents of the Company or any of its affiliates or any other agreement providing for indemnification regardless of when any claim is filed, (b) any claims or rights under directors and officers liability insurance, or (c) any claims or rights accruing to any Releaser in its capacity as an equity holder of ProKidney Corp. or any of its subsidiaries.</w:t>
      </w:r>
    </w:p>
    <w:p>
      <w:pPr>
        <w:pStyle w:val="TextBody"/>
        <w:spacing w:before="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2.</w:t>
      </w:r>
    </w:p>
    <w:p>
      <w:pPr>
        <w:pStyle w:val="TextBody"/>
        <w:jc w:val="both"/>
        <w:rPr>
          <w:rFonts w:ascii="Times New Roman;serif" w:hAnsi="Times New Roman;serif"/>
          <w:b w:val="false"/>
          <w:sz w:val="24"/>
        </w:rPr>
      </w:pPr>
      <w:r>
        <w:rPr>
          <w:rFonts w:ascii="Times New Roman;serif" w:hAnsi="Times New Roman;serif"/>
          <w:b w:val="false"/>
          <w:sz w:val="24"/>
        </w:rPr>
        <w:t>Excluded from this release and waiver are any claims which cannot be waived by law, including but not limited to the right to participate in an investigation conducted by certain</w:t>
      </w:r>
    </w:p>
    <w:p>
      <w:pPr>
        <w:pStyle w:val="TextBody"/>
        <w:spacing w:before="8" w:after="0"/>
        <w:jc w:val="left"/>
        <w:rPr/>
      </w:pPr>
      <w:r>
        <w:rPr/>
        <w:t> </w:t>
      </w:r>
    </w:p>
    <w:p>
      <w:pPr>
        <w:pStyle w:val="TextBody"/>
        <w:spacing w:before="103" w:after="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sz w:val="20"/>
        </w:rPr>
        <w:t>Note to Draft</w:t>
      </w:r>
      <w:r>
        <w:rPr>
          <w:rFonts w:ascii="Times New Roman;serif" w:hAnsi="Times New Roman;serif"/>
          <w:b w:val="false"/>
          <w:sz w:val="20"/>
        </w:rPr>
        <w:t>: To be updated for applicability of ADEA and multiple terminations of employment.</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84" w:after="0"/>
        <w:jc w:val="both"/>
        <w:rPr>
          <w:rFonts w:ascii="Times New Roman;serif" w:hAnsi="Times New Roman;serif"/>
          <w:b w:val="false"/>
          <w:sz w:val="24"/>
        </w:rPr>
      </w:pPr>
      <w:r>
        <w:rPr>
          <w:rFonts w:ascii="Times New Roman;serif" w:hAnsi="Times New Roman;serif"/>
          <w:b w:val="false"/>
          <w:sz w:val="24"/>
        </w:rPr>
        <w:t>government agencies. Executive does, however, waive Executive’s right to any monetary recovery should any agency (such as the Equal Employment Opportunity Commission) pursue any claims on Executive’s behalf. Executive represents and warrants that Executive has not filed any complaint, charge, or lawsuit against the Releasees with any government agency or any court.</w:t>
      </w:r>
    </w:p>
    <w:p>
      <w:pPr>
        <w:pStyle w:val="TextBody"/>
        <w:spacing w:before="1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3.</w:t>
      </w:r>
    </w:p>
    <w:p>
      <w:pPr>
        <w:pStyle w:val="TextBody"/>
        <w:jc w:val="both"/>
        <w:rPr>
          <w:rFonts w:ascii="Times New Roman;serif" w:hAnsi="Times New Roman;serif"/>
          <w:b w:val="false"/>
          <w:sz w:val="24"/>
        </w:rPr>
      </w:pPr>
      <w:r>
        <w:rPr>
          <w:rFonts w:ascii="Times New Roman;serif" w:hAnsi="Times New Roman;serif"/>
          <w:b w:val="false"/>
          <w:sz w:val="24"/>
        </w:rPr>
        <w:t>Executive agrees never to sue Releasees in any forum for any claim covered by the above waiver and release language. If Executive violates this General Release by suing Releasees, other than as set forth in Section 1 hereof, Executive shall be liable to the Company for its reasonable attorneys’ fees and other litigation costs incurred in defending against such a suit. Executive represents and warrants that he has not assigned or transferred, in any manner, including by subrogation or operation of law, any portion of any claim, action, complaint, charge or suit encompassed by the releases set forth in this General Release.</w:t>
      </w:r>
    </w:p>
    <w:p>
      <w:pPr>
        <w:pStyle w:val="TextBody"/>
        <w:spacing w:before="10"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4.</w:t>
      </w:r>
    </w:p>
    <w:p>
      <w:pPr>
        <w:pStyle w:val="TextBody"/>
        <w:spacing w:before="1" w:after="283"/>
        <w:jc w:val="both"/>
        <w:rPr>
          <w:rFonts w:ascii="Times New Roman;serif" w:hAnsi="Times New Roman;serif"/>
          <w:b w:val="false"/>
          <w:sz w:val="24"/>
        </w:rPr>
      </w:pPr>
      <w:r>
        <w:rPr>
          <w:rFonts w:ascii="Times New Roman;serif" w:hAnsi="Times New Roman;serif"/>
          <w:b w:val="false"/>
          <w:sz w:val="24"/>
        </w:rPr>
        <w:t>Executive acknowledges and recites that:</w:t>
      </w:r>
    </w:p>
    <w:p>
      <w:pPr>
        <w:pStyle w:val="TextBody"/>
        <w:spacing w:before="9"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(a)</w:t>
      </w:r>
    </w:p>
    <w:p>
      <w:pPr>
        <w:pStyle w:val="TextBody"/>
        <w:spacing w:before="1" w:after="283"/>
        <w:jc w:val="both"/>
        <w:rPr>
          <w:rFonts w:ascii="Times New Roman;serif" w:hAnsi="Times New Roman;serif"/>
          <w:b w:val="false"/>
          <w:sz w:val="24"/>
        </w:rPr>
      </w:pPr>
      <w:r>
        <w:rPr>
          <w:rFonts w:ascii="Times New Roman;serif" w:hAnsi="Times New Roman;serif"/>
          <w:b w:val="false"/>
          <w:sz w:val="24"/>
        </w:rPr>
        <w:t>Executive has executed this General Release knowingly and voluntarily;</w:t>
      </w:r>
    </w:p>
    <w:p>
      <w:pPr>
        <w:pStyle w:val="TextBody"/>
        <w:spacing w:before="9"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(b)</w:t>
      </w:r>
    </w:p>
    <w:p>
      <w:pPr>
        <w:pStyle w:val="TextBody"/>
        <w:spacing w:before="1" w:after="283"/>
        <w:jc w:val="both"/>
        <w:rPr>
          <w:rFonts w:ascii="Times New Roman;serif" w:hAnsi="Times New Roman;serif"/>
          <w:b w:val="false"/>
          <w:sz w:val="24"/>
        </w:rPr>
      </w:pPr>
      <w:r>
        <w:rPr>
          <w:rFonts w:ascii="Times New Roman;serif" w:hAnsi="Times New Roman;serif"/>
          <w:b w:val="false"/>
          <w:sz w:val="24"/>
        </w:rPr>
        <w:t>Executive has read and understands this General Release in its entirety;</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(c)</w:t>
      </w:r>
    </w:p>
    <w:p>
      <w:pPr>
        <w:pStyle w:val="TextBody"/>
        <w:jc w:val="both"/>
        <w:rPr>
          <w:rFonts w:ascii="Times New Roman;serif" w:hAnsi="Times New Roman;serif"/>
          <w:b w:val="false"/>
          <w:sz w:val="24"/>
        </w:rPr>
      </w:pPr>
      <w:r>
        <w:rPr>
          <w:rFonts w:ascii="Times New Roman;serif" w:hAnsi="Times New Roman;serif"/>
          <w:b w:val="false"/>
          <w:sz w:val="24"/>
        </w:rPr>
        <w:t>Executive has been advised and directed orally and in writing (and this subsection (c) constitutes such written direction) to seek legal counsel and any other advice he wishes with respect to the terms of this General Release before executing it;</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(d)</w:t>
      </w:r>
    </w:p>
    <w:p>
      <w:pPr>
        <w:pStyle w:val="TextBody"/>
        <w:jc w:val="both"/>
        <w:rPr>
          <w:rFonts w:ascii="Times New Roman;serif" w:hAnsi="Times New Roman;serif"/>
          <w:b w:val="false"/>
          <w:sz w:val="24"/>
        </w:rPr>
      </w:pPr>
      <w:r>
        <w:rPr>
          <w:rFonts w:ascii="Times New Roman;serif" w:hAnsi="Times New Roman;serif"/>
          <w:b w:val="false"/>
          <w:sz w:val="24"/>
        </w:rPr>
        <w:t>Executive’s execution of this General Release has not been forced by any employee or agent of the Company, and Executive has had an opportunity to negotiate about the terms of this General Release;</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(e)</w:t>
      </w:r>
    </w:p>
    <w:p>
      <w:pPr>
        <w:pStyle w:val="TextBody"/>
        <w:jc w:val="both"/>
        <w:rPr>
          <w:rFonts w:ascii="Times New Roman;serif" w:hAnsi="Times New Roman;serif"/>
          <w:b w:val="false"/>
          <w:sz w:val="24"/>
        </w:rPr>
      </w:pPr>
      <w:r>
        <w:rPr>
          <w:rFonts w:ascii="Times New Roman;serif" w:hAnsi="Times New Roman;serif"/>
          <w:b w:val="false"/>
          <w:sz w:val="24"/>
        </w:rPr>
        <w:t>Executive has been given at least twenty-one (21) days to consider this General Release, and if executed prior to the expiration of the twenty-one (21) day period, such execution is knowing and voluntary; and</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(f)</w:t>
      </w:r>
    </w:p>
    <w:p>
      <w:pPr>
        <w:pStyle w:val="TextBody"/>
        <w:jc w:val="both"/>
        <w:rPr>
          <w:rFonts w:ascii="Times New Roman;serif" w:hAnsi="Times New Roman;serif"/>
          <w:b w:val="false"/>
          <w:sz w:val="24"/>
        </w:rPr>
      </w:pPr>
      <w:r>
        <w:rPr>
          <w:rFonts w:ascii="Times New Roman;serif" w:hAnsi="Times New Roman;serif"/>
          <w:b w:val="false"/>
          <w:sz w:val="24"/>
        </w:rPr>
        <w:t>The additional benefits and other promises that Executive is to receive under the Employment Letter are sufficient consideration for this General Release.</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5.</w:t>
      </w:r>
    </w:p>
    <w:p>
      <w:pPr>
        <w:pStyle w:val="TextBody"/>
        <w:jc w:val="both"/>
        <w:rPr>
          <w:rFonts w:ascii="Times New Roman;serif" w:hAnsi="Times New Roman;serif"/>
          <w:b w:val="false"/>
          <w:sz w:val="24"/>
        </w:rPr>
      </w:pPr>
      <w:r>
        <w:rPr>
          <w:rFonts w:ascii="Times New Roman;serif" w:hAnsi="Times New Roman;serif"/>
          <w:b w:val="false"/>
          <w:sz w:val="24"/>
        </w:rPr>
        <w:t>This General Release shall be governed by the internal laws (and not the choice of laws) of the State of Delaware, except for the application of pre-emptive Federal law.</w:t>
      </w:r>
    </w:p>
    <w:p>
      <w:pPr>
        <w:pStyle w:val="TextBody"/>
        <w:spacing w:before="10"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6.</w:t>
      </w:r>
    </w:p>
    <w:p>
      <w:pPr>
        <w:pStyle w:val="TextBody"/>
        <w:spacing w:before="1" w:after="283"/>
        <w:jc w:val="both"/>
        <w:rPr>
          <w:rFonts w:ascii="Times New Roman;serif" w:hAnsi="Times New Roman;serif"/>
          <w:b w:val="false"/>
          <w:sz w:val="24"/>
        </w:rPr>
      </w:pPr>
      <w:r>
        <w:rPr>
          <w:rFonts w:ascii="Times New Roman;serif" w:hAnsi="Times New Roman;serif"/>
          <w:b w:val="false"/>
          <w:sz w:val="24"/>
        </w:rPr>
        <w:t>Any dispute or controversy arising under or in connection with this General Release shall be settled exclusively by arbitration in accordance with the provisions of Section 4 of the Employment Letter.</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7.</w:t>
      </w:r>
    </w:p>
    <w:p>
      <w:pPr>
        <w:pStyle w:val="TextBody"/>
        <w:jc w:val="both"/>
        <w:rPr>
          <w:rFonts w:ascii="Times New Roman;serif" w:hAnsi="Times New Roman;serif"/>
          <w:b w:val="false"/>
          <w:sz w:val="24"/>
        </w:rPr>
      </w:pPr>
      <w:r>
        <w:rPr>
          <w:rFonts w:ascii="Times New Roman;serif" w:hAnsi="Times New Roman;serif"/>
          <w:b w:val="false"/>
          <w:sz w:val="24"/>
        </w:rPr>
        <w:t>Executive may revoke this General Release within seven (7) calendar days after signing it. To be effective, such revocation must be made in writing to the Board of Directors of ProKidney Corp., with a copy received at 2000 Frontis Plaza Blvd., Ste. 250 Winston-Salem, NC 27103, Attention: Todd Girolamo. Revocation can be made by hand delivery, telegram, facsimile, or postmarking before the expiration of this seven (7) day period. None of the obligations of the Company under the Employment Letter shall be effective in the event that Executive revokes this General Release pursuant to this Section 7.</w:t>
      </w:r>
    </w:p>
    <w:p>
      <w:pPr>
        <w:pStyle w:val="TextBody"/>
        <w:spacing w:before="0" w:after="0"/>
        <w:jc w:val="left"/>
        <w:rPr/>
      </w:pPr>
      <w:r>
        <w:rPr/>
        <w:t> </w:t>
      </w:r>
    </w:p>
    <w:p>
      <w:pPr>
        <w:pStyle w:val="HorizontalLine"/>
        <w:rPr/>
      </w:pPr>
      <w:r>
        <w:rPr/>
      </w:r>
    </w:p>
    <w:p>
      <w:pPr>
        <w:pStyle w:val="TextBody"/>
        <w:spacing w:before="0" w:after="0"/>
        <w:jc w:val="both"/>
        <w:rPr/>
      </w:pPr>
      <w:r>
        <w:rPr/>
        <w:t> </w:t>
      </w:r>
    </w:p>
    <w:p>
      <w:pPr>
        <w:pStyle w:val="TextBody"/>
        <w:spacing w:before="0" w:after="0"/>
        <w:jc w:val="left"/>
        <w:rPr/>
      </w:pPr>
      <w:r>
        <w:rPr/>
        <w:t> </w:t>
      </w:r>
    </w:p>
    <w:p>
      <w:pPr>
        <w:pStyle w:val="HorizontalLine"/>
        <w:rPr/>
      </w:pPr>
      <w:r>
        <w:rPr/>
      </w:r>
    </w:p>
    <w:p>
      <w:pPr>
        <w:pStyle w:val="TextBody"/>
        <w:spacing w:before="84" w:after="0"/>
        <w:jc w:val="center"/>
        <w:rPr>
          <w:rFonts w:ascii="Times New Roman;serif" w:hAnsi="Times New Roman;serif"/>
          <w:b w:val="false"/>
          <w:i/>
          <w:sz w:val="24"/>
        </w:rPr>
      </w:pPr>
      <w:r>
        <w:rPr>
          <w:rFonts w:ascii="Times New Roman;serif" w:hAnsi="Times New Roman;serif"/>
          <w:b w:val="false"/>
          <w:i/>
          <w:sz w:val="24"/>
        </w:rPr>
        <w:t>(Signature page follows)</w:t>
      </w:r>
    </w:p>
    <w:p>
      <w:pPr>
        <w:pStyle w:val="TextBody"/>
        <w:spacing w:before="0" w:after="0"/>
        <w:jc w:val="center"/>
        <w:rPr/>
      </w:pPr>
      <w:r>
        <w:rPr/>
        <w:t> </w:t>
      </w:r>
    </w:p>
    <w:p>
      <w:pPr>
        <w:pStyle w:val="TextBody"/>
        <w:spacing w:before="0" w:after="0"/>
        <w:jc w:val="left"/>
        <w:rPr/>
      </w:pPr>
      <w:r>
        <w:rPr/>
        <w:t> </w:t>
      </w:r>
    </w:p>
    <w:p>
      <w:pPr>
        <w:pStyle w:val="HorizontalLine"/>
        <w:rPr/>
      </w:pPr>
      <w:r>
        <w:rPr/>
      </w:r>
    </w:p>
    <w:p>
      <w:pPr>
        <w:pStyle w:val="TextBody"/>
        <w:spacing w:before="84" w:after="0"/>
        <w:jc w:val="left"/>
        <w:rPr>
          <w:rFonts w:ascii="Times New Roman;serif" w:hAnsi="Times New Roman;serif"/>
          <w:b w:val="false"/>
          <w:sz w:val="24"/>
        </w:rPr>
      </w:pPr>
      <w:r>
        <w:rPr>
          <w:rFonts w:ascii="Times New Roman;serif" w:hAnsi="Times New Roman;serif"/>
          <w:b w:val="false"/>
          <w:sz w:val="24"/>
        </w:rPr>
        <w:t>PLEASE READ THIS AGREEMENT CAREFULLY. IT CONTAINS A RELEASE OF ALL KNOWN AND UNKNOWN CLAIMS.</w:t>
      </w:r>
    </w:p>
    <w:p>
      <w:pPr>
        <w:pStyle w:val="TextBody"/>
        <w:spacing w:before="11"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 xml:space="preserve">Date: Executive: </w:t>
      </w:r>
    </w:p>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1"/>
        </w:rPr>
      </w:pPr>
      <w:bookmarkStart w:id="170" w:name="prok-ex10_17.htm"/>
      <w:bookmarkStart w:id="171" w:name="ksprokex10_17"/>
      <w:bookmarkEnd w:id="170"/>
      <w:bookmarkEnd w:id="171"/>
      <w:r>
        <w:rPr>
          <w:rFonts w:ascii="Times New Roman;serif" w:hAnsi="Times New Roman;serif"/>
          <w:b/>
          <w:sz w:val="21"/>
        </w:rPr>
        <w:t>Exhibit 10.17</w:t>
      </w:r>
    </w:p>
    <w:p>
      <w:pPr>
        <w:pStyle w:val="TextBody"/>
        <w:spacing w:before="0" w:after="120"/>
        <w:jc w:val="center"/>
        <w:rPr>
          <w:rFonts w:ascii="Times New Roman;serif" w:hAnsi="Times New Roman;serif"/>
          <w:b/>
          <w:sz w:val="24"/>
        </w:rPr>
      </w:pPr>
      <w:r>
        <w:rPr>
          <w:rFonts w:ascii="Times New Roman;serif" w:hAnsi="Times New Roman;serif"/>
          <w:b/>
          <w:sz w:val="24"/>
        </w:rPr>
        <w:t>PROKIDNEY CORP.</w:t>
        <w:br/>
        <w:t>NON-QUALIFIED STOCK OPTION AWARD AGREEMENT</w:t>
        <w:br/>
        <w:t>(For Non-Employee Directors)</w:t>
      </w:r>
    </w:p>
    <w:p>
      <w:pPr>
        <w:pStyle w:val="TextBody"/>
        <w:spacing w:before="0" w:after="240"/>
        <w:jc w:val="both"/>
        <w:rPr>
          <w:rFonts w:ascii="Times New Roman" w:hAnsi="Times New Roman"/>
          <w:sz w:val="20"/>
        </w:rPr>
      </w:pPr>
      <w:r>
        <w:rPr>
          <w:rFonts w:ascii="Times New Roman;serif" w:hAnsi="Times New Roman;serif"/>
          <w:b w:val="false"/>
          <w:sz w:val="24"/>
        </w:rPr>
        <w:t>This Non-Qualified Stock Option Award Agreement (“</w:t>
      </w:r>
      <w:r>
        <w:rPr>
          <w:rFonts w:ascii="Times New Roman;serif" w:hAnsi="Times New Roman;serif"/>
          <w:b/>
          <w:sz w:val="24"/>
        </w:rPr>
        <w:t>Agreement</w:t>
      </w:r>
      <w:r>
        <w:rPr>
          <w:rFonts w:ascii="Times New Roman" w:hAnsi="Times New Roman"/>
          <w:sz w:val="20"/>
        </w:rPr>
        <w:t>”</w:t>
      </w:r>
      <w:r>
        <w:rPr>
          <w:rFonts w:ascii="Times New Roman;serif" w:hAnsi="Times New Roman;serif"/>
          <w:b w:val="false"/>
          <w:sz w:val="24"/>
        </w:rPr>
        <w:t>) is entered into by and between ProKidney Corp. (the “</w:t>
      </w:r>
      <w:r>
        <w:rPr>
          <w:rFonts w:ascii="Times New Roman;serif" w:hAnsi="Times New Roman;serif"/>
          <w:b/>
          <w:sz w:val="24"/>
        </w:rPr>
        <w:t>Company</w:t>
      </w:r>
      <w:r>
        <w:rPr>
          <w:rFonts w:ascii="Times New Roman" w:hAnsi="Times New Roman"/>
          <w:sz w:val="20"/>
        </w:rPr>
        <w:t>”</w:t>
      </w:r>
      <w:r>
        <w:rPr>
          <w:rFonts w:ascii="Times New Roman;serif" w:hAnsi="Times New Roman;serif"/>
          <w:b w:val="false"/>
          <w:sz w:val="24"/>
        </w:rPr>
        <w:t>) and the non-employee director whose name appears below (the “</w:t>
      </w:r>
      <w:r>
        <w:rPr>
          <w:rFonts w:ascii="Times New Roman;serif" w:hAnsi="Times New Roman;serif"/>
          <w:b/>
          <w:sz w:val="24"/>
        </w:rPr>
        <w:t>Director</w:t>
      </w:r>
      <w:r>
        <w:rPr>
          <w:rFonts w:ascii="Times New Roman" w:hAnsi="Times New Roman"/>
          <w:sz w:val="20"/>
        </w:rPr>
        <w:t>”</w:t>
      </w:r>
      <w:r>
        <w:rPr>
          <w:rFonts w:ascii="Times New Roman;serif" w:hAnsi="Times New Roman;serif"/>
          <w:b w:val="false"/>
          <w:sz w:val="24"/>
        </w:rPr>
        <w:t>) in order to set forth the terms and conditions of Non-Qualified Stock Options (the “</w:t>
      </w:r>
      <w:r>
        <w:rPr>
          <w:rFonts w:ascii="Times New Roman;serif" w:hAnsi="Times New Roman;serif"/>
          <w:b/>
          <w:sz w:val="24"/>
        </w:rPr>
        <w:t>Options</w:t>
      </w:r>
      <w:r>
        <w:rPr>
          <w:rFonts w:ascii="Times New Roman" w:hAnsi="Times New Roman"/>
          <w:sz w:val="20"/>
        </w:rPr>
        <w:t>”</w:t>
      </w:r>
      <w:r>
        <w:rPr>
          <w:rFonts w:ascii="Times New Roman;serif" w:hAnsi="Times New Roman;serif"/>
          <w:b w:val="false"/>
          <w:sz w:val="24"/>
        </w:rPr>
        <w:t>) granted to the Director under the ProKidney Corp. 2022 Incentive Equity Plan (as may be amended and restated from time to time, the “</w:t>
      </w:r>
      <w:r>
        <w:rPr>
          <w:rFonts w:ascii="Times New Roman;serif" w:hAnsi="Times New Roman;serif"/>
          <w:b/>
          <w:sz w:val="24"/>
        </w:rPr>
        <w:t>Plan</w:t>
      </w:r>
      <w:r>
        <w:rPr>
          <w:rFonts w:ascii="Times New Roman" w:hAnsi="Times New Roman"/>
          <w:sz w:val="20"/>
        </w:rPr>
        <w:t>”</w:t>
      </w:r>
      <w:r>
        <w:rPr>
          <w:rFonts w:ascii="Times New Roman;serif" w:hAnsi="Times New Roman;serif"/>
          <w:b w:val="false"/>
          <w:sz w:val="24"/>
        </w:rPr>
        <w:t>).</w:t>
      </w:r>
    </w:p>
    <w:p>
      <w:pPr>
        <w:pStyle w:val="TextBody"/>
        <w:spacing w:before="0" w:after="0"/>
        <w:jc w:val="both"/>
        <w:rPr>
          <w:rFonts w:ascii="Times New Roman;serif" w:hAnsi="Times New Roman;serif"/>
          <w:b/>
          <w:sz w:val="24"/>
        </w:rPr>
      </w:pPr>
      <w:r>
        <w:rPr>
          <w:rFonts w:ascii="Times New Roman;serif" w:hAnsi="Times New Roman;serif"/>
          <w:b/>
          <w:sz w:val="24"/>
        </w:rPr>
        <w:t>Director’s Name:</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417"/>
        <w:gridCol w:w="1448"/>
        <w:gridCol w:w="3115"/>
        <w:gridCol w:w="1463"/>
        <w:gridCol w:w="1762"/>
      </w:tblGrid>
      <w:tr>
        <w:trPr/>
        <w:tc>
          <w:tcPr>
            <w:tcW w:w="2417" w:type="dxa"/>
            <w:tcBorders/>
            <w:shd w:fill="auto" w:val="clear"/>
            <w:vAlign w:val="center"/>
          </w:tcPr>
          <w:p>
            <w:pPr>
              <w:pStyle w:val="TableContents"/>
              <w:spacing w:before="0" w:after="283"/>
              <w:rPr>
                <w:sz w:val="4"/>
                <w:szCs w:val="4"/>
              </w:rPr>
            </w:pPr>
            <w:r>
              <w:rPr>
                <w:sz w:val="4"/>
                <w:szCs w:val="4"/>
              </w:rPr>
            </w:r>
          </w:p>
        </w:tc>
        <w:tc>
          <w:tcPr>
            <w:tcW w:w="1448" w:type="dxa"/>
            <w:tcBorders/>
            <w:shd w:fill="auto" w:val="clear"/>
            <w:vAlign w:val="center"/>
          </w:tcPr>
          <w:p>
            <w:pPr>
              <w:pStyle w:val="TableContents"/>
              <w:spacing w:before="0" w:after="283"/>
              <w:rPr>
                <w:sz w:val="4"/>
                <w:szCs w:val="4"/>
              </w:rPr>
            </w:pPr>
            <w:r>
              <w:rPr>
                <w:sz w:val="4"/>
                <w:szCs w:val="4"/>
              </w:rPr>
            </w:r>
          </w:p>
        </w:tc>
        <w:tc>
          <w:tcPr>
            <w:tcW w:w="3115" w:type="dxa"/>
            <w:tcBorders/>
            <w:shd w:fill="auto" w:val="clear"/>
            <w:vAlign w:val="center"/>
          </w:tcPr>
          <w:p>
            <w:pPr>
              <w:pStyle w:val="TableContents"/>
              <w:spacing w:before="0" w:after="283"/>
              <w:rPr>
                <w:sz w:val="4"/>
                <w:szCs w:val="4"/>
              </w:rPr>
            </w:pPr>
            <w:r>
              <w:rPr>
                <w:sz w:val="4"/>
                <w:szCs w:val="4"/>
              </w:rPr>
            </w:r>
          </w:p>
        </w:tc>
        <w:tc>
          <w:tcPr>
            <w:tcW w:w="1463" w:type="dxa"/>
            <w:tcBorders/>
            <w:shd w:fill="auto" w:val="clear"/>
            <w:vAlign w:val="center"/>
          </w:tcPr>
          <w:p>
            <w:pPr>
              <w:pStyle w:val="TableContents"/>
              <w:spacing w:before="0" w:after="283"/>
              <w:rPr>
                <w:sz w:val="4"/>
                <w:szCs w:val="4"/>
              </w:rPr>
            </w:pPr>
            <w:r>
              <w:rPr>
                <w:sz w:val="4"/>
                <w:szCs w:val="4"/>
              </w:rPr>
            </w:r>
          </w:p>
        </w:tc>
        <w:tc>
          <w:tcPr>
            <w:tcW w:w="1762" w:type="dxa"/>
            <w:tcBorders/>
            <w:shd w:fill="auto" w:val="clear"/>
            <w:vAlign w:val="center"/>
          </w:tcPr>
          <w:p>
            <w:pPr>
              <w:pStyle w:val="TableContents"/>
              <w:spacing w:before="0" w:after="283"/>
              <w:rPr>
                <w:sz w:val="4"/>
                <w:szCs w:val="4"/>
              </w:rPr>
            </w:pPr>
            <w:r>
              <w:rPr>
                <w:sz w:val="4"/>
                <w:szCs w:val="4"/>
              </w:rPr>
            </w:r>
          </w:p>
        </w:tc>
      </w:tr>
      <w:tr>
        <w:trPr/>
        <w:tc>
          <w:tcPr>
            <w:tcW w:w="2417"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48"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3115"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3"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762"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417" w:type="dxa"/>
            <w:tcBorders/>
            <w:shd w:fill="auto" w:val="clear"/>
            <w:tcMar>
              <w:top w:w="0" w:type="dxa"/>
              <w:left w:w="0" w:type="dxa"/>
              <w:bottom w:w="0" w:type="dxa"/>
              <w:right w:w="0" w:type="dxa"/>
            </w:tcMar>
            <w:vAlign w:val="center"/>
          </w:tcPr>
          <w:p>
            <w:pPr>
              <w:pStyle w:val="TableContents"/>
              <w:pBdr>
                <w:bottom w:val="single" w:sz="4" w:space="1" w:color="000000"/>
              </w:pBdr>
              <w:spacing w:before="0" w:after="0"/>
              <w:ind w:left="0" w:right="0" w:hanging="0"/>
              <w:jc w:val="center"/>
              <w:rPr>
                <w:rFonts w:ascii="Times New Roman;serif" w:hAnsi="Times New Roman;serif"/>
                <w:b/>
                <w:sz w:val="21"/>
              </w:rPr>
            </w:pPr>
            <w:r>
              <w:rPr>
                <w:rFonts w:ascii="Times New Roman;serif" w:hAnsi="Times New Roman;serif"/>
                <w:b/>
                <w:sz w:val="21"/>
              </w:rPr>
              <w:t>Award Type</w:t>
            </w:r>
          </w:p>
        </w:tc>
        <w:tc>
          <w:tcPr>
            <w:tcW w:w="1448" w:type="dxa"/>
            <w:tcBorders/>
            <w:shd w:fill="auto" w:val="clear"/>
            <w:tcMar>
              <w:top w:w="0" w:type="dxa"/>
              <w:left w:w="0" w:type="dxa"/>
              <w:bottom w:w="0" w:type="dxa"/>
              <w:right w:w="0" w:type="dxa"/>
            </w:tcMar>
            <w:vAlign w:val="center"/>
          </w:tcPr>
          <w:p>
            <w:pPr>
              <w:pStyle w:val="TableContents"/>
              <w:pBdr>
                <w:bottom w:val="single" w:sz="4" w:space="1" w:color="000000"/>
              </w:pBdr>
              <w:spacing w:before="0" w:after="0"/>
              <w:ind w:left="0" w:right="0" w:hanging="0"/>
              <w:jc w:val="center"/>
              <w:rPr/>
            </w:pPr>
            <w:r>
              <w:rPr/>
              <w:t>“</w:t>
            </w:r>
            <w:r>
              <w:rPr>
                <w:rFonts w:ascii="Times New Roman;serif" w:hAnsi="Times New Roman;serif"/>
                <w:b/>
                <w:sz w:val="21"/>
              </w:rPr>
              <w:t>Date of Grant”</w:t>
            </w:r>
          </w:p>
        </w:tc>
        <w:tc>
          <w:tcPr>
            <w:tcW w:w="3115" w:type="dxa"/>
            <w:tcBorders/>
            <w:shd w:fill="auto" w:val="clear"/>
            <w:tcMar>
              <w:top w:w="0" w:type="dxa"/>
              <w:left w:w="0" w:type="dxa"/>
              <w:bottom w:w="0" w:type="dxa"/>
              <w:right w:w="0" w:type="dxa"/>
            </w:tcMar>
            <w:vAlign w:val="center"/>
          </w:tcPr>
          <w:p>
            <w:pPr>
              <w:pStyle w:val="TableContents"/>
              <w:pBdr>
                <w:bottom w:val="single" w:sz="4" w:space="1" w:color="000000"/>
              </w:pBdr>
              <w:spacing w:before="0" w:after="0"/>
              <w:ind w:left="0" w:right="0" w:hanging="0"/>
              <w:jc w:val="center"/>
              <w:rPr>
                <w:rFonts w:ascii="Times New Roman;serif" w:hAnsi="Times New Roman;serif"/>
                <w:b/>
                <w:sz w:val="21"/>
              </w:rPr>
            </w:pPr>
            <w:r>
              <w:rPr>
                <w:rFonts w:ascii="Times New Roman;serif" w:hAnsi="Times New Roman;serif"/>
                <w:b/>
                <w:sz w:val="21"/>
              </w:rPr>
              <w:t>Number of Shares Subject to Options</w:t>
            </w:r>
          </w:p>
        </w:tc>
        <w:tc>
          <w:tcPr>
            <w:tcW w:w="1463" w:type="dxa"/>
            <w:tcBorders/>
            <w:shd w:fill="auto" w:val="clear"/>
            <w:tcMar>
              <w:top w:w="0" w:type="dxa"/>
              <w:left w:w="0" w:type="dxa"/>
              <w:bottom w:w="0" w:type="dxa"/>
              <w:right w:w="0" w:type="dxa"/>
            </w:tcMar>
            <w:vAlign w:val="center"/>
          </w:tcPr>
          <w:p>
            <w:pPr>
              <w:pStyle w:val="TableContents"/>
              <w:pBdr>
                <w:bottom w:val="single" w:sz="4" w:space="1" w:color="000000"/>
              </w:pBdr>
              <w:spacing w:before="0" w:after="0"/>
              <w:ind w:left="0" w:right="0" w:hanging="0"/>
              <w:jc w:val="center"/>
              <w:rPr/>
            </w:pPr>
            <w:r>
              <w:rPr/>
              <w:t>“</w:t>
            </w:r>
            <w:r>
              <w:rPr>
                <w:rFonts w:ascii="Times New Roman;serif" w:hAnsi="Times New Roman;serif"/>
                <w:b/>
                <w:sz w:val="21"/>
              </w:rPr>
              <w:t>Exercise Price”</w:t>
            </w:r>
          </w:p>
        </w:tc>
        <w:tc>
          <w:tcPr>
            <w:tcW w:w="1762" w:type="dxa"/>
            <w:tcBorders/>
            <w:shd w:fill="auto" w:val="clear"/>
            <w:tcMar>
              <w:top w:w="0" w:type="dxa"/>
              <w:left w:w="0" w:type="dxa"/>
              <w:bottom w:w="0" w:type="dxa"/>
              <w:right w:w="0" w:type="dxa"/>
            </w:tcMar>
            <w:vAlign w:val="center"/>
          </w:tcPr>
          <w:p>
            <w:pPr>
              <w:pStyle w:val="TableContents"/>
              <w:pBdr>
                <w:bottom w:val="single" w:sz="4" w:space="1" w:color="000000"/>
              </w:pBdr>
              <w:spacing w:before="0" w:after="0"/>
              <w:ind w:left="0" w:right="0" w:hanging="0"/>
              <w:jc w:val="center"/>
              <w:rPr/>
            </w:pPr>
            <w:r>
              <w:rPr/>
              <w:t>“</w:t>
            </w:r>
            <w:r>
              <w:rPr>
                <w:rFonts w:ascii="Times New Roman;serif" w:hAnsi="Times New Roman;serif"/>
                <w:b/>
                <w:sz w:val="21"/>
              </w:rPr>
              <w:t>Vesting Schedule”</w:t>
            </w:r>
          </w:p>
        </w:tc>
      </w:tr>
      <w:tr>
        <w:trPr/>
        <w:tc>
          <w:tcPr>
            <w:tcW w:w="2417" w:type="dxa"/>
            <w:tcBorders/>
            <w:shd w:fill="auto" w:val="clear"/>
            <w:tcMar>
              <w:top w:w="0" w:type="dxa"/>
              <w:left w:w="0" w:type="dxa"/>
              <w:bottom w:w="0" w:type="dxa"/>
              <w:right w:w="0" w:type="dxa"/>
            </w:tcMar>
            <w:vAlign w:val="center"/>
          </w:tcPr>
          <w:p>
            <w:pPr>
              <w:pStyle w:val="TableContents"/>
              <w:spacing w:before="120" w:after="120"/>
              <w:ind w:left="0" w:right="0" w:hanging="0"/>
              <w:jc w:val="left"/>
              <w:rPr>
                <w:rFonts w:ascii="Times New Roman;serif" w:hAnsi="Times New Roman;serif"/>
                <w:b w:val="false"/>
                <w:sz w:val="21"/>
              </w:rPr>
            </w:pPr>
            <w:r>
              <w:rPr>
                <w:rFonts w:ascii="Times New Roman;serif" w:hAnsi="Times New Roman;serif"/>
                <w:b w:val="false"/>
                <w:sz w:val="21"/>
              </w:rPr>
              <w:t>Non-Qualified Stock Options</w:t>
            </w:r>
          </w:p>
        </w:tc>
        <w:tc>
          <w:tcPr>
            <w:tcW w:w="1448" w:type="dxa"/>
            <w:tcBorders/>
            <w:shd w:fill="auto" w:val="clear"/>
            <w:tcMar>
              <w:top w:w="0" w:type="dxa"/>
              <w:left w:w="0" w:type="dxa"/>
              <w:bottom w:w="0" w:type="dxa"/>
              <w:right w:w="0" w:type="dxa"/>
            </w:tcMar>
            <w:vAlign w:val="center"/>
          </w:tcPr>
          <w:p>
            <w:pPr>
              <w:pStyle w:val="TableContents"/>
              <w:spacing w:before="120" w:after="120"/>
              <w:ind w:left="0" w:right="0" w:hanging="0"/>
              <w:jc w:val="center"/>
              <w:rPr/>
            </w:pPr>
            <w:r>
              <w:rPr/>
              <w:t> </w:t>
            </w:r>
          </w:p>
        </w:tc>
        <w:tc>
          <w:tcPr>
            <w:tcW w:w="3115" w:type="dxa"/>
            <w:tcBorders/>
            <w:shd w:fill="auto" w:val="clear"/>
            <w:tcMar>
              <w:top w:w="0" w:type="dxa"/>
              <w:left w:w="0" w:type="dxa"/>
              <w:bottom w:w="0" w:type="dxa"/>
              <w:right w:w="0" w:type="dxa"/>
            </w:tcMar>
            <w:vAlign w:val="center"/>
          </w:tcPr>
          <w:p>
            <w:pPr>
              <w:pStyle w:val="TableContents"/>
              <w:spacing w:before="120" w:after="120"/>
              <w:ind w:left="0" w:right="0" w:hanging="0"/>
              <w:jc w:val="center"/>
              <w:rPr/>
            </w:pPr>
            <w:r>
              <w:rPr/>
              <w:t> </w:t>
            </w:r>
          </w:p>
        </w:tc>
        <w:tc>
          <w:tcPr>
            <w:tcW w:w="1463" w:type="dxa"/>
            <w:tcBorders/>
            <w:shd w:fill="auto" w:val="clear"/>
            <w:tcMar>
              <w:top w:w="0" w:type="dxa"/>
              <w:left w:w="0" w:type="dxa"/>
              <w:bottom w:w="0" w:type="dxa"/>
              <w:right w:w="0" w:type="dxa"/>
            </w:tcMar>
            <w:vAlign w:val="center"/>
          </w:tcPr>
          <w:p>
            <w:pPr>
              <w:pStyle w:val="TableContents"/>
              <w:spacing w:before="120" w:after="120"/>
              <w:ind w:left="0" w:right="0" w:hanging="0"/>
              <w:jc w:val="center"/>
              <w:rPr/>
            </w:pPr>
            <w:r>
              <w:rPr/>
              <w:t> </w:t>
            </w:r>
          </w:p>
        </w:tc>
        <w:tc>
          <w:tcPr>
            <w:tcW w:w="1762" w:type="dxa"/>
            <w:tcBorders/>
            <w:shd w:fill="auto" w:val="clear"/>
            <w:tcMar>
              <w:top w:w="0" w:type="dxa"/>
              <w:left w:w="0" w:type="dxa"/>
              <w:bottom w:w="0" w:type="dxa"/>
              <w:right w:w="0" w:type="dxa"/>
            </w:tcMar>
            <w:vAlign w:val="center"/>
          </w:tcPr>
          <w:p>
            <w:pPr>
              <w:pStyle w:val="TableContents"/>
              <w:spacing w:before="120" w:after="120"/>
              <w:ind w:left="0" w:right="0" w:hanging="0"/>
              <w:jc w:val="center"/>
              <w:rPr/>
            </w:pPr>
            <w:r>
              <w:rPr/>
              <w:t> </w:t>
            </w:r>
          </w:p>
        </w:tc>
      </w:tr>
    </w:tbl>
    <w:p>
      <w:pPr>
        <w:pStyle w:val="TextBody"/>
        <w:spacing w:before="0" w:after="240"/>
        <w:jc w:val="both"/>
        <w:rPr>
          <w:rFonts w:ascii="Times New Roman;serif" w:hAnsi="Times New Roman;serif"/>
          <w:b w:val="false"/>
          <w:sz w:val="24"/>
        </w:rPr>
      </w:pPr>
      <w:r>
        <w:rPr>
          <w:rFonts w:ascii="Times New Roman;serif" w:hAnsi="Times New Roman;serif"/>
          <w:b w:val="false"/>
          <w:sz w:val="24"/>
        </w:rPr>
        <w:t>Subject to the attached Terms and Conditions and the terms of the Plan, which are incorporated herein by reference, the Company hereby grants to the Director, on the Date of Grant as set forth above, and the Director hereby accepts, the number of Options, with the Exercise Price and Vesting Schedule, each as set forth above. Capitalized terms used but not otherwise defined herein or in the attached Terms and Conditions shall have the meanings ascribed to such terms in the Plan.</w:t>
      </w:r>
    </w:p>
    <w:p>
      <w:pPr>
        <w:pStyle w:val="TextBody"/>
        <w:spacing w:before="0" w:after="240"/>
        <w:jc w:val="left"/>
        <w:rPr>
          <w:rFonts w:ascii="Times New Roman;serif" w:hAnsi="Times New Roman;serif"/>
          <w:b w:val="false"/>
          <w:sz w:val="24"/>
        </w:rPr>
      </w:pPr>
      <w:r>
        <w:rPr>
          <w:rFonts w:ascii="Times New Roman;serif" w:hAnsi="Times New Roman;serif"/>
          <w:b w:val="false"/>
          <w:sz w:val="24"/>
        </w:rPr>
        <w:t>IN WITNESS WHEREOF, the Company and the Director have duly executed and delivered this Agreement as of the Date of Grant.</w:t>
      </w:r>
    </w:p>
    <w:tbl>
      <w:tblPr>
        <w:tblW w:w="4032" w:type="dxa"/>
        <w:jc w:val="left"/>
        <w:tblInd w:w="0" w:type="dxa"/>
        <w:tblCellMar>
          <w:top w:w="28" w:type="dxa"/>
          <w:left w:w="28" w:type="dxa"/>
          <w:bottom w:w="28" w:type="dxa"/>
          <w:right w:w="28" w:type="dxa"/>
        </w:tblCellMar>
      </w:tblPr>
      <w:tblGrid>
        <w:gridCol w:w="856"/>
        <w:gridCol w:w="1559"/>
        <w:gridCol w:w="146"/>
        <w:gridCol w:w="1471"/>
      </w:tblGrid>
      <w:tr>
        <w:trPr/>
        <w:tc>
          <w:tcPr>
            <w:tcW w:w="856" w:type="dxa"/>
            <w:tcBorders/>
            <w:shd w:fill="auto" w:val="clear"/>
            <w:vAlign w:val="center"/>
          </w:tcPr>
          <w:p>
            <w:pPr>
              <w:pStyle w:val="TableContents"/>
              <w:spacing w:before="0" w:after="283"/>
              <w:rPr>
                <w:sz w:val="4"/>
                <w:szCs w:val="4"/>
              </w:rPr>
            </w:pPr>
            <w:r>
              <w:rPr>
                <w:sz w:val="4"/>
                <w:szCs w:val="4"/>
              </w:rPr>
            </w:r>
          </w:p>
        </w:tc>
        <w:tc>
          <w:tcPr>
            <w:tcW w:w="155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r>
      <w:tr>
        <w:trPr/>
        <w:tc>
          <w:tcPr>
            <w:tcW w:w="2415"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4"/>
              </w:rPr>
            </w:pPr>
            <w:r>
              <w:rPr>
                <w:rFonts w:ascii="Times New Roman;serif" w:hAnsi="Times New Roman;serif"/>
                <w:b/>
                <w:sz w:val="24"/>
              </w:rPr>
              <w:t>PROKIDNEY CORP.</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4"/>
              </w:rPr>
            </w:pPr>
            <w:r>
              <w:rPr>
                <w:rFonts w:ascii="Times New Roman;serif" w:hAnsi="Times New Roman;serif"/>
                <w:b/>
                <w:sz w:val="24"/>
              </w:rPr>
              <w:t>DIRECTOR</w:t>
            </w:r>
          </w:p>
        </w:tc>
      </w:tr>
      <w:tr>
        <w:trPr/>
        <w:tc>
          <w:tcPr>
            <w:tcW w:w="2415"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By:</w:t>
            </w:r>
          </w:p>
        </w:tc>
        <w:tc>
          <w:tcPr>
            <w:tcW w:w="1559" w:type="dxa"/>
            <w:tcBorders/>
            <w:shd w:fill="auto" w:val="clear"/>
            <w:tcMar>
              <w:top w:w="0" w:type="dxa"/>
              <w:left w:w="0" w:type="dxa"/>
              <w:bottom w:w="0" w:type="dxa"/>
              <w:right w:w="0" w:type="dxa"/>
            </w:tcMar>
            <w:vAlign w:val="center"/>
          </w:tcPr>
          <w:p>
            <w:pPr>
              <w:pStyle w:val="TableContents"/>
              <w:pBdr>
                <w:bottom w:val="single" w:sz="4" w:space="1" w:color="000000"/>
              </w:pBdr>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71" w:type="dxa"/>
            <w:tcBorders/>
            <w:shd w:fill="auto" w:val="clear"/>
            <w:tcMar>
              <w:top w:w="0" w:type="dxa"/>
              <w:left w:w="0" w:type="dxa"/>
              <w:bottom w:w="0" w:type="dxa"/>
              <w:right w:w="0" w:type="dxa"/>
            </w:tcMar>
            <w:vAlign w:val="center"/>
          </w:tcPr>
          <w:p>
            <w:pPr>
              <w:pStyle w:val="TableContents"/>
              <w:pBdr>
                <w:bottom w:val="single" w:sz="4" w:space="1" w:color="000000"/>
              </w:pBdr>
              <w:spacing w:before="0" w:after="0"/>
              <w:ind w:left="0" w:right="0" w:hanging="0"/>
              <w:jc w:val="left"/>
              <w:rPr/>
            </w:pPr>
            <w:r>
              <w:rPr/>
              <w:t> </w:t>
            </w:r>
          </w:p>
        </w:tc>
      </w:tr>
      <w:tr>
        <w:trPr/>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Name: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4"/>
              </w:rPr>
            </w:pPr>
            <w:r>
              <w:rPr>
                <w:rFonts w:ascii="Times New Roman;serif" w:hAnsi="Times New Roman;serif"/>
                <w:b w:val="false"/>
                <w:sz w:val="24"/>
              </w:rPr>
              <w:t>Name:</w:t>
            </w:r>
            <w:r>
              <w:rPr>
                <w:rFonts w:ascii="Times New Roman" w:hAnsi="Times New Roman"/>
                <w:sz w:val="24"/>
              </w:rPr>
              <w:t xml:space="preserve"> </w:t>
            </w:r>
          </w:p>
        </w:tc>
      </w:tr>
      <w:tr>
        <w:trPr/>
        <w:tc>
          <w:tcPr>
            <w:tcW w:w="8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5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Title: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240"/>
        <w:jc w:val="left"/>
        <w:rPr/>
      </w:pPr>
      <w:r>
        <w:rPr/>
        <w:t> </w:t>
      </w:r>
    </w:p>
    <w:p>
      <w:pPr>
        <w:pStyle w:val="TextBody"/>
        <w:spacing w:before="0" w:after="240"/>
        <w:jc w:val="left"/>
        <w:rPr>
          <w:rFonts w:ascii="Times New Roman;serif" w:hAnsi="Times New Roman;serif"/>
          <w:b w:val="false"/>
          <w:sz w:val="24"/>
        </w:rPr>
      </w:pPr>
      <w:r>
        <w:rPr>
          <w:rFonts w:ascii="Times New Roman;serif" w:hAnsi="Times New Roman;serif"/>
          <w:b w:val="false"/>
          <w:sz w:val="24"/>
        </w:rPr>
        <w:t>PLEASE RETURN ONE SIGNED COPY OF THIS AGREEMENT TO:</w:t>
      </w:r>
    </w:p>
    <w:p>
      <w:pPr>
        <w:pStyle w:val="TextBody"/>
        <w:spacing w:before="0" w:after="0"/>
        <w:jc w:val="left"/>
        <w:rPr>
          <w:rFonts w:ascii="Times New Roman;serif" w:hAnsi="Times New Roman;serif"/>
          <w:b w:val="false"/>
          <w:sz w:val="24"/>
        </w:rPr>
      </w:pPr>
      <w:r>
        <w:rPr>
          <w:rFonts w:ascii="Times New Roman;serif" w:hAnsi="Times New Roman;serif"/>
          <w:b w:val="false"/>
          <w:sz w:val="24"/>
        </w:rPr>
        <w:t>ProKidney Corp.</w:t>
      </w:r>
    </w:p>
    <w:p>
      <w:pPr>
        <w:pStyle w:val="TextBody"/>
        <w:spacing w:before="0" w:after="0"/>
        <w:jc w:val="left"/>
        <w:rPr>
          <w:rFonts w:ascii="Times New Roman;serif" w:hAnsi="Times New Roman;serif"/>
          <w:b w:val="false"/>
          <w:sz w:val="24"/>
        </w:rPr>
      </w:pPr>
      <w:r>
        <w:rPr>
          <w:rFonts w:ascii="Times New Roman;serif" w:hAnsi="Times New Roman;serif"/>
          <w:b w:val="false"/>
          <w:sz w:val="24"/>
        </w:rPr>
        <w:t>2000 Frontis Plaza Boulevard, Suite 250</w:t>
      </w:r>
    </w:p>
    <w:p>
      <w:pPr>
        <w:pStyle w:val="TextBody"/>
        <w:spacing w:before="0" w:after="0"/>
        <w:jc w:val="left"/>
        <w:rPr>
          <w:rFonts w:ascii="Times New Roman;serif" w:hAnsi="Times New Roman;serif"/>
          <w:b w:val="false"/>
          <w:sz w:val="24"/>
        </w:rPr>
      </w:pPr>
      <w:r>
        <w:rPr>
          <w:rFonts w:ascii="Times New Roman;serif" w:hAnsi="Times New Roman;serif"/>
          <w:b w:val="false"/>
          <w:sz w:val="24"/>
        </w:rPr>
        <w:t>Winston-Salem, North Carolina 27103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Attn: [Todd Girolamo, Chief Legal Officer]</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1</w:t>
      </w:r>
    </w:p>
    <w:p>
      <w:pPr>
        <w:pStyle w:val="TextBody"/>
        <w:spacing w:before="0" w:after="0"/>
        <w:jc w:val="left"/>
        <w:rPr>
          <w:rFonts w:ascii="Times New Roman;serif" w:hAnsi="Times New Roman;serif"/>
          <w:b w:val="false"/>
          <w:sz w:val="14"/>
        </w:rPr>
      </w:pPr>
      <w:r>
        <w:rPr>
          <w:rFonts w:ascii="Times New Roman;serif" w:hAnsi="Times New Roman;serif"/>
          <w:b w:val="false"/>
          <w:sz w:val="14"/>
        </w:rPr>
        <w:t xml:space="preserve">DOCPROPERTY DPWPathText \* MERGEFORMAT #96155718v5 </w:t>
      </w:r>
    </w:p>
    <w:p>
      <w:pPr>
        <w:pStyle w:val="HorizontalLine"/>
        <w:rPr/>
      </w:pPr>
      <w:r>
        <w:rPr/>
      </w:r>
    </w:p>
    <w:p>
      <w:pPr>
        <w:pStyle w:val="TextBody"/>
        <w:spacing w:before="0" w:after="120"/>
        <w:jc w:val="center"/>
        <w:rPr>
          <w:rFonts w:ascii="Times New Roman" w:hAnsi="Times New Roman"/>
          <w:sz w:val="20"/>
        </w:rPr>
      </w:pPr>
      <w:r>
        <w:rPr>
          <w:rFonts w:ascii="Times New Roman;serif" w:hAnsi="Times New Roman;serif"/>
          <w:b/>
          <w:sz w:val="24"/>
        </w:rPr>
        <w:t>ProKidney Corp.</w:t>
        <w:br/>
        <w:t xml:space="preserve">2022 INCENTIVE EQUITY PLAN </w:t>
        <w:br/>
      </w:r>
      <w:r>
        <w:rPr>
          <w:rFonts w:ascii="Times New Roman;serif" w:hAnsi="Times New Roman;serif"/>
          <w:b/>
          <w:sz w:val="24"/>
          <w:u w:val="single"/>
        </w:rPr>
        <w:t>Terms and Conditions of Option Grant</w:t>
      </w:r>
    </w:p>
    <w:p>
      <w:pPr>
        <w:pStyle w:val="TextBody"/>
        <w:spacing w:before="0" w:after="240"/>
        <w:jc w:val="both"/>
        <w:rPr>
          <w:rFonts w:ascii="Times New Roman" w:hAnsi="Times New Roman"/>
          <w:b w:val="false"/>
          <w:sz w:val="24"/>
        </w:rPr>
      </w:pPr>
      <w:r>
        <w:rPr>
          <w:rFonts w:ascii="Times New Roman" w:hAnsi="Times New Roman"/>
          <w:b w:val="false"/>
          <w:sz w:val="24"/>
        </w:rPr>
        <w:t>1.</w:t>
      </w:r>
    </w:p>
    <w:p>
      <w:pPr>
        <w:pStyle w:val="TextBody"/>
        <w:spacing w:before="0" w:after="240"/>
        <w:jc w:val="both"/>
        <w:rPr/>
      </w:pPr>
      <w:r>
        <w:rPr>
          <w:rFonts w:ascii="Times New Roman;serif" w:hAnsi="Times New Roman;serif"/>
          <w:b w:val="false"/>
          <w:sz w:val="24"/>
          <w:u w:val="single"/>
        </w:rPr>
        <w:t>GRANT OF OPTIONS</w:t>
      </w:r>
      <w:r>
        <w:rPr>
          <w:rFonts w:ascii="Times New Roman;serif" w:hAnsi="Times New Roman;serif"/>
          <w:b w:val="false"/>
          <w:sz w:val="24"/>
        </w:rPr>
        <w:t>. The Options have been granted to the Director as an incentive for the Director to continue to provide services to the Company and to align the Director’s interests with those of the Company. The Options are not intended to qualify as incentive stock options under Section 422 of the Code. Each Option shall entitle the Director to purchase from the Company, upon exercise as set forth in Section ‎4, a number of Shares as set forth above at the Exercise Price set forth above.</w:t>
      </w:r>
    </w:p>
    <w:p>
      <w:pPr>
        <w:pStyle w:val="TextBody"/>
        <w:spacing w:before="0" w:after="240"/>
        <w:jc w:val="both"/>
        <w:rPr>
          <w:rFonts w:ascii="Times New Roman" w:hAnsi="Times New Roman"/>
          <w:b w:val="false"/>
          <w:sz w:val="24"/>
        </w:rPr>
      </w:pPr>
      <w:r>
        <w:rPr>
          <w:rFonts w:ascii="Times New Roman" w:hAnsi="Times New Roman"/>
          <w:b w:val="false"/>
          <w:sz w:val="24"/>
        </w:rPr>
        <w:t>2.</w:t>
      </w:r>
    </w:p>
    <w:p>
      <w:pPr>
        <w:pStyle w:val="TextBody"/>
        <w:spacing w:before="0" w:after="240"/>
        <w:jc w:val="both"/>
        <w:rPr/>
      </w:pPr>
      <w:r>
        <w:rPr>
          <w:rFonts w:ascii="Times New Roman;serif" w:hAnsi="Times New Roman;serif"/>
          <w:b w:val="false"/>
          <w:sz w:val="24"/>
          <w:u w:val="single"/>
        </w:rPr>
        <w:t>VESTING</w:t>
      </w:r>
      <w:r>
        <w:rPr>
          <w:rFonts w:ascii="Times New Roman;serif" w:hAnsi="Times New Roman;serif"/>
          <w:b w:val="false"/>
          <w:sz w:val="24"/>
        </w:rPr>
        <w:t>. The Options shall vest and become exercisable in accordance with the Vesting Schedule, subject to the Director’s continuous service with the Company through each applicable vesting date.</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pPr>
      <w:r>
        <w:rPr>
          <w:rFonts w:ascii="Times New Roman;serif" w:hAnsi="Times New Roman;serif"/>
          <w:b w:val="false"/>
          <w:sz w:val="24"/>
        </w:rPr>
        <w:t xml:space="preserve">All unvested Options shall be immediately forfeited upon the Director’s Termination of Service for any reason, and all vested but unexercised Options may be exercised by the Director for a period of 90 days following the date of Termination of Service (or, if earlier, the Expiration Date (as defined below));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in the event of the Director’s Termination of Service (i) due to death or Disability, the Director (or the Director’s Beneficiary, if applicable) may exercise any vested Options until the first anniversary of the date of Termination of Service (or, if earlier the Expiration Date) or (ii) by the Company for Cause, all vested Options shall be immediately forfeited. </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In the event of a Change in Control, the Options shall be treated in accordance with Section 12(c) of the Plan.</w:t>
      </w:r>
    </w:p>
    <w:p>
      <w:pPr>
        <w:pStyle w:val="TextBody"/>
        <w:spacing w:before="0" w:after="240"/>
        <w:jc w:val="both"/>
        <w:rPr>
          <w:rFonts w:ascii="Times New Roman" w:hAnsi="Times New Roman"/>
          <w:b w:val="false"/>
          <w:sz w:val="24"/>
        </w:rPr>
      </w:pPr>
      <w:r>
        <w:rPr>
          <w:rFonts w:ascii="Times New Roman" w:hAnsi="Times New Roman"/>
          <w:b w:val="false"/>
          <w:sz w:val="24"/>
        </w:rPr>
        <w:t>3.</w:t>
      </w:r>
    </w:p>
    <w:p>
      <w:pPr>
        <w:pStyle w:val="TextBody"/>
        <w:spacing w:before="0" w:after="240"/>
        <w:jc w:val="both"/>
        <w:rPr/>
      </w:pPr>
      <w:r>
        <w:rPr>
          <w:rFonts w:ascii="Times New Roman;serif" w:hAnsi="Times New Roman;serif"/>
          <w:b w:val="false"/>
          <w:sz w:val="24"/>
          <w:u w:val="single"/>
        </w:rPr>
        <w:t>OPTION TERM</w:t>
      </w:r>
      <w:r>
        <w:rPr>
          <w:rFonts w:ascii="Times New Roman;serif" w:hAnsi="Times New Roman;serif"/>
          <w:b w:val="false"/>
          <w:sz w:val="24"/>
        </w:rPr>
        <w:t xml:space="preserve">. </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pPr>
      <w:r>
        <w:rPr>
          <w:rFonts w:ascii="Times New Roman;serif" w:hAnsi="Times New Roman;serif"/>
          <w:b w:val="false"/>
          <w:sz w:val="24"/>
        </w:rPr>
        <w:t>The term of the Options shall expire on the tenth anniversary of the Date of Grant (the “</w:t>
      </w:r>
      <w:r>
        <w:rPr>
          <w:rFonts w:ascii="Times New Roman;serif" w:hAnsi="Times New Roman;serif"/>
          <w:b/>
          <w:sz w:val="24"/>
        </w:rPr>
        <w:t>Expiration Date</w:t>
      </w:r>
      <w:r>
        <w:rPr/>
        <w:t>”</w:t>
      </w:r>
      <w:r>
        <w:rPr>
          <w:rFonts w:ascii="Times New Roman;serif" w:hAnsi="Times New Roman;serif"/>
          <w:b w:val="false"/>
          <w:sz w:val="24"/>
        </w:rPr>
        <w:t xml:space="preserve">), unless terminated earlier in accordance with this Agreement or the Plan. In no event may any portion of the Options be exercised after the Expiration Date. </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Upon the Expiration Date, if all or any portion of the Options has not yet been exercised and if the Fair Market Value of a Share as of such date is greater than the sum of the Exercise Price and any applicable transaction fees, then the Company shall effect a “net exercise” of the Options under which the Company reduces the number of Shares otherwise issuable to the Director upon such exercise by the number of Shares with an aggregate Fair Market Value equal to the aggregate Exercise Price.</w:t>
      </w:r>
    </w:p>
    <w:p>
      <w:pPr>
        <w:pStyle w:val="TextBody"/>
        <w:spacing w:before="0" w:after="240"/>
        <w:jc w:val="both"/>
        <w:rPr>
          <w:rFonts w:ascii="Times New Roman" w:hAnsi="Times New Roman"/>
          <w:b w:val="false"/>
          <w:sz w:val="24"/>
        </w:rPr>
      </w:pPr>
      <w:r>
        <w:rPr>
          <w:rFonts w:ascii="Times New Roman" w:hAnsi="Times New Roman"/>
          <w:b w:val="false"/>
          <w:sz w:val="24"/>
        </w:rPr>
        <w:t>4.</w:t>
      </w:r>
    </w:p>
    <w:p>
      <w:pPr>
        <w:pStyle w:val="TextBody"/>
        <w:spacing w:before="0" w:after="240"/>
        <w:jc w:val="both"/>
        <w:rPr/>
      </w:pPr>
      <w:r>
        <w:rPr>
          <w:rFonts w:ascii="Times New Roman;serif" w:hAnsi="Times New Roman;serif"/>
          <w:b w:val="false"/>
          <w:sz w:val="24"/>
          <w:u w:val="single"/>
        </w:rPr>
        <w:t>OPTION EXERCISE</w:t>
      </w:r>
      <w:r>
        <w:rPr>
          <w:rFonts w:ascii="Times New Roman;serif" w:hAnsi="Times New Roman;serif"/>
          <w:b w:val="false"/>
          <w:sz w:val="24"/>
        </w:rPr>
        <w:t>. To the extent that the Options have become vested and exercisable in accordance with Section ‎2, the Options may thereafter be exercised by the Director, in whole or in part, at any time or from time to time prior to the Expiration Date. To exercise the Options, the Director must:</w:t>
      </w:r>
    </w:p>
    <w:p>
      <w:pPr>
        <w:pStyle w:val="TextBody"/>
        <w:spacing w:before="0" w:after="0"/>
        <w:jc w:val="left"/>
        <w:rPr>
          <w:rFonts w:ascii="Times New Roman;serif" w:hAnsi="Times New Roman;serif"/>
          <w:b w:val="false"/>
          <w:sz w:val="24"/>
        </w:rPr>
      </w:pPr>
      <w:r>
        <w:rPr>
          <w:rFonts w:ascii="Times New Roman;serif" w:hAnsi="Times New Roman;serif"/>
          <w:b w:val="false"/>
          <w:sz w:val="24"/>
        </w:rPr>
        <w:t>2</w:t>
      </w:r>
    </w:p>
    <w:p>
      <w:pPr>
        <w:pStyle w:val="TextBody"/>
        <w:spacing w:before="0" w:after="0"/>
        <w:jc w:val="left"/>
        <w:rPr>
          <w:rFonts w:ascii="Times New Roman;serif" w:hAnsi="Times New Roman;serif"/>
          <w:b w:val="false"/>
          <w:sz w:val="14"/>
        </w:rPr>
      </w:pPr>
      <w:r>
        <w:rPr>
          <w:rFonts w:ascii="Times New Roman;serif" w:hAnsi="Times New Roman;serif"/>
          <w:b w:val="false"/>
          <w:sz w:val="14"/>
        </w:rPr>
        <w:t xml:space="preserve">DOCPROPERTY DPWPathText \* MERGEFORMAT #96155718v5 </w:t>
      </w:r>
    </w:p>
    <w:p>
      <w:pPr>
        <w:pStyle w:val="HorizontalLine"/>
        <w:rPr/>
      </w:pPr>
      <w:r>
        <w:rPr/>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deliver to the Company a written notice specifying the number of Shares to be purchased; and</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remit the aggregate Exercise Price to the Company in full, payable in the manner determined by the Committee from time to time in its sole discretion, which may include: (A) in cash or by check, bank draft or money order payable to the order of the Company; (B) through a procedure whereby the Director delivers irrevocable instructions to a broker reasonably acceptable to the Committee to sell Shares obtained upon exercise of the Options and to deliver promptly to the Company an amount of the proceeds of such sale equal to the aggregate Exercise Price; (C) by a “net exercise” under which the Company reduces the number of Shares otherwise issuable to the Director upon such exercise by the number of Shares with an aggregate Fair Market Value that equals the aggregate Exercise Price; or (D) any other method acceptable to the Committee.</w:t>
      </w:r>
    </w:p>
    <w:p>
      <w:pPr>
        <w:pStyle w:val="TextBody"/>
        <w:spacing w:before="0" w:after="240"/>
        <w:jc w:val="both"/>
        <w:rPr>
          <w:rFonts w:ascii="Times New Roman" w:hAnsi="Times New Roman"/>
          <w:b w:val="false"/>
          <w:sz w:val="24"/>
        </w:rPr>
      </w:pPr>
      <w:r>
        <w:rPr>
          <w:rFonts w:ascii="Times New Roman" w:hAnsi="Times New Roman"/>
          <w:b w:val="false"/>
          <w:sz w:val="24"/>
        </w:rPr>
        <w:t>5.</w:t>
      </w:r>
    </w:p>
    <w:p>
      <w:pPr>
        <w:pStyle w:val="TextBody"/>
        <w:spacing w:before="0" w:after="240"/>
        <w:jc w:val="both"/>
        <w:rPr/>
      </w:pPr>
      <w:r>
        <w:rPr>
          <w:rFonts w:ascii="Times New Roman;serif" w:hAnsi="Times New Roman;serif"/>
          <w:b w:val="false"/>
          <w:sz w:val="24"/>
          <w:u w:val="single"/>
        </w:rPr>
        <w:t>NONTRANSFERABILITY</w:t>
      </w:r>
      <w:r>
        <w:rPr>
          <w:rFonts w:ascii="Times New Roman;serif" w:hAnsi="Times New Roman;serif"/>
          <w:b w:val="false"/>
          <w:sz w:val="24"/>
        </w:rPr>
        <w:t>. No portion of the Options may be sold, assigned, transferred, encumbered, hypothecated, or pledged by the Director, other than to the Company as a result of forfeiture of the Options as provided herein, unless and until payment is made in respect of vested and exercised Options in accordance with the provisions hereof and the Director has become the holder of record of the vested Shares issuable hereunder, unless otherwise provided by the Committee. During the lifetime of the Director, the Options may be exercised only by the Director or the Director’s guardian or legal representative.</w:t>
      </w:r>
    </w:p>
    <w:p>
      <w:pPr>
        <w:pStyle w:val="TextBody"/>
        <w:spacing w:before="0" w:after="240"/>
        <w:jc w:val="both"/>
        <w:rPr>
          <w:rFonts w:ascii="Times New Roman" w:hAnsi="Times New Roman"/>
          <w:b w:val="false"/>
          <w:sz w:val="24"/>
        </w:rPr>
      </w:pPr>
      <w:r>
        <w:rPr>
          <w:rFonts w:ascii="Times New Roman" w:hAnsi="Times New Roman"/>
          <w:b w:val="false"/>
          <w:sz w:val="24"/>
        </w:rPr>
        <w:t>6.</w:t>
      </w:r>
    </w:p>
    <w:p>
      <w:pPr>
        <w:pStyle w:val="TextBody"/>
        <w:spacing w:before="0" w:after="240"/>
        <w:jc w:val="both"/>
        <w:rPr/>
      </w:pPr>
      <w:r>
        <w:rPr>
          <w:rFonts w:ascii="Times New Roman;serif" w:hAnsi="Times New Roman;serif"/>
          <w:b w:val="false"/>
          <w:sz w:val="24"/>
          <w:u w:val="single"/>
        </w:rPr>
        <w:t>TAX AND WITHHOLDING</w:t>
      </w:r>
      <w:r>
        <w:rPr>
          <w:rFonts w:ascii="Times New Roman;serif" w:hAnsi="Times New Roman;serif"/>
          <w:b w:val="false"/>
          <w:sz w:val="24"/>
        </w:rPr>
        <w:t>. The Company is not responsible for tax or other withholding obligations arising upon exercise of the Options. The Director acknowledges that he or she will be solely responsible for any tax associated with the Options.</w:t>
      </w:r>
    </w:p>
    <w:p>
      <w:pPr>
        <w:pStyle w:val="TextBody"/>
        <w:spacing w:before="0" w:after="240"/>
        <w:jc w:val="both"/>
        <w:rPr>
          <w:rFonts w:ascii="Times New Roman" w:hAnsi="Times New Roman"/>
          <w:b w:val="false"/>
          <w:sz w:val="24"/>
        </w:rPr>
      </w:pPr>
      <w:r>
        <w:rPr>
          <w:rFonts w:ascii="Times New Roman" w:hAnsi="Times New Roman"/>
          <w:b w:val="false"/>
          <w:sz w:val="24"/>
        </w:rPr>
        <w:t>7.</w:t>
      </w:r>
    </w:p>
    <w:p>
      <w:pPr>
        <w:pStyle w:val="TextBody"/>
        <w:spacing w:before="0" w:after="240"/>
        <w:jc w:val="both"/>
        <w:rPr/>
      </w:pPr>
      <w:r>
        <w:rPr>
          <w:rFonts w:ascii="Times New Roman;serif" w:hAnsi="Times New Roman;serif"/>
          <w:b w:val="false"/>
          <w:sz w:val="24"/>
          <w:u w:val="single"/>
        </w:rPr>
        <w:t>RIGHTS AS SHAREHOLDER</w:t>
      </w:r>
      <w:r>
        <w:rPr>
          <w:rFonts w:ascii="Times New Roman;serif" w:hAnsi="Times New Roman;serif"/>
          <w:b w:val="false"/>
          <w:sz w:val="24"/>
        </w:rPr>
        <w:t>. The Director will not have any rights as a shareholder of the Company or a holder of the Shares underlying the Options prior to exercise of the Options in accordance with the terms of this Agreement and the Plan.</w:t>
      </w:r>
    </w:p>
    <w:p>
      <w:pPr>
        <w:pStyle w:val="TextBody"/>
        <w:spacing w:before="0" w:after="240"/>
        <w:jc w:val="both"/>
        <w:rPr>
          <w:rFonts w:ascii="Times New Roman" w:hAnsi="Times New Roman"/>
          <w:b w:val="false"/>
          <w:sz w:val="24"/>
        </w:rPr>
      </w:pPr>
      <w:r>
        <w:rPr>
          <w:rFonts w:ascii="Times New Roman" w:hAnsi="Times New Roman"/>
          <w:b w:val="false"/>
          <w:sz w:val="24"/>
        </w:rPr>
        <w:t>8.</w:t>
      </w:r>
    </w:p>
    <w:p>
      <w:pPr>
        <w:pStyle w:val="TextBody"/>
        <w:spacing w:before="0" w:after="240"/>
        <w:jc w:val="both"/>
        <w:rPr/>
      </w:pPr>
      <w:r>
        <w:rPr>
          <w:rFonts w:ascii="Times New Roman;serif" w:hAnsi="Times New Roman;serif"/>
          <w:b w:val="false"/>
          <w:sz w:val="24"/>
          <w:u w:val="single"/>
        </w:rPr>
        <w:t>SECURITIES LAW COMPLIANCE</w:t>
      </w:r>
      <w:r>
        <w:rPr>
          <w:rFonts w:ascii="Times New Roman;serif" w:hAnsi="Times New Roman;serif"/>
          <w:b w:val="false"/>
          <w:sz w:val="24"/>
        </w:rPr>
        <w:t>. The Company may, if it determines it is appropriate, affix any legend to the share certificates representing Shares issued upon exercise of the Options and any share certificates that may subsequently be issued in substitution for the original certificates. The Company may advise the transfer agent to place a stop order against such Shares if it determines that such an order is necessary or advisable.</w:t>
      </w:r>
    </w:p>
    <w:p>
      <w:pPr>
        <w:pStyle w:val="TextBody"/>
        <w:spacing w:before="0" w:after="240"/>
        <w:jc w:val="both"/>
        <w:rPr>
          <w:rFonts w:ascii="Times New Roman" w:hAnsi="Times New Roman"/>
          <w:b w:val="false"/>
          <w:sz w:val="24"/>
        </w:rPr>
      </w:pPr>
      <w:r>
        <w:rPr>
          <w:rFonts w:ascii="Times New Roman" w:hAnsi="Times New Roman"/>
          <w:b w:val="false"/>
          <w:sz w:val="24"/>
        </w:rPr>
        <w:t>9.</w:t>
      </w:r>
    </w:p>
    <w:p>
      <w:pPr>
        <w:pStyle w:val="TextBody"/>
        <w:spacing w:before="0" w:after="240"/>
        <w:jc w:val="both"/>
        <w:rPr/>
      </w:pPr>
      <w:r>
        <w:rPr>
          <w:rFonts w:ascii="Times New Roman;serif" w:hAnsi="Times New Roman;serif"/>
          <w:b w:val="false"/>
          <w:sz w:val="24"/>
          <w:u w:val="single"/>
        </w:rPr>
        <w:t>COMPLIANCE WITH LAW</w:t>
      </w:r>
      <w:r>
        <w:rPr>
          <w:rFonts w:ascii="Times New Roman;serif" w:hAnsi="Times New Roman;serif"/>
          <w:b w:val="false"/>
          <w:sz w:val="24"/>
        </w:rPr>
        <w:t>. Any sale, assignment, transfer, pledge, mortgage, encumbrance or other disposition of Shares issued upon exercise of the Options (whether directly or indirectly, whether or not for value and whether or not voluntary) must be made in compliance with any applicable constitution, rule, regulation or policy of any of the exchanges, associations or other institutions with which the Company has membership or other privileges, and any applicable law, or applicable rule or regulation of any governmental agency, self-regulatory organization or state or federal regulatory body.</w:t>
      </w:r>
    </w:p>
    <w:p>
      <w:pPr>
        <w:pStyle w:val="TextBody"/>
        <w:spacing w:before="0" w:after="240"/>
        <w:jc w:val="both"/>
        <w:rPr>
          <w:rFonts w:ascii="Times New Roman" w:hAnsi="Times New Roman"/>
          <w:b w:val="false"/>
          <w:sz w:val="24"/>
        </w:rPr>
      </w:pPr>
      <w:r>
        <w:rPr>
          <w:rFonts w:ascii="Times New Roman" w:hAnsi="Times New Roman"/>
          <w:b w:val="false"/>
          <w:sz w:val="24"/>
        </w:rPr>
        <w:t>10.</w:t>
      </w:r>
    </w:p>
    <w:p>
      <w:pPr>
        <w:pStyle w:val="TextBody"/>
        <w:spacing w:before="0" w:after="240"/>
        <w:jc w:val="both"/>
        <w:rPr/>
      </w:pPr>
      <w:r>
        <w:rPr>
          <w:rFonts w:ascii="Times New Roman;serif" w:hAnsi="Times New Roman;serif"/>
          <w:b w:val="false"/>
          <w:sz w:val="24"/>
          <w:u w:val="single"/>
        </w:rPr>
        <w:t>MISCELLANEOUS</w:t>
      </w:r>
      <w:r>
        <w:rPr>
          <w:rFonts w:ascii="Times New Roman;serif" w:hAnsi="Times New Roman;serif"/>
          <w:b w:val="false"/>
          <w:sz w:val="24"/>
        </w:rPr>
        <w:t>.</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pPr>
      <w:r>
        <w:rPr>
          <w:rFonts w:ascii="Times New Roman;serif" w:hAnsi="Times New Roman;serif"/>
          <w:b w:val="false"/>
          <w:i/>
          <w:sz w:val="24"/>
        </w:rPr>
        <w:t>No Right To Continued Service</w:t>
      </w:r>
      <w:r>
        <w:rPr>
          <w:rFonts w:ascii="Times New Roman;serif" w:hAnsi="Times New Roman;serif"/>
          <w:b w:val="false"/>
          <w:sz w:val="24"/>
        </w:rPr>
        <w:t xml:space="preserve">. This Agreement shall not confer upon the Director any right to continue in the service of the Company or any Affiliate or to be entitled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3</w:t>
      </w:r>
    </w:p>
    <w:p>
      <w:pPr>
        <w:pStyle w:val="TextBody"/>
        <w:spacing w:before="0" w:after="0"/>
        <w:jc w:val="left"/>
        <w:rPr>
          <w:rFonts w:ascii="Times New Roman;serif" w:hAnsi="Times New Roman;serif"/>
          <w:b w:val="false"/>
          <w:sz w:val="14"/>
        </w:rPr>
      </w:pPr>
      <w:r>
        <w:rPr>
          <w:rFonts w:ascii="Times New Roman;serif" w:hAnsi="Times New Roman;serif"/>
          <w:b w:val="false"/>
          <w:sz w:val="14"/>
        </w:rPr>
        <w:t xml:space="preserve">DOCPROPERTY DPWPathText \* MERGEFORMAT #96155718v5 </w:t>
      </w:r>
    </w:p>
    <w:p>
      <w:pPr>
        <w:pStyle w:val="HorizontalLine"/>
        <w:rPr/>
      </w:pPr>
      <w:r>
        <w:rPr/>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to any remuneration or benefits not set forth in this Agreement or the Plan nor interfere with or limit the right of the Company or any Affiliate to modify the terms of or terminate the Director’s service at any time.</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pPr>
      <w:r>
        <w:rPr>
          <w:rFonts w:ascii="Times New Roman;serif" w:hAnsi="Times New Roman;serif"/>
          <w:b w:val="false"/>
          <w:i/>
          <w:sz w:val="24"/>
        </w:rPr>
        <w:t>No Advice Regarding Grant</w:t>
      </w:r>
      <w:r>
        <w:rPr>
          <w:rFonts w:ascii="Times New Roman;serif" w:hAnsi="Times New Roman;serif"/>
          <w:b w:val="false"/>
          <w:sz w:val="24"/>
        </w:rPr>
        <w:t>. The Company is not providing any tax, legal or financial advice, nor is the Company making any recommendations regarding the Director’s participation in the Plan or acquisition or sale of the underlying Shares. The Director is hereby advised to consult with his or her own personal tax, legal and financial advisors regarding his or her participation in the Plan before taking any action related to the Plan or the Options.</w:t>
      </w:r>
    </w:p>
    <w:p>
      <w:pPr>
        <w:pStyle w:val="TextBody"/>
        <w:spacing w:before="0" w:after="240"/>
        <w:jc w:val="both"/>
        <w:rPr>
          <w:rFonts w:ascii="Times New Roman" w:hAnsi="Times New Roman"/>
          <w:b w:val="false"/>
          <w:sz w:val="24"/>
        </w:rPr>
      </w:pPr>
      <w:r>
        <w:rPr>
          <w:rFonts w:ascii="Times New Roman" w:hAnsi="Times New Roman"/>
          <w:b w:val="false"/>
          <w:sz w:val="24"/>
        </w:rPr>
        <w:t>(c)</w:t>
      </w:r>
    </w:p>
    <w:p>
      <w:pPr>
        <w:pStyle w:val="TextBody"/>
        <w:spacing w:before="0" w:after="240"/>
        <w:jc w:val="both"/>
        <w:rPr/>
      </w:pPr>
      <w:r>
        <w:rPr>
          <w:rFonts w:ascii="Times New Roman;serif" w:hAnsi="Times New Roman;serif"/>
          <w:b w:val="false"/>
          <w:i/>
          <w:sz w:val="24"/>
        </w:rPr>
        <w:t>Cancellation/Clawback</w:t>
      </w:r>
      <w:r>
        <w:rPr>
          <w:rFonts w:ascii="Times New Roman;serif" w:hAnsi="Times New Roman;serif"/>
          <w:b w:val="false"/>
          <w:sz w:val="24"/>
        </w:rPr>
        <w:t>. The Director hereby acknowledges and agrees that the Director and the Options are subject to the terms and conditions of Section 18 of the Plan (regarding the cancellation or “clawback” of Awards).</w:t>
      </w:r>
    </w:p>
    <w:p>
      <w:pPr>
        <w:pStyle w:val="TextBody"/>
        <w:spacing w:before="0" w:after="240"/>
        <w:jc w:val="both"/>
        <w:rPr>
          <w:rFonts w:ascii="Times New Roman" w:hAnsi="Times New Roman"/>
          <w:b w:val="false"/>
          <w:sz w:val="24"/>
        </w:rPr>
      </w:pPr>
      <w:r>
        <w:rPr>
          <w:rFonts w:ascii="Times New Roman" w:hAnsi="Times New Roman"/>
          <w:b w:val="false"/>
          <w:sz w:val="24"/>
        </w:rPr>
        <w:t>(d)</w:t>
      </w:r>
    </w:p>
    <w:p>
      <w:pPr>
        <w:pStyle w:val="TextBody"/>
        <w:spacing w:before="0" w:after="240"/>
        <w:jc w:val="both"/>
        <w:rPr/>
      </w:pPr>
      <w:r>
        <w:rPr>
          <w:rFonts w:ascii="Times New Roman;serif" w:hAnsi="Times New Roman;serif"/>
          <w:b w:val="false"/>
          <w:i/>
          <w:sz w:val="24"/>
        </w:rPr>
        <w:t>Plan to Govern</w:t>
      </w:r>
      <w:r>
        <w:rPr>
          <w:rFonts w:ascii="Times New Roman;serif" w:hAnsi="Times New Roman;serif"/>
          <w:b w:val="false"/>
          <w:sz w:val="24"/>
        </w:rPr>
        <w:t>. This Agreement and the rights of the Director hereunder are subject to all of the terms and conditions of the Plan as the same may be amended from time to time, as well as to such rules and regulations as the Committee may adopt for the administration of the Plan.</w:t>
      </w:r>
    </w:p>
    <w:p>
      <w:pPr>
        <w:pStyle w:val="TextBody"/>
        <w:spacing w:before="0" w:after="240"/>
        <w:jc w:val="both"/>
        <w:rPr>
          <w:rFonts w:ascii="Times New Roman" w:hAnsi="Times New Roman"/>
          <w:b w:val="false"/>
          <w:sz w:val="24"/>
        </w:rPr>
      </w:pPr>
      <w:r>
        <w:rPr>
          <w:rFonts w:ascii="Times New Roman" w:hAnsi="Times New Roman"/>
          <w:b w:val="false"/>
          <w:sz w:val="24"/>
        </w:rPr>
        <w:t>(e)</w:t>
      </w:r>
    </w:p>
    <w:p>
      <w:pPr>
        <w:pStyle w:val="TextBody"/>
        <w:spacing w:before="0" w:after="240"/>
        <w:jc w:val="both"/>
        <w:rPr/>
      </w:pPr>
      <w:r>
        <w:rPr>
          <w:rFonts w:ascii="Times New Roman;serif" w:hAnsi="Times New Roman;serif"/>
          <w:b w:val="false"/>
          <w:i/>
          <w:sz w:val="24"/>
        </w:rPr>
        <w:t>Amendment</w:t>
      </w:r>
      <w:r>
        <w:rPr>
          <w:rFonts w:ascii="Times New Roman;serif" w:hAnsi="Times New Roman;serif"/>
          <w:b w:val="false"/>
          <w:sz w:val="24"/>
        </w:rPr>
        <w:t>. Subject to the restrictions set forth in the Plan, the Company may from time to time amend, alter, suspend, discontinue or terminate this Agreement or the Plan. Subject to the Company’s rights pursuant to Sections 5(c) and 12 of the Plan, no such action may, without the consent of the Director, materially adversely affect the rights of the Director with respect to the Options granted pursuant to this Agreement, except (A) to the extent any such action is made to cause the Plan or the Options to comply with applicable law, stock market or exchange rules and regulations or accounting or tax rules and regulations, or (y) to impose any “clawback” or recoupment provisions in accordance with Section 18 of the Plan.</w:t>
      </w:r>
    </w:p>
    <w:p>
      <w:pPr>
        <w:pStyle w:val="TextBody"/>
        <w:spacing w:before="0" w:after="240"/>
        <w:jc w:val="both"/>
        <w:rPr>
          <w:rFonts w:ascii="Times New Roman" w:hAnsi="Times New Roman"/>
          <w:b w:val="false"/>
          <w:sz w:val="24"/>
        </w:rPr>
      </w:pPr>
      <w:r>
        <w:rPr>
          <w:rFonts w:ascii="Times New Roman" w:hAnsi="Times New Roman"/>
          <w:b w:val="false"/>
          <w:sz w:val="24"/>
        </w:rPr>
        <w:t>(f)</w:t>
      </w:r>
    </w:p>
    <w:p>
      <w:pPr>
        <w:pStyle w:val="TextBody"/>
        <w:spacing w:before="0" w:after="240"/>
        <w:jc w:val="both"/>
        <w:rPr/>
      </w:pPr>
      <w:r>
        <w:rPr>
          <w:rFonts w:ascii="Times New Roman;serif" w:hAnsi="Times New Roman;serif"/>
          <w:b w:val="false"/>
          <w:i/>
          <w:sz w:val="24"/>
        </w:rPr>
        <w:t>Severability</w:t>
      </w:r>
      <w:r>
        <w:rPr>
          <w:rFonts w:ascii="Times New Roman;serif" w:hAnsi="Times New Roman;serif"/>
          <w:b w:val="false"/>
          <w:sz w:val="24"/>
        </w:rPr>
        <w:t>. In the event that any provision of this Agreement shall he held illegal or invalid for any reason, such illegality or invalidity shall not affect the remaining provisions of this Agreement, and this Agreement shall be construed and enforced as if the illegal or invalid provision had not been included.</w:t>
      </w:r>
    </w:p>
    <w:p>
      <w:pPr>
        <w:pStyle w:val="TextBody"/>
        <w:spacing w:before="0" w:after="240"/>
        <w:jc w:val="both"/>
        <w:rPr>
          <w:rFonts w:ascii="Times New Roman" w:hAnsi="Times New Roman"/>
          <w:b w:val="false"/>
          <w:sz w:val="24"/>
        </w:rPr>
      </w:pPr>
      <w:r>
        <w:rPr>
          <w:rFonts w:ascii="Times New Roman" w:hAnsi="Times New Roman"/>
          <w:b w:val="false"/>
          <w:sz w:val="24"/>
        </w:rPr>
        <w:t>(g)</w:t>
      </w:r>
    </w:p>
    <w:p>
      <w:pPr>
        <w:pStyle w:val="TextBody"/>
        <w:spacing w:before="0" w:after="240"/>
        <w:jc w:val="both"/>
        <w:rPr/>
      </w:pPr>
      <w:r>
        <w:rPr>
          <w:rFonts w:ascii="Times New Roman;serif" w:hAnsi="Times New Roman;serif"/>
          <w:b w:val="false"/>
          <w:i/>
          <w:sz w:val="24"/>
        </w:rPr>
        <w:t>Entire Agreement</w:t>
      </w:r>
      <w:r>
        <w:rPr>
          <w:rFonts w:ascii="Times New Roman;serif" w:hAnsi="Times New Roman;serif"/>
          <w:b w:val="false"/>
          <w:sz w:val="24"/>
        </w:rPr>
        <w:t>. This Agreement and the Plan contain all of the understandings between the Company and the Director concerning the Options granted hereunder and supersede all prior agreements and understandings.</w:t>
      </w:r>
    </w:p>
    <w:p>
      <w:pPr>
        <w:pStyle w:val="TextBody"/>
        <w:spacing w:before="0" w:after="240"/>
        <w:jc w:val="both"/>
        <w:rPr>
          <w:rFonts w:ascii="Times New Roman" w:hAnsi="Times New Roman"/>
          <w:b w:val="false"/>
          <w:sz w:val="24"/>
        </w:rPr>
      </w:pPr>
      <w:r>
        <w:rPr>
          <w:rFonts w:ascii="Times New Roman" w:hAnsi="Times New Roman"/>
          <w:b w:val="false"/>
          <w:sz w:val="24"/>
        </w:rPr>
        <w:t>(h)</w:t>
      </w:r>
    </w:p>
    <w:p>
      <w:pPr>
        <w:pStyle w:val="TextBody"/>
        <w:spacing w:before="0" w:after="240"/>
        <w:jc w:val="both"/>
        <w:rPr/>
      </w:pPr>
      <w:r>
        <w:rPr>
          <w:rFonts w:ascii="Times New Roman;serif" w:hAnsi="Times New Roman;serif"/>
          <w:b w:val="false"/>
          <w:i/>
          <w:sz w:val="24"/>
        </w:rPr>
        <w:t>Successors</w:t>
      </w:r>
      <w:r>
        <w:rPr>
          <w:rFonts w:ascii="Times New Roman;serif" w:hAnsi="Times New Roman;serif"/>
          <w:b w:val="false"/>
          <w:sz w:val="24"/>
        </w:rPr>
        <w:t>. This Agreement shall be binding upon and inure to the benefit of any successor or successors of the Company and any person or persons who shall, upon the Director’s death, acquire any rights hereunder in accordance with this Agreement or the Plan.</w:t>
      </w:r>
    </w:p>
    <w:p>
      <w:pPr>
        <w:pStyle w:val="TextBody"/>
        <w:spacing w:before="0" w:after="240"/>
        <w:jc w:val="both"/>
        <w:rPr>
          <w:rFonts w:ascii="Times New Roman" w:hAnsi="Times New Roman"/>
          <w:b w:val="false"/>
          <w:sz w:val="24"/>
        </w:rPr>
      </w:pPr>
      <w:r>
        <w:rPr>
          <w:rFonts w:ascii="Times New Roman" w:hAnsi="Times New Roman"/>
          <w:b w:val="false"/>
          <w:sz w:val="24"/>
        </w:rPr>
        <w:t>(i)</w:t>
      </w:r>
    </w:p>
    <w:p>
      <w:pPr>
        <w:pStyle w:val="TextBody"/>
        <w:spacing w:before="0" w:after="240"/>
        <w:jc w:val="both"/>
        <w:rPr/>
      </w:pPr>
      <w:r>
        <w:rPr>
          <w:rFonts w:ascii="Times New Roman;serif" w:hAnsi="Times New Roman;serif"/>
          <w:b w:val="false"/>
          <w:i/>
          <w:sz w:val="24"/>
        </w:rPr>
        <w:t>Governing Law</w:t>
      </w:r>
      <w:r>
        <w:rPr>
          <w:rFonts w:ascii="Times New Roman;serif" w:hAnsi="Times New Roman;serif"/>
          <w:b w:val="false"/>
          <w:sz w:val="24"/>
        </w:rPr>
        <w:t>. To the extent not preempted by federal law, this Agreement shall be construed in accordance with and governed by the laws of the State of Delaware, without regard to any conflicts or choice of law, rule or principle that might otherwise refer the interpretation of the award to the substantive law of another jurisdiction.</w:t>
      </w:r>
    </w:p>
    <w:p>
      <w:pPr>
        <w:pStyle w:val="TextBody"/>
        <w:spacing w:before="0" w:after="0"/>
        <w:jc w:val="left"/>
        <w:rPr>
          <w:rFonts w:ascii="Times New Roman;serif" w:hAnsi="Times New Roman;serif"/>
          <w:b w:val="false"/>
          <w:sz w:val="24"/>
        </w:rPr>
      </w:pPr>
      <w:r>
        <w:rPr>
          <w:rFonts w:ascii="Times New Roman;serif" w:hAnsi="Times New Roman;serif"/>
          <w:b w:val="false"/>
          <w:sz w:val="24"/>
        </w:rPr>
        <w:t>4</w:t>
      </w:r>
    </w:p>
    <w:p>
      <w:pPr>
        <w:pStyle w:val="TextBody"/>
        <w:spacing w:before="0" w:after="0"/>
        <w:jc w:val="left"/>
        <w:rPr>
          <w:rFonts w:ascii="Times New Roman;serif" w:hAnsi="Times New Roman;serif"/>
          <w:b w:val="false"/>
          <w:sz w:val="14"/>
        </w:rPr>
      </w:pPr>
      <w:r>
        <w:rPr>
          <w:rFonts w:ascii="Times New Roman;serif" w:hAnsi="Times New Roman;serif"/>
          <w:b w:val="false"/>
          <w:sz w:val="14"/>
        </w:rPr>
        <w:t xml:space="preserve">DOCPROPERTY DPWPathText \* MERGEFORMAT #96155718v5 </w:t>
      </w:r>
    </w:p>
    <w:p>
      <w:pPr>
        <w:pStyle w:val="HorizontalLine"/>
        <w:rPr/>
      </w:pPr>
      <w:r>
        <w:rPr/>
      </w:r>
    </w:p>
    <w:p>
      <w:pPr>
        <w:pStyle w:val="TextBody"/>
        <w:spacing w:before="0" w:after="240"/>
        <w:jc w:val="both"/>
        <w:rPr>
          <w:rFonts w:ascii="Times New Roman" w:hAnsi="Times New Roman"/>
          <w:b w:val="false"/>
          <w:sz w:val="24"/>
        </w:rPr>
      </w:pPr>
      <w:r>
        <w:rPr>
          <w:rFonts w:ascii="Times New Roman" w:hAnsi="Times New Roman"/>
          <w:b w:val="false"/>
          <w:sz w:val="24"/>
        </w:rPr>
        <w:t>(j)</w:t>
      </w:r>
    </w:p>
    <w:p>
      <w:pPr>
        <w:pStyle w:val="TextBody"/>
        <w:spacing w:before="0" w:after="240"/>
        <w:jc w:val="both"/>
        <w:rPr/>
      </w:pPr>
      <w:r>
        <w:rPr>
          <w:rFonts w:ascii="Times New Roman;serif" w:hAnsi="Times New Roman;serif"/>
          <w:b w:val="false"/>
          <w:i/>
          <w:sz w:val="24"/>
        </w:rPr>
        <w:t>Compliance with Section 409A of the Internal Revenue Code</w:t>
      </w:r>
      <w:r>
        <w:rPr>
          <w:rFonts w:ascii="Times New Roman;serif" w:hAnsi="Times New Roman;serif"/>
          <w:b w:val="false"/>
          <w:sz w:val="24"/>
        </w:rPr>
        <w:t>. The</w:t>
      </w:r>
      <w:r>
        <w:rPr/>
        <w:t xml:space="preserve"> </w:t>
      </w:r>
      <w:r>
        <w:rPr>
          <w:rFonts w:ascii="Times New Roman;serif" w:hAnsi="Times New Roman;serif"/>
          <w:b w:val="false"/>
          <w:sz w:val="24"/>
        </w:rPr>
        <w:t>Options are intended to comply with Section 409A of the Code (“</w:t>
      </w:r>
      <w:r>
        <w:rPr>
          <w:rFonts w:ascii="Times New Roman;serif" w:hAnsi="Times New Roman;serif"/>
          <w:b/>
          <w:sz w:val="24"/>
        </w:rPr>
        <w:t>Section 409A</w:t>
      </w:r>
      <w:r>
        <w:rPr/>
        <w:t>”</w:t>
      </w:r>
      <w:r>
        <w:rPr>
          <w:rFonts w:ascii="Times New Roman;serif" w:hAnsi="Times New Roman;serif"/>
          <w:b w:val="false"/>
          <w:sz w:val="24"/>
        </w:rPr>
        <w:t>) to the extent subject thereto, and shall be interpreted in accordance with Section 409A and treasury regulations and other interpretive guidance issued thereunder, including without limitation any such regulations or other guidance that may be issued after the Date of Grant. The Company reserves the right to modify the terms of this Agreement, including, without limitation, the payment provisions applicable to the Options, to the extent necessary or advisable to comply with Section 409A and reserves the right to make any changes to the Options so that the Options do not become deferred compensation under Section 409A.</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Notwithstanding any provision of the Plan or this Agreement to the contrary, in no event shall the Company or an Affiliate be liable to the Director on account of failure of the Options to (i) qualify for favorable U.S. or foreign tax treatment or (ii) avoid adverse tax treatment under U.S. or foreign law, including, without limitation, under Section 409A.</w:t>
      </w:r>
    </w:p>
    <w:p>
      <w:pPr>
        <w:pStyle w:val="TextBody"/>
        <w:spacing w:before="0" w:after="240"/>
        <w:jc w:val="center"/>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5</w:t>
      </w:r>
    </w:p>
    <w:p>
      <w:pPr>
        <w:pStyle w:val="TextBody"/>
        <w:spacing w:before="0" w:after="0"/>
        <w:jc w:val="left"/>
        <w:rPr>
          <w:rFonts w:ascii="Times New Roman;serif" w:hAnsi="Times New Roman;serif"/>
          <w:b w:val="false"/>
          <w:sz w:val="14"/>
        </w:rPr>
      </w:pPr>
      <w:r>
        <w:rPr>
          <w:rFonts w:ascii="Times New Roman;serif" w:hAnsi="Times New Roman;serif"/>
          <w:b w:val="false"/>
          <w:sz w:val="14"/>
        </w:rPr>
        <w:t xml:space="preserve">DOCPROPERTY DPWPathText \* MERGEFORMAT #96155718v5 </w:t>
      </w:r>
    </w:p>
    <w:p>
      <w:pPr>
        <w:pStyle w:val="HorizontalLine"/>
        <w:rPr/>
      </w:pPr>
      <w:r>
        <w:rPr/>
      </w:r>
      <w:r>
        <w:br w:type="page"/>
      </w:r>
    </w:p>
    <w:p>
      <w:pPr>
        <w:pStyle w:val="TextBody"/>
        <w:spacing w:before="0" w:after="0"/>
        <w:jc w:val="right"/>
        <w:rPr>
          <w:rFonts w:ascii="Times New Roman;serif" w:hAnsi="Times New Roman;serif"/>
          <w:b/>
          <w:sz w:val="24"/>
        </w:rPr>
      </w:pPr>
      <w:bookmarkStart w:id="172" w:name="prok-ex10_18.htm"/>
      <w:bookmarkStart w:id="173" w:name="ksprokex10_18"/>
      <w:bookmarkEnd w:id="172"/>
      <w:bookmarkEnd w:id="173"/>
      <w:r>
        <w:rPr>
          <w:rFonts w:ascii="Times New Roman;serif" w:hAnsi="Times New Roman;serif"/>
          <w:b/>
          <w:sz w:val="24"/>
        </w:rPr>
        <w:t>Exhibit 10.18</w:t>
      </w:r>
    </w:p>
    <w:p>
      <w:pPr>
        <w:pStyle w:val="TextBody"/>
        <w:spacing w:before="0" w:after="0"/>
        <w:jc w:val="right"/>
        <w:rPr/>
      </w:pPr>
      <w:r>
        <w:rPr/>
        <w:t> </w:t>
      </w:r>
    </w:p>
    <w:p>
      <w:pPr>
        <w:pStyle w:val="TextBody"/>
        <w:spacing w:before="0" w:after="120"/>
        <w:jc w:val="center"/>
        <w:rPr>
          <w:rFonts w:ascii="Times New Roman;serif" w:hAnsi="Times New Roman;serif"/>
          <w:b/>
          <w:sz w:val="24"/>
        </w:rPr>
      </w:pPr>
      <w:r>
        <w:rPr>
          <w:rFonts w:ascii="Times New Roman;serif" w:hAnsi="Times New Roman;serif"/>
          <w:b/>
          <w:sz w:val="24"/>
        </w:rPr>
        <w:t>PROKIDNEY CORP.</w:t>
      </w:r>
    </w:p>
    <w:p>
      <w:pPr>
        <w:pStyle w:val="TextBody"/>
        <w:spacing w:before="0" w:after="120"/>
        <w:jc w:val="center"/>
        <w:rPr>
          <w:rFonts w:ascii="Times New Roman;serif" w:hAnsi="Times New Roman;serif"/>
          <w:b/>
          <w:sz w:val="24"/>
        </w:rPr>
      </w:pPr>
      <w:r>
        <w:rPr>
          <w:rFonts w:ascii="Times New Roman;serif" w:hAnsi="Times New Roman;serif"/>
          <w:b/>
          <w:sz w:val="24"/>
        </w:rPr>
        <w:t>INCENTIVE STOCK OPTION AWARD AGREEMENT</w:t>
      </w:r>
    </w:p>
    <w:p>
      <w:pPr>
        <w:pStyle w:val="TextBody"/>
        <w:spacing w:before="0" w:after="240"/>
        <w:jc w:val="center"/>
        <w:rPr>
          <w:rFonts w:ascii="Times New Roman;serif" w:hAnsi="Times New Roman;serif"/>
          <w:b/>
          <w:sz w:val="24"/>
        </w:rPr>
      </w:pPr>
      <w:r>
        <w:rPr>
          <w:rFonts w:ascii="Times New Roman;serif" w:hAnsi="Times New Roman;serif"/>
          <w:b/>
          <w:sz w:val="24"/>
        </w:rPr>
        <w:t>(For Employees)</w:t>
      </w:r>
    </w:p>
    <w:p>
      <w:pPr>
        <w:pStyle w:val="TextBody"/>
        <w:spacing w:before="0" w:after="240"/>
        <w:jc w:val="both"/>
        <w:rPr>
          <w:rFonts w:ascii="Times New Roman" w:hAnsi="Times New Roman"/>
          <w:sz w:val="20"/>
        </w:rPr>
      </w:pPr>
      <w:r>
        <w:rPr>
          <w:rFonts w:ascii="Times New Roman;serif" w:hAnsi="Times New Roman;serif"/>
          <w:b w:val="false"/>
          <w:sz w:val="24"/>
        </w:rPr>
        <w:t>This Incentive Stock Option Award Agreement (“</w:t>
      </w:r>
      <w:r>
        <w:rPr>
          <w:rFonts w:ascii="Times New Roman;serif" w:hAnsi="Times New Roman;serif"/>
          <w:b/>
          <w:sz w:val="24"/>
        </w:rPr>
        <w:t>Agreement</w:t>
      </w:r>
      <w:r>
        <w:rPr>
          <w:rFonts w:ascii="Times New Roman" w:hAnsi="Times New Roman"/>
          <w:sz w:val="20"/>
        </w:rPr>
        <w:t>”</w:t>
      </w:r>
      <w:r>
        <w:rPr>
          <w:rFonts w:ascii="Times New Roman;serif" w:hAnsi="Times New Roman;serif"/>
          <w:b w:val="false"/>
          <w:sz w:val="24"/>
        </w:rPr>
        <w:t>) is entered into by and between ProKidney Corp. (the “</w:t>
      </w:r>
      <w:r>
        <w:rPr>
          <w:rFonts w:ascii="Times New Roman;serif" w:hAnsi="Times New Roman;serif"/>
          <w:b/>
          <w:sz w:val="24"/>
        </w:rPr>
        <w:t>Company</w:t>
      </w:r>
      <w:r>
        <w:rPr>
          <w:rFonts w:ascii="Times New Roman" w:hAnsi="Times New Roman"/>
          <w:sz w:val="20"/>
        </w:rPr>
        <w:t>”</w:t>
      </w:r>
      <w:r>
        <w:rPr>
          <w:rFonts w:ascii="Times New Roman;serif" w:hAnsi="Times New Roman;serif"/>
          <w:b w:val="false"/>
          <w:sz w:val="24"/>
        </w:rPr>
        <w:t>) and the employee whose name appears below (the “</w:t>
      </w:r>
      <w:r>
        <w:rPr>
          <w:rFonts w:ascii="Times New Roman;serif" w:hAnsi="Times New Roman;serif"/>
          <w:b/>
          <w:sz w:val="24"/>
        </w:rPr>
        <w:t>Participant</w:t>
      </w:r>
      <w:r>
        <w:rPr>
          <w:rFonts w:ascii="Times New Roman" w:hAnsi="Times New Roman"/>
          <w:sz w:val="20"/>
        </w:rPr>
        <w:t>”</w:t>
      </w:r>
      <w:r>
        <w:rPr>
          <w:rFonts w:ascii="Times New Roman;serif" w:hAnsi="Times New Roman;serif"/>
          <w:b w:val="false"/>
          <w:sz w:val="24"/>
        </w:rPr>
        <w:t>) in order to set forth the terms and conditions of Incentive Stock Options (the “</w:t>
      </w:r>
      <w:r>
        <w:rPr>
          <w:rFonts w:ascii="Times New Roman;serif" w:hAnsi="Times New Roman;serif"/>
          <w:b/>
          <w:sz w:val="24"/>
        </w:rPr>
        <w:t>Options</w:t>
      </w:r>
      <w:r>
        <w:rPr>
          <w:rFonts w:ascii="Times New Roman" w:hAnsi="Times New Roman"/>
          <w:sz w:val="20"/>
        </w:rPr>
        <w:t>”</w:t>
      </w:r>
      <w:r>
        <w:rPr>
          <w:rFonts w:ascii="Times New Roman;serif" w:hAnsi="Times New Roman;serif"/>
          <w:b w:val="false"/>
          <w:sz w:val="24"/>
        </w:rPr>
        <w:t>) granted to the Participant under the ProKidney Corp. 2022 Incentive Equity Plan (as may be amended and restated from time to time, the “</w:t>
      </w:r>
      <w:r>
        <w:rPr>
          <w:rFonts w:ascii="Times New Roman;serif" w:hAnsi="Times New Roman;serif"/>
          <w:b/>
          <w:sz w:val="24"/>
        </w:rPr>
        <w:t>Plan</w:t>
      </w:r>
      <w:r>
        <w:rPr>
          <w:rFonts w:ascii="Times New Roman" w:hAnsi="Times New Roman"/>
          <w:sz w:val="20"/>
        </w:rPr>
        <w:t>”</w:t>
      </w:r>
      <w:r>
        <w:rPr>
          <w:rFonts w:ascii="Times New Roman;serif" w:hAnsi="Times New Roman;serif"/>
          <w:b w:val="false"/>
          <w:sz w:val="24"/>
        </w:rPr>
        <w:t>).</w:t>
      </w:r>
    </w:p>
    <w:p>
      <w:pPr>
        <w:pStyle w:val="TextBody"/>
        <w:spacing w:before="0" w:after="0"/>
        <w:jc w:val="both"/>
        <w:rPr>
          <w:rFonts w:ascii="Times New Roman;serif" w:hAnsi="Times New Roman;serif"/>
          <w:b/>
          <w:sz w:val="24"/>
        </w:rPr>
      </w:pPr>
      <w:r>
        <w:rPr>
          <w:rFonts w:ascii="Times New Roman;serif" w:hAnsi="Times New Roman;serif"/>
          <w:b/>
          <w:sz w:val="24"/>
        </w:rPr>
        <w:t>Participant’s Name:</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054"/>
        <w:gridCol w:w="1512"/>
        <w:gridCol w:w="3299"/>
        <w:gridCol w:w="1513"/>
        <w:gridCol w:w="1827"/>
      </w:tblGrid>
      <w:tr>
        <w:trPr/>
        <w:tc>
          <w:tcPr>
            <w:tcW w:w="2054" w:type="dxa"/>
            <w:tcBorders/>
            <w:shd w:fill="auto" w:val="clear"/>
            <w:vAlign w:val="center"/>
          </w:tcPr>
          <w:p>
            <w:pPr>
              <w:pStyle w:val="TableContents"/>
              <w:spacing w:before="0" w:after="283"/>
              <w:rPr>
                <w:sz w:val="4"/>
                <w:szCs w:val="4"/>
              </w:rPr>
            </w:pPr>
            <w:r>
              <w:rPr>
                <w:sz w:val="4"/>
                <w:szCs w:val="4"/>
              </w:rPr>
            </w:r>
          </w:p>
        </w:tc>
        <w:tc>
          <w:tcPr>
            <w:tcW w:w="1512" w:type="dxa"/>
            <w:tcBorders/>
            <w:shd w:fill="auto" w:val="clear"/>
            <w:vAlign w:val="center"/>
          </w:tcPr>
          <w:p>
            <w:pPr>
              <w:pStyle w:val="TableContents"/>
              <w:spacing w:before="0" w:after="283"/>
              <w:rPr>
                <w:sz w:val="4"/>
                <w:szCs w:val="4"/>
              </w:rPr>
            </w:pPr>
            <w:r>
              <w:rPr>
                <w:sz w:val="4"/>
                <w:szCs w:val="4"/>
              </w:rPr>
            </w:r>
          </w:p>
        </w:tc>
        <w:tc>
          <w:tcPr>
            <w:tcW w:w="3299" w:type="dxa"/>
            <w:tcBorders/>
            <w:shd w:fill="auto" w:val="clear"/>
            <w:vAlign w:val="center"/>
          </w:tcPr>
          <w:p>
            <w:pPr>
              <w:pStyle w:val="TableContents"/>
              <w:spacing w:before="0" w:after="283"/>
              <w:rPr>
                <w:sz w:val="4"/>
                <w:szCs w:val="4"/>
              </w:rPr>
            </w:pPr>
            <w:r>
              <w:rPr>
                <w:sz w:val="4"/>
                <w:szCs w:val="4"/>
              </w:rPr>
            </w:r>
          </w:p>
        </w:tc>
        <w:tc>
          <w:tcPr>
            <w:tcW w:w="1513" w:type="dxa"/>
            <w:tcBorders/>
            <w:shd w:fill="auto" w:val="clear"/>
            <w:vAlign w:val="center"/>
          </w:tcPr>
          <w:p>
            <w:pPr>
              <w:pStyle w:val="TableContents"/>
              <w:spacing w:before="0" w:after="283"/>
              <w:rPr>
                <w:sz w:val="4"/>
                <w:szCs w:val="4"/>
              </w:rPr>
            </w:pPr>
            <w:r>
              <w:rPr>
                <w:sz w:val="4"/>
                <w:szCs w:val="4"/>
              </w:rPr>
            </w:r>
          </w:p>
        </w:tc>
        <w:tc>
          <w:tcPr>
            <w:tcW w:w="1827" w:type="dxa"/>
            <w:tcBorders/>
            <w:shd w:fill="auto" w:val="clear"/>
            <w:vAlign w:val="center"/>
          </w:tcPr>
          <w:p>
            <w:pPr>
              <w:pStyle w:val="TableContents"/>
              <w:spacing w:before="0" w:after="283"/>
              <w:rPr>
                <w:sz w:val="4"/>
                <w:szCs w:val="4"/>
              </w:rPr>
            </w:pPr>
            <w:r>
              <w:rPr>
                <w:sz w:val="4"/>
                <w:szCs w:val="4"/>
              </w:rPr>
            </w:r>
          </w:p>
        </w:tc>
      </w:tr>
      <w:tr>
        <w:trPr/>
        <w:tc>
          <w:tcPr>
            <w:tcW w:w="2054"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512"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329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513"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827"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054" w:type="dxa"/>
            <w:tcBorders/>
            <w:shd w:fill="auto" w:val="clear"/>
            <w:tcMar>
              <w:top w:w="0" w:type="dxa"/>
              <w:left w:w="0" w:type="dxa"/>
              <w:bottom w:w="0" w:type="dxa"/>
              <w:right w:w="0" w:type="dxa"/>
            </w:tcMar>
            <w:vAlign w:val="center"/>
          </w:tcPr>
          <w:p>
            <w:pPr>
              <w:pStyle w:val="TableContents"/>
              <w:pBdr>
                <w:bottom w:val="single" w:sz="4" w:space="1" w:color="000000"/>
              </w:pBdr>
              <w:spacing w:before="0" w:after="0"/>
              <w:ind w:left="0" w:right="0" w:hanging="0"/>
              <w:jc w:val="center"/>
              <w:rPr>
                <w:rFonts w:ascii="Times New Roman;serif" w:hAnsi="Times New Roman;serif"/>
                <w:b/>
                <w:sz w:val="21"/>
              </w:rPr>
            </w:pPr>
            <w:r>
              <w:rPr>
                <w:rFonts w:ascii="Times New Roman;serif" w:hAnsi="Times New Roman;serif"/>
                <w:b/>
                <w:sz w:val="21"/>
              </w:rPr>
              <w:t>Award Type</w:t>
            </w:r>
          </w:p>
        </w:tc>
        <w:tc>
          <w:tcPr>
            <w:tcW w:w="1512" w:type="dxa"/>
            <w:tcBorders/>
            <w:shd w:fill="auto" w:val="clear"/>
            <w:tcMar>
              <w:top w:w="0" w:type="dxa"/>
              <w:left w:w="0" w:type="dxa"/>
              <w:bottom w:w="0" w:type="dxa"/>
              <w:right w:w="0" w:type="dxa"/>
            </w:tcMar>
            <w:vAlign w:val="center"/>
          </w:tcPr>
          <w:p>
            <w:pPr>
              <w:pStyle w:val="TableContents"/>
              <w:pBdr>
                <w:bottom w:val="single" w:sz="4" w:space="1" w:color="000000"/>
              </w:pBdr>
              <w:spacing w:before="0" w:after="0"/>
              <w:ind w:left="0" w:right="0" w:hanging="0"/>
              <w:jc w:val="center"/>
              <w:rPr/>
            </w:pPr>
            <w:r>
              <w:rPr/>
              <w:t>“</w:t>
            </w:r>
            <w:r>
              <w:rPr>
                <w:rFonts w:ascii="Times New Roman;serif" w:hAnsi="Times New Roman;serif"/>
                <w:b/>
                <w:sz w:val="21"/>
              </w:rPr>
              <w:t>Date of Grant”</w:t>
            </w:r>
          </w:p>
        </w:tc>
        <w:tc>
          <w:tcPr>
            <w:tcW w:w="3299" w:type="dxa"/>
            <w:tcBorders/>
            <w:shd w:fill="auto" w:val="clear"/>
            <w:tcMar>
              <w:top w:w="0" w:type="dxa"/>
              <w:left w:w="0" w:type="dxa"/>
              <w:bottom w:w="0" w:type="dxa"/>
              <w:right w:w="0" w:type="dxa"/>
            </w:tcMar>
            <w:vAlign w:val="center"/>
          </w:tcPr>
          <w:p>
            <w:pPr>
              <w:pStyle w:val="TableContents"/>
              <w:pBdr>
                <w:bottom w:val="single" w:sz="4" w:space="1" w:color="000000"/>
              </w:pBdr>
              <w:spacing w:before="0" w:after="0"/>
              <w:ind w:left="0" w:right="0" w:hanging="0"/>
              <w:jc w:val="center"/>
              <w:rPr>
                <w:rFonts w:ascii="Times New Roman;serif" w:hAnsi="Times New Roman;serif"/>
                <w:b/>
                <w:sz w:val="21"/>
              </w:rPr>
            </w:pPr>
            <w:r>
              <w:rPr>
                <w:rFonts w:ascii="Times New Roman;serif" w:hAnsi="Times New Roman;serif"/>
                <w:b/>
                <w:sz w:val="21"/>
              </w:rPr>
              <w:t>Number of Shares Subject to Options</w:t>
            </w:r>
          </w:p>
        </w:tc>
        <w:tc>
          <w:tcPr>
            <w:tcW w:w="1513" w:type="dxa"/>
            <w:tcBorders/>
            <w:shd w:fill="auto" w:val="clear"/>
            <w:tcMar>
              <w:top w:w="0" w:type="dxa"/>
              <w:left w:w="0" w:type="dxa"/>
              <w:bottom w:w="0" w:type="dxa"/>
              <w:right w:w="0" w:type="dxa"/>
            </w:tcMar>
            <w:vAlign w:val="center"/>
          </w:tcPr>
          <w:p>
            <w:pPr>
              <w:pStyle w:val="TableContents"/>
              <w:pBdr>
                <w:bottom w:val="single" w:sz="4" w:space="1" w:color="000000"/>
              </w:pBdr>
              <w:spacing w:before="0" w:after="0"/>
              <w:ind w:left="0" w:right="0" w:hanging="0"/>
              <w:jc w:val="center"/>
              <w:rPr/>
            </w:pPr>
            <w:r>
              <w:rPr/>
              <w:t>“</w:t>
            </w:r>
            <w:r>
              <w:rPr>
                <w:rFonts w:ascii="Times New Roman;serif" w:hAnsi="Times New Roman;serif"/>
                <w:b/>
                <w:sz w:val="21"/>
              </w:rPr>
              <w:t>Exercise Price”</w:t>
            </w:r>
          </w:p>
        </w:tc>
        <w:tc>
          <w:tcPr>
            <w:tcW w:w="1827" w:type="dxa"/>
            <w:tcBorders/>
            <w:shd w:fill="auto" w:val="clear"/>
            <w:tcMar>
              <w:top w:w="0" w:type="dxa"/>
              <w:left w:w="0" w:type="dxa"/>
              <w:bottom w:w="0" w:type="dxa"/>
              <w:right w:w="0" w:type="dxa"/>
            </w:tcMar>
            <w:vAlign w:val="center"/>
          </w:tcPr>
          <w:p>
            <w:pPr>
              <w:pStyle w:val="TableContents"/>
              <w:pBdr>
                <w:bottom w:val="single" w:sz="4" w:space="1" w:color="000000"/>
              </w:pBdr>
              <w:spacing w:before="0" w:after="0"/>
              <w:ind w:left="0" w:right="0" w:hanging="0"/>
              <w:jc w:val="center"/>
              <w:rPr/>
            </w:pPr>
            <w:r>
              <w:rPr/>
              <w:t>“</w:t>
            </w:r>
            <w:r>
              <w:rPr>
                <w:rFonts w:ascii="Times New Roman;serif" w:hAnsi="Times New Roman;serif"/>
                <w:b/>
                <w:sz w:val="21"/>
              </w:rPr>
              <w:t>Vesting Schedule”</w:t>
            </w:r>
          </w:p>
        </w:tc>
      </w:tr>
      <w:tr>
        <w:trPr/>
        <w:tc>
          <w:tcPr>
            <w:tcW w:w="2054" w:type="dxa"/>
            <w:tcBorders/>
            <w:shd w:fill="auto" w:val="clear"/>
            <w:tcMar>
              <w:top w:w="0" w:type="dxa"/>
              <w:left w:w="0" w:type="dxa"/>
              <w:bottom w:w="0" w:type="dxa"/>
              <w:right w:w="0" w:type="dxa"/>
            </w:tcMar>
            <w:vAlign w:val="center"/>
          </w:tcPr>
          <w:p>
            <w:pPr>
              <w:pStyle w:val="TableContents"/>
              <w:spacing w:before="120" w:after="120"/>
              <w:ind w:left="0" w:right="0" w:hanging="0"/>
              <w:jc w:val="left"/>
              <w:rPr>
                <w:rFonts w:ascii="Times New Roman;serif" w:hAnsi="Times New Roman;serif"/>
                <w:b w:val="false"/>
                <w:sz w:val="21"/>
              </w:rPr>
            </w:pPr>
            <w:r>
              <w:rPr>
                <w:rFonts w:ascii="Times New Roman;serif" w:hAnsi="Times New Roman;serif"/>
                <w:b w:val="false"/>
                <w:sz w:val="21"/>
              </w:rPr>
              <w:t>Incentive Stock Options</w:t>
            </w:r>
          </w:p>
        </w:tc>
        <w:tc>
          <w:tcPr>
            <w:tcW w:w="1512" w:type="dxa"/>
            <w:tcBorders/>
            <w:shd w:fill="auto" w:val="clear"/>
            <w:tcMar>
              <w:top w:w="0" w:type="dxa"/>
              <w:left w:w="0" w:type="dxa"/>
              <w:bottom w:w="0" w:type="dxa"/>
              <w:right w:w="0" w:type="dxa"/>
            </w:tcMar>
            <w:vAlign w:val="center"/>
          </w:tcPr>
          <w:p>
            <w:pPr>
              <w:pStyle w:val="TableContents"/>
              <w:spacing w:before="120" w:after="120"/>
              <w:ind w:left="0" w:right="0" w:hanging="0"/>
              <w:jc w:val="center"/>
              <w:rPr>
                <w:rFonts w:ascii="Times New Roman" w:hAnsi="Times New Roman"/>
                <w:sz w:val="24"/>
              </w:rPr>
            </w:pPr>
            <w:r>
              <w:rPr>
                <w:rFonts w:ascii="Times New Roman;serif" w:hAnsi="Times New Roman;serif"/>
                <w:b w:val="false"/>
                <w:sz w:val="21"/>
              </w:rPr>
              <w:t>[</w:t>
            </w:r>
            <w:r>
              <w:rPr>
                <w:rFonts w:ascii="Times New Roman" w:hAnsi="Times New Roman"/>
                <w:sz w:val="24"/>
              </w:rPr>
              <w:t xml:space="preserve"> </w:t>
            </w:r>
            <w:r>
              <w:rPr>
                <w:rFonts w:ascii="Times New Roman;serif" w:hAnsi="Times New Roman;serif"/>
                <w:b w:val="false"/>
                <w:sz w:val="21"/>
              </w:rPr>
              <w:t>]</w:t>
            </w:r>
          </w:p>
        </w:tc>
        <w:tc>
          <w:tcPr>
            <w:tcW w:w="3299" w:type="dxa"/>
            <w:tcBorders/>
            <w:shd w:fill="auto" w:val="clear"/>
            <w:tcMar>
              <w:top w:w="0" w:type="dxa"/>
              <w:left w:w="0" w:type="dxa"/>
              <w:bottom w:w="0" w:type="dxa"/>
              <w:right w:w="0" w:type="dxa"/>
            </w:tcMar>
            <w:vAlign w:val="center"/>
          </w:tcPr>
          <w:p>
            <w:pPr>
              <w:pStyle w:val="TableContents"/>
              <w:spacing w:before="120" w:after="120"/>
              <w:ind w:left="0" w:right="0" w:hanging="0"/>
              <w:jc w:val="center"/>
              <w:rPr>
                <w:rFonts w:ascii="Times New Roman" w:hAnsi="Times New Roman"/>
                <w:sz w:val="24"/>
              </w:rPr>
            </w:pPr>
            <w:r>
              <w:rPr>
                <w:rFonts w:ascii="Times New Roman;serif" w:hAnsi="Times New Roman;serif"/>
                <w:b w:val="false"/>
                <w:sz w:val="21"/>
              </w:rPr>
              <w:t>[</w:t>
            </w:r>
            <w:r>
              <w:rPr>
                <w:rFonts w:ascii="Times New Roman" w:hAnsi="Times New Roman"/>
                <w:sz w:val="24"/>
              </w:rPr>
              <w:t xml:space="preserve"> </w:t>
            </w:r>
            <w:r>
              <w:rPr>
                <w:rFonts w:ascii="Times New Roman;serif" w:hAnsi="Times New Roman;serif"/>
                <w:b w:val="false"/>
                <w:sz w:val="21"/>
              </w:rPr>
              <w:t>] Class A ordinary shares</w:t>
            </w:r>
          </w:p>
        </w:tc>
        <w:tc>
          <w:tcPr>
            <w:tcW w:w="1513" w:type="dxa"/>
            <w:tcBorders/>
            <w:shd w:fill="auto" w:val="clear"/>
            <w:tcMar>
              <w:top w:w="0" w:type="dxa"/>
              <w:left w:w="0" w:type="dxa"/>
              <w:bottom w:w="0" w:type="dxa"/>
              <w:right w:w="0" w:type="dxa"/>
            </w:tcMar>
            <w:vAlign w:val="center"/>
          </w:tcPr>
          <w:p>
            <w:pPr>
              <w:pStyle w:val="TableContents"/>
              <w:spacing w:before="120" w:after="120"/>
              <w:ind w:left="0" w:right="0" w:hanging="0"/>
              <w:jc w:val="center"/>
              <w:rPr>
                <w:rFonts w:ascii="Times New Roman" w:hAnsi="Times New Roman"/>
                <w:sz w:val="24"/>
              </w:rPr>
            </w:pPr>
            <w:r>
              <w:rPr>
                <w:rFonts w:ascii="Times New Roman;serif" w:hAnsi="Times New Roman;serif"/>
                <w:b w:val="false"/>
                <w:sz w:val="21"/>
              </w:rPr>
              <w:t>US$[</w:t>
            </w:r>
            <w:r>
              <w:rPr>
                <w:rFonts w:ascii="Times New Roman" w:hAnsi="Times New Roman"/>
                <w:sz w:val="24"/>
              </w:rPr>
              <w:t xml:space="preserve"> </w:t>
            </w:r>
            <w:r>
              <w:rPr>
                <w:rFonts w:ascii="Times New Roman;serif" w:hAnsi="Times New Roman;serif"/>
                <w:b w:val="false"/>
                <w:sz w:val="21"/>
              </w:rPr>
              <w:t>]</w:t>
            </w:r>
          </w:p>
        </w:tc>
        <w:tc>
          <w:tcPr>
            <w:tcW w:w="1827" w:type="dxa"/>
            <w:tcBorders/>
            <w:shd w:fill="auto" w:val="clear"/>
            <w:tcMar>
              <w:top w:w="0" w:type="dxa"/>
              <w:left w:w="0" w:type="dxa"/>
              <w:bottom w:w="0" w:type="dxa"/>
              <w:right w:w="0" w:type="dxa"/>
            </w:tcMar>
            <w:vAlign w:val="center"/>
          </w:tcPr>
          <w:p>
            <w:pPr>
              <w:pStyle w:val="TableContents"/>
              <w:spacing w:before="120" w:after="120"/>
              <w:ind w:left="0" w:right="0" w:hanging="0"/>
              <w:jc w:val="left"/>
              <w:rPr/>
            </w:pPr>
            <w:r>
              <w:rPr/>
              <w:t> </w:t>
            </w:r>
          </w:p>
        </w:tc>
      </w:tr>
    </w:tbl>
    <w:p>
      <w:pPr>
        <w:pStyle w:val="TextBody"/>
        <w:spacing w:before="0" w:after="240"/>
        <w:jc w:val="both"/>
        <w:rPr>
          <w:rFonts w:ascii="Times New Roman;serif" w:hAnsi="Times New Roman;serif"/>
          <w:b w:val="false"/>
          <w:sz w:val="24"/>
        </w:rPr>
      </w:pPr>
      <w:r>
        <w:rPr>
          <w:rFonts w:ascii="Times New Roman;serif" w:hAnsi="Times New Roman;serif"/>
          <w:b w:val="false"/>
          <w:sz w:val="24"/>
        </w:rPr>
        <w:t>Subject to the attached Terms and Conditions and the terms of the Plan, which are incorporated herein by reference, the Company hereby grants to the Participant, on the Date of Grant as set forth above, and the Participant hereby accepts, the number of Options, with the Exercise Price and Vesting Schedule, each as set forth above. Capitalized terms used but not otherwise defined herein or in the attached Terms and Conditions shall have the meanings ascribed to such terms in the Plan.</w:t>
      </w:r>
    </w:p>
    <w:p>
      <w:pPr>
        <w:pStyle w:val="TextBody"/>
        <w:spacing w:before="0" w:after="240"/>
        <w:jc w:val="left"/>
        <w:rPr>
          <w:rFonts w:ascii="Times New Roman;serif" w:hAnsi="Times New Roman;serif"/>
          <w:b w:val="false"/>
          <w:sz w:val="24"/>
        </w:rPr>
      </w:pPr>
      <w:r>
        <w:rPr>
          <w:rFonts w:ascii="Times New Roman;serif" w:hAnsi="Times New Roman;serif"/>
          <w:b w:val="false"/>
          <w:sz w:val="24"/>
        </w:rPr>
        <w:t>IN WITNESS WHEREOF, the Company and the Participant have duly executed and delivered this Agreement as of the Date of Grant.</w:t>
      </w:r>
    </w:p>
    <w:tbl>
      <w:tblPr>
        <w:tblW w:w="4422" w:type="dxa"/>
        <w:jc w:val="left"/>
        <w:tblInd w:w="0" w:type="dxa"/>
        <w:tblCellMar>
          <w:top w:w="28" w:type="dxa"/>
          <w:left w:w="28" w:type="dxa"/>
          <w:bottom w:w="28" w:type="dxa"/>
          <w:right w:w="28" w:type="dxa"/>
        </w:tblCellMar>
      </w:tblPr>
      <w:tblGrid>
        <w:gridCol w:w="904"/>
        <w:gridCol w:w="1511"/>
        <w:gridCol w:w="146"/>
        <w:gridCol w:w="1861"/>
      </w:tblGrid>
      <w:tr>
        <w:trPr/>
        <w:tc>
          <w:tcPr>
            <w:tcW w:w="904" w:type="dxa"/>
            <w:tcBorders/>
            <w:shd w:fill="auto" w:val="clear"/>
            <w:vAlign w:val="center"/>
          </w:tcPr>
          <w:p>
            <w:pPr>
              <w:pStyle w:val="TableContents"/>
              <w:spacing w:before="0" w:after="283"/>
              <w:rPr>
                <w:sz w:val="4"/>
                <w:szCs w:val="4"/>
              </w:rPr>
            </w:pPr>
            <w:r>
              <w:rPr>
                <w:sz w:val="4"/>
                <w:szCs w:val="4"/>
              </w:rPr>
            </w:r>
          </w:p>
        </w:tc>
        <w:tc>
          <w:tcPr>
            <w:tcW w:w="1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61" w:type="dxa"/>
            <w:tcBorders/>
            <w:shd w:fill="auto" w:val="clear"/>
            <w:vAlign w:val="center"/>
          </w:tcPr>
          <w:p>
            <w:pPr>
              <w:pStyle w:val="TableContents"/>
              <w:spacing w:before="0" w:after="283"/>
              <w:rPr>
                <w:sz w:val="4"/>
                <w:szCs w:val="4"/>
              </w:rPr>
            </w:pPr>
            <w:r>
              <w:rPr>
                <w:sz w:val="4"/>
                <w:szCs w:val="4"/>
              </w:rPr>
            </w:r>
          </w:p>
        </w:tc>
      </w:tr>
      <w:tr>
        <w:trPr/>
        <w:tc>
          <w:tcPr>
            <w:tcW w:w="2415"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4"/>
              </w:rPr>
            </w:pPr>
            <w:r>
              <w:rPr>
                <w:rFonts w:ascii="Times New Roman;serif" w:hAnsi="Times New Roman;serif"/>
                <w:b/>
                <w:sz w:val="24"/>
              </w:rPr>
              <w:t>PROKIDNEY CORP.</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8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4"/>
              </w:rPr>
            </w:pPr>
            <w:r>
              <w:rPr>
                <w:rFonts w:ascii="Times New Roman;serif" w:hAnsi="Times New Roman;serif"/>
                <w:b/>
                <w:sz w:val="24"/>
              </w:rPr>
              <w:t>PARTICIPANT</w:t>
            </w:r>
          </w:p>
        </w:tc>
      </w:tr>
      <w:tr>
        <w:trPr/>
        <w:tc>
          <w:tcPr>
            <w:tcW w:w="2415"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8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By:</w:t>
            </w:r>
          </w:p>
        </w:tc>
        <w:tc>
          <w:tcPr>
            <w:tcW w:w="1511" w:type="dxa"/>
            <w:tcBorders/>
            <w:shd w:fill="auto" w:val="clear"/>
            <w:tcMar>
              <w:top w:w="0" w:type="dxa"/>
              <w:left w:w="0" w:type="dxa"/>
              <w:bottom w:w="0" w:type="dxa"/>
              <w:right w:w="0" w:type="dxa"/>
            </w:tcMar>
            <w:vAlign w:val="center"/>
          </w:tcPr>
          <w:p>
            <w:pPr>
              <w:pStyle w:val="TableContents"/>
              <w:pBdr>
                <w:bottom w:val="single" w:sz="4" w:space="1" w:color="000000"/>
              </w:pBdr>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861" w:type="dxa"/>
            <w:tcBorders/>
            <w:shd w:fill="auto" w:val="clear"/>
            <w:tcMar>
              <w:top w:w="0" w:type="dxa"/>
              <w:left w:w="0" w:type="dxa"/>
              <w:bottom w:w="0" w:type="dxa"/>
              <w:right w:w="0" w:type="dxa"/>
            </w:tcMar>
            <w:vAlign w:val="center"/>
          </w:tcPr>
          <w:p>
            <w:pPr>
              <w:pStyle w:val="TableContents"/>
              <w:pBdr>
                <w:bottom w:val="single" w:sz="4" w:space="1" w:color="000000"/>
              </w:pBdr>
              <w:spacing w:before="0" w:after="0"/>
              <w:ind w:left="0" w:right="0" w:hanging="0"/>
              <w:jc w:val="left"/>
              <w:rPr/>
            </w:pPr>
            <w:r>
              <w:rPr/>
              <w:t> </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Name: [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8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Name: [ ]</w:t>
            </w:r>
          </w:p>
        </w:tc>
      </w:tr>
      <w:tr>
        <w:trPr/>
        <w:tc>
          <w:tcPr>
            <w:tcW w:w="90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5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Title: [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8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240"/>
        <w:jc w:val="left"/>
        <w:rPr/>
      </w:pPr>
      <w:r>
        <w:rPr/>
        <w:t> </w:t>
      </w:r>
    </w:p>
    <w:p>
      <w:pPr>
        <w:pStyle w:val="TextBody"/>
        <w:spacing w:before="0" w:after="240"/>
        <w:jc w:val="left"/>
        <w:rPr>
          <w:rFonts w:ascii="Times New Roman;serif" w:hAnsi="Times New Roman;serif"/>
          <w:b w:val="false"/>
          <w:sz w:val="24"/>
        </w:rPr>
      </w:pPr>
      <w:r>
        <w:rPr>
          <w:rFonts w:ascii="Times New Roman;serif" w:hAnsi="Times New Roman;serif"/>
          <w:b w:val="false"/>
          <w:sz w:val="24"/>
        </w:rPr>
        <w:t>PLEASE RETURN ONE SIGNED COPY OF THIS AGREEMENT TO:</w:t>
      </w:r>
    </w:p>
    <w:p>
      <w:pPr>
        <w:pStyle w:val="TextBody"/>
        <w:spacing w:before="0" w:after="0"/>
        <w:jc w:val="left"/>
        <w:rPr>
          <w:rFonts w:ascii="Times New Roman;serif" w:hAnsi="Times New Roman;serif"/>
          <w:b w:val="false"/>
          <w:sz w:val="24"/>
        </w:rPr>
      </w:pPr>
      <w:r>
        <w:rPr>
          <w:rFonts w:ascii="Times New Roman;serif" w:hAnsi="Times New Roman;serif"/>
          <w:b w:val="false"/>
          <w:sz w:val="24"/>
        </w:rPr>
        <w:t>ProKidney Corp.</w:t>
      </w:r>
    </w:p>
    <w:p>
      <w:pPr>
        <w:pStyle w:val="TextBody"/>
        <w:spacing w:before="0" w:after="0"/>
        <w:jc w:val="left"/>
        <w:rPr>
          <w:rFonts w:ascii="Times New Roman;serif" w:hAnsi="Times New Roman;serif"/>
          <w:b w:val="false"/>
          <w:sz w:val="24"/>
        </w:rPr>
      </w:pPr>
      <w:r>
        <w:rPr>
          <w:rFonts w:ascii="Times New Roman;serif" w:hAnsi="Times New Roman;serif"/>
          <w:b w:val="false"/>
          <w:sz w:val="24"/>
        </w:rPr>
        <w:t>2000 Frontis Plaza Boulevard, Suite 250</w:t>
      </w:r>
    </w:p>
    <w:p>
      <w:pPr>
        <w:pStyle w:val="TextBody"/>
        <w:spacing w:before="0" w:after="0"/>
        <w:jc w:val="left"/>
        <w:rPr>
          <w:rFonts w:ascii="Times New Roman;serif" w:hAnsi="Times New Roman;serif"/>
          <w:b w:val="false"/>
          <w:sz w:val="24"/>
        </w:rPr>
      </w:pPr>
      <w:r>
        <w:rPr>
          <w:rFonts w:ascii="Times New Roman;serif" w:hAnsi="Times New Roman;serif"/>
          <w:b w:val="false"/>
          <w:sz w:val="24"/>
        </w:rPr>
        <w:t>Winston-Salem, North Carolina 27103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Attn: [Todd Girolamo, Chief Legal Officer]</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120"/>
        <w:jc w:val="center"/>
        <w:rPr>
          <w:rFonts w:ascii="Times New Roman" w:hAnsi="Times New Roman"/>
          <w:sz w:val="20"/>
        </w:rPr>
      </w:pPr>
      <w:r>
        <w:rPr>
          <w:rFonts w:ascii="Times New Roman;serif" w:hAnsi="Times New Roman;serif"/>
          <w:b/>
          <w:sz w:val="24"/>
        </w:rPr>
        <w:t>ProKidney Corp.</w:t>
        <w:br/>
        <w:t xml:space="preserve">2022 INCENTIVE EQUITY PLAN </w:t>
        <w:br/>
      </w:r>
      <w:r>
        <w:rPr>
          <w:rFonts w:ascii="Times New Roman;serif" w:hAnsi="Times New Roman;serif"/>
          <w:b/>
          <w:sz w:val="24"/>
          <w:u w:val="single"/>
        </w:rPr>
        <w:t>Terms and Conditions of Option Grant</w:t>
      </w:r>
    </w:p>
    <w:p>
      <w:pPr>
        <w:pStyle w:val="TextBody"/>
        <w:spacing w:before="0" w:after="240"/>
        <w:jc w:val="both"/>
        <w:rPr>
          <w:rFonts w:ascii="Times New Roman" w:hAnsi="Times New Roman"/>
          <w:b w:val="false"/>
          <w:sz w:val="24"/>
        </w:rPr>
      </w:pPr>
      <w:r>
        <w:rPr>
          <w:rFonts w:ascii="Times New Roman" w:hAnsi="Times New Roman"/>
          <w:b w:val="false"/>
          <w:sz w:val="24"/>
        </w:rPr>
        <w:t>1.</w:t>
      </w:r>
    </w:p>
    <w:p>
      <w:pPr>
        <w:pStyle w:val="TextBody"/>
        <w:spacing w:before="0" w:after="240"/>
        <w:jc w:val="both"/>
        <w:rPr/>
      </w:pPr>
      <w:r>
        <w:rPr>
          <w:rFonts w:ascii="Times New Roman;serif" w:hAnsi="Times New Roman;serif"/>
          <w:b w:val="false"/>
          <w:sz w:val="24"/>
          <w:u w:val="single"/>
        </w:rPr>
        <w:t>GRANT OF OPTIONS</w:t>
      </w:r>
      <w:r>
        <w:rPr>
          <w:rFonts w:ascii="Times New Roman;serif" w:hAnsi="Times New Roman;serif"/>
          <w:b w:val="false"/>
          <w:sz w:val="24"/>
        </w:rPr>
        <w:t>. The Options have been granted to the Participant as an incentive for the Participant to continue to provide services to the Company and its Affiliates, including the Affiliate employing the Participant (the “</w:t>
      </w:r>
      <w:r>
        <w:rPr>
          <w:rFonts w:ascii="Times New Roman;serif" w:hAnsi="Times New Roman;serif"/>
          <w:b/>
          <w:sz w:val="24"/>
        </w:rPr>
        <w:t>Employer</w:t>
      </w:r>
      <w:r>
        <w:rPr/>
        <w:t>”</w:t>
      </w:r>
      <w:r>
        <w:rPr>
          <w:rFonts w:ascii="Times New Roman;serif" w:hAnsi="Times New Roman;serif"/>
          <w:b w:val="false"/>
          <w:sz w:val="24"/>
        </w:rPr>
        <w:t>), and to align the Participant’s interests with those of the Company. The Options are intended to qualify as “incentive stock options” under Section 422 of the Code. Each Option shall entitle the Participant to purchase from the Company, upon exercise as set forth in Section ‎4, a number of Shares as set forth above at the Exercise Price set forth above.</w:t>
      </w:r>
    </w:p>
    <w:p>
      <w:pPr>
        <w:pStyle w:val="TextBody"/>
        <w:spacing w:before="0" w:after="240"/>
        <w:jc w:val="both"/>
        <w:rPr>
          <w:rFonts w:ascii="Times New Roman" w:hAnsi="Times New Roman"/>
          <w:b w:val="false"/>
          <w:sz w:val="24"/>
        </w:rPr>
      </w:pPr>
      <w:r>
        <w:rPr>
          <w:rFonts w:ascii="Times New Roman" w:hAnsi="Times New Roman"/>
          <w:b w:val="false"/>
          <w:sz w:val="24"/>
        </w:rPr>
        <w:t>2.</w:t>
      </w:r>
    </w:p>
    <w:p>
      <w:pPr>
        <w:pStyle w:val="TextBody"/>
        <w:spacing w:before="0" w:after="240"/>
        <w:jc w:val="both"/>
        <w:rPr/>
      </w:pPr>
      <w:r>
        <w:rPr>
          <w:rFonts w:ascii="Times New Roman;serif" w:hAnsi="Times New Roman;serif"/>
          <w:b w:val="false"/>
          <w:sz w:val="24"/>
          <w:u w:val="single"/>
        </w:rPr>
        <w:t>VESTING</w:t>
      </w:r>
      <w:r>
        <w:rPr>
          <w:rFonts w:ascii="Times New Roman;serif" w:hAnsi="Times New Roman;serif"/>
          <w:b w:val="false"/>
          <w:sz w:val="24"/>
        </w:rPr>
        <w:t>. The Options shall vest and become exercisable in accordance with the Vesting Schedule, subject to the Participant’s continuous employment with the Company and its Affiliates through each applicable vesting date.</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pPr>
      <w:r>
        <w:rPr>
          <w:rFonts w:ascii="Times New Roman;serif" w:hAnsi="Times New Roman;serif"/>
          <w:b w:val="false"/>
          <w:sz w:val="24"/>
        </w:rPr>
        <w:t xml:space="preserve">All unvested Options shall be immediately forfeited upon the Participant’s Termination of Service for any reason, and all vested but unexercised Options may be exercised by the Participant for a period of 90 days following the date of Termination of Service (or, if earlier, the Expiration Date (as defined below)); </w:t>
      </w:r>
      <w:r>
        <w:rPr>
          <w:rFonts w:ascii="Times New Roman;serif" w:hAnsi="Times New Roman;serif"/>
          <w:b w:val="false"/>
          <w:i/>
          <w:sz w:val="24"/>
        </w:rPr>
        <w:t>provided</w:t>
      </w:r>
      <w:r>
        <w:rPr/>
        <w:t xml:space="preserve"> </w:t>
      </w:r>
      <w:r>
        <w:rPr>
          <w:rFonts w:ascii="Times New Roman;serif" w:hAnsi="Times New Roman;serif"/>
          <w:b w:val="false"/>
          <w:sz w:val="24"/>
        </w:rPr>
        <w:t xml:space="preserve">that in the event of the Participant’s Termination of Service (i) due to death or Disability, the Participant (or the Participant’s Beneficiary, if applicable) may exercise any vested Options until the first anniversary of the date of Termination of Service (or, if earlier the Expiration Date) or (ii) by the Company for Cause, all vested Options shall be immediately forfeited. </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In the event that the Options are continued, assumed, substituted or replaced in connection with a Change in Control in accordance with Section 12(c)(i) or Section 12(c)(ii) of the Plan and the Participant subsequently has a Termination of Service by the Company or an Affiliate without Cause or by the Participant for Good Reason within [ ] months following a Change in Control, the Options shall become fully vested and exercisable. If the Options are not continued, assumed, substituted or replaced in connection with a Change in Control as contemplated by the first sentence of this Section ‎2(b), the Options shall become fully vested and become exercisable immediately prior to or as of the date of the Change in Control.</w:t>
      </w:r>
    </w:p>
    <w:p>
      <w:pPr>
        <w:pStyle w:val="TextBody"/>
        <w:spacing w:before="0" w:after="240"/>
        <w:jc w:val="both"/>
        <w:rPr>
          <w:rFonts w:ascii="Times New Roman" w:hAnsi="Times New Roman"/>
          <w:b w:val="false"/>
          <w:sz w:val="24"/>
        </w:rPr>
      </w:pPr>
      <w:r>
        <w:rPr>
          <w:rFonts w:ascii="Times New Roman" w:hAnsi="Times New Roman"/>
          <w:b w:val="false"/>
          <w:sz w:val="24"/>
        </w:rPr>
        <w:t>(c)</w:t>
      </w:r>
    </w:p>
    <w:p>
      <w:pPr>
        <w:pStyle w:val="TextBody"/>
        <w:spacing w:before="0" w:after="240"/>
        <w:jc w:val="both"/>
        <w:rPr/>
      </w:pPr>
      <w:r>
        <w:rPr>
          <w:rFonts w:ascii="Times New Roman;serif" w:hAnsi="Times New Roman;serif"/>
          <w:b w:val="false"/>
          <w:sz w:val="24"/>
        </w:rPr>
        <w:t>For purposes of this Agreement, “</w:t>
      </w:r>
      <w:r>
        <w:rPr>
          <w:rFonts w:ascii="Times New Roman;serif" w:hAnsi="Times New Roman;serif"/>
          <w:b/>
          <w:sz w:val="24"/>
        </w:rPr>
        <w:t>Good Reason</w:t>
      </w:r>
      <w:r>
        <w:rPr/>
        <w:t xml:space="preserve">” </w:t>
      </w:r>
      <w:r>
        <w:rPr>
          <w:rFonts w:ascii="Times New Roman;serif" w:hAnsi="Times New Roman;serif"/>
          <w:b w:val="false"/>
          <w:sz w:val="24"/>
        </w:rPr>
        <w:t xml:space="preserve">shall have the meaning ascribed to such term in the Participant’s Service Agreement, if any, or, if not so defined or if the Participant is not a party to a Service Agreement, shall mean: (i) a material reduction in the Participant’s then-current base salary, other than any such reduction that applies generally to similarly situated employees of the Company; (ii) a material diminution in the Participant’s authority, duties or responsibilities; </w:t>
      </w:r>
      <w:r>
        <w:rPr>
          <w:rFonts w:ascii="Times New Roman;serif" w:hAnsi="Times New Roman;serif"/>
          <w:b w:val="false"/>
          <w:i/>
          <w:sz w:val="24"/>
        </w:rPr>
        <w:t>provided</w:t>
      </w:r>
      <w:r>
        <w:rPr>
          <w:rFonts w:ascii="Times New Roman;serif" w:hAnsi="Times New Roman;serif"/>
          <w:b w:val="false"/>
          <w:sz w:val="24"/>
        </w:rPr>
        <w:t xml:space="preserve">, that the Participant shall not have the right to resign for Good Reason pursuant to this prong (ii) due to a change in authority, duties or responsibilities solely as a result of the Company no longer being a publicly traded company; or (iii) a relocation of the Participant’s principal place of employment by more than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2</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240"/>
        <w:jc w:val="both"/>
        <w:rPr/>
      </w:pPr>
      <w:r>
        <w:rPr>
          <w:rFonts w:ascii="Times New Roman;serif" w:hAnsi="Times New Roman;serif"/>
          <w:b w:val="false"/>
          <w:sz w:val="24"/>
        </w:rPr>
        <w:t>50 miles from its location as of the Date of Grant. Notwithstanding the foregoing, the Participant will not be deemed to have resigned for Good Reason unless (x) the Participant has provided written notice to the Company of the existence of the circumstances providing grounds for termination for Good Reason within 15 days of the initial existence of such grounds, (y) the Company has not cured such circumstances within 30 days from the date on which such notice is provided and (z) the Participant’s resign from his or her employment effective no later than 60 days after the initial existence of such grounds.</w:t>
      </w:r>
      <w:r>
        <w:rPr/>
        <w:t xml:space="preserve"> </w:t>
      </w:r>
    </w:p>
    <w:p>
      <w:pPr>
        <w:pStyle w:val="TextBody"/>
        <w:spacing w:before="0" w:after="240"/>
        <w:jc w:val="both"/>
        <w:rPr>
          <w:rFonts w:ascii="Times New Roman" w:hAnsi="Times New Roman"/>
          <w:b w:val="false"/>
          <w:sz w:val="24"/>
        </w:rPr>
      </w:pPr>
      <w:r>
        <w:rPr>
          <w:rFonts w:ascii="Times New Roman" w:hAnsi="Times New Roman"/>
          <w:b w:val="false"/>
          <w:sz w:val="24"/>
        </w:rPr>
        <w:t>3.</w:t>
      </w:r>
    </w:p>
    <w:p>
      <w:pPr>
        <w:pStyle w:val="TextBody"/>
        <w:spacing w:before="0" w:after="240"/>
        <w:jc w:val="both"/>
        <w:rPr/>
      </w:pPr>
      <w:r>
        <w:rPr>
          <w:rFonts w:ascii="Times New Roman;serif" w:hAnsi="Times New Roman;serif"/>
          <w:b w:val="false"/>
          <w:sz w:val="24"/>
          <w:u w:val="single"/>
        </w:rPr>
        <w:t>OPTION TERM</w:t>
      </w:r>
      <w:r>
        <w:rPr>
          <w:rFonts w:ascii="Times New Roman;serif" w:hAnsi="Times New Roman;serif"/>
          <w:b w:val="false"/>
          <w:sz w:val="24"/>
        </w:rPr>
        <w:t xml:space="preserve">. </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pPr>
      <w:r>
        <w:rPr>
          <w:rFonts w:ascii="Times New Roman;serif" w:hAnsi="Times New Roman;serif"/>
          <w:b w:val="false"/>
          <w:sz w:val="24"/>
        </w:rPr>
        <w:t>The term of the Options shall expire on the tenth anniversary of the Date of Grant (the “</w:t>
      </w:r>
      <w:r>
        <w:rPr>
          <w:rFonts w:ascii="Times New Roman;serif" w:hAnsi="Times New Roman;serif"/>
          <w:b/>
          <w:sz w:val="24"/>
        </w:rPr>
        <w:t>Expiration Date</w:t>
      </w:r>
      <w:r>
        <w:rPr/>
        <w:t>”</w:t>
      </w:r>
      <w:r>
        <w:rPr>
          <w:rFonts w:ascii="Times New Roman;serif" w:hAnsi="Times New Roman;serif"/>
          <w:b w:val="false"/>
          <w:sz w:val="24"/>
        </w:rPr>
        <w:t>), unless terminated earlier in accordance with this Agreement or the Plan. In no event may any portion of the Options be exercised after the Expiration Date.</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Upon the Expiration Date, if all or any portion of the Options has not yet been exercised and if the Fair Market Value of a Share as of such date is greater than the sum of the Exercise Price and any applicable transaction fees, then the Company shall effect a “net exercise” of the Options under which the Company reduces the number of Shares otherwise issuable to the Participant upon such exercise by the number of Shares with an aggregate Fair Market Value equal to the aggregate Exercise Price.</w:t>
      </w:r>
    </w:p>
    <w:p>
      <w:pPr>
        <w:pStyle w:val="TextBody"/>
        <w:spacing w:before="0" w:after="240"/>
        <w:jc w:val="both"/>
        <w:rPr>
          <w:rFonts w:ascii="Times New Roman" w:hAnsi="Times New Roman"/>
          <w:b w:val="false"/>
          <w:sz w:val="24"/>
        </w:rPr>
      </w:pPr>
      <w:r>
        <w:rPr>
          <w:rFonts w:ascii="Times New Roman" w:hAnsi="Times New Roman"/>
          <w:b w:val="false"/>
          <w:sz w:val="24"/>
        </w:rPr>
        <w:t>4.</w:t>
      </w:r>
    </w:p>
    <w:p>
      <w:pPr>
        <w:pStyle w:val="TextBody"/>
        <w:spacing w:before="0" w:after="240"/>
        <w:jc w:val="both"/>
        <w:rPr/>
      </w:pPr>
      <w:r>
        <w:rPr>
          <w:rFonts w:ascii="Times New Roman;serif" w:hAnsi="Times New Roman;serif"/>
          <w:b w:val="false"/>
          <w:sz w:val="24"/>
          <w:u w:val="single"/>
        </w:rPr>
        <w:t>OPTION EXERCISE</w:t>
      </w:r>
      <w:r>
        <w:rPr>
          <w:rFonts w:ascii="Times New Roman;serif" w:hAnsi="Times New Roman;serif"/>
          <w:b w:val="false"/>
          <w:sz w:val="24"/>
        </w:rPr>
        <w:t>. To the extent that the Options have become vested and exercisable in accordance with Section ‎2, the Options may thereafter be exercised by the Participant, in whole or in part, at any time or from time to time prior to the Expiration Date. To exercise the Options, the Participant must comply with Section ‎6 and:</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deliver to the Company a written notice specifying the number of Shares to be purchased; and</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remit the aggregate Exercise Price to the Company in full, payable in the manner determined by the Committee from time to time in its sole discretion, which may include: (A) in cash or by check, bank draft or money order payable to the order of the Company; (B) through a procedure whereby the Participant delivers irrevocable instructions to a broker reasonably acceptable to the Committee to sell Shares obtained upon exercise of the Options and to deliver promptly to the Company an amount of the proceeds of such sale equal to the aggregate Exercise Price; (C) by a “net exercise” under which the Company reduces the number of Shares otherwise issuable to the Participant upon such exercise by the number of Shares with an aggregate Fair Market Value that equals the aggregate Exercise Price; or (D) any other method acceptable to the Committee.</w:t>
      </w:r>
    </w:p>
    <w:p>
      <w:pPr>
        <w:pStyle w:val="TextBody"/>
        <w:spacing w:before="0" w:after="240"/>
        <w:jc w:val="both"/>
        <w:rPr>
          <w:rFonts w:ascii="Times New Roman" w:hAnsi="Times New Roman"/>
          <w:b w:val="false"/>
          <w:sz w:val="24"/>
        </w:rPr>
      </w:pPr>
      <w:r>
        <w:rPr>
          <w:rFonts w:ascii="Times New Roman" w:hAnsi="Times New Roman"/>
          <w:b w:val="false"/>
          <w:sz w:val="24"/>
        </w:rPr>
        <w:t>5.</w:t>
      </w:r>
    </w:p>
    <w:p>
      <w:pPr>
        <w:pStyle w:val="TextBody"/>
        <w:spacing w:before="0" w:after="240"/>
        <w:jc w:val="both"/>
        <w:rPr/>
      </w:pPr>
      <w:r>
        <w:rPr>
          <w:rFonts w:ascii="Times New Roman;serif" w:hAnsi="Times New Roman;serif"/>
          <w:b w:val="false"/>
          <w:sz w:val="24"/>
          <w:u w:val="single"/>
        </w:rPr>
        <w:t>NONTRANSFERABILITY</w:t>
      </w:r>
      <w:r>
        <w:rPr>
          <w:rFonts w:ascii="Times New Roman;serif" w:hAnsi="Times New Roman;serif"/>
          <w:b w:val="false"/>
          <w:sz w:val="24"/>
        </w:rPr>
        <w:t xml:space="preserve">. No portion of the Options may be sold, assigned, transferred, encumbered, hypothecated, or pledged by the Participant, other than to the Company as a result of forfeiture of the Options as provided herein, unless and until payment is made in respect of vested and exercised Options in accordance with the provisions hereof and the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3</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240"/>
        <w:jc w:val="both"/>
        <w:rPr>
          <w:rFonts w:ascii="Times New Roman;serif" w:hAnsi="Times New Roman;serif"/>
          <w:b w:val="false"/>
          <w:sz w:val="24"/>
        </w:rPr>
      </w:pPr>
      <w:r>
        <w:rPr>
          <w:rFonts w:ascii="Times New Roman;serif" w:hAnsi="Times New Roman;serif"/>
          <w:b w:val="false"/>
          <w:sz w:val="24"/>
        </w:rPr>
        <w:t>Participant has become the holder of record of the vested Shares issuable hereunder, unless otherwise provided by the Committee. During the lifetime of the Participant, the Options may be exercised only by the Participant or the Participant’s guardian or legal representative.</w:t>
      </w:r>
    </w:p>
    <w:p>
      <w:pPr>
        <w:pStyle w:val="TextBody"/>
        <w:spacing w:before="0" w:after="240"/>
        <w:jc w:val="both"/>
        <w:rPr>
          <w:rFonts w:ascii="Times New Roman" w:hAnsi="Times New Roman"/>
          <w:b w:val="false"/>
          <w:sz w:val="24"/>
        </w:rPr>
      </w:pPr>
      <w:r>
        <w:rPr>
          <w:rFonts w:ascii="Times New Roman" w:hAnsi="Times New Roman"/>
          <w:b w:val="false"/>
          <w:sz w:val="24"/>
        </w:rPr>
        <w:t>6.</w:t>
      </w:r>
    </w:p>
    <w:p>
      <w:pPr>
        <w:pStyle w:val="TextBody"/>
        <w:spacing w:before="0" w:after="240"/>
        <w:jc w:val="both"/>
        <w:rPr/>
      </w:pPr>
      <w:r>
        <w:rPr>
          <w:rFonts w:ascii="Times New Roman;serif" w:hAnsi="Times New Roman;serif"/>
          <w:b w:val="false"/>
          <w:sz w:val="24"/>
          <w:u w:val="single"/>
        </w:rPr>
        <w:t>TAX AND WITHHOLDING</w:t>
      </w:r>
      <w:r>
        <w:rPr>
          <w:rFonts w:ascii="Times New Roman;serif" w:hAnsi="Times New Roman;serif"/>
          <w:b w:val="false"/>
          <w:sz w:val="24"/>
        </w:rPr>
        <w:t xml:space="preserve">. </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Pursuant to rules and procedures that the Company or the Employer establishes, federal, state, local or foreign income or other tax or other withholding obligations arising in connection with the Options may be satisfied, in the Committee’s sole discretion, by having the Company or the Employer withhold Shares, by having the Participant tender Shares or by having the Company or the Employer withhold cash if the Company provides for a cash withholding option, in each case in an amount sufficient to satisfy the tax or other withholding obligations. Shares withheld or tendered will be valued using the Fair Market Value of the Shares on the date such obligation arises. Any withholding or tendering of Shares shall comply with the requirements of Financial Accounting Standards Board, Accounting Standards Codification, Topic 718, and any withholding satisfied through a net-settlement of the Options shall be limited to the maximum statutory withholding requirements. The Participant acknowledges that, if he or she is subject to taxes in more than one jurisdiction, the Company or the Employer may be required to withhold or account for taxes in more than one jurisdiction.</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Options are intended to qualify as “incentive stock options” within the meaning of Section 422 of the Code; however, the Company and its Affiliates make no representation or guarantee that the Options will satisfy the requirements or otherwise qualify as “incentive stock options”, and the Participant understands and agrees that the Company and its Affiliates, including the Employer, shall not be liable or responsible for any additional tax liability the Participant incurs in the event that the Internal Revenue Service for any reason determines that the Options do not qualify as “incentive stock options”. The Participant should consult his or her tax advisor regarding the consequences regarding the receipt, vesting, holding and exercise of the Options and the transfer of Shares acquired upon exercise. To the extent any portion of the Options does not so qualify as “incentive stock options”, such portion shall be deemed to be a Non-Qualified Stock Option. If the Participant intends to dispose or does dispose (whether by sale, gift, transfer or otherwise) of any Shares underlying the Options within the one-year period beginning on the day after the transfer of such Shares to the Participant, or within the two-year period beginning on the day after the Date of Grant, the Participant shall notify the Company within 30 days after such disposition. The Participant also agrees to provide the Company with any information concerning any such dispositions required by the Company for tax purposes. To the extent that the aggregate Fair Market Value (determined on the Date of Grant) of the Shares with respect to which Incentive Stock Options are exercisable for the first time by the Participant during any calendar year exceeds $100,000, the Options or portions thereof which exceed such limit (according to the order in which they were granted) shall be treated as Non-Qualified Stock Options.</w:t>
      </w:r>
    </w:p>
    <w:p>
      <w:pPr>
        <w:pStyle w:val="TextBody"/>
        <w:spacing w:before="0" w:after="0"/>
        <w:jc w:val="left"/>
        <w:rPr>
          <w:rFonts w:ascii="Times New Roman;serif" w:hAnsi="Times New Roman;serif"/>
          <w:b w:val="false"/>
          <w:sz w:val="24"/>
        </w:rPr>
      </w:pPr>
      <w:r>
        <w:rPr>
          <w:rFonts w:ascii="Times New Roman;serif" w:hAnsi="Times New Roman;serif"/>
          <w:b w:val="false"/>
          <w:sz w:val="24"/>
        </w:rPr>
        <w:t>4</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240"/>
        <w:jc w:val="both"/>
        <w:rPr>
          <w:rFonts w:ascii="Times New Roman" w:hAnsi="Times New Roman"/>
          <w:b w:val="false"/>
          <w:sz w:val="24"/>
        </w:rPr>
      </w:pPr>
      <w:r>
        <w:rPr>
          <w:rFonts w:ascii="Times New Roman" w:hAnsi="Times New Roman"/>
          <w:b w:val="false"/>
          <w:sz w:val="24"/>
        </w:rPr>
        <w:t>7.</w:t>
      </w:r>
    </w:p>
    <w:p>
      <w:pPr>
        <w:pStyle w:val="TextBody"/>
        <w:spacing w:before="0" w:after="240"/>
        <w:jc w:val="both"/>
        <w:rPr/>
      </w:pPr>
      <w:r>
        <w:rPr>
          <w:rFonts w:ascii="Times New Roman;serif" w:hAnsi="Times New Roman;serif"/>
          <w:b w:val="false"/>
          <w:sz w:val="24"/>
          <w:u w:val="single"/>
        </w:rPr>
        <w:t>RIGHTS AS SHAREHOLDER</w:t>
      </w:r>
      <w:r>
        <w:rPr>
          <w:rFonts w:ascii="Times New Roman;serif" w:hAnsi="Times New Roman;serif"/>
          <w:b w:val="false"/>
          <w:sz w:val="24"/>
        </w:rPr>
        <w:t>. The Participant will not have any rights as a shareholder of the Company or a holder of the Shares underlying the Options prior to exercise of the Options in accordance with the terms of this Agreement and the Plan.</w:t>
      </w:r>
    </w:p>
    <w:p>
      <w:pPr>
        <w:pStyle w:val="TextBody"/>
        <w:spacing w:before="0" w:after="240"/>
        <w:jc w:val="both"/>
        <w:rPr>
          <w:rFonts w:ascii="Times New Roman" w:hAnsi="Times New Roman"/>
          <w:b w:val="false"/>
          <w:sz w:val="24"/>
        </w:rPr>
      </w:pPr>
      <w:r>
        <w:rPr>
          <w:rFonts w:ascii="Times New Roman" w:hAnsi="Times New Roman"/>
          <w:b w:val="false"/>
          <w:sz w:val="24"/>
        </w:rPr>
        <w:t>8.</w:t>
      </w:r>
    </w:p>
    <w:p>
      <w:pPr>
        <w:pStyle w:val="TextBody"/>
        <w:spacing w:before="0" w:after="240"/>
        <w:jc w:val="both"/>
        <w:rPr/>
      </w:pPr>
      <w:r>
        <w:rPr>
          <w:rFonts w:ascii="Times New Roman;serif" w:hAnsi="Times New Roman;serif"/>
          <w:b w:val="false"/>
          <w:sz w:val="24"/>
          <w:u w:val="single"/>
        </w:rPr>
        <w:t>SECURITIES LAW COMPLIANCE</w:t>
      </w:r>
      <w:r>
        <w:rPr>
          <w:rFonts w:ascii="Times New Roman;serif" w:hAnsi="Times New Roman;serif"/>
          <w:b w:val="false"/>
          <w:sz w:val="24"/>
        </w:rPr>
        <w:t>. The Company may, if it determines it is appropriate, affix any legend to the share certificates representing Shares issued upon exercise of the Options and any share certificates that may subsequently be issued in substitution for the original certificates. The Company may advise the transfer agent to place a stop order against such Shares if it determines that such an order is necessary or advisable.</w:t>
      </w:r>
    </w:p>
    <w:p>
      <w:pPr>
        <w:pStyle w:val="TextBody"/>
        <w:spacing w:before="0" w:after="240"/>
        <w:jc w:val="both"/>
        <w:rPr>
          <w:rFonts w:ascii="Times New Roman" w:hAnsi="Times New Roman"/>
          <w:b w:val="false"/>
          <w:sz w:val="24"/>
        </w:rPr>
      </w:pPr>
      <w:r>
        <w:rPr>
          <w:rFonts w:ascii="Times New Roman" w:hAnsi="Times New Roman"/>
          <w:b w:val="false"/>
          <w:sz w:val="24"/>
        </w:rPr>
        <w:t>9.</w:t>
      </w:r>
    </w:p>
    <w:p>
      <w:pPr>
        <w:pStyle w:val="TextBody"/>
        <w:spacing w:before="0" w:after="240"/>
        <w:jc w:val="both"/>
        <w:rPr/>
      </w:pPr>
      <w:r>
        <w:rPr>
          <w:rFonts w:ascii="Times New Roman;serif" w:hAnsi="Times New Roman;serif"/>
          <w:b w:val="false"/>
          <w:sz w:val="24"/>
          <w:u w:val="single"/>
        </w:rPr>
        <w:t>COMPLIANCE WITH LAW</w:t>
      </w:r>
      <w:r>
        <w:rPr>
          <w:rFonts w:ascii="Times New Roman;serif" w:hAnsi="Times New Roman;serif"/>
          <w:b w:val="false"/>
          <w:sz w:val="24"/>
        </w:rPr>
        <w:t>. Any sale, assignment, transfer, pledge, mortgage, encumbrance or other disposition of Shares issued upon exercise of the Options (whether directly or indirectly, whether or not for value and whether or not voluntary) must be made in compliance with any applicable constitution, rule, regulation or policy of any of the exchanges, associations or other institutions with which the Company has membership or other privileges, and any applicable law, or applicable rule or regulation of any governmental agency, self-regulatory organization or state or federal regulatory body.</w:t>
      </w:r>
    </w:p>
    <w:p>
      <w:pPr>
        <w:pStyle w:val="TextBody"/>
        <w:spacing w:before="0" w:after="240"/>
        <w:jc w:val="both"/>
        <w:rPr>
          <w:rFonts w:ascii="Times New Roman" w:hAnsi="Times New Roman"/>
          <w:b w:val="false"/>
          <w:sz w:val="24"/>
        </w:rPr>
      </w:pPr>
      <w:r>
        <w:rPr>
          <w:rFonts w:ascii="Times New Roman" w:hAnsi="Times New Roman"/>
          <w:b w:val="false"/>
          <w:sz w:val="24"/>
        </w:rPr>
        <w:t>10.</w:t>
      </w:r>
    </w:p>
    <w:p>
      <w:pPr>
        <w:pStyle w:val="TextBody"/>
        <w:spacing w:before="0" w:after="240"/>
        <w:jc w:val="both"/>
        <w:rPr/>
      </w:pPr>
      <w:r>
        <w:rPr>
          <w:rFonts w:ascii="Times New Roman;serif" w:hAnsi="Times New Roman;serif"/>
          <w:b w:val="false"/>
          <w:sz w:val="24"/>
          <w:u w:val="single"/>
        </w:rPr>
        <w:t>MISCELLANEOUS</w:t>
      </w:r>
      <w:r>
        <w:rPr>
          <w:rFonts w:ascii="Times New Roman;serif" w:hAnsi="Times New Roman;serif"/>
          <w:b w:val="false"/>
          <w:sz w:val="24"/>
        </w:rPr>
        <w:t>.</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pPr>
      <w:r>
        <w:rPr>
          <w:rFonts w:ascii="Times New Roman;serif" w:hAnsi="Times New Roman;serif"/>
          <w:b w:val="false"/>
          <w:i/>
          <w:sz w:val="24"/>
        </w:rPr>
        <w:t>No Right To Continued Employment or Service</w:t>
      </w:r>
      <w:r>
        <w:rPr>
          <w:rFonts w:ascii="Times New Roman;serif" w:hAnsi="Times New Roman;serif"/>
          <w:b w:val="false"/>
          <w:sz w:val="24"/>
        </w:rPr>
        <w:t>. This Agreement shall not confer upon the Participant any right to continue in the employ or service of the Company or an Affiliate, including the Employer, or to be entitled to any remuneration or benefits not set forth in this Agreement or the Plan nor interfere with or limit the right of the Company or an Affiliate, including the Employer, to modify the terms of or terminate the Participant’s employment or service at any time.</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pPr>
      <w:r>
        <w:rPr>
          <w:rFonts w:ascii="Times New Roman;serif" w:hAnsi="Times New Roman;serif"/>
          <w:b w:val="false"/>
          <w:i/>
          <w:sz w:val="24"/>
        </w:rPr>
        <w:t>No Advice Regarding Grant</w:t>
      </w:r>
      <w:r>
        <w:rPr>
          <w:rFonts w:ascii="Times New Roman;serif" w:hAnsi="Times New Roman;serif"/>
          <w:b w:val="false"/>
          <w:sz w:val="24"/>
        </w:rPr>
        <w:t>. The Company is not providing any tax, legal or financial advice, nor is the Company making any recommendations regarding the Participant’s participation in the Plan or acquisition or sale of the underlying Shares. The Participant is hereby advised to consult with his or her own personal tax, legal and financial advisors regarding his or her participation in the Plan before taking any action related to the Plan or the Options.</w:t>
      </w:r>
    </w:p>
    <w:p>
      <w:pPr>
        <w:pStyle w:val="TextBody"/>
        <w:spacing w:before="0" w:after="240"/>
        <w:jc w:val="both"/>
        <w:rPr>
          <w:rFonts w:ascii="Times New Roman" w:hAnsi="Times New Roman"/>
          <w:b w:val="false"/>
          <w:sz w:val="24"/>
        </w:rPr>
      </w:pPr>
      <w:r>
        <w:rPr>
          <w:rFonts w:ascii="Times New Roman" w:hAnsi="Times New Roman"/>
          <w:b w:val="false"/>
          <w:sz w:val="24"/>
        </w:rPr>
        <w:t>(c)</w:t>
      </w:r>
    </w:p>
    <w:p>
      <w:pPr>
        <w:pStyle w:val="TextBody"/>
        <w:spacing w:before="0" w:after="240"/>
        <w:jc w:val="both"/>
        <w:rPr/>
      </w:pPr>
      <w:r>
        <w:rPr>
          <w:rFonts w:ascii="Times New Roman;serif" w:hAnsi="Times New Roman;serif"/>
          <w:b w:val="false"/>
          <w:i/>
          <w:sz w:val="24"/>
        </w:rPr>
        <w:t>Cancellation/Clawback</w:t>
      </w:r>
      <w:r>
        <w:rPr>
          <w:rFonts w:ascii="Times New Roman;serif" w:hAnsi="Times New Roman;serif"/>
          <w:b w:val="false"/>
          <w:sz w:val="24"/>
        </w:rPr>
        <w:t>. The Participant hereby acknowledges and agrees that the Participant and the Options are subject to the terms and conditions of Section 18 of the Plan (regarding the cancellation or “clawback” of Awards).</w:t>
      </w:r>
    </w:p>
    <w:p>
      <w:pPr>
        <w:pStyle w:val="TextBody"/>
        <w:spacing w:before="0" w:after="240"/>
        <w:jc w:val="both"/>
        <w:rPr>
          <w:rFonts w:ascii="Times New Roman" w:hAnsi="Times New Roman"/>
          <w:b w:val="false"/>
          <w:sz w:val="24"/>
        </w:rPr>
      </w:pPr>
      <w:r>
        <w:rPr>
          <w:rFonts w:ascii="Times New Roman" w:hAnsi="Times New Roman"/>
          <w:b w:val="false"/>
          <w:sz w:val="24"/>
        </w:rPr>
        <w:t>(d)</w:t>
      </w:r>
    </w:p>
    <w:p>
      <w:pPr>
        <w:pStyle w:val="TextBody"/>
        <w:spacing w:before="0" w:after="240"/>
        <w:jc w:val="both"/>
        <w:rPr/>
      </w:pPr>
      <w:r>
        <w:rPr>
          <w:rFonts w:ascii="Times New Roman;serif" w:hAnsi="Times New Roman;serif"/>
          <w:b w:val="false"/>
          <w:i/>
          <w:sz w:val="24"/>
        </w:rPr>
        <w:t>Plan to Govern</w:t>
      </w:r>
      <w:r>
        <w:rPr>
          <w:rFonts w:ascii="Times New Roman;serif" w:hAnsi="Times New Roman;serif"/>
          <w:b w:val="false"/>
          <w:sz w:val="24"/>
        </w:rPr>
        <w:t>. This Agreement and the rights of the Participant hereunder are subject to all of the terms and conditions of the Plan as the same may be amended from time to time, as well as to such rules and regulations as the Committee may adopt for the administration of the Plan.</w:t>
      </w:r>
    </w:p>
    <w:p>
      <w:pPr>
        <w:pStyle w:val="TextBody"/>
        <w:spacing w:before="0" w:after="240"/>
        <w:jc w:val="both"/>
        <w:rPr>
          <w:rFonts w:ascii="Times New Roman" w:hAnsi="Times New Roman"/>
          <w:b w:val="false"/>
          <w:sz w:val="24"/>
        </w:rPr>
      </w:pPr>
      <w:r>
        <w:rPr>
          <w:rFonts w:ascii="Times New Roman" w:hAnsi="Times New Roman"/>
          <w:b w:val="false"/>
          <w:sz w:val="24"/>
        </w:rPr>
        <w:t>(e)</w:t>
      </w:r>
    </w:p>
    <w:p>
      <w:pPr>
        <w:pStyle w:val="TextBody"/>
        <w:spacing w:before="0" w:after="240"/>
        <w:jc w:val="both"/>
        <w:rPr/>
      </w:pPr>
      <w:r>
        <w:rPr>
          <w:rFonts w:ascii="Times New Roman;serif" w:hAnsi="Times New Roman;serif"/>
          <w:b w:val="false"/>
          <w:i/>
          <w:sz w:val="24"/>
        </w:rPr>
        <w:t>Amendment</w:t>
      </w:r>
      <w:r>
        <w:rPr>
          <w:rFonts w:ascii="Times New Roman;serif" w:hAnsi="Times New Roman;serif"/>
          <w:b w:val="false"/>
          <w:sz w:val="24"/>
        </w:rPr>
        <w:t xml:space="preserve">. Subject to the restrictions set forth in the Plan, the Company may from time to time amend, alter, suspend, discontinue or terminate this Agreement or the Plan. Subject to the Company’s rights pursuant to Sections 5(c) and 12 of the Plan, no such action may, without the consent of the Participant, materially adversely affect the rights of the Participant with respect to the Options granted pursuant to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5</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this Agreement, except (A) to the extent any such action is made to cause the Plan or the Options to comply with applicable law, stock market or exchange rules and regulations or accounting or tax rules and regulations, or (y) to impose any “clawback” or recoupment provisions in accordance with Section 18 of the Plan.</w:t>
      </w:r>
    </w:p>
    <w:p>
      <w:pPr>
        <w:pStyle w:val="TextBody"/>
        <w:spacing w:before="0" w:after="240"/>
        <w:jc w:val="both"/>
        <w:rPr>
          <w:rFonts w:ascii="Times New Roman" w:hAnsi="Times New Roman"/>
          <w:b w:val="false"/>
          <w:sz w:val="24"/>
        </w:rPr>
      </w:pPr>
      <w:r>
        <w:rPr>
          <w:rFonts w:ascii="Times New Roman" w:hAnsi="Times New Roman"/>
          <w:b w:val="false"/>
          <w:sz w:val="24"/>
        </w:rPr>
        <w:t>(f)</w:t>
      </w:r>
    </w:p>
    <w:p>
      <w:pPr>
        <w:pStyle w:val="TextBody"/>
        <w:spacing w:before="0" w:after="240"/>
        <w:jc w:val="both"/>
        <w:rPr/>
      </w:pPr>
      <w:r>
        <w:rPr>
          <w:rFonts w:ascii="Times New Roman;serif" w:hAnsi="Times New Roman;serif"/>
          <w:b w:val="false"/>
          <w:i/>
          <w:sz w:val="24"/>
        </w:rPr>
        <w:t>Severability</w:t>
      </w:r>
      <w:r>
        <w:rPr>
          <w:rFonts w:ascii="Times New Roman;serif" w:hAnsi="Times New Roman;serif"/>
          <w:b w:val="false"/>
          <w:sz w:val="24"/>
        </w:rPr>
        <w:t>. In the event that any provision of this Agreement shall he held illegal or invalid for any reason, such illegality or invalidity shall not affect the remaining provisions of this Agreement, and this Agreement shall be construed and enforced as if the illegal or invalid provision had not been included.</w:t>
      </w:r>
    </w:p>
    <w:p>
      <w:pPr>
        <w:pStyle w:val="TextBody"/>
        <w:spacing w:before="0" w:after="240"/>
        <w:jc w:val="both"/>
        <w:rPr>
          <w:rFonts w:ascii="Times New Roman" w:hAnsi="Times New Roman"/>
          <w:b w:val="false"/>
          <w:sz w:val="24"/>
        </w:rPr>
      </w:pPr>
      <w:r>
        <w:rPr>
          <w:rFonts w:ascii="Times New Roman" w:hAnsi="Times New Roman"/>
          <w:b w:val="false"/>
          <w:sz w:val="24"/>
        </w:rPr>
        <w:t>(g)</w:t>
      </w:r>
    </w:p>
    <w:p>
      <w:pPr>
        <w:pStyle w:val="TextBody"/>
        <w:spacing w:before="0" w:after="240"/>
        <w:jc w:val="both"/>
        <w:rPr/>
      </w:pPr>
      <w:r>
        <w:rPr>
          <w:rFonts w:ascii="Times New Roman;serif" w:hAnsi="Times New Roman;serif"/>
          <w:b w:val="false"/>
          <w:i/>
          <w:sz w:val="24"/>
        </w:rPr>
        <w:t>Entire Agreement</w:t>
      </w:r>
      <w:r>
        <w:rPr>
          <w:rFonts w:ascii="Times New Roman;serif" w:hAnsi="Times New Roman;serif"/>
          <w:b w:val="false"/>
          <w:sz w:val="24"/>
        </w:rPr>
        <w:t>. This Agreement and the Plan contain all of the understandings between the Company and the Participant concerning the Options granted hereunder and supersede all prior agreements and understandings.</w:t>
      </w:r>
    </w:p>
    <w:p>
      <w:pPr>
        <w:pStyle w:val="TextBody"/>
        <w:spacing w:before="0" w:after="240"/>
        <w:jc w:val="both"/>
        <w:rPr>
          <w:rFonts w:ascii="Times New Roman" w:hAnsi="Times New Roman"/>
          <w:b w:val="false"/>
          <w:sz w:val="24"/>
        </w:rPr>
      </w:pPr>
      <w:r>
        <w:rPr>
          <w:rFonts w:ascii="Times New Roman" w:hAnsi="Times New Roman"/>
          <w:b w:val="false"/>
          <w:sz w:val="24"/>
        </w:rPr>
        <w:t>(h)</w:t>
      </w:r>
    </w:p>
    <w:p>
      <w:pPr>
        <w:pStyle w:val="TextBody"/>
        <w:spacing w:before="0" w:after="240"/>
        <w:jc w:val="both"/>
        <w:rPr/>
      </w:pPr>
      <w:r>
        <w:rPr>
          <w:rFonts w:ascii="Times New Roman;serif" w:hAnsi="Times New Roman;serif"/>
          <w:b w:val="false"/>
          <w:i/>
          <w:sz w:val="24"/>
        </w:rPr>
        <w:t>Successors</w:t>
      </w:r>
      <w:r>
        <w:rPr>
          <w:rFonts w:ascii="Times New Roman;serif" w:hAnsi="Times New Roman;serif"/>
          <w:b w:val="false"/>
          <w:sz w:val="24"/>
        </w:rPr>
        <w:t>. This Agreement shall be binding upon and inure to the benefit of any successor or successors of the Company and any person or persons who shall, upon the Participant’s death, acquire any rights hereunder in accordance with this Agreement or the Plan.</w:t>
      </w:r>
    </w:p>
    <w:p>
      <w:pPr>
        <w:pStyle w:val="TextBody"/>
        <w:spacing w:before="0" w:after="240"/>
        <w:jc w:val="both"/>
        <w:rPr>
          <w:rFonts w:ascii="Times New Roman" w:hAnsi="Times New Roman"/>
          <w:b w:val="false"/>
          <w:sz w:val="24"/>
        </w:rPr>
      </w:pPr>
      <w:r>
        <w:rPr>
          <w:rFonts w:ascii="Times New Roman" w:hAnsi="Times New Roman"/>
          <w:b w:val="false"/>
          <w:sz w:val="24"/>
        </w:rPr>
        <w:t>(i)</w:t>
      </w:r>
    </w:p>
    <w:p>
      <w:pPr>
        <w:pStyle w:val="TextBody"/>
        <w:spacing w:before="0" w:after="240"/>
        <w:jc w:val="both"/>
        <w:rPr/>
      </w:pPr>
      <w:r>
        <w:rPr>
          <w:rFonts w:ascii="Times New Roman;serif" w:hAnsi="Times New Roman;serif"/>
          <w:b w:val="false"/>
          <w:i/>
          <w:sz w:val="24"/>
        </w:rPr>
        <w:t>Governing Law</w:t>
      </w:r>
      <w:r>
        <w:rPr>
          <w:rFonts w:ascii="Times New Roman;serif" w:hAnsi="Times New Roman;serif"/>
          <w:b w:val="false"/>
          <w:sz w:val="24"/>
        </w:rPr>
        <w:t>. To the extent not preempted by federal law, this Agreement shall be construed in accordance with and governed by the laws of the State of Delaware, without regard to any conflicts or choice of law, rule or principle that might otherwise refer the interpretation of the award to the substantive law of another jurisdiction.</w:t>
      </w:r>
    </w:p>
    <w:p>
      <w:pPr>
        <w:pStyle w:val="TextBody"/>
        <w:spacing w:before="0" w:after="240"/>
        <w:jc w:val="both"/>
        <w:rPr>
          <w:rFonts w:ascii="Times New Roman" w:hAnsi="Times New Roman"/>
          <w:b w:val="false"/>
          <w:sz w:val="24"/>
        </w:rPr>
      </w:pPr>
      <w:r>
        <w:rPr>
          <w:rFonts w:ascii="Times New Roman" w:hAnsi="Times New Roman"/>
          <w:b w:val="false"/>
          <w:sz w:val="24"/>
        </w:rPr>
        <w:t>(j)</w:t>
      </w:r>
    </w:p>
    <w:p>
      <w:pPr>
        <w:pStyle w:val="TextBody"/>
        <w:spacing w:before="0" w:after="240"/>
        <w:jc w:val="both"/>
        <w:rPr/>
      </w:pPr>
      <w:r>
        <w:rPr>
          <w:rFonts w:ascii="Times New Roman;serif" w:hAnsi="Times New Roman;serif"/>
          <w:b w:val="false"/>
          <w:i/>
          <w:sz w:val="24"/>
        </w:rPr>
        <w:t>Compliance with Section 409A of the Internal Revenue Code</w:t>
      </w:r>
      <w:r>
        <w:rPr>
          <w:rFonts w:ascii="Times New Roman;serif" w:hAnsi="Times New Roman;serif"/>
          <w:b w:val="false"/>
          <w:sz w:val="24"/>
        </w:rPr>
        <w:t>. The</w:t>
      </w:r>
      <w:r>
        <w:rPr/>
        <w:t xml:space="preserve"> </w:t>
      </w:r>
      <w:r>
        <w:rPr>
          <w:rFonts w:ascii="Times New Roman;serif" w:hAnsi="Times New Roman;serif"/>
          <w:b w:val="false"/>
          <w:sz w:val="24"/>
        </w:rPr>
        <w:t>Options are intended to comply with Section 409A of the Code (“</w:t>
      </w:r>
      <w:r>
        <w:rPr>
          <w:rFonts w:ascii="Times New Roman;serif" w:hAnsi="Times New Roman;serif"/>
          <w:b/>
          <w:sz w:val="24"/>
        </w:rPr>
        <w:t>Section 409A</w:t>
      </w:r>
      <w:r>
        <w:rPr/>
        <w:t>”</w:t>
      </w:r>
      <w:r>
        <w:rPr>
          <w:rFonts w:ascii="Times New Roman;serif" w:hAnsi="Times New Roman;serif"/>
          <w:b w:val="false"/>
          <w:sz w:val="24"/>
        </w:rPr>
        <w:t>) to the extent subject thereto, and shall be interpreted in accordance with Section 409A and treasury regulations and other interpretive guidance issued thereunder, including without limitation any such regulations or other guidance that may be issued after the Date of Grant. The Company reserves the right to modify the terms of this Agreement, including, without limitation, the payment provisions applicable to the Options, to the extent necessary or advisable to comply with Section 409A and reserves the right to make any changes to the Options so that the Options do not become deferred compensation under Section 409A.</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Notwithstanding any provision of the Plan or this Agreement to the contrary, in no event shall the Company or an Affiliate, including the Employer, be liable to the Participant on account of failure of the Options to (i) qualify for favorable U.S. or foreign tax treatment or (ii) avoid adverse tax treatment under U.S. or foreign law, including, without limitation, under Section 409A.</w:t>
      </w:r>
    </w:p>
    <w:p>
      <w:pPr>
        <w:pStyle w:val="TextBody"/>
        <w:spacing w:before="0" w:after="240"/>
        <w:jc w:val="center"/>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6</w:t>
      </w:r>
    </w:p>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4"/>
        </w:rPr>
      </w:pPr>
      <w:bookmarkStart w:id="174" w:name="prok-ex10_19.htm"/>
      <w:bookmarkStart w:id="175" w:name="ksprokex10_19"/>
      <w:bookmarkEnd w:id="174"/>
      <w:bookmarkEnd w:id="175"/>
      <w:r>
        <w:rPr>
          <w:rFonts w:ascii="Times New Roman;serif" w:hAnsi="Times New Roman;serif"/>
          <w:b/>
          <w:sz w:val="24"/>
        </w:rPr>
        <w:t>Exhibit 10.19</w:t>
      </w:r>
    </w:p>
    <w:p>
      <w:pPr>
        <w:pStyle w:val="TextBody"/>
        <w:spacing w:before="84" w:after="0"/>
        <w:jc w:val="center"/>
        <w:rPr>
          <w:rFonts w:ascii="Times New Roman;serif" w:hAnsi="Times New Roman;serif"/>
          <w:b/>
          <w:sz w:val="24"/>
        </w:rPr>
      </w:pPr>
      <w:bookmarkStart w:id="176" w:name="prokidney_corp_"/>
      <w:bookmarkEnd w:id="176"/>
      <w:r>
        <w:rPr>
          <w:rFonts w:ascii="Times New Roman;serif" w:hAnsi="Times New Roman;serif"/>
          <w:b/>
          <w:sz w:val="24"/>
        </w:rPr>
        <w:t>PROKIDNEY CORP.</w:t>
      </w:r>
    </w:p>
    <w:p>
      <w:pPr>
        <w:pStyle w:val="TextBody"/>
        <w:spacing w:before="138" w:after="0"/>
        <w:jc w:val="center"/>
        <w:rPr>
          <w:rFonts w:ascii="Times New Roman;serif" w:hAnsi="Times New Roman;serif"/>
          <w:b/>
          <w:sz w:val="24"/>
        </w:rPr>
      </w:pPr>
      <w:bookmarkStart w:id="177" w:name="incentive_stock_option_award_agreement"/>
      <w:bookmarkEnd w:id="177"/>
      <w:r>
        <w:rPr>
          <w:rFonts w:ascii="Times New Roman;serif" w:hAnsi="Times New Roman;serif"/>
          <w:b/>
          <w:sz w:val="24"/>
        </w:rPr>
        <w:t>INCENTIVE STOCK OPTION AWARD AGREEMENT</w:t>
      </w:r>
    </w:p>
    <w:p>
      <w:pPr>
        <w:pStyle w:val="TextBody"/>
        <w:spacing w:before="1"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This Incentive Stock Option Award Agreement (“</w:t>
      </w:r>
      <w:r>
        <w:rPr>
          <w:rFonts w:ascii="Times New Roman;serif" w:hAnsi="Times New Roman;serif"/>
          <w:b/>
          <w:sz w:val="24"/>
        </w:rPr>
        <w:t>Agreement</w:t>
      </w:r>
      <w:r>
        <w:rPr>
          <w:rFonts w:ascii="Times New Roman" w:hAnsi="Times New Roman"/>
          <w:sz w:val="20"/>
        </w:rPr>
        <w:t>”</w:t>
      </w:r>
      <w:r>
        <w:rPr>
          <w:rFonts w:ascii="Times New Roman;serif" w:hAnsi="Times New Roman;serif"/>
          <w:b w:val="false"/>
          <w:sz w:val="24"/>
        </w:rPr>
        <w:t>) is entered into by and between ProKidney Corp. (the “</w:t>
      </w:r>
      <w:r>
        <w:rPr>
          <w:rFonts w:ascii="Times New Roman;serif" w:hAnsi="Times New Roman;serif"/>
          <w:b/>
          <w:sz w:val="24"/>
        </w:rPr>
        <w:t>Company</w:t>
      </w:r>
      <w:r>
        <w:rPr>
          <w:rFonts w:ascii="Times New Roman" w:hAnsi="Times New Roman"/>
          <w:sz w:val="20"/>
        </w:rPr>
        <w:t>”</w:t>
      </w:r>
      <w:r>
        <w:rPr>
          <w:rFonts w:ascii="Times New Roman;serif" w:hAnsi="Times New Roman;serif"/>
          <w:b w:val="false"/>
          <w:sz w:val="24"/>
        </w:rPr>
        <w:t>) and the employee whose name appears below (the “</w:t>
      </w:r>
      <w:r>
        <w:rPr>
          <w:rFonts w:ascii="Times New Roman;serif" w:hAnsi="Times New Roman;serif"/>
          <w:b/>
          <w:sz w:val="24"/>
        </w:rPr>
        <w:t>Participant</w:t>
      </w:r>
      <w:r>
        <w:rPr>
          <w:rFonts w:ascii="Times New Roman" w:hAnsi="Times New Roman"/>
          <w:sz w:val="20"/>
        </w:rPr>
        <w:t>”</w:t>
      </w:r>
      <w:r>
        <w:rPr>
          <w:rFonts w:ascii="Times New Roman;serif" w:hAnsi="Times New Roman;serif"/>
          <w:b w:val="false"/>
          <w:sz w:val="24"/>
        </w:rPr>
        <w:t>) in order to set forth the terms and conditions of Incentive Stock Options (the “</w:t>
      </w:r>
      <w:r>
        <w:rPr>
          <w:rFonts w:ascii="Times New Roman;serif" w:hAnsi="Times New Roman;serif"/>
          <w:b/>
          <w:sz w:val="24"/>
        </w:rPr>
        <w:t>Options</w:t>
      </w:r>
      <w:r>
        <w:rPr>
          <w:rFonts w:ascii="Times New Roman" w:hAnsi="Times New Roman"/>
          <w:sz w:val="20"/>
        </w:rPr>
        <w:t>”</w:t>
      </w:r>
      <w:r>
        <w:rPr>
          <w:rFonts w:ascii="Times New Roman;serif" w:hAnsi="Times New Roman;serif"/>
          <w:b w:val="false"/>
          <w:sz w:val="24"/>
        </w:rPr>
        <w:t>) granted to the Participant under the ProKidney Corp. 2022 Incentive Equity Plan (as may be amended and restated from time to time, the “</w:t>
      </w:r>
      <w:r>
        <w:rPr>
          <w:rFonts w:ascii="Times New Roman;serif" w:hAnsi="Times New Roman;serif"/>
          <w:b/>
          <w:sz w:val="24"/>
        </w:rPr>
        <w:t>Plan</w:t>
      </w:r>
      <w:r>
        <w:rPr>
          <w:rFonts w:ascii="Times New Roman" w:hAnsi="Times New Roman"/>
          <w:sz w:val="20"/>
        </w:rPr>
        <w:t>”</w:t>
      </w:r>
      <w:r>
        <w:rPr>
          <w:rFonts w:ascii="Times New Roman;serif" w:hAnsi="Times New Roman;serif"/>
          <w:b w:val="false"/>
          <w:sz w:val="24"/>
        </w:rPr>
        <w:t>).</w:t>
      </w:r>
    </w:p>
    <w:p>
      <w:pPr>
        <w:pStyle w:val="TextBody"/>
        <w:spacing w:before="3" w:after="0"/>
        <w:jc w:val="left"/>
        <w:rPr/>
      </w:pPr>
      <w:r>
        <w:rPr/>
        <w:t> </w:t>
      </w:r>
    </w:p>
    <w:p>
      <w:pPr>
        <w:pStyle w:val="TextBody"/>
        <w:spacing w:before="0" w:after="0"/>
        <w:jc w:val="left"/>
        <w:rPr>
          <w:rFonts w:ascii="Times New Roman;serif" w:hAnsi="Times New Roman;serif"/>
          <w:b/>
          <w:sz w:val="24"/>
        </w:rPr>
      </w:pPr>
      <w:r>
        <w:rPr>
          <w:rFonts w:ascii="Times New Roman;serif" w:hAnsi="Times New Roman;serif"/>
          <w:b/>
          <w:sz w:val="24"/>
        </w:rPr>
        <w:t>Participant’s Name: Timothy Bertram</w:t>
      </w:r>
    </w:p>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046"/>
        <w:gridCol w:w="1517"/>
        <w:gridCol w:w="3303"/>
        <w:gridCol w:w="1509"/>
        <w:gridCol w:w="1830"/>
      </w:tblGrid>
      <w:tr>
        <w:trPr/>
        <w:tc>
          <w:tcPr>
            <w:tcW w:w="2046" w:type="dxa"/>
            <w:tcBorders/>
            <w:shd w:fill="auto" w:val="clear"/>
            <w:vAlign w:val="center"/>
          </w:tcPr>
          <w:p>
            <w:pPr>
              <w:pStyle w:val="TableContents"/>
              <w:spacing w:before="0" w:after="283"/>
              <w:rPr>
                <w:sz w:val="4"/>
                <w:szCs w:val="4"/>
              </w:rPr>
            </w:pPr>
            <w:r>
              <w:rPr>
                <w:sz w:val="4"/>
                <w:szCs w:val="4"/>
              </w:rPr>
            </w:r>
          </w:p>
        </w:tc>
        <w:tc>
          <w:tcPr>
            <w:tcW w:w="1517" w:type="dxa"/>
            <w:tcBorders/>
            <w:shd w:fill="auto" w:val="clear"/>
            <w:vAlign w:val="center"/>
          </w:tcPr>
          <w:p>
            <w:pPr>
              <w:pStyle w:val="TableContents"/>
              <w:spacing w:before="0" w:after="283"/>
              <w:rPr>
                <w:sz w:val="4"/>
                <w:szCs w:val="4"/>
              </w:rPr>
            </w:pPr>
            <w:r>
              <w:rPr>
                <w:sz w:val="4"/>
                <w:szCs w:val="4"/>
              </w:rPr>
            </w:r>
          </w:p>
        </w:tc>
        <w:tc>
          <w:tcPr>
            <w:tcW w:w="3303"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1830" w:type="dxa"/>
            <w:tcBorders/>
            <w:shd w:fill="auto" w:val="clear"/>
            <w:vAlign w:val="center"/>
          </w:tcPr>
          <w:p>
            <w:pPr>
              <w:pStyle w:val="TableContents"/>
              <w:spacing w:before="0" w:after="283"/>
              <w:rPr>
                <w:sz w:val="4"/>
                <w:szCs w:val="4"/>
              </w:rPr>
            </w:pPr>
            <w:r>
              <w:rPr>
                <w:sz w:val="4"/>
                <w:szCs w:val="4"/>
              </w:rPr>
            </w:r>
          </w:p>
        </w:tc>
      </w:tr>
      <w:tr>
        <w:trPr/>
        <w:tc>
          <w:tcPr>
            <w:tcW w:w="2046" w:type="dxa"/>
            <w:tcBorders>
              <w:top w:val="single" w:sz="4" w:space="0" w:color="000000"/>
              <w:left w:val="single" w:sz="4" w:space="0" w:color="000000"/>
              <w:bottom w:val="single" w:sz="4" w:space="0" w:color="000000"/>
              <w:right w:val="single" w:sz="4" w:space="0" w:color="000000"/>
            </w:tcBorders>
            <w:shd w:fill="auto" w:val="clear"/>
            <w:tcMar>
              <w:left w:w="108" w:type="dxa"/>
              <w:right w:w="108" w:type="dxa"/>
            </w:tcMar>
            <w:vAlign w:val="center"/>
          </w:tcPr>
          <w:p>
            <w:pPr>
              <w:pStyle w:val="TableContents"/>
              <w:spacing w:before="0" w:after="0"/>
              <w:ind w:left="0" w:right="0" w:hanging="0"/>
              <w:jc w:val="center"/>
              <w:rPr>
                <w:rFonts w:ascii="Times New Roman;serif" w:hAnsi="Times New Roman;serif"/>
                <w:b/>
                <w:sz w:val="21"/>
              </w:rPr>
            </w:pPr>
            <w:r>
              <w:rPr>
                <w:rFonts w:ascii="Times New Roman;serif" w:hAnsi="Times New Roman;serif"/>
                <w:b/>
                <w:sz w:val="21"/>
              </w:rPr>
              <w:t>Award Type</w:t>
            </w:r>
          </w:p>
        </w:tc>
        <w:tc>
          <w:tcPr>
            <w:tcW w:w="1517"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0"/>
              <w:ind w:left="0" w:right="0" w:hanging="0"/>
              <w:jc w:val="center"/>
              <w:rPr/>
            </w:pPr>
            <w:r>
              <w:rPr/>
              <w:t>“</w:t>
            </w:r>
            <w:r>
              <w:rPr>
                <w:rFonts w:ascii="Times New Roman;serif" w:hAnsi="Times New Roman;serif"/>
                <w:b/>
                <w:sz w:val="21"/>
              </w:rPr>
              <w:t>Date of Grant”</w:t>
            </w:r>
          </w:p>
        </w:tc>
        <w:tc>
          <w:tcPr>
            <w:tcW w:w="3303"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0"/>
              <w:ind w:left="0" w:right="0" w:hanging="0"/>
              <w:jc w:val="center"/>
              <w:rPr>
                <w:rFonts w:ascii="Times New Roman;serif" w:hAnsi="Times New Roman;serif"/>
                <w:b/>
                <w:sz w:val="21"/>
              </w:rPr>
            </w:pPr>
            <w:r>
              <w:rPr>
                <w:rFonts w:ascii="Times New Roman;serif" w:hAnsi="Times New Roman;serif"/>
                <w:b/>
                <w:sz w:val="21"/>
              </w:rPr>
              <w:t>Number of Shares Subject to Options</w:t>
            </w:r>
          </w:p>
        </w:tc>
        <w:tc>
          <w:tcPr>
            <w:tcW w:w="1509"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0"/>
              <w:ind w:left="0" w:right="0" w:hanging="0"/>
              <w:jc w:val="center"/>
              <w:rPr/>
            </w:pPr>
            <w:r>
              <w:rPr/>
              <w:t>“</w:t>
            </w:r>
            <w:r>
              <w:rPr>
                <w:rFonts w:ascii="Times New Roman;serif" w:hAnsi="Times New Roman;serif"/>
                <w:b/>
                <w:sz w:val="21"/>
              </w:rPr>
              <w:t>Exercise Price”</w:t>
            </w:r>
          </w:p>
        </w:tc>
        <w:tc>
          <w:tcPr>
            <w:tcW w:w="1830"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0"/>
              <w:ind w:left="0" w:right="0" w:hanging="0"/>
              <w:jc w:val="center"/>
              <w:rPr/>
            </w:pPr>
            <w:r>
              <w:rPr/>
              <w:t>“</w:t>
            </w:r>
            <w:r>
              <w:rPr>
                <w:rFonts w:ascii="Times New Roman;serif" w:hAnsi="Times New Roman;serif"/>
                <w:b/>
                <w:sz w:val="21"/>
              </w:rPr>
              <w:t>Vesting Schedule”</w:t>
            </w:r>
          </w:p>
        </w:tc>
      </w:tr>
      <w:tr>
        <w:trPr/>
        <w:tc>
          <w:tcPr>
            <w:tcW w:w="2046"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val="false"/>
                <w:sz w:val="21"/>
              </w:rPr>
            </w:pPr>
            <w:r>
              <w:rPr>
                <w:rFonts w:ascii="Times New Roman;serif" w:hAnsi="Times New Roman;serif"/>
                <w:b w:val="false"/>
                <w:sz w:val="21"/>
              </w:rPr>
              <w:t>Incentive Stock Options</w:t>
            </w:r>
          </w:p>
        </w:tc>
        <w:tc>
          <w:tcPr>
            <w:tcW w:w="1517"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serif" w:hAnsi="Times New Roman;serif"/>
                <w:b w:val="false"/>
                <w:sz w:val="21"/>
              </w:rPr>
            </w:pPr>
            <w:r>
              <w:rPr>
                <w:rFonts w:ascii="Times New Roman;serif" w:hAnsi="Times New Roman;serif"/>
                <w:b w:val="false"/>
                <w:sz w:val="21"/>
              </w:rPr>
              <w:t>October 20, 2022</w:t>
            </w:r>
          </w:p>
        </w:tc>
        <w:tc>
          <w:tcPr>
            <w:tcW w:w="3303"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124" w:after="0"/>
              <w:ind w:left="0" w:right="110" w:hanging="0"/>
              <w:jc w:val="right"/>
              <w:rPr>
                <w:rFonts w:ascii="Times New Roman;serif" w:hAnsi="Times New Roman;serif"/>
                <w:b w:val="false"/>
                <w:sz w:val="21"/>
              </w:rPr>
            </w:pPr>
            <w:r>
              <w:rPr>
                <w:rFonts w:ascii="Times New Roman;serif" w:hAnsi="Times New Roman;serif"/>
                <w:b w:val="false"/>
                <w:sz w:val="21"/>
              </w:rPr>
              <w:t>3,639,607 Class</w:t>
            </w:r>
          </w:p>
          <w:p>
            <w:pPr>
              <w:pStyle w:val="TableContents"/>
              <w:spacing w:before="0" w:after="0"/>
              <w:ind w:left="0" w:right="0" w:hanging="0"/>
              <w:jc w:val="left"/>
              <w:rPr>
                <w:rFonts w:ascii="Times New Roman;serif" w:hAnsi="Times New Roman;serif"/>
                <w:b w:val="false"/>
                <w:sz w:val="21"/>
              </w:rPr>
            </w:pPr>
            <w:r>
              <w:rPr>
                <w:rFonts w:ascii="Times New Roman;serif" w:hAnsi="Times New Roman;serif"/>
                <w:b w:val="false"/>
                <w:sz w:val="21"/>
              </w:rPr>
              <w:t>A ordinary shares</w:t>
            </w:r>
          </w:p>
        </w:tc>
        <w:tc>
          <w:tcPr>
            <w:tcW w:w="1509"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left"/>
              <w:rPr>
                <w:rFonts w:ascii="Times New Roman;serif" w:hAnsi="Times New Roman;serif"/>
                <w:b w:val="false"/>
                <w:sz w:val="21"/>
              </w:rPr>
            </w:pPr>
            <w:r>
              <w:rPr>
                <w:rFonts w:ascii="Times New Roman;serif" w:hAnsi="Times New Roman;serif"/>
                <w:b w:val="false"/>
                <w:sz w:val="21"/>
              </w:rPr>
              <w:t>US$10.33</w:t>
            </w:r>
          </w:p>
        </w:tc>
        <w:tc>
          <w:tcPr>
            <w:tcW w:w="1830"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144" w:after="0"/>
              <w:ind w:left="0" w:right="0" w:hanging="0"/>
              <w:jc w:val="left"/>
              <w:rPr>
                <w:rFonts w:ascii="Times New Roman;serif" w:hAnsi="Times New Roman;serif"/>
                <w:b w:val="false"/>
                <w:i/>
                <w:sz w:val="21"/>
              </w:rPr>
            </w:pPr>
            <w:r>
              <w:rPr>
                <w:rFonts w:ascii="Times New Roman;serif" w:hAnsi="Times New Roman;serif"/>
                <w:b w:val="false"/>
                <w:i/>
                <w:sz w:val="21"/>
              </w:rPr>
              <w:t>See Agreement and</w:t>
            </w:r>
          </w:p>
          <w:p>
            <w:pPr>
              <w:pStyle w:val="TableContents"/>
              <w:spacing w:before="1" w:after="0"/>
              <w:ind w:left="0" w:right="0" w:hanging="0"/>
              <w:jc w:val="left"/>
              <w:rPr>
                <w:rFonts w:ascii="Times New Roman;serif" w:hAnsi="Times New Roman;serif"/>
                <w:b w:val="false"/>
                <w:i/>
                <w:sz w:val="21"/>
              </w:rPr>
            </w:pPr>
            <w:r>
              <w:rPr>
                <w:rFonts w:ascii="Times New Roman;serif" w:hAnsi="Times New Roman;serif"/>
                <w:b w:val="false"/>
                <w:i/>
                <w:sz w:val="21"/>
              </w:rPr>
              <w:t>Appendix A</w:t>
            </w:r>
          </w:p>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90" w:after="0"/>
        <w:jc w:val="both"/>
        <w:rPr/>
      </w:pPr>
      <w:r>
        <w:rPr/>
        <w:t> </w:t>
      </w:r>
    </w:p>
    <w:p>
      <w:pPr>
        <w:pStyle w:val="TextBody"/>
        <w:spacing w:before="90" w:after="0"/>
        <w:jc w:val="both"/>
        <w:rPr>
          <w:rFonts w:ascii="Times New Roman;serif" w:hAnsi="Times New Roman;serif"/>
          <w:b w:val="false"/>
          <w:sz w:val="24"/>
        </w:rPr>
      </w:pPr>
      <w:r>
        <w:rPr>
          <w:rFonts w:ascii="Times New Roman;serif" w:hAnsi="Times New Roman;serif"/>
          <w:b w:val="false"/>
          <w:sz w:val="24"/>
        </w:rPr>
        <w:t>Subject to the attached Terms and Conditions and the terms of the Plan, which are incorporated herein by reference, the Company hereby grants to the Participant, on the Date of Grant as set forth above, and the Participant hereby accepts, the number of Options, with the Exercise Price and Vesting Schedule, each as set forth above. Capitalized terms used but not otherwise defined herein or in the attached Terms and Conditions shall have the meanings ascribed to such terms in the Plan.</w:t>
      </w:r>
    </w:p>
    <w:p>
      <w:pPr>
        <w:pStyle w:val="TextBody"/>
        <w:spacing w:before="10" w:after="0"/>
        <w:jc w:val="left"/>
        <w:rPr/>
      </w:pPr>
      <w:r>
        <w:rPr/>
        <w:t> </w:t>
      </w:r>
    </w:p>
    <w:p>
      <w:pPr>
        <w:pStyle w:val="TextBody"/>
        <w:spacing w:before="1" w:after="0"/>
        <w:jc w:val="left"/>
        <w:rPr>
          <w:rFonts w:ascii="Times New Roman;serif" w:hAnsi="Times New Roman;serif"/>
          <w:b w:val="false"/>
          <w:sz w:val="24"/>
        </w:rPr>
      </w:pPr>
      <w:r>
        <w:rPr>
          <w:rFonts w:ascii="Times New Roman;serif" w:hAnsi="Times New Roman;serif"/>
          <w:b w:val="false"/>
          <w:sz w:val="24"/>
        </w:rPr>
        <w:t>IN WITNESS WHEREOF, the Company and the Participant have duly executed and delivered this Agreement as of the Date of Grant.</w:t>
      </w:r>
    </w:p>
    <w:p>
      <w:pPr>
        <w:pStyle w:val="TextBody"/>
        <w:spacing w:before="3" w:after="0"/>
        <w:jc w:val="left"/>
        <w:rPr/>
      </w:pPr>
      <w:r>
        <w:rPr/>
        <w:t> </w:t>
      </w:r>
    </w:p>
    <w:p>
      <w:pPr>
        <w:pStyle w:val="TextBody"/>
        <w:spacing w:before="0" w:after="0"/>
        <w:jc w:val="left"/>
        <w:rPr/>
      </w:pPr>
      <w:r>
        <w:rPr/>
        <w:t> </w:t>
      </w:r>
    </w:p>
    <w:tbl>
      <w:tblPr>
        <w:tblW w:w="5609" w:type="dxa"/>
        <w:jc w:val="left"/>
        <w:tblInd w:w="0" w:type="dxa"/>
        <w:tblCellMar>
          <w:top w:w="28" w:type="dxa"/>
          <w:left w:w="28" w:type="dxa"/>
          <w:bottom w:w="28" w:type="dxa"/>
          <w:right w:w="28" w:type="dxa"/>
        </w:tblCellMar>
      </w:tblPr>
      <w:tblGrid>
        <w:gridCol w:w="466"/>
        <w:gridCol w:w="2521"/>
        <w:gridCol w:w="146"/>
        <w:gridCol w:w="2476"/>
      </w:tblGrid>
      <w:tr>
        <w:trPr/>
        <w:tc>
          <w:tcPr>
            <w:tcW w:w="466" w:type="dxa"/>
            <w:tcBorders/>
            <w:shd w:fill="auto" w:val="clear"/>
            <w:vAlign w:val="center"/>
          </w:tcPr>
          <w:p>
            <w:pPr>
              <w:pStyle w:val="TableContents"/>
              <w:spacing w:before="0" w:after="283"/>
              <w:rPr>
                <w:sz w:val="4"/>
                <w:szCs w:val="4"/>
              </w:rPr>
            </w:pPr>
            <w:r>
              <w:rPr>
                <w:sz w:val="4"/>
                <w:szCs w:val="4"/>
              </w:rPr>
            </w:r>
          </w:p>
        </w:tc>
        <w:tc>
          <w:tcPr>
            <w:tcW w:w="25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76" w:type="dxa"/>
            <w:tcBorders/>
            <w:shd w:fill="auto" w:val="clear"/>
            <w:vAlign w:val="center"/>
          </w:tcPr>
          <w:p>
            <w:pPr>
              <w:pStyle w:val="TableContents"/>
              <w:spacing w:before="0" w:after="283"/>
              <w:rPr>
                <w:sz w:val="4"/>
                <w:szCs w:val="4"/>
              </w:rPr>
            </w:pPr>
            <w:r>
              <w:rPr>
                <w:sz w:val="4"/>
                <w:szCs w:val="4"/>
              </w:rPr>
            </w:r>
          </w:p>
        </w:tc>
      </w:tr>
      <w:tr>
        <w:trPr/>
        <w:tc>
          <w:tcPr>
            <w:tcW w:w="298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4"/>
              </w:rPr>
            </w:pPr>
            <w:r>
              <w:rPr>
                <w:rFonts w:ascii="Times New Roman;serif" w:hAnsi="Times New Roman;serif"/>
                <w:b/>
                <w:sz w:val="24"/>
              </w:rPr>
              <w:t>PROKIDNEY CORP.</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4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4"/>
              </w:rPr>
            </w:pPr>
            <w:r>
              <w:rPr>
                <w:rFonts w:ascii="Times New Roman;serif" w:hAnsi="Times New Roman;serif"/>
                <w:b/>
                <w:sz w:val="24"/>
              </w:rPr>
              <w:t>PARTICIPANT</w:t>
            </w:r>
          </w:p>
        </w:tc>
      </w:tr>
      <w:tr>
        <w:trPr/>
        <w:tc>
          <w:tcPr>
            <w:tcW w:w="298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4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4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By:</w:t>
            </w:r>
          </w:p>
        </w:tc>
        <w:tc>
          <w:tcPr>
            <w:tcW w:w="2521" w:type="dxa"/>
            <w:tcBorders/>
            <w:shd w:fill="auto" w:val="clear"/>
            <w:tcMar>
              <w:top w:w="0" w:type="dxa"/>
              <w:left w:w="0" w:type="dxa"/>
              <w:bottom w:w="0" w:type="dxa"/>
              <w:right w:w="0" w:type="dxa"/>
            </w:tcMar>
            <w:vAlign w:val="center"/>
          </w:tcPr>
          <w:p>
            <w:pPr>
              <w:pStyle w:val="TableContents"/>
              <w:pBdr>
                <w:bottom w:val="single" w:sz="4" w:space="1" w:color="000000"/>
              </w:pBdr>
              <w:spacing w:before="0" w:after="0"/>
              <w:ind w:left="0" w:right="0" w:hanging="0"/>
              <w:jc w:val="left"/>
              <w:rPr>
                <w:rFonts w:ascii="Times New Roman;serif" w:hAnsi="Times New Roman;serif"/>
                <w:b w:val="false"/>
                <w:sz w:val="24"/>
              </w:rPr>
            </w:pPr>
            <w:r>
              <w:rPr>
                <w:rFonts w:ascii="Times New Roman;serif" w:hAnsi="Times New Roman;serif"/>
                <w:b w:val="false"/>
                <w:sz w:val="24"/>
              </w:rPr>
              <w:t>/s/ Todd Girolamo</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476" w:type="dxa"/>
            <w:tcBorders/>
            <w:shd w:fill="auto" w:val="clear"/>
            <w:tcMar>
              <w:top w:w="0" w:type="dxa"/>
              <w:left w:w="0" w:type="dxa"/>
              <w:bottom w:w="0" w:type="dxa"/>
              <w:right w:w="0" w:type="dxa"/>
            </w:tcMar>
            <w:vAlign w:val="center"/>
          </w:tcPr>
          <w:p>
            <w:pPr>
              <w:pStyle w:val="TableContents"/>
              <w:pBdr>
                <w:bottom w:val="single" w:sz="4" w:space="1" w:color="000000"/>
              </w:pBdr>
              <w:spacing w:before="0" w:after="0"/>
              <w:ind w:left="0" w:right="0" w:hanging="0"/>
              <w:jc w:val="left"/>
              <w:rPr>
                <w:rFonts w:ascii="Times New Roman;serif" w:hAnsi="Times New Roman;serif"/>
                <w:b w:val="false"/>
                <w:sz w:val="24"/>
              </w:rPr>
            </w:pPr>
            <w:r>
              <w:rPr>
                <w:rFonts w:ascii="Times New Roman;serif" w:hAnsi="Times New Roman;serif"/>
                <w:b w:val="false"/>
                <w:sz w:val="24"/>
              </w:rPr>
              <w:t>/s/ Timothy Bertram</w:t>
            </w:r>
          </w:p>
        </w:tc>
      </w:tr>
      <w:tr>
        <w:trPr/>
        <w:tc>
          <w:tcPr>
            <w:tcW w:w="4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Name: Todd Girolamo</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4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Name: Timothy Bertram</w:t>
            </w:r>
          </w:p>
        </w:tc>
      </w:tr>
      <w:tr>
        <w:trPr/>
        <w:tc>
          <w:tcPr>
            <w:tcW w:w="4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4"/>
              </w:rPr>
            </w:pPr>
            <w:r>
              <w:rPr>
                <w:rFonts w:ascii="Times New Roman;serif" w:hAnsi="Times New Roman;serif"/>
                <w:b w:val="false"/>
                <w:sz w:val="24"/>
              </w:rPr>
              <w:t>Title: Chief Legal Officer</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4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17" w:after="0"/>
        <w:jc w:val="left"/>
        <w:rPr>
          <w:rFonts w:ascii="Times New Roman;serif" w:hAnsi="Times New Roman;serif"/>
          <w:b w:val="false"/>
          <w:sz w:val="24"/>
        </w:rPr>
      </w:pPr>
      <w:r>
        <w:rPr>
          <w:rFonts w:ascii="Times New Roman;serif" w:hAnsi="Times New Roman;serif"/>
          <w:b w:val="false"/>
          <w:sz w:val="24"/>
        </w:rPr>
        <w:t>PLEASE RETURN ONE SIGNED COPY OF THIS AGREEMENT TO:</w:t>
      </w:r>
    </w:p>
    <w:p>
      <w:pPr>
        <w:pStyle w:val="TextBody"/>
        <w:spacing w:before="1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ProKidney Corp.</w:t>
      </w:r>
    </w:p>
    <w:p>
      <w:pPr>
        <w:pStyle w:val="TextBody"/>
        <w:spacing w:before="0" w:after="0"/>
        <w:jc w:val="left"/>
        <w:rPr>
          <w:rFonts w:ascii="Times New Roman" w:hAnsi="Times New Roman"/>
          <w:sz w:val="20"/>
        </w:rPr>
      </w:pPr>
      <w:r>
        <w:rPr>
          <w:rFonts w:ascii="Times New Roman;serif" w:hAnsi="Times New Roman;serif"/>
          <w:b w:val="false"/>
          <w:sz w:val="24"/>
        </w:rPr>
        <w:t>2000 Frontis Plaza Boulevard, Suite 250</w:t>
      </w:r>
      <w:r>
        <w:rPr>
          <w:rFonts w:ascii="Times New Roman" w:hAnsi="Times New Roman"/>
          <w:sz w:val="20"/>
        </w:rPr>
        <w:t xml:space="preserv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Winston-Salem, North Carolina 27103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Attn: Todd Girolamo, Chief Legal Officer</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84" w:after="0"/>
        <w:jc w:val="center"/>
        <w:rPr>
          <w:rFonts w:ascii="Times New Roman;serif" w:hAnsi="Times New Roman;serif"/>
          <w:b/>
          <w:sz w:val="24"/>
        </w:rPr>
      </w:pPr>
      <w:bookmarkStart w:id="178" w:name="prokidney_corp__2022_incentive_equity_pl"/>
      <w:bookmarkEnd w:id="178"/>
      <w:r>
        <w:rPr>
          <w:rFonts w:ascii="Times New Roman;serif" w:hAnsi="Times New Roman;serif"/>
          <w:b/>
          <w:sz w:val="24"/>
        </w:rPr>
        <w:t>ProKidney Corp.</w:t>
      </w:r>
    </w:p>
    <w:p>
      <w:pPr>
        <w:pStyle w:val="TextBody"/>
        <w:spacing w:before="138" w:after="0"/>
        <w:jc w:val="center"/>
        <w:rPr>
          <w:rFonts w:ascii="Times New Roman;serif" w:hAnsi="Times New Roman;serif"/>
          <w:b/>
          <w:sz w:val="24"/>
        </w:rPr>
      </w:pPr>
      <w:r>
        <w:rPr>
          <w:rFonts w:ascii="Times New Roman;serif" w:hAnsi="Times New Roman;serif"/>
          <w:b/>
          <w:sz w:val="24"/>
        </w:rPr>
        <w:t>2022 INCENTIVE EQUITY PLAN</w:t>
      </w:r>
    </w:p>
    <w:p>
      <w:pPr>
        <w:pStyle w:val="TextBody"/>
        <w:spacing w:before="139" w:after="0"/>
        <w:jc w:val="center"/>
        <w:rPr>
          <w:rFonts w:ascii="Times New Roman;serif" w:hAnsi="Times New Roman;serif"/>
          <w:b/>
          <w:sz w:val="24"/>
          <w:u w:val="single"/>
        </w:rPr>
      </w:pPr>
      <w:r>
        <w:rPr>
          <w:rFonts w:ascii="Times New Roman;serif" w:hAnsi="Times New Roman;serif"/>
          <w:b/>
          <w:sz w:val="24"/>
          <w:u w:val="single"/>
        </w:rPr>
        <w:t>Terms and Conditions of Option Grant</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Fonts w:ascii="Times New Roman;serif" w:hAnsi="Times New Roman;serif"/>
          <w:b w:val="false"/>
          <w:sz w:val="24"/>
          <w:u w:val="single"/>
        </w:rPr>
        <w:t>GRANT OF OPTIONS</w:t>
      </w:r>
      <w:r>
        <w:rPr>
          <w:rFonts w:ascii="Times New Roman;serif" w:hAnsi="Times New Roman;serif"/>
          <w:b w:val="false"/>
          <w:sz w:val="24"/>
        </w:rPr>
        <w:t>. The Options have been granted to the Participant as an incentive for the Participant to continue to provide services to the Company and its Affiliates, including the Affiliate employing the Participant (the “</w:t>
      </w:r>
      <w:r>
        <w:rPr>
          <w:rFonts w:ascii="Times New Roman;serif" w:hAnsi="Times New Roman;serif"/>
          <w:b/>
          <w:sz w:val="24"/>
        </w:rPr>
        <w:t>Employer</w:t>
      </w:r>
      <w:r>
        <w:rPr/>
        <w:t>”</w:t>
      </w:r>
      <w:r>
        <w:rPr>
          <w:rFonts w:ascii="Times New Roman;serif" w:hAnsi="Times New Roman;serif"/>
          <w:b w:val="false"/>
          <w:sz w:val="24"/>
        </w:rPr>
        <w:t>), and to align the Participant’s interests with those of the Company. The Options are intended to qualify as “incentive stock options” under Section 422 of the Code. Each Option shall entitle the Participant to purchase from the Company, upon exercise as set forth in Section 4, a number of Shares as set forth above at the Exercise Price set forth above.</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Fonts w:ascii="Times New Roman;serif" w:hAnsi="Times New Roman;serif"/>
          <w:b w:val="false"/>
          <w:sz w:val="24"/>
          <w:u w:val="single"/>
        </w:rPr>
        <w:t>VESTING</w:t>
      </w:r>
      <w:r>
        <w:rPr>
          <w:rFonts w:ascii="Times New Roman;serif" w:hAnsi="Times New Roman;serif"/>
          <w:b w:val="false"/>
          <w:sz w:val="24"/>
        </w:rPr>
        <w:t xml:space="preserve">. The Options shall be eligible to be earned and vest and become exercisable subject to satisfaction of the time-based and performance-based vesting conditions set forth on </w:t>
      </w:r>
      <w:r>
        <w:rPr>
          <w:rFonts w:ascii="Times New Roman;serif" w:hAnsi="Times New Roman;serif"/>
          <w:b w:val="false"/>
          <w:sz w:val="24"/>
          <w:u w:val="single"/>
        </w:rPr>
        <w:t>Appendix A</w:t>
      </w:r>
      <w:r>
        <w:rPr>
          <w:rFonts w:ascii="Times New Roman;serif" w:hAnsi="Times New Roman;serif"/>
          <w:b w:val="false"/>
          <w:sz w:val="24"/>
        </w:rPr>
        <w: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Fonts w:ascii="Times New Roman;serif" w:hAnsi="Times New Roman;serif"/>
          <w:b w:val="false"/>
          <w:sz w:val="24"/>
        </w:rPr>
        <w:t xml:space="preserve">All unvested Options shall be immediately forfeited upon the Participant’s Termination of Service for any reason, and all vested but unexercised Options may be exercised by the Participant for a period of 90 days following the date of Termination of Service (or, if earlier, the Expiration Date (as defined below)); </w:t>
      </w:r>
      <w:r>
        <w:rPr>
          <w:rFonts w:ascii="Times New Roman;serif" w:hAnsi="Times New Roman;serif"/>
          <w:b w:val="false"/>
          <w:i/>
          <w:sz w:val="24"/>
        </w:rPr>
        <w:t xml:space="preserve">provided </w:t>
      </w:r>
      <w:r>
        <w:rPr>
          <w:rFonts w:ascii="Times New Roman;serif" w:hAnsi="Times New Roman;serif"/>
          <w:b w:val="false"/>
          <w:sz w:val="24"/>
        </w:rPr>
        <w:t>that in the event of the Participant’s Termination of Service (i) due to death or Disability, any Options that have been earned due to satisfaction of the Performance Condition but have not vested shall immediately vest in full and the Participant (or the Participant’s Beneficiary, if applicable) may exercise such vested Options until the first anniversary of the date of Termination of Service (or, if earlier the Expiration Date) or (ii) by the Company for Cause, all vested Options shall be immediately forfeited.</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(b)</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Fonts w:ascii="Times New Roman;serif" w:hAnsi="Times New Roman;serif"/>
          <w:b w:val="false"/>
          <w:sz w:val="24"/>
        </w:rPr>
        <w:t>For purposes of this Agreement, “</w:t>
      </w:r>
      <w:r>
        <w:rPr>
          <w:rFonts w:ascii="Times New Roman;serif" w:hAnsi="Times New Roman;serif"/>
          <w:b/>
          <w:sz w:val="24"/>
        </w:rPr>
        <w:t>Good Reason</w:t>
      </w:r>
      <w:r>
        <w:rPr/>
        <w:t xml:space="preserve">” </w:t>
      </w:r>
      <w:r>
        <w:rPr>
          <w:rFonts w:ascii="Times New Roman;serif" w:hAnsi="Times New Roman;serif"/>
          <w:b w:val="false"/>
          <w:sz w:val="24"/>
        </w:rPr>
        <w:t>shall have the meaning ascribed to such term in the Participant’s Service Agreement.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left"/>
        <w:rPr>
          <w:rFonts w:ascii="Times New Roman" w:hAnsi="Times New Roman"/>
          <w:b w:val="false"/>
          <w:sz w:val="24"/>
        </w:rPr>
      </w:pPr>
      <w:r>
        <w:rPr>
          <w:rFonts w:ascii="Times New Roman" w:hAnsi="Times New Roman"/>
          <w:b w:val="false"/>
          <w:sz w:val="24"/>
        </w:rPr>
        <w:t>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left"/>
        <w:rPr/>
      </w:pPr>
      <w:r>
        <w:rPr>
          <w:rFonts w:ascii="Times New Roman;serif" w:hAnsi="Times New Roman;serif"/>
          <w:b w:val="false"/>
          <w:sz w:val="24"/>
          <w:u w:val="single"/>
        </w:rPr>
        <w:t>OPTION TERM</w:t>
      </w:r>
      <w:r>
        <w:rPr>
          <w:rFonts w:ascii="Times New Roman;serif" w:hAnsi="Times New Roman;serif"/>
          <w:b w:val="false"/>
          <w:sz w:val="24"/>
        </w:rPr>
        <w: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Fonts w:ascii="Times New Roman;serif" w:hAnsi="Times New Roman;serif"/>
          <w:b w:val="false"/>
          <w:sz w:val="24"/>
        </w:rPr>
        <w:t>The term of the Options shall expire on the tenth anniversary of the Date of Grant (the “</w:t>
      </w:r>
      <w:r>
        <w:rPr>
          <w:rFonts w:ascii="Times New Roman;serif" w:hAnsi="Times New Roman;serif"/>
          <w:b/>
          <w:sz w:val="24"/>
        </w:rPr>
        <w:t>Expiration Date</w:t>
      </w:r>
      <w:r>
        <w:rPr/>
        <w:t>”</w:t>
      </w:r>
      <w:r>
        <w:rPr>
          <w:rFonts w:ascii="Times New Roman;serif" w:hAnsi="Times New Roman;serif"/>
          <w:b w:val="false"/>
          <w:sz w:val="24"/>
        </w:rPr>
        <w:t>), unless terminated earlier in accordance with this Agreement or the Plan. In no event may any portion of the Options be exercised after the Expiration Date.</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(b)</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1" w:after="0"/>
        <w:jc w:val="both"/>
        <w:rPr>
          <w:rFonts w:ascii="Times New Roman;serif" w:hAnsi="Times New Roman;serif"/>
          <w:b w:val="false"/>
          <w:sz w:val="24"/>
        </w:rPr>
      </w:pPr>
      <w:r>
        <w:rPr>
          <w:rFonts w:ascii="Times New Roman;serif" w:hAnsi="Times New Roman;serif"/>
          <w:b w:val="false"/>
          <w:sz w:val="24"/>
        </w:rPr>
        <w:t>Upon the Expiration Date, if all or any portion of the Options has not yet been exercised and if the Fair Market Value of a Share as of such date is greater than the sum of the Exercise Price and any applicable transaction fees, then the Company shall effect a “net exercise” of the Options under which the Company reduces the number of Shares otherwise issuable to the Participant upon such exercise by the number of Shares with an aggregate Fair Market Value equal to the aggregate Exercise Price.</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80" w:after="0"/>
        <w:jc w:val="both"/>
        <w:rPr>
          <w:rFonts w:ascii="Times New Roman" w:hAnsi="Times New Roman"/>
          <w:b w:val="false"/>
          <w:sz w:val="24"/>
        </w:rPr>
      </w:pPr>
      <w:r>
        <w:rPr>
          <w:rFonts w:ascii="Times New Roman" w:hAnsi="Times New Roman"/>
          <w:b w:val="false"/>
          <w:sz w:val="24"/>
        </w:rPr>
        <w:t>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80" w:after="0"/>
        <w:jc w:val="both"/>
        <w:rPr/>
      </w:pPr>
      <w:r>
        <w:rPr>
          <w:rFonts w:ascii="Times New Roman;serif" w:hAnsi="Times New Roman;serif"/>
          <w:b w:val="false"/>
          <w:sz w:val="24"/>
          <w:u w:val="single"/>
        </w:rPr>
        <w:t>OPTION EXERCISE</w:t>
      </w:r>
      <w:r>
        <w:rPr>
          <w:rFonts w:ascii="Times New Roman;serif" w:hAnsi="Times New Roman;serif"/>
          <w:b w:val="false"/>
          <w:sz w:val="24"/>
        </w:rPr>
        <w:t xml:space="preserve">. To the extent that the Options have become vested and exercisable in accordance with Section 2, the Options may thereafter be exercised by the Participant,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HorizontalLine"/>
        <w:rPr/>
      </w:pPr>
      <w:r>
        <w:rPr/>
      </w:r>
    </w:p>
    <w:p>
      <w:pPr>
        <w:pStyle w:val="TextBody"/>
        <w:spacing w:before="80" w:after="283"/>
        <w:jc w:val="both"/>
        <w:rPr>
          <w:rFonts w:ascii="Times New Roman;serif" w:hAnsi="Times New Roman;serif"/>
          <w:b w:val="false"/>
          <w:sz w:val="24"/>
        </w:rPr>
      </w:pPr>
      <w:r>
        <w:rPr>
          <w:rFonts w:ascii="Times New Roman;serif" w:hAnsi="Times New Roman;serif"/>
          <w:b w:val="false"/>
          <w:sz w:val="24"/>
        </w:rPr>
        <w:t>in whole or in part, at any time or from time to time prior to the Expiration Date. To exercise the Options, the Participant must comply with Section 6 and:</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r>
        <w:rPr>
          <w:rFonts w:ascii="Times New Roman;serif" w:hAnsi="Times New Roman;serif"/>
          <w:b w:val="false"/>
          <w:sz w:val="24"/>
        </w:rPr>
        <w:t>deliver to the Company a written notice specifying the number of Shares to be purchased; and</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(b)</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rFonts w:ascii="Times New Roman;serif" w:hAnsi="Times New Roman;serif"/>
          <w:b w:val="false"/>
          <w:sz w:val="24"/>
        </w:rPr>
      </w:pPr>
      <w:r>
        <w:rPr>
          <w:rFonts w:ascii="Times New Roman;serif" w:hAnsi="Times New Roman;serif"/>
          <w:b w:val="false"/>
          <w:sz w:val="24"/>
        </w:rPr>
        <w:t>remit the aggregate Exercise Price to the Company in full, payable in the manner determined by the Committee from time to time in its sole discretion, which may include: (A) in cash or by check, bank draft or money order payable to the order of the Company; (B) through a procedure whereby the Participant delivers irrevocable instructions to a broker reasonably acceptable to the Committee to sell Shares obtained upon exercise of the Options and to deliver promptly to the Company an amount of the proceeds of such sale equal to the aggregate Exercise Price; (C) by a “net exercise” under which the Company reduces the number of Shares otherwise issuable to the Participant upon such exercise by the number of Shares with an aggregate Fair Market Value that equals the aggregate Exercise Price; or (D) any other method acceptable to the Committee.</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Fonts w:ascii="Times New Roman;serif" w:hAnsi="Times New Roman;serif"/>
          <w:b w:val="false"/>
          <w:sz w:val="24"/>
          <w:u w:val="single"/>
        </w:rPr>
        <w:t>NONTRANSFERABILITY</w:t>
      </w:r>
      <w:r>
        <w:rPr>
          <w:rFonts w:ascii="Times New Roman;serif" w:hAnsi="Times New Roman;serif"/>
          <w:b w:val="false"/>
          <w:sz w:val="24"/>
        </w:rPr>
        <w:t>. No portion of the Options may be sold, assigned, transferred, encumbered, hypothecated, or pledged by the Participant, other than to the Company as a result of forfeiture of the Options as provided herein, unless and until payment is made in respect of vested and exercised Options in accordance with the provisions hereof and the Participant has become the holder of record of the vested Shares issuable hereunder, unless otherwise provided by the Committee. During the lifetime of the Participant, the Options may be exercised only by the Participant or the Participant’s guardian or legal representative.</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1" w:after="0"/>
        <w:jc w:val="left"/>
        <w:rPr>
          <w:rFonts w:ascii="Times New Roman" w:hAnsi="Times New Roman"/>
          <w:b w:val="false"/>
          <w:sz w:val="24"/>
        </w:rPr>
      </w:pPr>
      <w:r>
        <w:rPr>
          <w:rFonts w:ascii="Times New Roman" w:hAnsi="Times New Roman"/>
          <w:b w:val="false"/>
          <w:sz w:val="24"/>
        </w:rPr>
        <w:t>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1" w:after="0"/>
        <w:jc w:val="left"/>
        <w:rPr/>
      </w:pPr>
      <w:r>
        <w:rPr>
          <w:rFonts w:ascii="Times New Roman;serif" w:hAnsi="Times New Roman;serif"/>
          <w:b w:val="false"/>
          <w:sz w:val="24"/>
          <w:u w:val="single"/>
        </w:rPr>
        <w:t>TAX AND WITHHOLDING</w:t>
      </w:r>
      <w:r>
        <w:rPr>
          <w:rFonts w:ascii="Times New Roman;serif" w:hAnsi="Times New Roman;serif"/>
          <w:b w:val="false"/>
          <w:sz w:val="24"/>
        </w:rPr>
        <w: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9" w:after="0"/>
        <w:jc w:val="left"/>
        <w:rPr/>
      </w:pPr>
      <w:r>
        <w:rPr/>
        <w:t> </w:t>
      </w:r>
    </w:p>
    <w:p>
      <w:pPr>
        <w:pStyle w:val="TextBody"/>
        <w:spacing w:before="80" w:after="0"/>
        <w:jc w:val="both"/>
        <w:rPr>
          <w:rFonts w:ascii="Times New Roman" w:hAnsi="Times New Roman"/>
          <w:b w:val="false"/>
          <w:sz w:val="24"/>
        </w:rPr>
      </w:pPr>
      <w:r>
        <w:rPr>
          <w:rFonts w:ascii="Times New Roman" w:hAnsi="Times New Roman"/>
          <w:b w:val="false"/>
          <w:sz w:val="24"/>
        </w:rPr>
        <w:t>(a)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80" w:after="0"/>
        <w:jc w:val="both"/>
        <w:rPr>
          <w:rFonts w:ascii="Times New Roman;serif" w:hAnsi="Times New Roman;serif"/>
          <w:b w:val="false"/>
          <w:sz w:val="24"/>
        </w:rPr>
      </w:pPr>
      <w:r>
        <w:rPr>
          <w:rFonts w:ascii="Times New Roman;serif" w:hAnsi="Times New Roman;serif"/>
          <w:b w:val="false"/>
          <w:sz w:val="24"/>
        </w:rPr>
        <w:t>Pursuant to rules and procedures that the Company or the Employer establishes, federal, state, local or foreign income or other tax or other withholding obligations arising in connection with the Options may be satisfied, in the Committee’s sole discretion, by having the Company or the Employer withhold Shares, by having the Participant tender Shares or by having the Company or the Employer withhold cash if the Company provides for a cash withholding option, in each case in an amount sufficient to satisfy the tax or other withholding obligations. Shares withheld or tendered will be valued using the Fair Market Value of the Shares on the date such obligation arises. Any withholding or tendering of Shares shall comply with the requirements of Financial Accounting Standards Board, Accounting Standards Codification, Topic 718, and any withholding satisfied through a net-settlement of the Options shall be limited to the maximum statutory withholding requirements. The Participant acknowledges that, if he or she is subject to taxes in more than one jurisdiction, the Company or the Employer may be required to withhold or account for taxes in more than one jurisdiction.</w:t>
      </w:r>
      <w:bookmarkStart w:id="179" w:name="xb__the_options_are_intended_to_qualify_"/>
      <w:bookmarkEnd w:id="1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80" w:after="0"/>
        <w:jc w:val="both"/>
        <w:rPr>
          <w:rFonts w:ascii="Times New Roman" w:hAnsi="Times New Roman"/>
          <w:b w:val="false"/>
          <w:sz w:val="24"/>
        </w:rPr>
      </w:pPr>
      <w:r>
        <w:rPr>
          <w:rFonts w:ascii="Times New Roman" w:hAnsi="Times New Roman"/>
          <w:b w:val="false"/>
          <w:sz w:val="24"/>
        </w:rPr>
        <w:t>(b)</w:t>
      </w:r>
    </w:p>
    <w:p>
      <w:pPr>
        <w:pStyle w:val="TextBody"/>
        <w:spacing w:before="80" w:after="283"/>
        <w:jc w:val="both"/>
        <w:rPr>
          <w:rFonts w:ascii="Times New Roman;serif" w:hAnsi="Times New Roman;serif"/>
          <w:b w:val="false"/>
          <w:sz w:val="24"/>
        </w:rPr>
      </w:pPr>
      <w:r>
        <w:rPr>
          <w:rFonts w:ascii="Times New Roman;serif" w:hAnsi="Times New Roman;serif"/>
          <w:b w:val="false"/>
          <w:sz w:val="24"/>
        </w:rPr>
        <w:t xml:space="preserve">The Options are intended to qualify as “incentive stock options” within the meaning of Section 422 of the Code; however, the Company and its Affiliates make no representation or guarantee that the Options will satisfy the requirements or otherwise qualify as “incentive stock options”, and the Participant understands and </w:t>
      </w:r>
    </w:p>
    <w:p>
      <w:pPr>
        <w:pStyle w:val="TextBody"/>
        <w:spacing w:before="0" w:after="0"/>
        <w:jc w:val="left"/>
        <w:rPr/>
      </w:pPr>
      <w:r>
        <w:rPr/>
        <w:t> </w:t>
      </w:r>
    </w:p>
    <w:p>
      <w:pPr>
        <w:pStyle w:val="HorizontalLine"/>
        <w:rPr/>
      </w:pPr>
      <w:r>
        <w:rPr/>
      </w:r>
    </w:p>
    <w:p>
      <w:pPr>
        <w:pStyle w:val="TextBody"/>
        <w:spacing w:before="80" w:after="283"/>
        <w:jc w:val="both"/>
        <w:rPr>
          <w:rFonts w:ascii="Times New Roman;serif" w:hAnsi="Times New Roman;serif"/>
          <w:b w:val="false"/>
          <w:sz w:val="24"/>
        </w:rPr>
      </w:pPr>
      <w:r>
        <w:rPr>
          <w:rFonts w:ascii="Times New Roman;serif" w:hAnsi="Times New Roman;serif"/>
          <w:b w:val="false"/>
          <w:sz w:val="24"/>
        </w:rPr>
        <w:t>agrees that the Company and its Affiliates, including the Employer, shall not be liable or responsible for any additional tax liability the Participant incurs in the event that the Internal Revenue Service for any reason determines that the Options do not qualify as “incentive stock options”. The Participant should consult his or her tax advisor regarding the consequences regarding the receipt, vesting, holding and exercise of the Options and the transfer of Shares acquired upon exercise. To the extent any portion of the Options does not so qualify as “incentive stock options”, such portion shall be deemed to be a Non-Qualified Stock Option. If the Participant intends to dispose or does dispose (whether by sale, gift, transfer or otherwise) of any Shares underlying the Options within the one-year period beginning on the day after the transfer of such Shares to the Participant, or within the two-year period beginning on the day after the Date of Grant, the Participant shall notify the Company within 30 days after such disposition. The Participant also agrees to provide the Company with any information concerning any such dispositions required by the Company for tax purposes. To the extent that the aggregate Fair Market Value (determined on the Date of Grant) of the Shares with respect to which Incentive Stock Options are exercisable for the first time by the Participant during any calendar year exceeds $100,000, the Options or portions thereof which exceed such limit (according to the order in which they were granted) shall be treated as Non-Qualified Stock Options.</w:t>
      </w:r>
    </w:p>
    <w:p>
      <w:pPr>
        <w:pStyle w:val="TextBody"/>
        <w:spacing w:before="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Fonts w:ascii="Times New Roman;serif" w:hAnsi="Times New Roman;serif"/>
          <w:b w:val="false"/>
          <w:sz w:val="24"/>
          <w:u w:val="single"/>
        </w:rPr>
        <w:t>RIGHTS AS SHAREHOLDER</w:t>
      </w:r>
      <w:r>
        <w:rPr>
          <w:rFonts w:ascii="Times New Roman;serif" w:hAnsi="Times New Roman;serif"/>
          <w:b w:val="false"/>
          <w:sz w:val="24"/>
        </w:rPr>
        <w:t>. The Participant will not have any rights as a shareholder of the Company or a holder of the Shares underlying the Options prior to exercise of the Options in accordance with the terms of this Agreement and the Plan.</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Fonts w:ascii="Times New Roman;serif" w:hAnsi="Times New Roman;serif"/>
          <w:b w:val="false"/>
          <w:sz w:val="24"/>
          <w:u w:val="single"/>
        </w:rPr>
        <w:t>SECURITIES LAW COMPLIANCE</w:t>
      </w:r>
      <w:r>
        <w:rPr>
          <w:rFonts w:ascii="Times New Roman;serif" w:hAnsi="Times New Roman;serif"/>
          <w:b w:val="false"/>
          <w:sz w:val="24"/>
        </w:rPr>
        <w:t>. The Company may, if it determines it is appropriate, affix any legend to the share certificates representing Shares issued upon exercise of the Options and any share certificates that may subsequently be issued in substitution for the original certificates. The Company may advise the transfer agent to place a stop order against such Shares if it determines that such an order is necessary or advisable.</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Fonts w:ascii="Times New Roman;serif" w:hAnsi="Times New Roman;serif"/>
          <w:b w:val="false"/>
          <w:sz w:val="24"/>
          <w:u w:val="single"/>
        </w:rPr>
        <w:t>COMPLIANCE WITH LAW</w:t>
      </w:r>
      <w:r>
        <w:rPr>
          <w:rFonts w:ascii="Times New Roman;serif" w:hAnsi="Times New Roman;serif"/>
          <w:b w:val="false"/>
          <w:sz w:val="24"/>
        </w:rPr>
        <w:t>. Any sale, assignment, transfer, pledge, mortgage, encumbrance or other disposition of Shares issued upon exercise of the Options (whether directly or indirectly, whether or not for value and whether or not voluntary) must be made in compliance with any applicable constitution, rule, regulation or policy of any of the exchanges, associations or other institutions with which the Company has membership or other privileges, and any applicable law, or applicable rule or regulation of any governmental agency, self-regulatory organization or state or federal regulatory body.</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1" w:after="0"/>
        <w:jc w:val="left"/>
        <w:rPr>
          <w:rFonts w:ascii="Times New Roman" w:hAnsi="Times New Roman"/>
          <w:b w:val="false"/>
          <w:sz w:val="24"/>
        </w:rPr>
      </w:pPr>
      <w:r>
        <w:rPr>
          <w:rFonts w:ascii="Times New Roman" w:hAnsi="Times New Roman"/>
          <w:b w:val="false"/>
          <w:sz w:val="24"/>
        </w:rPr>
        <w:t>10.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1" w:after="0"/>
        <w:jc w:val="left"/>
        <w:rPr/>
      </w:pPr>
      <w:r>
        <w:rPr>
          <w:rFonts w:ascii="Times New Roman;serif" w:hAnsi="Times New Roman;serif"/>
          <w:b w:val="false"/>
          <w:sz w:val="24"/>
          <w:u w:val="single"/>
        </w:rPr>
        <w:t>MISCELLANEOUS</w:t>
      </w:r>
      <w:r>
        <w:rPr>
          <w:rFonts w:ascii="Times New Roman;serif" w:hAnsi="Times New Roman;serif"/>
          <w:b w:val="false"/>
          <w:sz w:val="24"/>
        </w:rPr>
        <w:t>.</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both"/>
        <w:rPr>
          <w:rFonts w:ascii="Times New Roman" w:hAnsi="Times New Roman"/>
          <w:b w:val="false"/>
          <w:sz w:val="24"/>
        </w:rPr>
      </w:pPr>
      <w:r>
        <w:rPr>
          <w:rFonts w:ascii="Times New Roman" w:hAnsi="Times New Roman"/>
          <w:b w:val="false"/>
          <w:sz w:val="24"/>
        </w:rPr>
        <w:t>(a)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40" w:after="0"/>
        <w:jc w:val="both"/>
        <w:rPr/>
      </w:pPr>
      <w:r>
        <w:rPr>
          <w:rFonts w:ascii="Times New Roman;serif" w:hAnsi="Times New Roman;serif"/>
          <w:b w:val="false"/>
          <w:i/>
          <w:sz w:val="24"/>
        </w:rPr>
        <w:t>No Right To Continued Employment or Service</w:t>
      </w:r>
      <w:r>
        <w:rPr>
          <w:rFonts w:ascii="Times New Roman;serif" w:hAnsi="Times New Roman;serif"/>
          <w:b w:val="false"/>
          <w:sz w:val="24"/>
        </w:rPr>
        <w:t>. This Agreement shall not confer upon the Participant any right to continue in the employ or service of the Company or an Affiliate, including the Employer, or to be entitled to any remuneration or b</w:t>
      </w:r>
      <w:r>
        <w:rPr>
          <w:rFonts w:ascii="Times New Roman;serif" w:hAnsi="Times New Roman;serif"/>
          <w:b w:val="false"/>
          <w:sz w:val="22"/>
        </w:rPr>
        <w:t>enefits not set forth in this Agreement or the Plan nor interfere with or limit the right of the Company or an Affiliate, including the Employer, to modify the terms of or terminate the Participant’s employment or service at any time.</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(b)</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Fonts w:ascii="Times New Roman;serif" w:hAnsi="Times New Roman;serif"/>
          <w:b w:val="false"/>
          <w:i/>
          <w:sz w:val="24"/>
        </w:rPr>
        <w:t>No Advice Regarding Grant</w:t>
      </w:r>
      <w:r>
        <w:rPr>
          <w:rFonts w:ascii="Times New Roman;serif" w:hAnsi="Times New Roman;serif"/>
          <w:b w:val="false"/>
          <w:sz w:val="24"/>
        </w:rPr>
        <w:t xml:space="preserve">. The Company is not providing any tax, legal or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HorizontalLine"/>
        <w:rPr/>
      </w:pPr>
      <w:r>
        <w:rPr/>
      </w:r>
    </w:p>
    <w:p>
      <w:pPr>
        <w:pStyle w:val="TextBody"/>
        <w:jc w:val="both"/>
        <w:rPr>
          <w:rFonts w:ascii="Times New Roman;serif" w:hAnsi="Times New Roman;serif"/>
          <w:b w:val="false"/>
          <w:sz w:val="24"/>
        </w:rPr>
      </w:pPr>
      <w:r>
        <w:rPr>
          <w:rFonts w:ascii="Times New Roman;serif" w:hAnsi="Times New Roman;serif"/>
          <w:b w:val="false"/>
          <w:sz w:val="24"/>
        </w:rPr>
        <w:t>financial advice, nor is the Company making any recommendations regarding the Participant’s participation in the Plan or acquisition or sale of the underlying Shares. The Participant is hereby advised to consult with his or her own personal tax, legal and financial advisors regarding his or her participation in the Plan before taking any action related to the Plan or the Options.</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Fonts w:ascii="Times New Roman;serif" w:hAnsi="Times New Roman;serif"/>
          <w:b w:val="false"/>
          <w:i/>
          <w:sz w:val="24"/>
        </w:rPr>
        <w:t>Cancellation/Clawback</w:t>
      </w:r>
      <w:r>
        <w:rPr>
          <w:rFonts w:ascii="Times New Roman;serif" w:hAnsi="Times New Roman;serif"/>
          <w:b w:val="false"/>
          <w:sz w:val="24"/>
        </w:rPr>
        <w:t>. The Participant hereby acknowledges and agrees that the Participant and the Options are subject to the terms and conditions of Section 18 of the Plan (regarding the cancellation or “clawback” of Awards).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Fonts w:ascii="Times New Roman;serif" w:hAnsi="Times New Roman;serif"/>
          <w:b w:val="false"/>
          <w:i/>
          <w:sz w:val="24"/>
        </w:rPr>
        <w:t>Plan to Govern</w:t>
      </w:r>
      <w:r>
        <w:rPr>
          <w:rFonts w:ascii="Times New Roman;serif" w:hAnsi="Times New Roman;serif"/>
          <w:b w:val="false"/>
          <w:sz w:val="24"/>
        </w:rPr>
        <w:t>. This Agreement and the rights of the Participant hereunder are subject to all of the terms and conditions of the Plan as the same may be amended from time to time, as well as to such rules and regulations as the Committee may adopt for the administration of the Plan.</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Fonts w:ascii="Times New Roman;serif" w:hAnsi="Times New Roman;serif"/>
          <w:b w:val="false"/>
          <w:i/>
          <w:sz w:val="24"/>
        </w:rPr>
        <w:t>Amendment</w:t>
      </w:r>
      <w:r>
        <w:rPr>
          <w:rFonts w:ascii="Times New Roman;serif" w:hAnsi="Times New Roman;serif"/>
          <w:b w:val="false"/>
          <w:sz w:val="24"/>
        </w:rPr>
        <w:t>. Subject to the restrictions set forth in the Plan, the Company may from time to time amend, alter, suspend, discontinue or terminate this Agreement or the Plan. Subject to the Company’s rights pursuant to Sections 5(c) and 12 of the Plan, no such action may, without the consent of the Participant, materially adversely affect the rights of the Participant with respect to the Options granted pursuant to this Agreement, except (A) to the extent any such action is made to cause the Plan or the Options to comply with applicable law, stock market or exchange rules and regulations or accounting or tax rules and regulations, or (y) to impose any “clawback” or recoupment provisions in accordance with Section 18 of the Plan.</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(f)</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1" w:after="0"/>
        <w:jc w:val="both"/>
        <w:rPr/>
      </w:pPr>
      <w:r>
        <w:rPr>
          <w:rFonts w:ascii="Times New Roman;serif" w:hAnsi="Times New Roman;serif"/>
          <w:b w:val="false"/>
          <w:i/>
          <w:sz w:val="24"/>
        </w:rPr>
        <w:t>Severability</w:t>
      </w:r>
      <w:r>
        <w:rPr>
          <w:rFonts w:ascii="Times New Roman;serif" w:hAnsi="Times New Roman;serif"/>
          <w:b w:val="false"/>
          <w:sz w:val="24"/>
        </w:rPr>
        <w:t>. In the event that any provision of this Agreement shall he held illegal or invalid for any reason, such illegality or invalidity shall not affect the remaining provisions of this Agreement, and this Agreement shall be construed and enforced as if the illegal or invalid provision had not been included.</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Fonts w:ascii="Times New Roman;serif" w:hAnsi="Times New Roman;serif"/>
          <w:b w:val="false"/>
          <w:i/>
          <w:sz w:val="24"/>
        </w:rPr>
        <w:t>Entire Agreement</w:t>
      </w:r>
      <w:r>
        <w:rPr>
          <w:rFonts w:ascii="Times New Roman;serif" w:hAnsi="Times New Roman;serif"/>
          <w:b w:val="false"/>
          <w:sz w:val="24"/>
        </w:rPr>
        <w:t>. This Agreement and the Plan contain all of the understandings between the Company and the Participant concerning the Options granted hereunder and supersede all prior agreements and understandings.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Fonts w:ascii="Times New Roman;serif" w:hAnsi="Times New Roman;serif"/>
          <w:b w:val="false"/>
          <w:i/>
          <w:sz w:val="24"/>
        </w:rPr>
        <w:t>Successors</w:t>
      </w:r>
      <w:r>
        <w:rPr>
          <w:rFonts w:ascii="Times New Roman;serif" w:hAnsi="Times New Roman;serif"/>
          <w:b w:val="false"/>
          <w:sz w:val="24"/>
        </w:rPr>
        <w:t>. This Agreement shall be binding upon and inure to the benefit of any successor or successors of the Company and any person or persons who shall, upon the Participant’s death, acquire any rights hereunder in accordance with this Agreement or the Plan.</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1" w:after="0"/>
        <w:jc w:val="both"/>
        <w:rPr/>
      </w:pPr>
      <w:r>
        <w:rPr>
          <w:rFonts w:ascii="Times New Roman;serif" w:hAnsi="Times New Roman;serif"/>
          <w:b w:val="false"/>
          <w:i/>
          <w:sz w:val="24"/>
        </w:rPr>
        <w:t>Governing Law</w:t>
      </w:r>
      <w:r>
        <w:rPr>
          <w:rFonts w:ascii="Times New Roman;serif" w:hAnsi="Times New Roman;serif"/>
          <w:b w:val="false"/>
          <w:sz w:val="24"/>
        </w:rPr>
        <w:t>. To the extent not preempted by federal law, this Agreement shall be construed in accordance with and governed by the laws of the State of Delaware, without regard to any conflicts or choice of law, rule or principle that might o</w:t>
      </w:r>
      <w:r>
        <w:rPr>
          <w:rFonts w:ascii="Times New Roman;serif" w:hAnsi="Times New Roman;serif"/>
          <w:b w:val="false"/>
          <w:sz w:val="22"/>
        </w:rPr>
        <w:t>therwise refer the interpretation of the award to the substantive law of another jurisdiction.</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(j)</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Fonts w:ascii="Times New Roman;serif" w:hAnsi="Times New Roman;serif"/>
          <w:b w:val="false"/>
          <w:i/>
          <w:sz w:val="24"/>
        </w:rPr>
        <w:t>Compliance with Section 409A of the Internal Revenue Code</w:t>
      </w:r>
      <w:r>
        <w:rPr>
          <w:rFonts w:ascii="Times New Roman;serif" w:hAnsi="Times New Roman;serif"/>
          <w:b w:val="false"/>
          <w:sz w:val="24"/>
        </w:rPr>
        <w:t>. The Options are intended to comply with Section 409A of the Code (“</w:t>
      </w:r>
      <w:r>
        <w:rPr>
          <w:rFonts w:ascii="Times New Roman;serif" w:hAnsi="Times New Roman;serif"/>
          <w:b/>
          <w:sz w:val="24"/>
        </w:rPr>
        <w:t>Section 409A</w:t>
      </w:r>
      <w:r>
        <w:rPr/>
        <w:t>”</w:t>
      </w:r>
      <w:r>
        <w:rPr>
          <w:rFonts w:ascii="Times New Roman;serif" w:hAnsi="Times New Roman;serif"/>
          <w:b w:val="false"/>
          <w:sz w:val="24"/>
        </w:rPr>
        <w:t xml:space="preserve">) to the extent subject thereto, and shall be interpreted in accordance with Section 409A and treasury regulations and other interpretive guidance issued thereunder, including without limitation any such regulations or other guidance that may be issued after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pStyle w:val="HorizontalLine"/>
        <w:rPr/>
      </w:pPr>
      <w:r>
        <w:rPr/>
      </w:r>
    </w:p>
    <w:p>
      <w:pPr>
        <w:pStyle w:val="TextBody"/>
        <w:jc w:val="both"/>
        <w:rPr>
          <w:rFonts w:ascii="Times New Roman;serif" w:hAnsi="Times New Roman;serif"/>
          <w:b w:val="false"/>
          <w:sz w:val="24"/>
        </w:rPr>
      </w:pPr>
      <w:r>
        <w:rPr>
          <w:rFonts w:ascii="Times New Roman;serif" w:hAnsi="Times New Roman;serif"/>
          <w:b w:val="false"/>
          <w:sz w:val="24"/>
        </w:rPr>
        <w:t>the Date of Grant. The Company reserves the right to modify the terms of this Agreement, including, without limitation, the payment provisions applicable to the Options, to the extent necessary or advisable to comply with Section 409A and reserves the right to make any changes to the Options so that the Options do not become deferred compensation under Section 409A.</w:t>
      </w:r>
    </w:p>
    <w:p>
      <w:pPr>
        <w:pStyle w:val="TextBody"/>
        <w:spacing w:before="11" w:after="0"/>
        <w:jc w:val="left"/>
        <w:rPr/>
      </w:pPr>
      <w:r>
        <w:rPr/>
        <w:t> </w:t>
      </w:r>
    </w:p>
    <w:p>
      <w:pPr>
        <w:pStyle w:val="TextBody"/>
        <w:spacing w:before="0" w:after="0"/>
        <w:jc w:val="both"/>
        <w:rPr>
          <w:rFonts w:ascii="Times New Roman;serif" w:hAnsi="Times New Roman;serif"/>
          <w:b w:val="false"/>
          <w:sz w:val="24"/>
        </w:rPr>
      </w:pPr>
      <w:bookmarkStart w:id="180" w:name="notwithstanding_any_provision_of_the_pla"/>
      <w:bookmarkEnd w:id="180"/>
      <w:r>
        <w:rPr>
          <w:rFonts w:ascii="Times New Roman;serif" w:hAnsi="Times New Roman;serif"/>
          <w:b w:val="false"/>
          <w:sz w:val="24"/>
        </w:rPr>
        <w:t>Notwithstanding any provision of the Plan or this Agreement to the contrary, in no event shall the Company or an Affiliate, including the Employer, be liable to the Participant on account of failure of the Options to (i) qualify for favorable U.S. or foreign tax treatment or (ii) avoid adverse tax treatment under U.S. or foreign law, including, without limitation, under Section 409A.</w:t>
      </w:r>
    </w:p>
    <w:p>
      <w:pPr>
        <w:pStyle w:val="TextBody"/>
        <w:spacing w:before="2" w:after="0"/>
        <w:jc w:val="left"/>
        <w:rPr/>
      </w:pPr>
      <w:r>
        <w:rPr/>
        <w:t> </w:t>
      </w:r>
    </w:p>
    <w:p>
      <w:pPr>
        <w:pStyle w:val="TextBody"/>
        <w:spacing w:before="90" w:after="0"/>
        <w:jc w:val="center"/>
        <w:rPr>
          <w:rFonts w:ascii="Times New Roman;serif" w:hAnsi="Times New Roman;serif"/>
          <w:b w:val="false"/>
          <w:sz w:val="24"/>
        </w:rPr>
      </w:pPr>
      <w:r>
        <w:rPr>
          <w:rFonts w:ascii="Times New Roman;serif" w:hAnsi="Times New Roman;serif"/>
          <w:b w:val="false"/>
          <w:sz w:val="24"/>
        </w:rPr>
        <w:t>6</w:t>
      </w:r>
    </w:p>
    <w:p>
      <w:pPr>
        <w:pStyle w:val="TextBody"/>
        <w:spacing w:before="0" w:after="0"/>
        <w:jc w:val="center"/>
        <w:rPr/>
      </w:pPr>
      <w:r>
        <w:rPr/>
        <w:t> </w:t>
      </w:r>
    </w:p>
    <w:p>
      <w:pPr>
        <w:pStyle w:val="TextBody"/>
        <w:spacing w:before="0" w:after="0"/>
        <w:jc w:val="left"/>
        <w:rPr/>
      </w:pPr>
      <w:r>
        <w:rPr/>
        <w:t> </w:t>
      </w:r>
    </w:p>
    <w:p>
      <w:pPr>
        <w:pStyle w:val="HorizontalLine"/>
        <w:rPr/>
      </w:pPr>
      <w:r>
        <w:rPr/>
      </w:r>
    </w:p>
    <w:p>
      <w:pPr>
        <w:pStyle w:val="TextBody"/>
        <w:spacing w:before="84" w:after="0"/>
        <w:jc w:val="center"/>
        <w:rPr>
          <w:rFonts w:ascii="Times New Roman;serif" w:hAnsi="Times New Roman;serif"/>
          <w:b/>
          <w:sz w:val="24"/>
          <w:u w:val="single"/>
        </w:rPr>
      </w:pPr>
      <w:r>
        <w:rPr>
          <w:rFonts w:ascii="Times New Roman;serif" w:hAnsi="Times New Roman;serif"/>
          <w:b/>
          <w:sz w:val="24"/>
          <w:u w:val="single"/>
        </w:rPr>
        <w:t>Appendix A</w:t>
      </w:r>
    </w:p>
    <w:p>
      <w:pPr>
        <w:pStyle w:val="TextBody"/>
        <w:spacing w:before="84" w:after="0"/>
        <w:jc w:val="center"/>
        <w:rPr>
          <w:rFonts w:ascii="Times New Roman;serif" w:hAnsi="Times New Roman;serif"/>
          <w:b/>
          <w:sz w:val="24"/>
        </w:rPr>
      </w:pPr>
      <w:r>
        <w:rPr>
          <w:rFonts w:ascii="Times New Roman;serif" w:hAnsi="Times New Roman;serif"/>
          <w:b/>
          <w:sz w:val="24"/>
        </w:rPr>
        <w:t>Vesting Conditions</w:t>
      </w:r>
    </w:p>
    <w:p>
      <w:pPr>
        <w:pStyle w:val="TextBody"/>
        <w:spacing w:before="1" w:after="0"/>
        <w:jc w:val="left"/>
        <w:rPr/>
      </w:pPr>
      <w:r>
        <w:rPr/>
        <w:t> </w:t>
      </w:r>
    </w:p>
    <w:p>
      <w:pPr>
        <w:pStyle w:val="TextBody"/>
        <w:spacing w:before="0" w:after="0"/>
        <w:jc w:val="left"/>
        <w:rPr>
          <w:rFonts w:ascii="Times New Roman" w:hAnsi="Times New Roman"/>
          <w:b w:val="false"/>
          <w:sz w:val="24"/>
        </w:rPr>
      </w:pPr>
      <w:r>
        <w:rPr>
          <w:rFonts w:ascii="Times New Roman" w:hAnsi="Times New Roman"/>
          <w:b w:val="false"/>
          <w:sz w:val="24"/>
        </w:rPr>
        <w:t>1.</w:t>
      </w:r>
    </w:p>
    <w:p>
      <w:pPr>
        <w:pStyle w:val="TextBody"/>
        <w:jc w:val="left"/>
        <w:rPr/>
      </w:pPr>
      <w:r>
        <w:rPr>
          <w:rFonts w:ascii="Times New Roman;serif" w:hAnsi="Times New Roman;serif"/>
          <w:b w:val="false"/>
          <w:sz w:val="24"/>
          <w:u w:val="single"/>
        </w:rPr>
        <w:t>General</w:t>
      </w:r>
      <w:r>
        <w:rPr>
          <w:rFonts w:ascii="Times New Roman;serif" w:hAnsi="Times New Roman;serif"/>
          <w:b w:val="false"/>
          <w:sz w:val="24"/>
        </w:rPr>
        <w:t>.</w:t>
      </w:r>
    </w:p>
    <w:p>
      <w:pPr>
        <w:pStyle w:val="TextBody"/>
        <w:spacing w:before="1" w:after="0"/>
        <w:jc w:val="left"/>
        <w:rPr/>
      </w:pPr>
      <w:r>
        <w:rPr/>
        <w:t> </w:t>
      </w:r>
    </w:p>
    <w:p>
      <w:pPr>
        <w:pStyle w:val="TextBody"/>
        <w:spacing w:before="90" w:after="0"/>
        <w:jc w:val="both"/>
        <w:rPr>
          <w:rFonts w:ascii="Times New Roman" w:hAnsi="Times New Roman"/>
          <w:b w:val="false"/>
          <w:sz w:val="24"/>
        </w:rPr>
      </w:pPr>
      <w:r>
        <w:rPr>
          <w:rFonts w:ascii="Times New Roman" w:hAnsi="Times New Roman"/>
          <w:b w:val="false"/>
          <w:sz w:val="24"/>
        </w:rPr>
        <w:t>(a)</w:t>
      </w:r>
    </w:p>
    <w:p>
      <w:pPr>
        <w:pStyle w:val="TextBody"/>
        <w:spacing w:before="90" w:after="283"/>
        <w:jc w:val="both"/>
        <w:rPr/>
      </w:pPr>
      <w:r>
        <w:rPr>
          <w:rFonts w:ascii="Times New Roman;serif" w:hAnsi="Times New Roman;serif"/>
          <w:b w:val="false"/>
          <w:sz w:val="24"/>
        </w:rPr>
        <w:t>The Options shall consist of three (3) equal tranches, each of which shall represent the right to purchase one-third (1/3) of the number of Shares subject to the Options set forth in this Agreement (each, a “</w:t>
      </w:r>
      <w:r>
        <w:rPr>
          <w:rFonts w:ascii="Times New Roman;serif" w:hAnsi="Times New Roman;serif"/>
          <w:b w:val="false"/>
          <w:sz w:val="24"/>
          <w:u w:val="single"/>
        </w:rPr>
        <w:t>Tranche</w:t>
      </w:r>
      <w:r>
        <w:rPr/>
        <w:t>”</w:t>
      </w:r>
      <w:r>
        <w:rPr>
          <w:rFonts w:ascii="Times New Roman;serif" w:hAnsi="Times New Roman;serif"/>
          <w:b w:val="false"/>
          <w:sz w:val="24"/>
        </w:rPr>
        <w:t>).</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(b)</w:t>
      </w:r>
    </w:p>
    <w:p>
      <w:pPr>
        <w:pStyle w:val="TextBody"/>
        <w:jc w:val="both"/>
        <w:rPr/>
      </w:pPr>
      <w:r>
        <w:rPr>
          <w:rFonts w:ascii="Times New Roman;serif" w:hAnsi="Times New Roman;serif"/>
          <w:b w:val="false"/>
          <w:sz w:val="24"/>
        </w:rPr>
        <w:t xml:space="preserve">Subject to the terms of the Plan and this Agreement (including this </w:t>
      </w:r>
      <w:r>
        <w:rPr>
          <w:rFonts w:ascii="Times New Roman;serif" w:hAnsi="Times New Roman;serif"/>
          <w:b w:val="false"/>
          <w:sz w:val="24"/>
          <w:u w:val="single"/>
        </w:rPr>
        <w:t>Appendix A</w:t>
      </w:r>
      <w:r>
        <w:rPr>
          <w:rFonts w:ascii="Times New Roman;serif" w:hAnsi="Times New Roman;serif"/>
          <w:b w:val="false"/>
          <w:sz w:val="24"/>
        </w:rPr>
        <w:t xml:space="preserve">), each Tranche will vest only upon the satisfaction of both (i) the performance-based vesting conditions described in Section 2 of this </w:t>
      </w:r>
      <w:r>
        <w:rPr>
          <w:rFonts w:ascii="Times New Roman;serif" w:hAnsi="Times New Roman;serif"/>
          <w:b w:val="false"/>
          <w:sz w:val="24"/>
          <w:u w:val="single"/>
        </w:rPr>
        <w:t>Appendix A</w:t>
      </w:r>
      <w:r>
        <w:rPr/>
        <w:t xml:space="preserve"> </w:t>
      </w:r>
      <w:r>
        <w:rPr>
          <w:rFonts w:ascii="Times New Roman;serif" w:hAnsi="Times New Roman;serif"/>
          <w:b w:val="false"/>
          <w:sz w:val="24"/>
        </w:rPr>
        <w:t>(the “</w:t>
      </w:r>
      <w:r>
        <w:rPr>
          <w:rFonts w:ascii="Times New Roman;serif" w:hAnsi="Times New Roman;serif"/>
          <w:b w:val="false"/>
          <w:sz w:val="24"/>
          <w:u w:val="single"/>
        </w:rPr>
        <w:t>Performance Condition</w:t>
      </w:r>
      <w:r>
        <w:rPr/>
        <w:t>”</w:t>
      </w:r>
      <w:r>
        <w:rPr>
          <w:rFonts w:ascii="Times New Roman;serif" w:hAnsi="Times New Roman;serif"/>
          <w:b w:val="false"/>
          <w:sz w:val="24"/>
        </w:rPr>
        <w:t>) and</w:t>
      </w:r>
    </w:p>
    <w:p>
      <w:pPr>
        <w:pStyle w:val="TextBody"/>
        <w:spacing w:before="0" w:after="0"/>
        <w:jc w:val="both"/>
        <w:rPr>
          <w:rFonts w:ascii="Times New Roman" w:hAnsi="Times New Roman"/>
          <w:sz w:val="20"/>
        </w:rPr>
      </w:pPr>
      <w:r>
        <w:rPr>
          <w:rFonts w:ascii="Times New Roman;serif" w:hAnsi="Times New Roman;serif"/>
          <w:b w:val="false"/>
          <w:sz w:val="24"/>
        </w:rPr>
        <w:t xml:space="preserve">(ii) the service-based vesting condition applicable to such Tranche described in Section 3 of this </w:t>
      </w:r>
      <w:r>
        <w:rPr>
          <w:rFonts w:ascii="Times New Roman;serif" w:hAnsi="Times New Roman;serif"/>
          <w:b w:val="false"/>
          <w:sz w:val="24"/>
          <w:u w:val="single"/>
        </w:rPr>
        <w:t>Appendix A</w:t>
      </w:r>
      <w:r>
        <w:rPr>
          <w:rFonts w:ascii="Times New Roman" w:hAnsi="Times New Roman"/>
          <w:sz w:val="20"/>
        </w:rPr>
        <w:t xml:space="preserve"> </w:t>
      </w:r>
      <w:r>
        <w:rPr>
          <w:rFonts w:ascii="Times New Roman;serif" w:hAnsi="Times New Roman;serif"/>
          <w:b w:val="false"/>
          <w:sz w:val="24"/>
        </w:rPr>
        <w:t>(the “</w:t>
      </w:r>
      <w:r>
        <w:rPr>
          <w:rFonts w:ascii="Times New Roman;serif" w:hAnsi="Times New Roman;serif"/>
          <w:b w:val="false"/>
          <w:sz w:val="24"/>
          <w:u w:val="single"/>
        </w:rPr>
        <w:t>Service Condition</w:t>
      </w:r>
      <w:r>
        <w:rPr>
          <w:rFonts w:ascii="Times New Roman" w:hAnsi="Times New Roman"/>
          <w:sz w:val="20"/>
        </w:rPr>
        <w:t>”</w:t>
      </w:r>
      <w:r>
        <w:rPr>
          <w:rFonts w:ascii="Times New Roman;serif" w:hAnsi="Times New Roman;serif"/>
          <w:b w:val="false"/>
          <w:sz w:val="24"/>
        </w:rPr>
        <w:t>).</w:t>
      </w:r>
    </w:p>
    <w:p>
      <w:pPr>
        <w:pStyle w:val="TextBody"/>
        <w:spacing w:before="11" w:after="0"/>
        <w:jc w:val="left"/>
        <w:rPr/>
      </w:pPr>
      <w:r>
        <w:rPr/>
        <w:t> </w:t>
      </w:r>
    </w:p>
    <w:p>
      <w:pPr>
        <w:pStyle w:val="TextBody"/>
        <w:spacing w:before="0" w:after="0"/>
        <w:jc w:val="left"/>
        <w:rPr>
          <w:rFonts w:ascii="Times New Roman" w:hAnsi="Times New Roman"/>
          <w:b w:val="false"/>
          <w:sz w:val="24"/>
        </w:rPr>
      </w:pPr>
      <w:r>
        <w:rPr>
          <w:rFonts w:ascii="Times New Roman" w:hAnsi="Times New Roman"/>
          <w:b w:val="false"/>
          <w:sz w:val="24"/>
        </w:rPr>
        <w:t>2.</w:t>
      </w:r>
    </w:p>
    <w:p>
      <w:pPr>
        <w:pStyle w:val="TextBody"/>
        <w:jc w:val="left"/>
        <w:rPr/>
      </w:pPr>
      <w:r>
        <w:rPr>
          <w:rFonts w:ascii="Times New Roman;serif" w:hAnsi="Times New Roman;serif"/>
          <w:b w:val="false"/>
          <w:sz w:val="24"/>
          <w:u w:val="single"/>
        </w:rPr>
        <w:t>Performance Condition</w:t>
      </w:r>
      <w:r>
        <w:rPr>
          <w:rFonts w:ascii="Times New Roman;serif" w:hAnsi="Times New Roman;serif"/>
          <w:b w:val="false"/>
          <w:sz w:val="24"/>
        </w:rPr>
        <w:t>.</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(a)</w:t>
      </w:r>
    </w:p>
    <w:p>
      <w:pPr>
        <w:pStyle w:val="TextBody"/>
        <w:jc w:val="both"/>
        <w:rPr/>
      </w:pPr>
      <w:r>
        <w:rPr>
          <w:rFonts w:ascii="Times New Roman;serif" w:hAnsi="Times New Roman;serif"/>
          <w:b w:val="false"/>
          <w:sz w:val="24"/>
        </w:rPr>
        <w:t>The Performance Condition applicable to each Tranche of Options shall be satisfied and such Tranche shall become earned on the date during the Performance Period on which the Price Hurdle Achievement (as defined below) for such Tranche has occurred, as determined by the Committee (such date, the “</w:t>
      </w:r>
      <w:r>
        <w:rPr>
          <w:rFonts w:ascii="Times New Roman;serif" w:hAnsi="Times New Roman;serif"/>
          <w:b w:val="false"/>
          <w:sz w:val="24"/>
          <w:u w:val="single"/>
        </w:rPr>
        <w:t>Performance Achievement Date</w:t>
      </w:r>
      <w:r>
        <w:rPr/>
        <w:t>”</w:t>
      </w:r>
      <w:r>
        <w:rPr>
          <w:rFonts w:ascii="Times New Roman;serif" w:hAnsi="Times New Roman;serif"/>
          <w:b w:val="false"/>
          <w:sz w:val="24"/>
        </w:rPr>
        <w:t>). For the avoidance of doubt, any Tranche of the Options shall be forfeited to the extent that the Price Hurdle Achievement with respect to such Tranche has not occurred on or before the last day of the Performance Period, as determined by the Committee.</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(b)</w:t>
      </w:r>
    </w:p>
    <w:p>
      <w:pPr>
        <w:pStyle w:val="TextBody"/>
        <w:jc w:val="both"/>
        <w:rPr>
          <w:rFonts w:ascii="Times New Roman;serif" w:hAnsi="Times New Roman;serif"/>
          <w:b w:val="false"/>
          <w:sz w:val="24"/>
        </w:rPr>
      </w:pPr>
      <w:r>
        <w:rPr>
          <w:rFonts w:ascii="Times New Roman;serif" w:hAnsi="Times New Roman;serif"/>
          <w:b w:val="false"/>
          <w:sz w:val="24"/>
        </w:rPr>
        <w:t>For purposes of this Agreement, the following terms shall have the following meanings:</w:t>
      </w:r>
    </w:p>
    <w:p>
      <w:pPr>
        <w:pStyle w:val="TextBody"/>
        <w:spacing w:before="10" w:after="0"/>
        <w:jc w:val="left"/>
        <w:rPr/>
      </w:pPr>
      <w:r>
        <w:rPr/>
        <w:t> </w:t>
      </w:r>
    </w:p>
    <w:p>
      <w:pPr>
        <w:pStyle w:val="TextBody"/>
        <w:spacing w:before="1" w:after="0"/>
        <w:jc w:val="left"/>
        <w:rPr>
          <w:rFonts w:ascii="Times New Roman" w:hAnsi="Times New Roman"/>
          <w:b w:val="false"/>
          <w:sz w:val="24"/>
        </w:rPr>
      </w:pPr>
      <w:r>
        <w:rPr>
          <w:rFonts w:ascii="Times New Roman" w:hAnsi="Times New Roman"/>
          <w:b w:val="false"/>
          <w:sz w:val="24"/>
        </w:rPr>
        <w:t>(i)</w:t>
      </w:r>
    </w:p>
    <w:p>
      <w:pPr>
        <w:pStyle w:val="TextBody"/>
        <w:spacing w:before="1" w:after="283"/>
        <w:jc w:val="left"/>
        <w:rPr/>
      </w:pPr>
      <w:r>
        <w:rPr/>
        <w:t>“</w:t>
      </w:r>
      <w:r>
        <w:rPr>
          <w:rFonts w:ascii="Times New Roman;serif" w:hAnsi="Times New Roman;serif"/>
          <w:b w:val="false"/>
          <w:sz w:val="24"/>
          <w:u w:val="single"/>
        </w:rPr>
        <w:t>Performance Period</w:t>
      </w:r>
      <w:r>
        <w:rPr/>
        <w:t xml:space="preserve">” </w:t>
      </w:r>
      <w:r>
        <w:rPr>
          <w:rFonts w:ascii="Times New Roman;serif" w:hAnsi="Times New Roman;serif"/>
          <w:b w:val="false"/>
          <w:sz w:val="24"/>
        </w:rPr>
        <w:t>means the period commencing on July 11, 2022 and ending on July 11, 2027.</w:t>
      </w:r>
    </w:p>
    <w:p>
      <w:pPr>
        <w:pStyle w:val="TextBody"/>
        <w:spacing w:before="9" w:after="0"/>
        <w:jc w:val="left"/>
        <w:rPr/>
      </w:pPr>
      <w:r>
        <w:rPr/>
        <w:t> </w:t>
      </w:r>
    </w:p>
    <w:p>
      <w:pPr>
        <w:pStyle w:val="TextBody"/>
        <w:spacing w:before="1" w:after="0"/>
        <w:jc w:val="left"/>
        <w:rPr>
          <w:rFonts w:ascii="Times New Roman" w:hAnsi="Times New Roman"/>
          <w:b w:val="false"/>
          <w:sz w:val="24"/>
        </w:rPr>
      </w:pPr>
      <w:r>
        <w:rPr>
          <w:rFonts w:ascii="Times New Roman" w:hAnsi="Times New Roman"/>
          <w:b w:val="false"/>
          <w:sz w:val="24"/>
        </w:rPr>
        <w:t>(ii)</w:t>
      </w:r>
    </w:p>
    <w:p>
      <w:pPr>
        <w:pStyle w:val="TextBody"/>
        <w:spacing w:before="1" w:after="283"/>
        <w:jc w:val="left"/>
        <w:rPr/>
      </w:pPr>
      <w:r>
        <w:rPr/>
        <w:t>“</w:t>
      </w:r>
      <w:r>
        <w:rPr>
          <w:rFonts w:ascii="Times New Roman;serif" w:hAnsi="Times New Roman;serif"/>
          <w:b w:val="false"/>
          <w:sz w:val="24"/>
          <w:u w:val="single"/>
        </w:rPr>
        <w:t>Price Hurdle</w:t>
      </w:r>
      <w:r>
        <w:rPr/>
        <w:t xml:space="preserve">” </w:t>
      </w:r>
      <w:r>
        <w:rPr>
          <w:rFonts w:ascii="Times New Roman;serif" w:hAnsi="Times New Roman;serif"/>
          <w:b w:val="false"/>
          <w:sz w:val="24"/>
        </w:rPr>
        <w:t>means the price per Share set forth in the table below (subject to adjustment in accordance with Section 5(c) of the Plan).</w:t>
      </w:r>
    </w:p>
    <w:p>
      <w:pPr>
        <w:pStyle w:val="TextBody"/>
        <w:spacing w:before="10" w:after="0"/>
        <w:jc w:val="left"/>
        <w:rPr/>
      </w:pPr>
      <w:r>
        <w:rPr/>
        <w:t> </w:t>
      </w:r>
    </w:p>
    <w:tbl>
      <w:tblPr>
        <w:tblW w:w="3988" w:type="dxa"/>
        <w:jc w:val="left"/>
        <w:tblInd w:w="0" w:type="dxa"/>
        <w:tblCellMar>
          <w:top w:w="28" w:type="dxa"/>
          <w:left w:w="28" w:type="dxa"/>
          <w:bottom w:w="28" w:type="dxa"/>
          <w:right w:w="28" w:type="dxa"/>
        </w:tblCellMar>
      </w:tblPr>
      <w:tblGrid>
        <w:gridCol w:w="1308"/>
        <w:gridCol w:w="2680"/>
      </w:tblGrid>
      <w:tr>
        <w:trPr/>
        <w:tc>
          <w:tcPr>
            <w:tcW w:w="1308" w:type="dxa"/>
            <w:tcBorders/>
            <w:shd w:fill="auto" w:val="clear"/>
            <w:vAlign w:val="center"/>
          </w:tcPr>
          <w:p>
            <w:pPr>
              <w:pStyle w:val="TableContents"/>
              <w:spacing w:before="0" w:after="283"/>
              <w:rPr>
                <w:sz w:val="4"/>
                <w:szCs w:val="4"/>
              </w:rPr>
            </w:pPr>
            <w:r>
              <w:rPr>
                <w:sz w:val="4"/>
                <w:szCs w:val="4"/>
              </w:rPr>
            </w:r>
          </w:p>
        </w:tc>
        <w:tc>
          <w:tcPr>
            <w:tcW w:w="2680" w:type="dxa"/>
            <w:tcBorders/>
            <w:shd w:fill="auto" w:val="clear"/>
            <w:vAlign w:val="center"/>
          </w:tcPr>
          <w:p>
            <w:pPr>
              <w:pStyle w:val="TableContents"/>
              <w:spacing w:before="0" w:after="283"/>
              <w:ind w:left="0" w:right="0" w:firstLine="272"/>
              <w:rPr>
                <w:sz w:val="4"/>
                <w:szCs w:val="4"/>
              </w:rPr>
            </w:pPr>
            <w:r>
              <w:rPr>
                <w:sz w:val="4"/>
                <w:szCs w:val="4"/>
              </w:rPr>
            </w:r>
          </w:p>
        </w:tc>
      </w:tr>
      <w:tr>
        <w:trPr/>
        <w:tc>
          <w:tcPr>
            <w:tcW w:w="1308" w:type="dxa"/>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35" w:after="0"/>
              <w:ind w:left="0" w:right="0" w:firstLine="317"/>
              <w:jc w:val="left"/>
              <w:rPr>
                <w:rFonts w:ascii="Times New Roman;serif" w:hAnsi="Times New Roman;serif"/>
                <w:b/>
                <w:sz w:val="24"/>
              </w:rPr>
            </w:pPr>
            <w:r>
              <w:rPr>
                <w:rFonts w:ascii="Times New Roman;serif" w:hAnsi="Times New Roman;serif"/>
                <w:b/>
                <w:sz w:val="24"/>
              </w:rPr>
              <w:t>Tranche</w:t>
            </w:r>
          </w:p>
        </w:tc>
        <w:tc>
          <w:tcPr>
            <w:tcW w:w="2680" w:type="dxa"/>
            <w:tcBorders>
              <w:top w:val="single" w:sz="4" w:space="0" w:color="000000"/>
              <w:bottom w:val="single" w:sz="4" w:space="0" w:color="000000"/>
              <w:right w:val="single" w:sz="4" w:space="0" w:color="000000"/>
            </w:tcBorders>
            <w:shd w:fill="auto" w:val="clear"/>
            <w:tcMar>
              <w:left w:w="0" w:type="dxa"/>
            </w:tcMar>
            <w:vAlign w:val="center"/>
          </w:tcPr>
          <w:p>
            <w:pPr>
              <w:pStyle w:val="TableContents"/>
              <w:spacing w:before="35" w:after="0"/>
              <w:ind w:left="0" w:right="0" w:firstLine="9"/>
              <w:jc w:val="left"/>
              <w:rPr>
                <w:rFonts w:ascii="Times New Roman;serif" w:hAnsi="Times New Roman;serif"/>
                <w:b/>
                <w:sz w:val="24"/>
              </w:rPr>
            </w:pPr>
            <w:r>
              <w:rPr>
                <w:rFonts w:ascii="Times New Roman;serif" w:hAnsi="Times New Roman;serif"/>
                <w:b/>
                <w:sz w:val="24"/>
              </w:rPr>
              <w:t>Price Hurdle (per Share)</w:t>
            </w:r>
          </w:p>
        </w:tc>
      </w:tr>
      <w:tr>
        <w:trPr/>
        <w:tc>
          <w:tcPr>
            <w:tcW w:w="1308"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firstLine="317"/>
              <w:jc w:val="left"/>
              <w:rPr>
                <w:rFonts w:ascii="Times New Roman;serif" w:hAnsi="Times New Roman;serif"/>
                <w:b w:val="false"/>
                <w:sz w:val="24"/>
              </w:rPr>
            </w:pPr>
            <w:r>
              <w:rPr>
                <w:rFonts w:ascii="Times New Roman;serif" w:hAnsi="Times New Roman;serif"/>
                <w:b w:val="false"/>
                <w:sz w:val="24"/>
              </w:rPr>
              <w:t>1</w:t>
            </w:r>
          </w:p>
        </w:tc>
        <w:tc>
          <w:tcPr>
            <w:tcW w:w="2680"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firstLine="9"/>
              <w:jc w:val="left"/>
              <w:rPr>
                <w:rFonts w:ascii="Times New Roman;serif" w:hAnsi="Times New Roman;serif"/>
                <w:b w:val="false"/>
                <w:sz w:val="24"/>
              </w:rPr>
            </w:pPr>
            <w:r>
              <w:rPr>
                <w:rFonts w:ascii="Times New Roman;serif" w:hAnsi="Times New Roman;serif"/>
                <w:b w:val="false"/>
                <w:sz w:val="24"/>
              </w:rPr>
              <w:t>$15</w:t>
            </w:r>
          </w:p>
        </w:tc>
      </w:tr>
      <w:tr>
        <w:trPr/>
        <w:tc>
          <w:tcPr>
            <w:tcW w:w="1308"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firstLine="317"/>
              <w:jc w:val="left"/>
              <w:rPr>
                <w:rFonts w:ascii="Times New Roman;serif" w:hAnsi="Times New Roman;serif"/>
                <w:b w:val="false"/>
                <w:sz w:val="24"/>
              </w:rPr>
            </w:pPr>
            <w:r>
              <w:rPr>
                <w:rFonts w:ascii="Times New Roman;serif" w:hAnsi="Times New Roman;serif"/>
                <w:b w:val="false"/>
                <w:sz w:val="24"/>
              </w:rPr>
              <w:t>2</w:t>
            </w:r>
          </w:p>
        </w:tc>
        <w:tc>
          <w:tcPr>
            <w:tcW w:w="2680"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firstLine="9"/>
              <w:jc w:val="left"/>
              <w:rPr>
                <w:rFonts w:ascii="Times New Roman;serif" w:hAnsi="Times New Roman;serif"/>
                <w:b w:val="false"/>
                <w:sz w:val="24"/>
              </w:rPr>
            </w:pPr>
            <w:r>
              <w:rPr>
                <w:rFonts w:ascii="Times New Roman;serif" w:hAnsi="Times New Roman;serif"/>
                <w:b w:val="false"/>
                <w:sz w:val="24"/>
              </w:rPr>
              <w:t>$20</w:t>
            </w:r>
          </w:p>
        </w:tc>
      </w:tr>
      <w:tr>
        <w:trPr/>
        <w:tc>
          <w:tcPr>
            <w:tcW w:w="1308"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0" w:after="0"/>
              <w:ind w:left="0" w:right="0" w:firstLine="317"/>
              <w:jc w:val="left"/>
              <w:rPr>
                <w:rFonts w:ascii="Times New Roman;serif" w:hAnsi="Times New Roman;serif"/>
                <w:b w:val="false"/>
                <w:sz w:val="24"/>
              </w:rPr>
            </w:pPr>
            <w:r>
              <w:rPr>
                <w:rFonts w:ascii="Times New Roman;serif" w:hAnsi="Times New Roman;serif"/>
                <w:b w:val="false"/>
                <w:sz w:val="24"/>
              </w:rPr>
              <w:t>3</w:t>
            </w:r>
          </w:p>
        </w:tc>
        <w:tc>
          <w:tcPr>
            <w:tcW w:w="2680"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317" w:right="313" w:hanging="0"/>
              <w:jc w:val="left"/>
              <w:rPr>
                <w:rFonts w:ascii="Times New Roman;serif" w:hAnsi="Times New Roman;serif"/>
                <w:b w:val="false"/>
                <w:sz w:val="24"/>
              </w:rPr>
            </w:pPr>
            <w:r>
              <w:rPr>
                <w:rFonts w:ascii="Times New Roman;serif" w:hAnsi="Times New Roman;serif"/>
                <w:b w:val="false"/>
                <w:sz w:val="24"/>
              </w:rPr>
              <w:t>$25</w:t>
            </w:r>
          </w:p>
        </w:tc>
      </w:tr>
    </w:tbl>
    <w:p>
      <w:pPr>
        <w:pStyle w:val="TextBody"/>
        <w:spacing w:before="6" w:after="0"/>
        <w:jc w:val="left"/>
        <w:rPr/>
      </w:pPr>
      <w:r>
        <w:rPr/>
        <w:t> </w:t>
      </w:r>
    </w:p>
    <w:p>
      <w:pPr>
        <w:pStyle w:val="TextBody"/>
        <w:spacing w:before="0" w:after="0"/>
        <w:jc w:val="left"/>
        <w:rPr>
          <w:rFonts w:ascii="Times New Roman" w:hAnsi="Times New Roman"/>
          <w:b w:val="false"/>
          <w:sz w:val="24"/>
        </w:rPr>
      </w:pPr>
      <w:r>
        <w:rPr>
          <w:rFonts w:ascii="Times New Roman" w:hAnsi="Times New Roman"/>
          <w:b w:val="false"/>
          <w:sz w:val="24"/>
        </w:rPr>
        <w:t>(iii)</w:t>
      </w:r>
    </w:p>
    <w:p>
      <w:pPr>
        <w:pStyle w:val="TextBody"/>
        <w:jc w:val="left"/>
        <w:rPr/>
      </w:pPr>
      <w:r>
        <w:rPr/>
        <w:t>“</w:t>
      </w:r>
      <w:r>
        <w:rPr>
          <w:rFonts w:ascii="Times New Roman;serif" w:hAnsi="Times New Roman;serif"/>
          <w:b w:val="false"/>
          <w:sz w:val="24"/>
          <w:u w:val="single"/>
        </w:rPr>
        <w:t>Price Hurdle Achievement</w:t>
      </w:r>
      <w:r>
        <w:rPr/>
        <w:t xml:space="preserve">” </w:t>
      </w:r>
      <w:r>
        <w:rPr>
          <w:rFonts w:ascii="Times New Roman;serif" w:hAnsi="Times New Roman;serif"/>
          <w:b w:val="false"/>
          <w:sz w:val="24"/>
        </w:rPr>
        <w:t>means the date on which (A) the VWAP per Share during any twenty (20) Trading Day (as defined below) period during any thirty</w:t>
      </w:r>
    </w:p>
    <w:p>
      <w:pPr>
        <w:pStyle w:val="TextBody"/>
        <w:spacing w:before="0" w:after="0"/>
        <w:jc w:val="left"/>
        <w:rPr>
          <w:rFonts w:ascii="Times New Roman" w:hAnsi="Times New Roman"/>
          <w:sz w:val="20"/>
        </w:rPr>
      </w:pPr>
      <w:r>
        <w:rPr>
          <w:rFonts w:ascii="Times New Roman;serif" w:hAnsi="Times New Roman;serif"/>
          <w:b w:val="false"/>
          <w:sz w:val="24"/>
        </w:rPr>
        <w:t xml:space="preserve">(30) consecutive Trading Day period during the Performance Period </w:t>
      </w:r>
      <w:r>
        <w:rPr>
          <w:rFonts w:ascii="Times New Roman;serif" w:hAnsi="Times New Roman;serif"/>
          <w:b w:val="false"/>
          <w:i/>
          <w:sz w:val="24"/>
        </w:rPr>
        <w:t>exceeds</w:t>
      </w:r>
    </w:p>
    <w:p>
      <w:pPr>
        <w:pStyle w:val="TextBody"/>
        <w:spacing w:before="0" w:after="0"/>
        <w:jc w:val="left"/>
        <w:rPr>
          <w:rFonts w:ascii="Times New Roman;serif" w:hAnsi="Times New Roman;serif"/>
          <w:b w:val="false"/>
          <w:sz w:val="24"/>
        </w:rPr>
      </w:pPr>
      <w:r>
        <w:rPr>
          <w:rFonts w:ascii="Times New Roman;serif" w:hAnsi="Times New Roman;serif"/>
          <w:b w:val="false"/>
          <w:sz w:val="24"/>
        </w:rPr>
        <w:t>(B) the Price Hurdle applicable to such Tranche.</w:t>
      </w:r>
    </w:p>
    <w:p>
      <w:pPr>
        <w:pStyle w:val="TextBody"/>
        <w:spacing w:before="10" w:after="0"/>
        <w:jc w:val="left"/>
        <w:rPr/>
      </w:pPr>
      <w:r>
        <w:rPr/>
        <w:t> </w:t>
      </w:r>
    </w:p>
    <w:p>
      <w:pPr>
        <w:pStyle w:val="TextBody"/>
        <w:spacing w:before="0" w:after="0"/>
        <w:jc w:val="left"/>
        <w:rPr>
          <w:rFonts w:ascii="Times New Roman" w:hAnsi="Times New Roman"/>
          <w:b w:val="false"/>
          <w:sz w:val="24"/>
        </w:rPr>
      </w:pPr>
      <w:r>
        <w:rPr>
          <w:rFonts w:ascii="Times New Roman" w:hAnsi="Times New Roman"/>
          <w:b w:val="false"/>
          <w:sz w:val="24"/>
        </w:rPr>
        <w:t>(iv)</w:t>
      </w:r>
    </w:p>
    <w:p>
      <w:pPr>
        <w:pStyle w:val="TextBody"/>
        <w:jc w:val="left"/>
        <w:rPr/>
      </w:pPr>
      <w:r>
        <w:rPr/>
        <w:t>“</w:t>
      </w:r>
      <w:r>
        <w:rPr>
          <w:rFonts w:ascii="Times New Roman;serif" w:hAnsi="Times New Roman;serif"/>
          <w:b w:val="false"/>
          <w:sz w:val="24"/>
          <w:u w:val="single"/>
        </w:rPr>
        <w:t>Trading Day</w:t>
      </w:r>
      <w:r>
        <w:rPr/>
        <w:t xml:space="preserve">” </w:t>
      </w:r>
      <w:r>
        <w:rPr>
          <w:rFonts w:ascii="Times New Roman;serif" w:hAnsi="Times New Roman;serif"/>
          <w:b w:val="false"/>
          <w:sz w:val="24"/>
        </w:rPr>
        <w:t>means a day on which trading in the Shares occurs on Nasdaq or other applicable national securities exchange.</w:t>
      </w:r>
    </w:p>
    <w:p>
      <w:pPr>
        <w:pStyle w:val="TextBody"/>
        <w:spacing w:before="10" w:after="0"/>
        <w:jc w:val="left"/>
        <w:rPr/>
      </w:pPr>
      <w:r>
        <w:rPr/>
        <w:t> </w:t>
      </w:r>
    </w:p>
    <w:p>
      <w:pPr>
        <w:pStyle w:val="TextBody"/>
        <w:spacing w:before="0" w:after="0"/>
        <w:jc w:val="left"/>
        <w:rPr/>
      </w:pPr>
      <w:r>
        <w:rPr/>
        <w:t> </w:t>
      </w:r>
    </w:p>
    <w:p>
      <w:pPr>
        <w:pStyle w:val="HorizontalLine"/>
        <w:rPr/>
      </w:pPr>
      <w:r>
        <w:rPr/>
      </w:r>
    </w:p>
    <w:p>
      <w:pPr>
        <w:pStyle w:val="TextBody"/>
        <w:spacing w:before="80" w:after="0"/>
        <w:jc w:val="both"/>
        <w:rPr>
          <w:rFonts w:ascii="Times New Roman" w:hAnsi="Times New Roman"/>
          <w:b w:val="false"/>
          <w:sz w:val="24"/>
        </w:rPr>
      </w:pPr>
      <w:r>
        <w:rPr>
          <w:rFonts w:ascii="Times New Roman" w:hAnsi="Times New Roman"/>
          <w:b w:val="false"/>
          <w:sz w:val="24"/>
        </w:rPr>
        <w:t>(v)</w:t>
      </w:r>
    </w:p>
    <w:p>
      <w:pPr>
        <w:pStyle w:val="TextBody"/>
        <w:spacing w:before="80" w:after="283"/>
        <w:jc w:val="both"/>
        <w:rPr/>
      </w:pPr>
      <w:r>
        <w:rPr/>
        <w:t>“</w:t>
      </w:r>
      <w:r>
        <w:rPr>
          <w:rFonts w:ascii="Times New Roman;serif" w:hAnsi="Times New Roman;serif"/>
          <w:b w:val="false"/>
          <w:sz w:val="24"/>
          <w:u w:val="single"/>
        </w:rPr>
        <w:t>VWAP</w:t>
      </w:r>
      <w:r>
        <w:rPr/>
        <w:t xml:space="preserve">” </w:t>
      </w:r>
      <w:r>
        <w:rPr>
          <w:rFonts w:ascii="Times New Roman;serif" w:hAnsi="Times New Roman;serif"/>
          <w:b w:val="false"/>
          <w:sz w:val="24"/>
        </w:rPr>
        <w:t xml:space="preserve">means, for any Trading Day, the per share volume weighted average price of a Share as displayed under the heading “Bloomberg VWAP” on the </w:t>
      </w:r>
      <w:r>
        <w:rPr>
          <w:rFonts w:ascii="Times New Roman;serif" w:hAnsi="Times New Roman;serif"/>
          <w:b w:val="false"/>
          <w:sz w:val="22"/>
        </w:rPr>
        <w:t>applicable Bloomberg page (or, if such page is not available, its equivalent successor page) in respect of the period from the scheduled open of trading until the scheduled close of trading of the primary trading session on such Trading Day (or, if such volume weighted average price is unavailable, the market value of one Share on such Trading Day, determined, using a volume-weighted average price method, by a nationally recognized independent investment banking firm selected by the Company). The VWAP will be determined without regard to after-hours trading or any other trading outside of the primary trading session.</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3.</w:t>
      </w:r>
    </w:p>
    <w:p>
      <w:pPr>
        <w:pStyle w:val="TextBody"/>
        <w:jc w:val="both"/>
        <w:rPr/>
      </w:pPr>
      <w:r>
        <w:rPr>
          <w:rFonts w:ascii="Times New Roman;serif" w:hAnsi="Times New Roman;serif"/>
          <w:b w:val="false"/>
          <w:sz w:val="24"/>
          <w:u w:val="single"/>
        </w:rPr>
        <w:t>Service Condition</w:t>
      </w:r>
      <w:r>
        <w:rPr>
          <w:rFonts w:ascii="Times New Roman;serif" w:hAnsi="Times New Roman;serif"/>
          <w:b w:val="false"/>
          <w:sz w:val="24"/>
        </w:rPr>
        <w:t>. For any Tranche of the Options that has satisfied the Performance Condition and becomes earned, the Service Condition applicable to such Tranche shall be satisfied and such Tranche of Options shall become vested in equal annual installments on each of the first three anniversaries of the Performance Achievement Date for such Tranche, subject in each case to the Participant’s continuous employment with the Company through each such vesting date.</w:t>
      </w:r>
    </w:p>
    <w:p>
      <w:pPr>
        <w:pStyle w:val="TextBody"/>
        <w:spacing w:before="1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4.</w:t>
      </w:r>
    </w:p>
    <w:p>
      <w:pPr>
        <w:pStyle w:val="TextBody"/>
        <w:jc w:val="both"/>
        <w:rPr/>
      </w:pPr>
      <w:r>
        <w:rPr>
          <w:rFonts w:ascii="Times New Roman;serif" w:hAnsi="Times New Roman;serif"/>
          <w:b w:val="false"/>
          <w:sz w:val="24"/>
          <w:u w:val="single"/>
        </w:rPr>
        <w:t>Change in Control</w:t>
      </w:r>
      <w:r>
        <w:rPr>
          <w:rFonts w:ascii="Times New Roman;serif" w:hAnsi="Times New Roman;serif"/>
          <w:b w:val="false"/>
          <w:sz w:val="24"/>
        </w:rPr>
        <w:t>. Notwithstanding anything to the contrary in this Agreement, in the event of a Change in Control (as defined in the Plan) prior to the end of the Performance Period: (i) with respect to any Tranche of the Options for which the Performance Condition has not been satisfied as of immediately prior to such Change in Control, the Performance Condition applicable to such Tranche shall be deemed satisfied (and such Tranche shall become earned) to the extent that the price per Share (</w:t>
      </w:r>
      <w:r>
        <w:rPr>
          <w:rFonts w:ascii="Times New Roman;serif" w:hAnsi="Times New Roman;serif"/>
          <w:b w:val="false"/>
          <w:i/>
          <w:sz w:val="24"/>
        </w:rPr>
        <w:t xml:space="preserve">plus </w:t>
      </w:r>
      <w:r>
        <w:rPr>
          <w:rFonts w:ascii="Times New Roman;serif" w:hAnsi="Times New Roman;serif"/>
          <w:b w:val="false"/>
          <w:sz w:val="24"/>
        </w:rPr>
        <w:t>the per share value of any other consideration) received by the Company’s stockholders pursuant to such Change in Control (the “</w:t>
      </w:r>
      <w:r>
        <w:rPr>
          <w:rFonts w:ascii="Times New Roman;serif" w:hAnsi="Times New Roman;serif"/>
          <w:b w:val="false"/>
          <w:sz w:val="24"/>
          <w:u w:val="single"/>
        </w:rPr>
        <w:t>Transaction Price Per Share</w:t>
      </w:r>
      <w:r>
        <w:rPr/>
        <w:t>”</w:t>
      </w:r>
      <w:r>
        <w:rPr>
          <w:rFonts w:ascii="Times New Roman;serif" w:hAnsi="Times New Roman;serif"/>
          <w:b w:val="false"/>
          <w:sz w:val="24"/>
        </w:rPr>
        <w:t>) equals or exceeds the Price Hurdle applicable to such Tranche, as determined by the Committee and (ii) with respect to any Tranche of the Options for which the Performance Condition has been satisfied (either prior to or in connection with such Change in Control) but for which the Service Condition remains unsatisfied as of immediately prior to such Change in Control, the Service Condition applicable to such Tranche shall be deemed satisfied in full and such Tranche shall become fully vested and exercisable. Notwithstanding anything to the contrary herein, if the Transaction Price Per Share is less than the Price Hurdle applicable to any Tranche for which the Performance Condition remains unsatisfied as of the date of such Change in Control, such Tranche of Options shall be forfeited and canceled in their entirety without any payment to Participant.</w:t>
      </w:r>
    </w:p>
    <w:p>
      <w:pPr>
        <w:pStyle w:val="TextBody"/>
        <w:spacing w:before="0" w:after="0"/>
        <w:jc w:val="left"/>
        <w:rPr/>
      </w:pPr>
      <w:r>
        <w:rPr/>
        <w:t> </w:t>
      </w:r>
    </w:p>
    <w:p>
      <w:pPr>
        <w:pStyle w:val="TextBody"/>
        <w:spacing w:before="0" w:after="0"/>
        <w:jc w:val="left"/>
        <w:rPr/>
      </w:pPr>
      <w:r>
        <w:rPr/>
        <w:t> </w:t>
      </w:r>
    </w:p>
    <w:p>
      <w:pPr>
        <w:pStyle w:val="TextBody"/>
        <w:spacing w:before="2" w:after="0"/>
        <w:jc w:val="left"/>
        <w:rPr/>
      </w:pPr>
      <w:r>
        <w:rPr/>
        <w:t> </w:t>
      </w:r>
    </w:p>
    <w:p>
      <w:pPr>
        <w:pStyle w:val="TextBody"/>
        <w:spacing w:before="90" w:after="0"/>
        <w:jc w:val="center"/>
        <w:rPr>
          <w:rFonts w:ascii="Times New Roman;serif" w:hAnsi="Times New Roman;serif"/>
          <w:b w:val="false"/>
          <w:sz w:val="24"/>
        </w:rPr>
      </w:pPr>
      <w:r>
        <w:rPr>
          <w:rFonts w:ascii="Times New Roman;serif" w:hAnsi="Times New Roman;serif"/>
          <w:b w:val="false"/>
          <w:sz w:val="24"/>
        </w:rPr>
        <w:t>A-2</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181" w:name="prok-ex10_20.htm"/>
      <w:bookmarkStart w:id="182" w:name="ksprokex10_20"/>
      <w:bookmarkEnd w:id="181"/>
      <w:bookmarkEnd w:id="182"/>
      <w:r>
        <w:rPr/>
        <w:t> </w:t>
      </w:r>
    </w:p>
    <w:p>
      <w:pPr>
        <w:pStyle w:val="TextBody"/>
        <w:spacing w:before="0" w:after="0"/>
        <w:jc w:val="right"/>
        <w:rPr>
          <w:rFonts w:ascii="Times New Roman;serif" w:hAnsi="Times New Roman;serif"/>
          <w:b/>
          <w:sz w:val="22"/>
        </w:rPr>
      </w:pPr>
      <w:r>
        <w:rPr>
          <w:rFonts w:ascii="Times New Roman;serif" w:hAnsi="Times New Roman;serif"/>
          <w:b/>
          <w:sz w:val="22"/>
        </w:rPr>
        <w:t>Exhibit 10.20</w:t>
      </w:r>
    </w:p>
    <w:p>
      <w:pPr>
        <w:pStyle w:val="TextBody"/>
        <w:spacing w:before="79" w:after="0"/>
        <w:jc w:val="center"/>
        <w:rPr>
          <w:rFonts w:ascii="Times New Roman;serif" w:hAnsi="Times New Roman;serif"/>
          <w:b/>
          <w:sz w:val="24"/>
        </w:rPr>
      </w:pPr>
      <w:r>
        <w:rPr>
          <w:rFonts w:ascii="Times New Roman;serif" w:hAnsi="Times New Roman;serif"/>
          <w:b/>
          <w:sz w:val="24"/>
        </w:rPr>
        <w:t>PROKIDNEY CORP.</w:t>
      </w:r>
    </w:p>
    <w:p>
      <w:pPr>
        <w:pStyle w:val="TextBody"/>
        <w:spacing w:before="0" w:after="0"/>
        <w:jc w:val="left"/>
        <w:rPr/>
      </w:pPr>
      <w:r>
        <w:rPr/>
        <w:t> </w:t>
      </w:r>
    </w:p>
    <w:p>
      <w:pPr>
        <w:pStyle w:val="TextBody"/>
        <w:spacing w:before="0" w:after="0"/>
        <w:jc w:val="center"/>
        <w:rPr>
          <w:rFonts w:ascii="Times New Roman;serif" w:hAnsi="Times New Roman;serif"/>
          <w:b/>
          <w:sz w:val="24"/>
        </w:rPr>
      </w:pPr>
      <w:r>
        <w:rPr>
          <w:rFonts w:ascii="Times New Roman;serif" w:hAnsi="Times New Roman;serif"/>
          <w:b/>
          <w:sz w:val="24"/>
        </w:rPr>
        <w:t>NON-EMPLOYEE DIRECTOR COMPENSATION POLICY</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2"/>
        </w:rPr>
        <w:t>The Board of Directors (the “</w:t>
      </w:r>
      <w:r>
        <w:rPr>
          <w:rFonts w:ascii="Times New Roman;serif" w:hAnsi="Times New Roman;serif"/>
          <w:b/>
          <w:i/>
          <w:sz w:val="22"/>
        </w:rPr>
        <w:t>Board</w:t>
      </w:r>
      <w:r>
        <w:rPr>
          <w:rFonts w:ascii="Times New Roman" w:hAnsi="Times New Roman"/>
          <w:sz w:val="20"/>
        </w:rPr>
        <w:t>”</w:t>
      </w:r>
      <w:r>
        <w:rPr>
          <w:rFonts w:ascii="Times New Roman;serif" w:hAnsi="Times New Roman;serif"/>
          <w:b w:val="false"/>
          <w:sz w:val="22"/>
        </w:rPr>
        <w:t>) of ProKidney Corp. (the “</w:t>
      </w:r>
      <w:r>
        <w:rPr>
          <w:rFonts w:ascii="Times New Roman;serif" w:hAnsi="Times New Roman;serif"/>
          <w:b/>
          <w:i/>
          <w:sz w:val="22"/>
        </w:rPr>
        <w:t>Company</w:t>
      </w:r>
      <w:r>
        <w:rPr>
          <w:rFonts w:ascii="Times New Roman" w:hAnsi="Times New Roman"/>
          <w:sz w:val="20"/>
        </w:rPr>
        <w:t>”</w:t>
      </w:r>
      <w:r>
        <w:rPr>
          <w:rFonts w:ascii="Times New Roman;serif" w:hAnsi="Times New Roman;serif"/>
          <w:b w:val="false"/>
          <w:sz w:val="22"/>
        </w:rPr>
        <w:t>) has approved the following Non-Employee Director Compensation Policy (this “</w:t>
      </w:r>
      <w:r>
        <w:rPr>
          <w:rFonts w:ascii="Times New Roman;serif" w:hAnsi="Times New Roman;serif"/>
          <w:b/>
          <w:i/>
          <w:sz w:val="22"/>
        </w:rPr>
        <w:t>Policy</w:t>
      </w:r>
      <w:r>
        <w:rPr>
          <w:rFonts w:ascii="Times New Roman" w:hAnsi="Times New Roman"/>
          <w:sz w:val="20"/>
        </w:rPr>
        <w:t>”</w:t>
      </w:r>
      <w:r>
        <w:rPr>
          <w:rFonts w:ascii="Times New Roman;serif" w:hAnsi="Times New Roman;serif"/>
          <w:b w:val="false"/>
          <w:sz w:val="22"/>
        </w:rPr>
        <w:t>) to provide an inducement to obtain and retain the services of qualified persons to serve as members of the Company’s Board. The Policy establishes compensation to be paid to non-employee directors of the Company.</w:t>
      </w:r>
    </w:p>
    <w:p>
      <w:pPr>
        <w:pStyle w:val="TextBody"/>
        <w:spacing w:before="0" w:after="0"/>
        <w:jc w:val="left"/>
        <w:rPr/>
      </w:pPr>
      <w:r>
        <w:rPr/>
        <w:t> </w:t>
      </w:r>
    </w:p>
    <w:p>
      <w:pPr>
        <w:pStyle w:val="TextBody"/>
        <w:spacing w:before="0" w:after="0"/>
        <w:jc w:val="left"/>
        <w:rPr>
          <w:rFonts w:ascii="Times New Roman" w:hAnsi="Times New Roman"/>
          <w:b/>
          <w:sz w:val="22"/>
        </w:rPr>
      </w:pPr>
      <w:r>
        <w:rPr>
          <w:rFonts w:ascii="Times New Roman" w:hAnsi="Times New Roman"/>
          <w:b/>
          <w:sz w:val="22"/>
        </w:rPr>
        <w:t>I.</w:t>
      </w:r>
    </w:p>
    <w:p>
      <w:pPr>
        <w:pStyle w:val="TextBody"/>
        <w:jc w:val="left"/>
        <w:rPr>
          <w:rFonts w:ascii="Times New Roman;serif" w:hAnsi="Times New Roman;serif"/>
          <w:b/>
          <w:sz w:val="22"/>
        </w:rPr>
      </w:pPr>
      <w:r>
        <w:rPr>
          <w:rFonts w:ascii="Times New Roman;serif" w:hAnsi="Times New Roman;serif"/>
          <w:b/>
          <w:sz w:val="22"/>
        </w:rPr>
        <w:t>Applicable Persons</w:t>
      </w:r>
    </w:p>
    <w:p>
      <w:pPr>
        <w:pStyle w:val="TextBody"/>
        <w:spacing w:before="1"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2"/>
        </w:rPr>
        <w:t>This Policy shall apply to each director of the Company who is not an employee of the Company or any Affiliate (each such member, a “</w:t>
      </w:r>
      <w:r>
        <w:rPr>
          <w:rFonts w:ascii="Times New Roman;serif" w:hAnsi="Times New Roman;serif"/>
          <w:b/>
          <w:i/>
          <w:sz w:val="22"/>
        </w:rPr>
        <w:t>Non-Employee Director</w:t>
      </w:r>
      <w:r>
        <w:rPr>
          <w:rFonts w:ascii="Times New Roman" w:hAnsi="Times New Roman"/>
          <w:sz w:val="20"/>
        </w:rPr>
        <w:t>”</w:t>
      </w:r>
      <w:r>
        <w:rPr>
          <w:rFonts w:ascii="Times New Roman;serif" w:hAnsi="Times New Roman;serif"/>
          <w:b w:val="false"/>
          <w:sz w:val="22"/>
        </w:rPr>
        <w:t>). Unless otherwise defined herein, capitalized terms used in this Policy will have the meaning given to such terms in the Company’s 2022 Incentive Equity Plan or any successor equity incentive plan (the “</w:t>
      </w:r>
      <w:r>
        <w:rPr>
          <w:rFonts w:ascii="Times New Roman;serif" w:hAnsi="Times New Roman;serif"/>
          <w:b/>
          <w:i/>
          <w:sz w:val="22"/>
        </w:rPr>
        <w:t>Plan</w:t>
      </w:r>
      <w:r>
        <w:rPr>
          <w:rFonts w:ascii="Times New Roman" w:hAnsi="Times New Roman"/>
          <w:sz w:val="20"/>
        </w:rPr>
        <w:t>”</w:t>
      </w:r>
      <w:r>
        <w:rPr>
          <w:rFonts w:ascii="Times New Roman;serif" w:hAnsi="Times New Roman;serif"/>
          <w:b w:val="false"/>
          <w:sz w:val="22"/>
        </w:rPr>
        <w:t>).</w:t>
      </w:r>
    </w:p>
    <w:p>
      <w:pPr>
        <w:pStyle w:val="TextBody"/>
        <w:spacing w:before="11" w:after="0"/>
        <w:jc w:val="left"/>
        <w:rPr/>
      </w:pPr>
      <w:r>
        <w:rPr/>
        <w:t> </w:t>
      </w:r>
    </w:p>
    <w:p>
      <w:pPr>
        <w:pStyle w:val="TextBody"/>
        <w:spacing w:before="0" w:after="0"/>
        <w:jc w:val="left"/>
        <w:rPr>
          <w:rFonts w:ascii="Times New Roman" w:hAnsi="Times New Roman"/>
          <w:b/>
          <w:sz w:val="22"/>
        </w:rPr>
      </w:pPr>
      <w:r>
        <w:rPr>
          <w:rFonts w:ascii="Times New Roman" w:hAnsi="Times New Roman"/>
          <w:b/>
          <w:sz w:val="22"/>
        </w:rPr>
        <w:t>II.</w:t>
      </w:r>
    </w:p>
    <w:p>
      <w:pPr>
        <w:pStyle w:val="TextBody"/>
        <w:jc w:val="left"/>
        <w:rPr>
          <w:rFonts w:ascii="Times New Roman;serif" w:hAnsi="Times New Roman;serif"/>
          <w:b/>
          <w:sz w:val="22"/>
        </w:rPr>
      </w:pPr>
      <w:r>
        <w:rPr>
          <w:rFonts w:ascii="Times New Roman;serif" w:hAnsi="Times New Roman;serif"/>
          <w:b/>
          <w:sz w:val="22"/>
        </w:rPr>
        <w:t>Annual Cash Compensation</w:t>
      </w:r>
    </w:p>
    <w:p>
      <w:pPr>
        <w:pStyle w:val="TextBody"/>
        <w:spacing w:before="0" w:after="0"/>
        <w:jc w:val="left"/>
        <w:rPr/>
      </w:pPr>
      <w:r>
        <w:rPr/>
        <w:t> </w:t>
      </w:r>
    </w:p>
    <w:p>
      <w:pPr>
        <w:pStyle w:val="TextBody"/>
        <w:spacing w:before="1" w:after="0"/>
        <w:jc w:val="both"/>
        <w:rPr>
          <w:rFonts w:ascii="Times New Roman;serif" w:hAnsi="Times New Roman;serif"/>
          <w:b w:val="false"/>
          <w:sz w:val="22"/>
        </w:rPr>
      </w:pPr>
      <w:r>
        <w:rPr>
          <w:rFonts w:ascii="Times New Roman;serif" w:hAnsi="Times New Roman;serif"/>
          <w:b w:val="false"/>
          <w:sz w:val="22"/>
        </w:rPr>
        <w:t>Each Non-Employee Director will be entitled to receive the following annual cash retainers for service on the Board:</w:t>
      </w:r>
    </w:p>
    <w:p>
      <w:pPr>
        <w:pStyle w:val="TextBody"/>
        <w:spacing w:before="10" w:after="0"/>
        <w:jc w:val="left"/>
        <w:rPr/>
      </w:pPr>
      <w:r>
        <w:rPr/>
        <w:t> </w:t>
      </w:r>
    </w:p>
    <w:p>
      <w:pPr>
        <w:pStyle w:val="TextBody"/>
        <w:spacing w:before="1" w:after="0"/>
        <w:jc w:val="left"/>
        <w:rPr>
          <w:rFonts w:ascii="Times New Roman" w:hAnsi="Times New Roman"/>
          <w:sz w:val="20"/>
        </w:rPr>
      </w:pPr>
      <w:r>
        <w:rPr>
          <w:rFonts w:ascii="Times New Roman;serif" w:hAnsi="Times New Roman;serif"/>
          <w:b/>
          <w:sz w:val="22"/>
        </w:rPr>
        <w:t>Annual Board Service Retainer</w:t>
      </w:r>
      <w:r>
        <w:rPr>
          <w:rFonts w:ascii="Times New Roman;serif" w:hAnsi="Times New Roman;serif"/>
          <w:b w:val="false"/>
          <w:sz w:val="22"/>
        </w:rPr>
        <w:t>:</w:t>
      </w:r>
    </w:p>
    <w:p>
      <w:pPr>
        <w:pStyle w:val="TextBody"/>
        <w:spacing w:before="0" w:after="0"/>
        <w:jc w:val="left"/>
        <w:rPr/>
      </w:pPr>
      <w:r>
        <w:rPr/>
        <w:t>•</w:t>
      </w:r>
    </w:p>
    <w:p>
      <w:pPr>
        <w:pStyle w:val="TextBody"/>
        <w:spacing w:before="0" w:after="0"/>
        <w:jc w:val="left"/>
        <w:rPr>
          <w:rFonts w:ascii="Times New Roman;serif" w:hAnsi="Times New Roman;serif"/>
          <w:b w:val="false"/>
          <w:sz w:val="22"/>
        </w:rPr>
      </w:pPr>
      <w:r>
        <w:rPr>
          <w:rFonts w:ascii="Times New Roman;serif" w:hAnsi="Times New Roman;serif"/>
          <w:b w:val="false"/>
          <w:sz w:val="22"/>
        </w:rPr>
        <w:t>All Non-Employee Directors: $40,000</w:t>
      </w:r>
    </w:p>
    <w:p>
      <w:pPr>
        <w:pStyle w:val="TextBody"/>
        <w:spacing w:before="0" w:after="0"/>
        <w:jc w:val="left"/>
        <w:rPr/>
      </w:pPr>
      <w:r>
        <w:rPr/>
        <w:t>•</w:t>
      </w:r>
    </w:p>
    <w:p>
      <w:pPr>
        <w:pStyle w:val="TextBody"/>
        <w:jc w:val="left"/>
        <w:rPr/>
      </w:pPr>
      <w:r>
        <w:rPr>
          <w:rFonts w:ascii="Times New Roman;serif" w:hAnsi="Times New Roman;serif"/>
          <w:b w:val="false"/>
          <w:sz w:val="22"/>
        </w:rPr>
        <w:t xml:space="preserve">Non-Executive Chairperson </w:t>
      </w:r>
      <w:r>
        <w:rPr>
          <w:rFonts w:ascii="Times New Roman;serif" w:hAnsi="Times New Roman;serif"/>
          <w:b w:val="false"/>
          <w:i/>
          <w:sz w:val="22"/>
        </w:rPr>
        <w:t>(additional retainer)</w:t>
      </w:r>
      <w:r>
        <w:rPr>
          <w:rFonts w:ascii="Times New Roman;serif" w:hAnsi="Times New Roman;serif"/>
          <w:b w:val="false"/>
          <w:sz w:val="22"/>
        </w:rPr>
        <w:t>: $30,000</w:t>
      </w:r>
    </w:p>
    <w:p>
      <w:pPr>
        <w:pStyle w:val="TextBody"/>
        <w:spacing w:before="11"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2"/>
        </w:rPr>
        <w:t>Annual Committee Member Service Retainer</w:t>
      </w:r>
      <w:r>
        <w:rPr>
          <w:rFonts w:ascii="Times New Roman;serif" w:hAnsi="Times New Roman;serif"/>
          <w:b w:val="false"/>
          <w:sz w:val="22"/>
        </w:rPr>
        <w:t>:</w:t>
      </w:r>
    </w:p>
    <w:p>
      <w:pPr>
        <w:pStyle w:val="TextBody"/>
        <w:spacing w:before="0" w:after="0"/>
        <w:jc w:val="left"/>
        <w:rPr/>
      </w:pPr>
      <w:r>
        <w:rPr/>
        <w:t>•</w:t>
      </w:r>
    </w:p>
    <w:p>
      <w:pPr>
        <w:pStyle w:val="TextBody"/>
        <w:spacing w:before="0" w:after="0"/>
        <w:jc w:val="left"/>
        <w:rPr>
          <w:rFonts w:ascii="Times New Roman;serif" w:hAnsi="Times New Roman;serif"/>
          <w:b w:val="false"/>
          <w:sz w:val="22"/>
        </w:rPr>
      </w:pPr>
      <w:r>
        <w:rPr>
          <w:rFonts w:ascii="Times New Roman;serif" w:hAnsi="Times New Roman;serif"/>
          <w:b w:val="false"/>
          <w:sz w:val="22"/>
        </w:rPr>
        <w:t>Member of the Audit Committee: $7,500</w:t>
      </w:r>
    </w:p>
    <w:p>
      <w:pPr>
        <w:pStyle w:val="TextBody"/>
        <w:spacing w:before="0" w:after="0"/>
        <w:jc w:val="left"/>
        <w:rPr/>
      </w:pPr>
      <w:r>
        <w:rPr/>
        <w:t>•</w:t>
      </w:r>
    </w:p>
    <w:p>
      <w:pPr>
        <w:pStyle w:val="TextBody"/>
        <w:spacing w:before="0" w:after="0"/>
        <w:jc w:val="left"/>
        <w:rPr>
          <w:rFonts w:ascii="Times New Roman;serif" w:hAnsi="Times New Roman;serif"/>
          <w:b w:val="false"/>
          <w:sz w:val="22"/>
        </w:rPr>
      </w:pPr>
      <w:r>
        <w:rPr>
          <w:rFonts w:ascii="Times New Roman;serif" w:hAnsi="Times New Roman;serif"/>
          <w:b w:val="false"/>
          <w:sz w:val="22"/>
        </w:rPr>
        <w:t>Member of the Compensation Committee: $6,000</w:t>
      </w:r>
    </w:p>
    <w:p>
      <w:pPr>
        <w:pStyle w:val="TextBody"/>
        <w:spacing w:before="0" w:after="0"/>
        <w:jc w:val="left"/>
        <w:rPr/>
      </w:pPr>
      <w:r>
        <w:rPr/>
        <w:t>•</w:t>
      </w:r>
    </w:p>
    <w:p>
      <w:pPr>
        <w:pStyle w:val="TextBody"/>
        <w:jc w:val="left"/>
        <w:rPr>
          <w:rFonts w:ascii="Times New Roman;serif" w:hAnsi="Times New Roman;serif"/>
          <w:b w:val="false"/>
          <w:sz w:val="22"/>
        </w:rPr>
      </w:pPr>
      <w:r>
        <w:rPr>
          <w:rFonts w:ascii="Times New Roman;serif" w:hAnsi="Times New Roman;serif"/>
          <w:b w:val="false"/>
          <w:sz w:val="22"/>
        </w:rPr>
        <w:t>Member of the Nominating and Corporate Governance Committee: $5,000</w:t>
      </w:r>
    </w:p>
    <w:p>
      <w:pPr>
        <w:pStyle w:val="TextBody"/>
        <w:spacing w:before="9"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2"/>
        </w:rPr>
        <w:t xml:space="preserve">Annual Committee Chair Service Retainer </w:t>
      </w:r>
      <w:r>
        <w:rPr>
          <w:rFonts w:ascii="Times New Roman;serif" w:hAnsi="Times New Roman;serif"/>
          <w:b/>
          <w:i/>
          <w:sz w:val="22"/>
        </w:rPr>
        <w:t>(in lieu of Committee Member Service Retainer)</w:t>
      </w:r>
      <w:r>
        <w:rPr>
          <w:rFonts w:ascii="Times New Roman;serif" w:hAnsi="Times New Roman;serif"/>
          <w:b w:val="false"/>
          <w:sz w:val="22"/>
        </w:rPr>
        <w:t>:</w:t>
      </w:r>
    </w:p>
    <w:p>
      <w:pPr>
        <w:pStyle w:val="TextBody"/>
        <w:spacing w:before="2" w:after="0"/>
        <w:jc w:val="left"/>
        <w:rPr/>
      </w:pPr>
      <w:r>
        <w:rPr/>
        <w:t>•</w:t>
      </w:r>
    </w:p>
    <w:p>
      <w:pPr>
        <w:pStyle w:val="TextBody"/>
        <w:spacing w:before="2" w:after="0"/>
        <w:jc w:val="left"/>
        <w:rPr>
          <w:rFonts w:ascii="Times New Roman;serif" w:hAnsi="Times New Roman;serif"/>
          <w:b w:val="false"/>
          <w:sz w:val="22"/>
        </w:rPr>
      </w:pPr>
      <w:r>
        <w:rPr>
          <w:rFonts w:ascii="Times New Roman;serif" w:hAnsi="Times New Roman;serif"/>
          <w:b w:val="false"/>
          <w:sz w:val="22"/>
        </w:rPr>
        <w:t>Chairperson of the Audit Committee: $16,250</w:t>
      </w:r>
    </w:p>
    <w:p>
      <w:pPr>
        <w:pStyle w:val="TextBody"/>
        <w:spacing w:before="0" w:after="0"/>
        <w:jc w:val="left"/>
        <w:rPr/>
      </w:pPr>
      <w:r>
        <w:rPr/>
        <w:t>•</w:t>
      </w:r>
    </w:p>
    <w:p>
      <w:pPr>
        <w:pStyle w:val="TextBody"/>
        <w:spacing w:before="0" w:after="0"/>
        <w:jc w:val="left"/>
        <w:rPr>
          <w:rFonts w:ascii="Times New Roman;serif" w:hAnsi="Times New Roman;serif"/>
          <w:b w:val="false"/>
          <w:sz w:val="22"/>
        </w:rPr>
      </w:pPr>
      <w:r>
        <w:rPr>
          <w:rFonts w:ascii="Times New Roman;serif" w:hAnsi="Times New Roman;serif"/>
          <w:b w:val="false"/>
          <w:sz w:val="22"/>
        </w:rPr>
        <w:t>Chairperson of the Compensation Committee: $12,000</w:t>
      </w:r>
    </w:p>
    <w:p>
      <w:pPr>
        <w:pStyle w:val="TextBody"/>
        <w:spacing w:before="0" w:after="0"/>
        <w:jc w:val="left"/>
        <w:rPr/>
      </w:pPr>
      <w:r>
        <w:rPr/>
        <w:t>•</w:t>
      </w:r>
    </w:p>
    <w:p>
      <w:pPr>
        <w:pStyle w:val="TextBody"/>
        <w:jc w:val="left"/>
        <w:rPr>
          <w:rFonts w:ascii="Times New Roman;serif" w:hAnsi="Times New Roman;serif"/>
          <w:b w:val="false"/>
          <w:sz w:val="22"/>
        </w:rPr>
      </w:pPr>
      <w:r>
        <w:rPr>
          <w:rFonts w:ascii="Times New Roman;serif" w:hAnsi="Times New Roman;serif"/>
          <w:b w:val="false"/>
          <w:sz w:val="22"/>
        </w:rPr>
        <w:t>Chairperson of the Nominating and Corporate Governance Committee: $10,000</w:t>
      </w:r>
    </w:p>
    <w:p>
      <w:pPr>
        <w:pStyle w:val="TextBody"/>
        <w:spacing w:before="9"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2"/>
        </w:rPr>
        <w:t>The annual cash retainers set forth above will be payable in equal quarterly installments, payable in arrears on the last day of each fiscal quarter (each such date, a “</w:t>
      </w:r>
      <w:r>
        <w:rPr>
          <w:rFonts w:ascii="Times New Roman;serif" w:hAnsi="Times New Roman;serif"/>
          <w:b/>
          <w:i/>
          <w:sz w:val="22"/>
        </w:rPr>
        <w:t>Retainer Accrual Date</w:t>
      </w:r>
      <w:r>
        <w:rPr>
          <w:rFonts w:ascii="Times New Roman" w:hAnsi="Times New Roman"/>
          <w:sz w:val="20"/>
        </w:rPr>
        <w:t>”</w:t>
      </w:r>
      <w:r>
        <w:rPr>
          <w:rFonts w:ascii="Times New Roman;serif" w:hAnsi="Times New Roman;serif"/>
          <w:b w:val="false"/>
          <w:sz w:val="22"/>
        </w:rPr>
        <w:t>) in which the service occurred, prorated for any partial quarter of service (based on the number of days served in the applicable position divided by the total number of days in the quarter). All annual cash fees are vested upon payment.</w:t>
      </w:r>
    </w:p>
    <w:p>
      <w:pPr>
        <w:pStyle w:val="TextBody"/>
        <w:spacing w:before="1" w:after="0"/>
        <w:jc w:val="left"/>
        <w:rPr/>
      </w:pPr>
      <w:r>
        <w:rPr/>
        <w:t> </w:t>
      </w:r>
    </w:p>
    <w:p>
      <w:pPr>
        <w:pStyle w:val="TextBody"/>
        <w:spacing w:before="0" w:after="0"/>
        <w:jc w:val="left"/>
        <w:rPr>
          <w:rFonts w:ascii="Times New Roman" w:hAnsi="Times New Roman"/>
          <w:b/>
          <w:sz w:val="22"/>
        </w:rPr>
      </w:pPr>
      <w:r>
        <w:rPr>
          <w:rFonts w:ascii="Times New Roman" w:hAnsi="Times New Roman"/>
          <w:b/>
          <w:sz w:val="22"/>
        </w:rPr>
        <w:t>III.</w:t>
      </w:r>
    </w:p>
    <w:p>
      <w:pPr>
        <w:pStyle w:val="TextBody"/>
        <w:jc w:val="left"/>
        <w:rPr>
          <w:rFonts w:ascii="Times New Roman;serif" w:hAnsi="Times New Roman;serif"/>
          <w:b/>
          <w:sz w:val="22"/>
        </w:rPr>
      </w:pPr>
      <w:r>
        <w:rPr>
          <w:rFonts w:ascii="Times New Roman;serif" w:hAnsi="Times New Roman;serif"/>
          <w:b/>
          <w:sz w:val="22"/>
        </w:rPr>
        <w:t>Election to Receive Ordinary Shares in Lieu of Cash Retainer</w:t>
      </w:r>
    </w:p>
    <w:p>
      <w:pPr>
        <w:pStyle w:val="TextBody"/>
        <w:spacing w:before="9" w:after="0"/>
        <w:jc w:val="left"/>
        <w:rPr/>
      </w:pPr>
      <w:r>
        <w:rPr/>
        <w:t> </w:t>
      </w:r>
    </w:p>
    <w:p>
      <w:pPr>
        <w:pStyle w:val="TextBody"/>
        <w:spacing w:before="1" w:after="0"/>
        <w:jc w:val="both"/>
        <w:rPr>
          <w:rFonts w:ascii="Times New Roman" w:hAnsi="Times New Roman"/>
          <w:b/>
          <w:sz w:val="22"/>
        </w:rPr>
      </w:pPr>
      <w:r>
        <w:rPr>
          <w:rFonts w:ascii="Times New Roman" w:hAnsi="Times New Roman"/>
          <w:b/>
          <w:sz w:val="22"/>
        </w:rPr>
        <w:t>A.</w:t>
      </w:r>
    </w:p>
    <w:p>
      <w:pPr>
        <w:pStyle w:val="TextBody"/>
        <w:spacing w:before="1" w:after="283"/>
        <w:jc w:val="both"/>
        <w:rPr/>
      </w:pPr>
      <w:r>
        <w:rPr>
          <w:rFonts w:ascii="Times New Roman;serif" w:hAnsi="Times New Roman;serif"/>
          <w:b/>
          <w:sz w:val="22"/>
        </w:rPr>
        <w:t>Retainer Grant</w:t>
      </w:r>
      <w:r>
        <w:rPr>
          <w:rFonts w:ascii="Times New Roman;serif" w:hAnsi="Times New Roman;serif"/>
          <w:b w:val="false"/>
          <w:sz w:val="22"/>
        </w:rPr>
        <w:t>. Each Non-Employee Director may elect to receive a grant of Class A ordinary shares, $0.0001 par value (“</w:t>
      </w:r>
      <w:r>
        <w:rPr>
          <w:rFonts w:ascii="Times New Roman;serif" w:hAnsi="Times New Roman;serif"/>
          <w:b/>
          <w:i/>
          <w:sz w:val="22"/>
        </w:rPr>
        <w:t>Ordinary Shares</w:t>
      </w:r>
      <w:r>
        <w:rPr/>
        <w:t>”</w:t>
      </w:r>
      <w:r>
        <w:rPr>
          <w:rFonts w:ascii="Times New Roman;serif" w:hAnsi="Times New Roman;serif"/>
          <w:b w:val="false"/>
          <w:sz w:val="22"/>
        </w:rPr>
        <w:t>), in lieu of the cash compensation set forth in Section II (a “</w:t>
      </w:r>
      <w:r>
        <w:rPr>
          <w:rFonts w:ascii="Times New Roman;serif" w:hAnsi="Times New Roman;serif"/>
          <w:b/>
          <w:i/>
          <w:sz w:val="22"/>
        </w:rPr>
        <w:t>Retainer Grant</w:t>
      </w:r>
      <w:r>
        <w:rPr/>
        <w:t xml:space="preserve">” </w:t>
      </w:r>
      <w:r>
        <w:rPr>
          <w:rFonts w:ascii="Times New Roman;serif" w:hAnsi="Times New Roman;serif"/>
          <w:b w:val="false"/>
          <w:sz w:val="22"/>
        </w:rPr>
        <w:t>and such election, a “</w:t>
      </w:r>
      <w:r>
        <w:rPr>
          <w:rFonts w:ascii="Times New Roman;serif" w:hAnsi="Times New Roman;serif"/>
          <w:b/>
          <w:i/>
          <w:sz w:val="22"/>
        </w:rPr>
        <w:t>Retainer Grant Election</w:t>
      </w:r>
      <w:r>
        <w:rPr/>
        <w:t>”</w:t>
      </w:r>
      <w:r>
        <w:rPr>
          <w:rFonts w:ascii="Times New Roman;serif" w:hAnsi="Times New Roman;serif"/>
          <w:b w:val="false"/>
          <w:sz w:val="22"/>
        </w:rPr>
        <w:t xml:space="preserve">). If a Non-Employee Director timely makes a Retainer Grant Election pursuant to Section III(B) below, then on the first business day following the applicable Retainer Accrual Date, without any further action by the Board, such Non-Employee Director automatically will </w:t>
      </w:r>
    </w:p>
    <w:p>
      <w:pPr>
        <w:pStyle w:val="TextBody"/>
        <w:spacing w:before="0" w:after="0"/>
        <w:jc w:val="left"/>
        <w:rPr/>
      </w:pPr>
      <w:r>
        <w:rPr/>
        <w:t> </w:t>
      </w:r>
    </w:p>
    <w:p>
      <w:pPr>
        <w:pStyle w:val="TextBody"/>
        <w:spacing w:before="56" w:after="0"/>
        <w:jc w:val="left"/>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1" w:after="283"/>
        <w:jc w:val="both"/>
        <w:rPr>
          <w:rFonts w:ascii="Times New Roman;serif" w:hAnsi="Times New Roman;serif"/>
          <w:b w:val="false"/>
          <w:sz w:val="22"/>
        </w:rPr>
      </w:pPr>
      <w:r>
        <w:rPr>
          <w:rFonts w:ascii="Times New Roman;serif" w:hAnsi="Times New Roman;serif"/>
          <w:b w:val="false"/>
          <w:sz w:val="22"/>
        </w:rPr>
        <w:t>be granted the number of Ordinary Shares equal to (a) the aggregate</w:t>
      </w:r>
    </w:p>
    <w:p>
      <w:pPr>
        <w:pStyle w:val="TextBody"/>
        <w:spacing w:before="79" w:after="0"/>
        <w:jc w:val="both"/>
        <w:rPr>
          <w:rFonts w:ascii="Times New Roman;serif" w:hAnsi="Times New Roman;serif"/>
          <w:b w:val="false"/>
          <w:sz w:val="22"/>
        </w:rPr>
      </w:pPr>
      <w:r>
        <w:rPr>
          <w:rFonts w:ascii="Times New Roman;serif" w:hAnsi="Times New Roman;serif"/>
          <w:b w:val="false"/>
          <w:sz w:val="22"/>
        </w:rPr>
        <w:t>amount of cash compensation otherwise payable to such Non-Employee Director on the applicable Retainer Accrual Date divided by (b) the closing price of the Ordinary Shares on the Nasdaq Stock Market on the applicable Retainer Accrual Date (or, if such date is not a business day, on the first business day thereafter), rounded down to the nearest whole share. Each Retainer Grant will be fully vested on the applicable grant date.</w:t>
      </w:r>
    </w:p>
    <w:p>
      <w:pPr>
        <w:pStyle w:val="TextBody"/>
        <w:spacing w:before="9" w:after="0"/>
        <w:jc w:val="left"/>
        <w:rPr/>
      </w:pPr>
      <w:r>
        <w:rPr/>
        <w:t> </w:t>
      </w:r>
    </w:p>
    <w:p>
      <w:pPr>
        <w:pStyle w:val="TextBody"/>
        <w:spacing w:before="1" w:after="0"/>
        <w:jc w:val="both"/>
        <w:rPr>
          <w:rFonts w:ascii="Times New Roman" w:hAnsi="Times New Roman"/>
          <w:b/>
          <w:sz w:val="22"/>
        </w:rPr>
      </w:pPr>
      <w:r>
        <w:rPr>
          <w:rFonts w:ascii="Times New Roman" w:hAnsi="Times New Roman"/>
          <w:b/>
          <w:sz w:val="22"/>
        </w:rPr>
        <w:t>B.</w:t>
      </w:r>
    </w:p>
    <w:p>
      <w:pPr>
        <w:pStyle w:val="TextBody"/>
        <w:spacing w:before="1" w:after="283"/>
        <w:jc w:val="both"/>
        <w:rPr/>
      </w:pPr>
      <w:r>
        <w:rPr>
          <w:rFonts w:ascii="Times New Roman;serif" w:hAnsi="Times New Roman;serif"/>
          <w:b/>
          <w:sz w:val="22"/>
        </w:rPr>
        <w:t>Election Mechanics</w:t>
      </w:r>
      <w:r>
        <w:rPr>
          <w:rFonts w:ascii="Times New Roman;serif" w:hAnsi="Times New Roman;serif"/>
          <w:b w:val="false"/>
          <w:sz w:val="22"/>
        </w:rPr>
        <w:t>. A Retainer Grant Election must be submitted by a Non-Employee Director to the Company’s Chief Financial Officer (or such other individual as the Company designates) in writing prior to the end of each calendar year, indicating that the Director elects (in increments of 25%, 50%, 75% or 100% of the Director’s cash compensation) to receive the retainers in Ordinary Shares for the following calendar year. If no election has been made as of the first day of the year, the Non-Employee Director shall receive all retainers in cash. If a previous election has been made to receive Ordinary Shares in lieu of cash, such election shall remain in effect for subsequent calendar years until such election is changed by the completion, signature and delivery to the Company of a new election form for the following calendar year. Each newly elected or appointed Non-Employee Director shall make an election prior to, or within 30 days of, his or her initial appointment or election to the Board, for the remainder of the year of such appointment or election, whether to receive the retainers in cash or Ordinary Shares. A Non-Employee Director may only make or revoke a Retainer Grant Election during a period in which the Company is not in a quarterly or special blackout period and the Non- Employee Director is not aware of any material non-public information.</w:t>
      </w:r>
    </w:p>
    <w:p>
      <w:pPr>
        <w:pStyle w:val="TextBody"/>
        <w:spacing w:before="0" w:after="0"/>
        <w:jc w:val="left"/>
        <w:rPr/>
      </w:pPr>
      <w:r>
        <w:rPr/>
        <w:t> </w:t>
      </w:r>
    </w:p>
    <w:p>
      <w:pPr>
        <w:pStyle w:val="TextBody"/>
        <w:spacing w:before="0" w:after="0"/>
        <w:jc w:val="left"/>
        <w:rPr>
          <w:rFonts w:ascii="Times New Roman" w:hAnsi="Times New Roman"/>
          <w:b/>
          <w:sz w:val="22"/>
        </w:rPr>
      </w:pPr>
      <w:r>
        <w:rPr>
          <w:rFonts w:ascii="Times New Roman" w:hAnsi="Times New Roman"/>
          <w:b/>
          <w:sz w:val="22"/>
        </w:rPr>
        <w:t>IV.</w:t>
      </w:r>
    </w:p>
    <w:p>
      <w:pPr>
        <w:pStyle w:val="TextBody"/>
        <w:jc w:val="left"/>
        <w:rPr>
          <w:rFonts w:ascii="Times New Roman;serif" w:hAnsi="Times New Roman;serif"/>
          <w:b/>
          <w:sz w:val="22"/>
        </w:rPr>
      </w:pPr>
      <w:r>
        <w:rPr>
          <w:rFonts w:ascii="Times New Roman;serif" w:hAnsi="Times New Roman;serif"/>
          <w:b/>
          <w:sz w:val="22"/>
        </w:rPr>
        <w:t>Equity Compensation</w:t>
      </w:r>
    </w:p>
    <w:p>
      <w:pPr>
        <w:pStyle w:val="TextBody"/>
        <w:spacing w:before="10" w:after="0"/>
        <w:jc w:val="left"/>
        <w:rPr/>
      </w:pPr>
      <w:r>
        <w:rPr/>
        <w:t> </w:t>
      </w:r>
    </w:p>
    <w:p>
      <w:pPr>
        <w:pStyle w:val="TextBody"/>
        <w:spacing w:before="0" w:after="0"/>
        <w:jc w:val="both"/>
        <w:rPr>
          <w:rFonts w:ascii="Times New Roman" w:hAnsi="Times New Roman"/>
          <w:b/>
          <w:sz w:val="22"/>
        </w:rPr>
      </w:pPr>
      <w:r>
        <w:rPr>
          <w:rFonts w:ascii="Times New Roman" w:hAnsi="Times New Roman"/>
          <w:b/>
          <w:sz w:val="22"/>
        </w:rPr>
        <w:t>A.</w:t>
      </w:r>
    </w:p>
    <w:p>
      <w:pPr>
        <w:pStyle w:val="TextBody"/>
        <w:jc w:val="both"/>
        <w:rPr/>
      </w:pPr>
      <w:r>
        <w:rPr>
          <w:rFonts w:ascii="Times New Roman;serif" w:hAnsi="Times New Roman;serif"/>
          <w:b/>
          <w:sz w:val="22"/>
        </w:rPr>
        <w:t>Initial Grant</w:t>
      </w:r>
      <w:r>
        <w:rPr>
          <w:rFonts w:ascii="Times New Roman;serif" w:hAnsi="Times New Roman;serif"/>
          <w:b w:val="false"/>
          <w:sz w:val="22"/>
        </w:rPr>
        <w:t>. Each Non-Employee Director who is first elected or appointed to the Board, shall be granted, automatically and without any action on the part of the Board, under the Plan, a number of non-qualified stock options to purchase Ordinary Shares having an aggregate grant date fair value of $720,000, valued based on a Black-Scholes valuation method (rounded down to the nearest whole share) (the “</w:t>
      </w:r>
      <w:r>
        <w:rPr>
          <w:rFonts w:ascii="Times New Roman;serif" w:hAnsi="Times New Roman;serif"/>
          <w:b/>
          <w:i/>
          <w:sz w:val="22"/>
        </w:rPr>
        <w:t>Initial Grant</w:t>
      </w:r>
      <w:r>
        <w:rPr/>
        <w:t>”</w:t>
      </w:r>
      <w:r>
        <w:rPr>
          <w:rFonts w:ascii="Times New Roman;serif" w:hAnsi="Times New Roman;serif"/>
          <w:b w:val="false"/>
          <w:sz w:val="22"/>
        </w:rPr>
        <w:t>). The options subject to the Initial Grant will vest in equal monthly installments over the 36 months following the date of grant, subject to the Non-Employee Director’s Continuous Service (as defined in the Plan) on each vesting date.</w:t>
      </w:r>
    </w:p>
    <w:p>
      <w:pPr>
        <w:pStyle w:val="TextBody"/>
        <w:spacing w:before="1" w:after="0"/>
        <w:jc w:val="left"/>
        <w:rPr/>
      </w:pPr>
      <w:r>
        <w:rPr/>
        <w:t> </w:t>
      </w:r>
    </w:p>
    <w:p>
      <w:pPr>
        <w:pStyle w:val="TextBody"/>
        <w:spacing w:before="0" w:after="0"/>
        <w:jc w:val="both"/>
        <w:rPr>
          <w:rFonts w:ascii="Times New Roman" w:hAnsi="Times New Roman"/>
          <w:b/>
          <w:sz w:val="22"/>
        </w:rPr>
      </w:pPr>
      <w:r>
        <w:rPr>
          <w:rFonts w:ascii="Times New Roman" w:hAnsi="Times New Roman"/>
          <w:b/>
          <w:sz w:val="22"/>
        </w:rPr>
        <w:t>B.</w:t>
      </w:r>
    </w:p>
    <w:p>
      <w:pPr>
        <w:pStyle w:val="TextBody"/>
        <w:jc w:val="both"/>
        <w:rPr/>
      </w:pPr>
      <w:r>
        <w:rPr>
          <w:rFonts w:ascii="Times New Roman;serif" w:hAnsi="Times New Roman;serif"/>
          <w:b/>
          <w:sz w:val="22"/>
        </w:rPr>
        <w:t>Annual Grant</w:t>
      </w:r>
      <w:r>
        <w:rPr>
          <w:rFonts w:ascii="Times New Roman;serif" w:hAnsi="Times New Roman;serif"/>
          <w:b w:val="false"/>
          <w:sz w:val="22"/>
        </w:rPr>
        <w:t>. On the date of each annual stockholder meeting of the Company, each Non-Employee Director who continues to serve as a non-employee member of the Board following such stockholder meeting will be granted, automatically and without any action on the part of the Board, under the Plan, a number of non-qualified stock options to purchase Ordinary Shares having an aggregate grant date fair value of $360,000, valued based on a Black-Scholes valuation method (rounded down to the nearest whole share) (the “</w:t>
      </w:r>
      <w:r>
        <w:rPr>
          <w:rFonts w:ascii="Times New Roman;serif" w:hAnsi="Times New Roman;serif"/>
          <w:b/>
          <w:i/>
          <w:sz w:val="22"/>
        </w:rPr>
        <w:t>Annual Grant</w:t>
      </w:r>
      <w:r>
        <w:rPr/>
        <w:t>”</w:t>
      </w:r>
      <w:r>
        <w:rPr>
          <w:rFonts w:ascii="Times New Roman;serif" w:hAnsi="Times New Roman;serif"/>
          <w:b w:val="false"/>
          <w:sz w:val="22"/>
        </w:rPr>
        <w:t xml:space="preserve">), with the value of such Annual Grant subject to reduction in order to comply with the Compensation Limits referred to in Section V. of the Policy and Section 5(e) of the Plan (after taking into account any Initial Grant and applicable retainer to be paid pursuant to Section II of the Policy). The options subject to the Annual Grant will vest in full on the sooner of the one-year anniversary of the date of grant or the date of Company’s next annual stockholder meeting, subject to the Non-Employee Director’s Continuous Service (as defined in the Plan) through such vesting date. For the avoidance of doubt, each newly appointed or elected Non-Employee Director shall first become eligible for an Annual Grant at the first annual stockholder meeting following the date on which such Non-Employee Director is appointed to the Board or the annual stockholder </w:t>
      </w:r>
    </w:p>
    <w:p>
      <w:pPr>
        <w:pStyle w:val="TextBody"/>
        <w:spacing w:before="0" w:after="0"/>
        <w:jc w:val="left"/>
        <w:rPr/>
      </w:pPr>
      <w:r>
        <w:rPr/>
        <w:t> </w:t>
      </w:r>
    </w:p>
    <w:p>
      <w:pPr>
        <w:pStyle w:val="TextBody"/>
        <w:spacing w:before="56" w:after="0"/>
        <w:jc w:val="left"/>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both"/>
        <w:rPr>
          <w:rFonts w:ascii="Times New Roman;serif" w:hAnsi="Times New Roman;serif"/>
          <w:b w:val="false"/>
          <w:sz w:val="22"/>
        </w:rPr>
      </w:pPr>
      <w:r>
        <w:rPr>
          <w:rFonts w:ascii="Times New Roman;serif" w:hAnsi="Times New Roman;serif"/>
          <w:b w:val="false"/>
          <w:sz w:val="22"/>
        </w:rPr>
        <w:t>meeting at which the Non-Employee Director is first elected to the Board.</w:t>
      </w:r>
    </w:p>
    <w:p>
      <w:pPr>
        <w:pStyle w:val="TextBody"/>
        <w:spacing w:before="71" w:after="0"/>
        <w:jc w:val="both"/>
        <w:rPr>
          <w:rFonts w:ascii="Times New Roman" w:hAnsi="Times New Roman"/>
          <w:b/>
          <w:sz w:val="22"/>
        </w:rPr>
      </w:pPr>
      <w:r>
        <w:rPr>
          <w:rFonts w:ascii="Times New Roman" w:hAnsi="Times New Roman"/>
          <w:b/>
          <w:sz w:val="22"/>
        </w:rPr>
        <w:t>C.</w:t>
      </w:r>
    </w:p>
    <w:p>
      <w:pPr>
        <w:pStyle w:val="TextBody"/>
        <w:spacing w:before="71" w:after="283"/>
        <w:jc w:val="both"/>
        <w:rPr/>
      </w:pPr>
      <w:r>
        <w:rPr>
          <w:rFonts w:ascii="Times New Roman;serif" w:hAnsi="Times New Roman;serif"/>
          <w:b/>
          <w:sz w:val="22"/>
        </w:rPr>
        <w:t>Additional Provisions</w:t>
      </w:r>
      <w:r>
        <w:rPr>
          <w:rFonts w:ascii="Times New Roman;serif" w:hAnsi="Times New Roman;serif"/>
          <w:b w:val="false"/>
          <w:sz w:val="22"/>
        </w:rPr>
        <w:t>: All provisions of the Plan not inconsistent with this policy will apply to awards granted to a Non-Employee Director. Non-Employee Directors will be required to execute an award agreement in a form satisfactory to the Company prior to receipt of an Initial Grant or Annual Grant.</w:t>
      </w:r>
    </w:p>
    <w:p>
      <w:pPr>
        <w:pStyle w:val="TextBody"/>
        <w:spacing w:before="11" w:after="0"/>
        <w:jc w:val="left"/>
        <w:rPr/>
      </w:pPr>
      <w:r>
        <w:rPr/>
        <w:t> </w:t>
      </w:r>
    </w:p>
    <w:p>
      <w:pPr>
        <w:pStyle w:val="TextBody"/>
        <w:spacing w:before="0" w:after="0"/>
        <w:jc w:val="left"/>
        <w:rPr>
          <w:rFonts w:ascii="Times New Roman" w:hAnsi="Times New Roman"/>
          <w:b/>
          <w:sz w:val="22"/>
        </w:rPr>
      </w:pPr>
      <w:r>
        <w:rPr>
          <w:rFonts w:ascii="Times New Roman" w:hAnsi="Times New Roman"/>
          <w:b/>
          <w:sz w:val="22"/>
        </w:rPr>
        <w:t>V.</w:t>
      </w:r>
    </w:p>
    <w:p>
      <w:pPr>
        <w:pStyle w:val="TextBody"/>
        <w:jc w:val="left"/>
        <w:rPr>
          <w:rFonts w:ascii="Times New Roman;serif" w:hAnsi="Times New Roman;serif"/>
          <w:b/>
          <w:sz w:val="22"/>
        </w:rPr>
      </w:pPr>
      <w:r>
        <w:rPr>
          <w:rFonts w:ascii="Times New Roman;serif" w:hAnsi="Times New Roman;serif"/>
          <w:b/>
          <w:sz w:val="22"/>
        </w:rPr>
        <w:t>Non-Employee Director Compensation Limit</w:t>
      </w:r>
    </w:p>
    <w:p>
      <w:pPr>
        <w:pStyle w:val="TextBody"/>
        <w:spacing w:before="0" w:after="0"/>
        <w:jc w:val="left"/>
        <w:rPr/>
      </w:pPr>
      <w:r>
        <w:rPr/>
        <w:t> </w:t>
      </w:r>
    </w:p>
    <w:p>
      <w:pPr>
        <w:pStyle w:val="TextBody"/>
        <w:spacing w:before="1" w:after="0"/>
        <w:jc w:val="both"/>
        <w:rPr>
          <w:rFonts w:ascii="Times New Roman" w:hAnsi="Times New Roman"/>
          <w:sz w:val="20"/>
        </w:rPr>
      </w:pPr>
      <w:r>
        <w:rPr>
          <w:rFonts w:ascii="Times New Roman;serif" w:hAnsi="Times New Roman;serif"/>
          <w:b w:val="false"/>
          <w:sz w:val="22"/>
        </w:rPr>
        <w:t>Notwithstanding anything herein to the contrary, the cash compensation and equity compensation that each Non-Employee Director is entitled to receive under this Policy shall be subject to the limits set forth in Section 5(e) of the Plan (the “</w:t>
      </w:r>
      <w:r>
        <w:rPr>
          <w:rFonts w:ascii="Times New Roman;serif" w:hAnsi="Times New Roman;serif"/>
          <w:b/>
          <w:i/>
          <w:sz w:val="22"/>
        </w:rPr>
        <w:t>Compensation Limits</w:t>
      </w:r>
      <w:r>
        <w:rPr>
          <w:rFonts w:ascii="Times New Roman" w:hAnsi="Times New Roman"/>
          <w:sz w:val="20"/>
        </w:rPr>
        <w:t>”</w:t>
      </w:r>
      <w:r>
        <w:rPr>
          <w:rFonts w:ascii="Times New Roman;serif" w:hAnsi="Times New Roman;serif"/>
          <w:b w:val="false"/>
          <w:sz w:val="22"/>
        </w:rPr>
        <w:t>) and any amounts set forth above (whether denominated in cash or equity) shall be subject to reduction in order to comply with the Compensation Limits.</w:t>
      </w:r>
    </w:p>
    <w:p>
      <w:pPr>
        <w:pStyle w:val="TextBody"/>
        <w:spacing w:before="10" w:after="0"/>
        <w:jc w:val="left"/>
        <w:rPr/>
      </w:pPr>
      <w:r>
        <w:rPr/>
        <w:t> </w:t>
      </w:r>
    </w:p>
    <w:p>
      <w:pPr>
        <w:pStyle w:val="TextBody"/>
        <w:spacing w:before="0" w:after="0"/>
        <w:jc w:val="left"/>
        <w:rPr>
          <w:rFonts w:ascii="Times New Roman" w:hAnsi="Times New Roman"/>
          <w:b/>
          <w:sz w:val="22"/>
        </w:rPr>
      </w:pPr>
      <w:r>
        <w:rPr>
          <w:rFonts w:ascii="Times New Roman" w:hAnsi="Times New Roman"/>
          <w:b/>
          <w:sz w:val="22"/>
        </w:rPr>
        <w:t>VI.</w:t>
      </w:r>
    </w:p>
    <w:p>
      <w:pPr>
        <w:pStyle w:val="TextBody"/>
        <w:jc w:val="left"/>
        <w:rPr>
          <w:rFonts w:ascii="Times New Roman;serif" w:hAnsi="Times New Roman;serif"/>
          <w:b/>
          <w:sz w:val="22"/>
        </w:rPr>
      </w:pPr>
      <w:r>
        <w:rPr>
          <w:rFonts w:ascii="Times New Roman;serif" w:hAnsi="Times New Roman;serif"/>
          <w:b/>
          <w:sz w:val="22"/>
        </w:rPr>
        <w:t>Ability to Decline Compensation</w:t>
      </w:r>
    </w:p>
    <w:p>
      <w:pPr>
        <w:pStyle w:val="TextBody"/>
        <w:spacing w:before="0" w:after="0"/>
        <w:jc w:val="left"/>
        <w:rPr/>
      </w:pPr>
      <w:r>
        <w:rPr/>
        <w:t> </w:t>
      </w:r>
    </w:p>
    <w:p>
      <w:pPr>
        <w:pStyle w:val="TextBody"/>
        <w:spacing w:before="1" w:after="0"/>
        <w:jc w:val="both"/>
        <w:rPr>
          <w:rFonts w:ascii="Times New Roman;serif" w:hAnsi="Times New Roman;serif"/>
          <w:b w:val="false"/>
          <w:sz w:val="22"/>
        </w:rPr>
      </w:pPr>
      <w:r>
        <w:rPr>
          <w:rFonts w:ascii="Times New Roman;serif" w:hAnsi="Times New Roman;serif"/>
          <w:b w:val="false"/>
          <w:sz w:val="22"/>
        </w:rPr>
        <w:t>A Non-Employee Director may decline all or any portion of his or her compensation under this Policy by giving notice to the Company prior to the date such cash is earned or such equity awards are to be granted, as the case may be.</w:t>
      </w:r>
    </w:p>
    <w:p>
      <w:pPr>
        <w:pStyle w:val="TextBody"/>
        <w:spacing w:before="0" w:after="0"/>
        <w:jc w:val="left"/>
        <w:rPr/>
      </w:pPr>
      <w:r>
        <w:rPr/>
        <w:t> </w:t>
      </w:r>
    </w:p>
    <w:p>
      <w:pPr>
        <w:pStyle w:val="TextBody"/>
        <w:spacing w:before="0" w:after="0"/>
        <w:jc w:val="left"/>
        <w:rPr>
          <w:rFonts w:ascii="Times New Roman" w:hAnsi="Times New Roman"/>
          <w:b/>
          <w:sz w:val="22"/>
        </w:rPr>
      </w:pPr>
      <w:r>
        <w:rPr>
          <w:rFonts w:ascii="Times New Roman" w:hAnsi="Times New Roman"/>
          <w:b/>
          <w:sz w:val="22"/>
        </w:rPr>
        <w:t>VII.</w:t>
      </w:r>
    </w:p>
    <w:p>
      <w:pPr>
        <w:pStyle w:val="TextBody"/>
        <w:jc w:val="left"/>
        <w:rPr>
          <w:rFonts w:ascii="Times New Roman;serif" w:hAnsi="Times New Roman;serif"/>
          <w:b/>
          <w:sz w:val="22"/>
        </w:rPr>
      </w:pPr>
      <w:r>
        <w:rPr>
          <w:rFonts w:ascii="Times New Roman;serif" w:hAnsi="Times New Roman;serif"/>
          <w:b/>
          <w:sz w:val="22"/>
        </w:rPr>
        <w:t>Expenses</w:t>
      </w:r>
    </w:p>
    <w:p>
      <w:pPr>
        <w:pStyle w:val="TextBody"/>
        <w:spacing w:before="1" w:after="0"/>
        <w:jc w:val="left"/>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Upon presentation of documentation of such expenses reasonably satisfactory to the Company, the Company will reimburse each Non-Employee Director for reasonable out-of-pocket business expenses incurred in connection with attending meetings of the Board and Committees thereof or in connection with other business related to the Board. Each Non-Employee Director shall abide by the Company’s travel and other expense policies applicable to Company personnel, as in effect from time to time.</w:t>
      </w:r>
    </w:p>
    <w:p>
      <w:pPr>
        <w:pStyle w:val="TextBody"/>
        <w:spacing w:before="10" w:after="0"/>
        <w:jc w:val="left"/>
        <w:rPr/>
      </w:pPr>
      <w:r>
        <w:rPr/>
        <w:t> </w:t>
      </w:r>
    </w:p>
    <w:p>
      <w:pPr>
        <w:pStyle w:val="TextBody"/>
        <w:spacing w:before="1" w:after="0"/>
        <w:jc w:val="left"/>
        <w:rPr>
          <w:rFonts w:ascii="Times New Roman" w:hAnsi="Times New Roman"/>
          <w:b/>
          <w:sz w:val="22"/>
        </w:rPr>
      </w:pPr>
      <w:r>
        <w:rPr>
          <w:rFonts w:ascii="Times New Roman" w:hAnsi="Times New Roman"/>
          <w:b/>
          <w:sz w:val="22"/>
        </w:rPr>
        <w:t>VIII.</w:t>
      </w:r>
    </w:p>
    <w:p>
      <w:pPr>
        <w:pStyle w:val="TextBody"/>
        <w:spacing w:before="1" w:after="283"/>
        <w:jc w:val="left"/>
        <w:rPr>
          <w:rFonts w:ascii="Times New Roman;serif" w:hAnsi="Times New Roman;serif"/>
          <w:b/>
          <w:sz w:val="22"/>
        </w:rPr>
      </w:pPr>
      <w:r>
        <w:rPr>
          <w:rFonts w:ascii="Times New Roman;serif" w:hAnsi="Times New Roman;serif"/>
          <w:b/>
          <w:sz w:val="22"/>
        </w:rPr>
        <w:t>Amendments</w:t>
      </w:r>
    </w:p>
    <w:p>
      <w:pPr>
        <w:pStyle w:val="TextBody"/>
        <w:spacing w:before="0" w:after="0"/>
        <w:jc w:val="left"/>
        <w:rPr/>
      </w:pPr>
      <w:r>
        <w:rPr/>
        <w:t>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This Policy may be amended at any time in the sole discretion of the Board. The Compensation Committee or the Board shall review this Policy from time to time to assess whether any amendments in the type and amount of compensation provided herein should be adjusted in order to fulfill the objectives of this Policy.</w:t>
      </w:r>
    </w:p>
    <w:p>
      <w:pPr>
        <w:pStyle w:val="TextBody"/>
        <w:spacing w:before="3" w:after="0"/>
        <w:jc w:val="left"/>
        <w:rPr/>
      </w:pPr>
      <w:r>
        <w:rPr/>
        <w:t> </w:t>
      </w:r>
    </w:p>
    <w:p>
      <w:pPr>
        <w:pStyle w:val="TextBody"/>
        <w:spacing w:before="0" w:after="0"/>
        <w:jc w:val="left"/>
        <w:rPr>
          <w:rFonts w:ascii="Times New Roman;serif" w:hAnsi="Times New Roman;serif"/>
          <w:b/>
          <w:sz w:val="22"/>
        </w:rPr>
      </w:pPr>
      <w:r>
        <w:rPr>
          <w:rFonts w:ascii="Times New Roman;serif" w:hAnsi="Times New Roman;serif"/>
          <w:b/>
          <w:sz w:val="22"/>
        </w:rPr>
        <w:t>Approved by the Board of Directors: September 20, 2022 Effective: September 20, 2022</w:t>
      </w:r>
    </w:p>
    <w:p>
      <w:pPr>
        <w:pStyle w:val="TextBody"/>
        <w:spacing w:before="0" w:after="0"/>
        <w:jc w:val="left"/>
        <w:rPr/>
      </w:pPr>
      <w:r>
        <w:rPr/>
        <w:t> </w:t>
      </w:r>
    </w:p>
    <w:p>
      <w:pPr>
        <w:pStyle w:val="TextBody"/>
        <w:spacing w:before="56" w:after="0"/>
        <w:jc w:val="left"/>
        <w:rPr>
          <w:rFonts w:ascii="Times New Roman;serif" w:hAnsi="Times New Roman;serif"/>
          <w:b w:val="false"/>
          <w:sz w:val="20"/>
        </w:rPr>
      </w:pPr>
      <w:r>
        <w:rPr>
          <w:rFonts w:ascii="Times New Roman;serif" w:hAnsi="Times New Roman;serif"/>
          <w:b w:val="false"/>
          <w:sz w:val="20"/>
        </w:rPr>
        <w:t>3</w:t>
      </w:r>
    </w:p>
    <w:p>
      <w:pPr>
        <w:pStyle w:val="HorizontalLine"/>
        <w:rPr/>
      </w:pPr>
      <w:r>
        <w:rPr/>
      </w:r>
      <w:r>
        <w:br w:type="page"/>
      </w:r>
    </w:p>
    <w:p>
      <w:pPr>
        <w:pStyle w:val="TextBody"/>
        <w:spacing w:before="0" w:after="0"/>
        <w:jc w:val="right"/>
        <w:rPr>
          <w:rFonts w:ascii="Times New Roman;serif" w:hAnsi="Times New Roman;serif"/>
          <w:b/>
          <w:sz w:val="22"/>
        </w:rPr>
      </w:pPr>
      <w:bookmarkStart w:id="183" w:name="prok-ex10_30.htm"/>
      <w:bookmarkStart w:id="184" w:name="ksprokex10_30"/>
      <w:bookmarkEnd w:id="183"/>
      <w:bookmarkEnd w:id="184"/>
      <w:r>
        <w:rPr>
          <w:rFonts w:ascii="Times New Roman;serif" w:hAnsi="Times New Roman;serif"/>
          <w:b/>
          <w:sz w:val="22"/>
        </w:rPr>
        <w:t>Exhibit 10.30</w:t>
      </w:r>
    </w:p>
    <w:p>
      <w:pPr>
        <w:pStyle w:val="TextBody"/>
        <w:spacing w:before="76" w:after="0"/>
        <w:jc w:val="right"/>
        <w:rPr>
          <w:rFonts w:ascii="Times New Roman;serif" w:hAnsi="Times New Roman;serif"/>
          <w:b/>
          <w:i/>
          <w:sz w:val="24"/>
        </w:rPr>
      </w:pPr>
      <w:r>
        <w:rPr>
          <w:rFonts w:ascii="Times New Roman;serif" w:hAnsi="Times New Roman;serif"/>
          <w:b/>
          <w:i/>
          <w:sz w:val="24"/>
        </w:rPr>
        <w:t>STRICTLY CONFIDENTIAL</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154" w:after="0"/>
        <w:jc w:val="center"/>
        <w:rPr>
          <w:rFonts w:ascii="Times New Roman;serif" w:hAnsi="Times New Roman;serif"/>
          <w:b/>
          <w:sz w:val="24"/>
        </w:rPr>
      </w:pPr>
      <w:r>
        <w:rPr>
          <w:rFonts w:ascii="Times New Roman;serif" w:hAnsi="Times New Roman;serif"/>
          <w:b/>
          <w:sz w:val="24"/>
        </w:rPr>
        <w:t>CONSULTING SERVICES AGREEMENT</w:t>
      </w:r>
    </w:p>
    <w:p>
      <w:pPr>
        <w:pStyle w:val="TextBody"/>
        <w:spacing w:before="0" w:after="0"/>
        <w:jc w:val="left"/>
        <w:rPr/>
      </w:pPr>
      <w:r>
        <w:rPr/>
        <w:t> </w:t>
      </w:r>
    </w:p>
    <w:p>
      <w:pPr>
        <w:pStyle w:val="TextBody"/>
        <w:spacing w:before="178" w:after="0"/>
        <w:jc w:val="center"/>
        <w:rPr>
          <w:rFonts w:ascii="Times New Roman;serif" w:hAnsi="Times New Roman;serif"/>
          <w:b w:val="false"/>
          <w:sz w:val="24"/>
        </w:rPr>
      </w:pPr>
      <w:r>
        <w:rPr>
          <w:rFonts w:ascii="Times New Roman;serif" w:hAnsi="Times New Roman;serif"/>
          <w:b w:val="false"/>
          <w:sz w:val="24"/>
        </w:rPr>
        <w:t>by and between</w:t>
      </w:r>
    </w:p>
    <w:p>
      <w:pPr>
        <w:pStyle w:val="TextBody"/>
        <w:spacing w:before="0" w:after="0"/>
        <w:jc w:val="left"/>
        <w:rPr/>
      </w:pPr>
      <w:r>
        <w:rPr/>
        <w:t> </w:t>
      </w:r>
    </w:p>
    <w:p>
      <w:pPr>
        <w:pStyle w:val="TextBody"/>
        <w:spacing w:before="184" w:after="0"/>
        <w:jc w:val="center"/>
        <w:rPr>
          <w:rFonts w:ascii="Times New Roman;serif" w:hAnsi="Times New Roman;serif"/>
          <w:b/>
          <w:sz w:val="24"/>
        </w:rPr>
      </w:pPr>
      <w:r>
        <w:rPr>
          <w:rFonts w:ascii="Times New Roman;serif" w:hAnsi="Times New Roman;serif"/>
          <w:b/>
          <w:sz w:val="24"/>
        </w:rPr>
        <w:t>INREGEN</w:t>
      </w:r>
    </w:p>
    <w:p>
      <w:pPr>
        <w:pStyle w:val="TextBody"/>
        <w:spacing w:before="2" w:after="0"/>
        <w:jc w:val="center"/>
        <w:rPr>
          <w:rFonts w:ascii="Times New Roman;serif" w:hAnsi="Times New Roman;serif"/>
          <w:b w:val="false"/>
          <w:sz w:val="24"/>
        </w:rPr>
      </w:pPr>
      <w:r>
        <w:rPr>
          <w:rFonts w:ascii="Times New Roman;serif" w:hAnsi="Times New Roman;serif"/>
          <w:b w:val="false"/>
          <w:sz w:val="24"/>
        </w:rPr>
        <w:t>as the Company</w:t>
      </w:r>
    </w:p>
    <w:p>
      <w:pPr>
        <w:pStyle w:val="TextBody"/>
        <w:spacing w:before="0" w:after="0"/>
        <w:jc w:val="left"/>
        <w:rPr/>
      </w:pPr>
      <w:r>
        <w:rPr/>
        <w:t> </w:t>
      </w:r>
    </w:p>
    <w:p>
      <w:pPr>
        <w:pStyle w:val="TextBody"/>
        <w:spacing w:before="10" w:after="0"/>
        <w:jc w:val="left"/>
        <w:rPr/>
      </w:pPr>
      <w:r>
        <w:rPr/>
        <w:t>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And</w:t>
      </w:r>
    </w:p>
    <w:p>
      <w:pPr>
        <w:pStyle w:val="TextBody"/>
        <w:spacing w:before="0" w:after="0"/>
        <w:jc w:val="left"/>
        <w:rPr/>
      </w:pPr>
      <w:r>
        <w:rPr/>
        <w:t> </w:t>
      </w:r>
    </w:p>
    <w:p>
      <w:pPr>
        <w:pStyle w:val="TextBody"/>
        <w:spacing w:before="174" w:after="0"/>
        <w:jc w:val="center"/>
        <w:rPr>
          <w:rFonts w:ascii="Times New Roman;serif" w:hAnsi="Times New Roman;serif"/>
          <w:b/>
          <w:sz w:val="24"/>
        </w:rPr>
      </w:pPr>
      <w:r>
        <w:rPr>
          <w:rFonts w:ascii="Times New Roman;serif" w:hAnsi="Times New Roman;serif"/>
          <w:b/>
          <w:sz w:val="24"/>
        </w:rPr>
        <w:t>NEFRO HEALTH,</w:t>
      </w:r>
    </w:p>
    <w:p>
      <w:pPr>
        <w:pStyle w:val="TextBody"/>
        <w:spacing w:before="7" w:after="0"/>
        <w:jc w:val="center"/>
        <w:rPr>
          <w:rFonts w:ascii="Times New Roman;serif" w:hAnsi="Times New Roman;serif"/>
          <w:b w:val="false"/>
          <w:sz w:val="24"/>
        </w:rPr>
      </w:pPr>
      <w:r>
        <w:rPr>
          <w:rFonts w:ascii="Times New Roman;serif" w:hAnsi="Times New Roman;serif"/>
          <w:b w:val="false"/>
          <w:sz w:val="24"/>
        </w:rPr>
        <w:t>as the Service Provider</w:t>
      </w:r>
    </w:p>
    <w:p>
      <w:pPr>
        <w:pStyle w:val="TextBody"/>
        <w:spacing w:before="0" w:after="0"/>
        <w:jc w:val="left"/>
        <w:rPr/>
      </w:pPr>
      <w:r>
        <w:rPr/>
        <w:t> </w:t>
      </w:r>
    </w:p>
    <w:p>
      <w:pPr>
        <w:pStyle w:val="TextBody"/>
        <w:spacing w:before="174" w:after="0"/>
        <w:jc w:val="center"/>
        <w:rPr>
          <w:rFonts w:ascii="Times New Roman;serif" w:hAnsi="Times New Roman;serif"/>
          <w:b w:val="false"/>
          <w:sz w:val="24"/>
        </w:rPr>
      </w:pPr>
      <w:r>
        <w:rPr>
          <w:rFonts w:ascii="Times New Roman;serif" w:hAnsi="Times New Roman;serif"/>
          <w:b w:val="false"/>
          <w:sz w:val="24"/>
        </w:rPr>
        <w:t>Dated effective as of January 1, 2020</w:t>
      </w:r>
    </w:p>
    <w:p>
      <w:pPr>
        <w:pStyle w:val="TextBody"/>
        <w:spacing w:before="0" w:after="0"/>
        <w:jc w:val="center"/>
        <w:rPr/>
      </w:pPr>
      <w:r>
        <w:rPr/>
        <w:t> </w:t>
      </w:r>
    </w:p>
    <w:p>
      <w:pPr>
        <w:pStyle w:val="HorizontalLine"/>
        <w:rPr/>
      </w:pPr>
      <w:r>
        <w:rPr/>
      </w:r>
    </w:p>
    <w:p>
      <w:pPr>
        <w:pStyle w:val="TextBody"/>
        <w:spacing w:before="61" w:after="0"/>
        <w:jc w:val="center"/>
        <w:rPr>
          <w:rFonts w:ascii="Times New Roman;serif" w:hAnsi="Times New Roman;serif"/>
          <w:b/>
          <w:sz w:val="24"/>
        </w:rPr>
      </w:pPr>
      <w:r>
        <w:rPr>
          <w:rFonts w:ascii="Times New Roman;serif" w:hAnsi="Times New Roman;serif"/>
          <w:b/>
          <w:sz w:val="24"/>
        </w:rPr>
        <w:t>TABLE OF CONTENTS</w:t>
      </w:r>
    </w:p>
    <w:p>
      <w:pPr>
        <w:pStyle w:val="TextBody"/>
        <w:spacing w:before="8" w:after="0"/>
        <w:jc w:val="left"/>
        <w:rPr/>
      </w:pPr>
      <w:r>
        <w:rPr/>
        <w:t> </w:t>
      </w:r>
    </w:p>
    <w:p>
      <w:pPr>
        <w:pStyle w:val="TextBody"/>
        <w:spacing w:before="0" w:after="0"/>
        <w:jc w:val="right"/>
        <w:rPr>
          <w:rFonts w:ascii="Times New Roman;serif" w:hAnsi="Times New Roman;serif"/>
          <w:b/>
          <w:sz w:val="24"/>
        </w:rPr>
      </w:pPr>
      <w:r>
        <w:rPr>
          <w:rFonts w:ascii="Times New Roman;serif" w:hAnsi="Times New Roman;serif"/>
          <w:b/>
          <w:sz w:val="24"/>
        </w:rPr>
        <w:t>Page</w:t>
      </w:r>
    </w:p>
    <w:p>
      <w:pPr>
        <w:pStyle w:val="TextBody"/>
        <w:spacing w:before="10" w:after="0"/>
        <w:jc w:val="left"/>
        <w:rPr/>
      </w:pPr>
      <w:r>
        <w:rPr/>
        <w:t> </w:t>
      </w:r>
    </w:p>
    <w:p>
      <w:pPr>
        <w:pStyle w:val="TextBody"/>
        <w:spacing w:before="90" w:after="0"/>
        <w:jc w:val="left"/>
        <w:rPr>
          <w:rFonts w:ascii="Times New Roman;serif" w:hAnsi="Times New Roman;serif"/>
          <w:b w:val="false"/>
          <w:sz w:val="24"/>
        </w:rPr>
      </w:pPr>
      <w:r>
        <w:rPr>
          <w:rFonts w:ascii="Times New Roman;serif" w:hAnsi="Times New Roman;serif"/>
          <w:b w:val="false"/>
          <w:sz w:val="24"/>
        </w:rPr>
        <w:t>Section 1. Definitions 1</w:t>
      </w:r>
    </w:p>
    <w:p>
      <w:pPr>
        <w:pStyle w:val="TextBody"/>
        <w:spacing w:before="117" w:after="0"/>
        <w:jc w:val="left"/>
        <w:rPr>
          <w:rFonts w:ascii="Times New Roman;serif" w:hAnsi="Times New Roman;serif"/>
          <w:b w:val="false"/>
          <w:sz w:val="24"/>
        </w:rPr>
      </w:pPr>
      <w:r>
        <w:rPr>
          <w:rFonts w:ascii="Times New Roman;serif" w:hAnsi="Times New Roman;serif"/>
          <w:b w:val="false"/>
          <w:sz w:val="24"/>
        </w:rPr>
        <w:t>Section 2. Interpretation 3</w:t>
      </w:r>
    </w:p>
    <w:p>
      <w:pPr>
        <w:pStyle w:val="TextBody"/>
        <w:spacing w:before="123" w:after="0"/>
        <w:jc w:val="left"/>
        <w:rPr>
          <w:rFonts w:ascii="Times New Roman;serif" w:hAnsi="Times New Roman;serif"/>
          <w:b w:val="false"/>
          <w:sz w:val="24"/>
        </w:rPr>
      </w:pPr>
      <w:r>
        <w:rPr>
          <w:rFonts w:ascii="Times New Roman;serif" w:hAnsi="Times New Roman;serif"/>
          <w:b w:val="false"/>
          <w:sz w:val="24"/>
        </w:rPr>
        <w:t>Section 3. Appointment of Service Provider; Limited Scope of Services 4</w:t>
      </w:r>
    </w:p>
    <w:p>
      <w:pPr>
        <w:pStyle w:val="TextBody"/>
        <w:spacing w:before="117" w:after="0"/>
        <w:jc w:val="left"/>
        <w:rPr>
          <w:rFonts w:ascii="Times New Roman;serif" w:hAnsi="Times New Roman;serif"/>
          <w:b w:val="false"/>
          <w:sz w:val="24"/>
        </w:rPr>
      </w:pPr>
      <w:r>
        <w:rPr>
          <w:rFonts w:ascii="Times New Roman;serif" w:hAnsi="Times New Roman;serif"/>
          <w:b w:val="false"/>
          <w:sz w:val="24"/>
        </w:rPr>
        <w:t>Section 4. Selection of Personnel 5</w:t>
      </w:r>
    </w:p>
    <w:p>
      <w:pPr>
        <w:pStyle w:val="TextBody"/>
        <w:spacing w:before="123" w:after="0"/>
        <w:jc w:val="left"/>
        <w:rPr>
          <w:rFonts w:ascii="Times New Roman;serif" w:hAnsi="Times New Roman;serif"/>
          <w:b w:val="false"/>
          <w:sz w:val="24"/>
        </w:rPr>
      </w:pPr>
      <w:r>
        <w:rPr>
          <w:rFonts w:ascii="Times New Roman;serif" w:hAnsi="Times New Roman;serif"/>
          <w:b w:val="false"/>
          <w:sz w:val="24"/>
        </w:rPr>
        <w:t>Section 5. Legal and Regulatory Compliance 5</w:t>
      </w:r>
    </w:p>
    <w:p>
      <w:pPr>
        <w:pStyle w:val="TextBody"/>
        <w:spacing w:before="117" w:after="0"/>
        <w:jc w:val="left"/>
        <w:rPr>
          <w:rFonts w:ascii="Times New Roman;serif" w:hAnsi="Times New Roman;serif"/>
          <w:b w:val="false"/>
          <w:sz w:val="24"/>
        </w:rPr>
      </w:pPr>
      <w:r>
        <w:rPr>
          <w:rFonts w:ascii="Times New Roman;serif" w:hAnsi="Times New Roman;serif"/>
          <w:b w:val="false"/>
          <w:sz w:val="24"/>
        </w:rPr>
        <w:t>Section 6. Records and Accounts 5</w:t>
      </w:r>
    </w:p>
    <w:p>
      <w:pPr>
        <w:pStyle w:val="TextBody"/>
        <w:spacing w:before="123" w:after="0"/>
        <w:jc w:val="left"/>
        <w:rPr>
          <w:rFonts w:ascii="Times New Roman;serif" w:hAnsi="Times New Roman;serif"/>
          <w:b w:val="false"/>
          <w:sz w:val="24"/>
        </w:rPr>
      </w:pPr>
      <w:r>
        <w:rPr>
          <w:rFonts w:ascii="Times New Roman;serif" w:hAnsi="Times New Roman;serif"/>
          <w:b w:val="false"/>
          <w:sz w:val="24"/>
        </w:rPr>
        <w:t>Section 7. Fees and Expenses of Service Provider 5</w:t>
      </w:r>
    </w:p>
    <w:p>
      <w:pPr>
        <w:pStyle w:val="TextBody"/>
        <w:spacing w:before="117" w:after="0"/>
        <w:jc w:val="left"/>
        <w:rPr>
          <w:rFonts w:ascii="Times New Roman;serif" w:hAnsi="Times New Roman;serif"/>
          <w:b w:val="false"/>
          <w:sz w:val="24"/>
        </w:rPr>
      </w:pPr>
      <w:r>
        <w:rPr>
          <w:rFonts w:ascii="Times New Roman;serif" w:hAnsi="Times New Roman;serif"/>
          <w:b w:val="false"/>
          <w:sz w:val="24"/>
        </w:rPr>
        <w:t>Section 8. Indemnification 6</w:t>
      </w:r>
    </w:p>
    <w:p>
      <w:pPr>
        <w:pStyle w:val="TextBody"/>
        <w:spacing w:before="123" w:after="0"/>
        <w:jc w:val="left"/>
        <w:rPr>
          <w:rFonts w:ascii="Times New Roman;serif" w:hAnsi="Times New Roman;serif"/>
          <w:b w:val="false"/>
          <w:sz w:val="24"/>
        </w:rPr>
      </w:pPr>
      <w:r>
        <w:rPr>
          <w:rFonts w:ascii="Times New Roman;serif" w:hAnsi="Times New Roman;serif"/>
          <w:b w:val="false"/>
          <w:sz w:val="24"/>
        </w:rPr>
        <w:t>Section 9. Term; Termination 7</w:t>
      </w:r>
    </w:p>
    <w:p>
      <w:pPr>
        <w:pStyle w:val="TextBody"/>
        <w:spacing w:before="117" w:after="0"/>
        <w:jc w:val="left"/>
        <w:rPr>
          <w:rFonts w:ascii="Times New Roman;serif" w:hAnsi="Times New Roman;serif"/>
          <w:b w:val="false"/>
          <w:sz w:val="24"/>
        </w:rPr>
      </w:pPr>
      <w:r>
        <w:rPr>
          <w:rFonts w:ascii="Times New Roman;serif" w:hAnsi="Times New Roman;serif"/>
          <w:b w:val="false"/>
          <w:sz w:val="24"/>
        </w:rPr>
        <w:t>Section 10. Action upon Termination 8</w:t>
      </w:r>
    </w:p>
    <w:p>
      <w:pPr>
        <w:pStyle w:val="TextBody"/>
        <w:spacing w:before="123" w:after="0"/>
        <w:jc w:val="left"/>
        <w:rPr>
          <w:rFonts w:ascii="Times New Roman;serif" w:hAnsi="Times New Roman;serif"/>
          <w:b w:val="false"/>
          <w:sz w:val="24"/>
        </w:rPr>
      </w:pPr>
      <w:r>
        <w:rPr>
          <w:rFonts w:ascii="Times New Roman;serif" w:hAnsi="Times New Roman;serif"/>
          <w:b w:val="false"/>
          <w:sz w:val="24"/>
        </w:rPr>
        <w:t>Section 11. Assignment or Transfer 8</w:t>
      </w:r>
    </w:p>
    <w:p>
      <w:pPr>
        <w:pStyle w:val="TextBody"/>
        <w:spacing w:before="117" w:after="0"/>
        <w:jc w:val="left"/>
        <w:rPr>
          <w:rFonts w:ascii="Times New Roman;serif" w:hAnsi="Times New Roman;serif"/>
          <w:b w:val="false"/>
          <w:sz w:val="24"/>
        </w:rPr>
      </w:pPr>
      <w:r>
        <w:rPr>
          <w:rFonts w:ascii="Times New Roman;serif" w:hAnsi="Times New Roman;serif"/>
          <w:b w:val="false"/>
          <w:sz w:val="24"/>
        </w:rPr>
        <w:t>Section 12. Survival 8</w:t>
      </w:r>
    </w:p>
    <w:p>
      <w:pPr>
        <w:pStyle w:val="TextBody"/>
        <w:spacing w:before="123" w:after="0"/>
        <w:jc w:val="left"/>
        <w:rPr>
          <w:rFonts w:ascii="Times New Roman;serif" w:hAnsi="Times New Roman;serif"/>
          <w:b w:val="false"/>
          <w:sz w:val="24"/>
        </w:rPr>
      </w:pPr>
      <w:r>
        <w:rPr>
          <w:rFonts w:ascii="Times New Roman;serif" w:hAnsi="Times New Roman;serif"/>
          <w:b w:val="false"/>
          <w:sz w:val="24"/>
        </w:rPr>
        <w:t>Section 13. Confidentiality 9</w:t>
      </w:r>
    </w:p>
    <w:p>
      <w:pPr>
        <w:pStyle w:val="TextBody"/>
        <w:spacing w:before="117" w:after="0"/>
        <w:jc w:val="left"/>
        <w:rPr>
          <w:rFonts w:ascii="Times New Roman;serif" w:hAnsi="Times New Roman;serif"/>
          <w:b w:val="false"/>
          <w:sz w:val="24"/>
        </w:rPr>
      </w:pPr>
      <w:r>
        <w:rPr>
          <w:rFonts w:ascii="Times New Roman;serif" w:hAnsi="Times New Roman;serif"/>
          <w:b w:val="false"/>
          <w:sz w:val="24"/>
        </w:rPr>
        <w:t>Section 14. Amendments 9</w:t>
      </w:r>
    </w:p>
    <w:p>
      <w:pPr>
        <w:pStyle w:val="TextBody"/>
        <w:spacing w:before="123" w:after="0"/>
        <w:jc w:val="left"/>
        <w:rPr>
          <w:rFonts w:ascii="Times New Roman;serif" w:hAnsi="Times New Roman;serif"/>
          <w:b w:val="false"/>
          <w:sz w:val="24"/>
        </w:rPr>
      </w:pPr>
      <w:r>
        <w:rPr>
          <w:rFonts w:ascii="Times New Roman;serif" w:hAnsi="Times New Roman;serif"/>
          <w:b w:val="false"/>
          <w:sz w:val="24"/>
        </w:rPr>
        <w:t>Section 15. Governing Law 9</w:t>
      </w:r>
    </w:p>
    <w:p>
      <w:pPr>
        <w:pStyle w:val="TextBody"/>
        <w:spacing w:before="117" w:after="0"/>
        <w:jc w:val="left"/>
        <w:rPr>
          <w:rFonts w:ascii="Times New Roman;serif" w:hAnsi="Times New Roman;serif"/>
          <w:b w:val="false"/>
          <w:sz w:val="24"/>
        </w:rPr>
      </w:pPr>
      <w:r>
        <w:rPr>
          <w:rFonts w:ascii="Times New Roman;serif" w:hAnsi="Times New Roman;serif"/>
          <w:b w:val="false"/>
          <w:sz w:val="24"/>
        </w:rPr>
        <w:t>Section 16. Waiver of Jury Trial 9</w:t>
      </w:r>
    </w:p>
    <w:p>
      <w:pPr>
        <w:pStyle w:val="TextBody"/>
        <w:spacing w:before="123" w:after="0"/>
        <w:jc w:val="left"/>
        <w:rPr>
          <w:rFonts w:ascii="Times New Roman;serif" w:hAnsi="Times New Roman;serif"/>
          <w:b w:val="false"/>
          <w:sz w:val="24"/>
        </w:rPr>
      </w:pPr>
      <w:r>
        <w:rPr>
          <w:rFonts w:ascii="Times New Roman;serif" w:hAnsi="Times New Roman;serif"/>
          <w:b w:val="false"/>
          <w:sz w:val="24"/>
        </w:rPr>
        <w:t>Section 17. Severability 10</w:t>
      </w:r>
    </w:p>
    <w:p>
      <w:pPr>
        <w:pStyle w:val="TextBody"/>
        <w:spacing w:before="118" w:after="0"/>
        <w:jc w:val="left"/>
        <w:rPr>
          <w:rFonts w:ascii="Times New Roman;serif" w:hAnsi="Times New Roman;serif"/>
          <w:b w:val="false"/>
          <w:sz w:val="24"/>
        </w:rPr>
      </w:pPr>
      <w:r>
        <w:rPr>
          <w:rFonts w:ascii="Times New Roman;serif" w:hAnsi="Times New Roman;serif"/>
          <w:b w:val="false"/>
          <w:sz w:val="24"/>
        </w:rPr>
        <w:t>Section 18. No Waiver 10</w:t>
      </w:r>
    </w:p>
    <w:p>
      <w:pPr>
        <w:pStyle w:val="TextBody"/>
        <w:spacing w:before="122" w:after="0"/>
        <w:jc w:val="left"/>
        <w:rPr>
          <w:rFonts w:ascii="Times New Roman;serif" w:hAnsi="Times New Roman;serif"/>
          <w:b w:val="false"/>
          <w:sz w:val="24"/>
        </w:rPr>
      </w:pPr>
      <w:r>
        <w:rPr>
          <w:rFonts w:ascii="Times New Roman;serif" w:hAnsi="Times New Roman;serif"/>
          <w:b w:val="false"/>
          <w:sz w:val="24"/>
        </w:rPr>
        <w:t>Section 19. Discretion; Good Faith 10</w:t>
      </w:r>
    </w:p>
    <w:p>
      <w:pPr>
        <w:pStyle w:val="TextBody"/>
        <w:spacing w:before="118" w:after="0"/>
        <w:jc w:val="left"/>
        <w:rPr>
          <w:rFonts w:ascii="Times New Roman;serif" w:hAnsi="Times New Roman;serif"/>
          <w:b w:val="false"/>
          <w:sz w:val="24"/>
        </w:rPr>
      </w:pPr>
      <w:r>
        <w:rPr>
          <w:rFonts w:ascii="Times New Roman;serif" w:hAnsi="Times New Roman;serif"/>
          <w:b w:val="false"/>
          <w:sz w:val="24"/>
        </w:rPr>
        <w:t>Section 20. Counterparts; Binding Effect 10</w:t>
      </w:r>
    </w:p>
    <w:p>
      <w:pPr>
        <w:pStyle w:val="TextBody"/>
        <w:spacing w:before="122" w:after="0"/>
        <w:jc w:val="left"/>
        <w:rPr>
          <w:rFonts w:ascii="Times New Roman;serif" w:hAnsi="Times New Roman;serif"/>
          <w:b w:val="false"/>
          <w:sz w:val="24"/>
        </w:rPr>
      </w:pPr>
      <w:r>
        <w:rPr>
          <w:rFonts w:ascii="Times New Roman;serif" w:hAnsi="Times New Roman;serif"/>
          <w:b w:val="false"/>
          <w:sz w:val="24"/>
        </w:rPr>
        <w:t>Section 21. No Third Party Beneficiaries 11</w:t>
      </w:r>
    </w:p>
    <w:p>
      <w:pPr>
        <w:pStyle w:val="TextBody"/>
        <w:spacing w:before="118" w:after="0"/>
        <w:jc w:val="left"/>
        <w:rPr>
          <w:rFonts w:ascii="Times New Roman;serif" w:hAnsi="Times New Roman;serif"/>
          <w:b w:val="false"/>
          <w:sz w:val="24"/>
        </w:rPr>
      </w:pPr>
      <w:r>
        <w:rPr>
          <w:rFonts w:ascii="Times New Roman;serif" w:hAnsi="Times New Roman;serif"/>
          <w:b w:val="false"/>
          <w:sz w:val="24"/>
        </w:rPr>
        <w:t>Section 22. Relationship Generally; No Authority to Bind 11</w:t>
      </w:r>
    </w:p>
    <w:p>
      <w:pPr>
        <w:pStyle w:val="TextBody"/>
        <w:spacing w:before="122" w:after="0"/>
        <w:jc w:val="left"/>
        <w:rPr>
          <w:rFonts w:ascii="Times New Roman;serif" w:hAnsi="Times New Roman;serif"/>
          <w:b w:val="false"/>
          <w:sz w:val="24"/>
        </w:rPr>
      </w:pPr>
      <w:r>
        <w:rPr>
          <w:rFonts w:ascii="Times New Roman;serif" w:hAnsi="Times New Roman;serif"/>
          <w:b w:val="false"/>
          <w:sz w:val="24"/>
        </w:rPr>
        <w:t>Section 23. Further Assurances 11</w:t>
      </w:r>
    </w:p>
    <w:p>
      <w:pPr>
        <w:pStyle w:val="TextBody"/>
        <w:spacing w:before="118" w:after="0"/>
        <w:jc w:val="left"/>
        <w:rPr>
          <w:rFonts w:ascii="Times New Roman;serif" w:hAnsi="Times New Roman;serif"/>
          <w:b w:val="false"/>
          <w:sz w:val="24"/>
        </w:rPr>
      </w:pPr>
      <w:r>
        <w:rPr>
          <w:rFonts w:ascii="Times New Roman;serif" w:hAnsi="Times New Roman;serif"/>
          <w:b w:val="false"/>
          <w:sz w:val="24"/>
        </w:rPr>
        <w:t>Section 24. Headings 11</w:t>
      </w:r>
    </w:p>
    <w:p>
      <w:pPr>
        <w:pStyle w:val="TextBody"/>
        <w:spacing w:before="122" w:after="0"/>
        <w:jc w:val="left"/>
        <w:rPr>
          <w:rFonts w:ascii="Times New Roman;serif" w:hAnsi="Times New Roman;serif"/>
          <w:b w:val="false"/>
          <w:sz w:val="24"/>
        </w:rPr>
      </w:pPr>
      <w:r>
        <w:rPr>
          <w:rFonts w:ascii="Times New Roman;serif" w:hAnsi="Times New Roman;serif"/>
          <w:b w:val="false"/>
          <w:sz w:val="24"/>
        </w:rPr>
        <w:t>Section 25. Entire Agreement 11</w:t>
      </w:r>
    </w:p>
    <w:p>
      <w:pPr>
        <w:pStyle w:val="TextBody"/>
        <w:spacing w:before="118" w:after="0"/>
        <w:jc w:val="left"/>
        <w:rPr>
          <w:rFonts w:ascii="Times New Roman;serif" w:hAnsi="Times New Roman;serif"/>
          <w:b w:val="false"/>
          <w:sz w:val="24"/>
        </w:rPr>
      </w:pPr>
      <w:r>
        <w:rPr>
          <w:rFonts w:ascii="Times New Roman;serif" w:hAnsi="Times New Roman;serif"/>
          <w:b w:val="false"/>
          <w:sz w:val="24"/>
        </w:rPr>
        <w:t>Section 26. Notices 11</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4" w:after="0"/>
        <w:jc w:val="left"/>
        <w:rPr/>
      </w:pPr>
      <w:r>
        <w:rPr/>
        <w:t>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i</w:t>
      </w:r>
    </w:p>
    <w:p>
      <w:pPr>
        <w:pStyle w:val="TextBody"/>
        <w:spacing w:before="0" w:after="0"/>
        <w:jc w:val="center"/>
        <w:rPr/>
      </w:pPr>
      <w:r>
        <w:rPr/>
        <w:t> </w:t>
      </w:r>
    </w:p>
    <w:p>
      <w:pPr>
        <w:pStyle w:val="HorizontalLine"/>
        <w:rPr/>
      </w:pPr>
      <w:r>
        <w:rPr/>
      </w:r>
    </w:p>
    <w:p>
      <w:pPr>
        <w:pStyle w:val="TextBody"/>
        <w:spacing w:before="61" w:after="0"/>
        <w:jc w:val="center"/>
        <w:rPr>
          <w:rFonts w:ascii="Times New Roman;serif" w:hAnsi="Times New Roman;serif"/>
          <w:b/>
          <w:sz w:val="24"/>
        </w:rPr>
      </w:pPr>
      <w:r>
        <w:rPr>
          <w:rFonts w:ascii="Times New Roman;serif" w:hAnsi="Times New Roman;serif"/>
          <w:b/>
          <w:sz w:val="24"/>
        </w:rPr>
        <w:t>CONSULTING SERVICES AGREEMENT</w:t>
      </w:r>
    </w:p>
    <w:p>
      <w:pPr>
        <w:pStyle w:val="TextBody"/>
        <w:spacing w:before="233" w:after="0"/>
        <w:jc w:val="both"/>
        <w:rPr>
          <w:rFonts w:ascii="Times New Roman" w:hAnsi="Times New Roman"/>
          <w:sz w:val="20"/>
        </w:rPr>
      </w:pPr>
      <w:r>
        <w:rPr>
          <w:rFonts w:ascii="Times New Roman;serif" w:hAnsi="Times New Roman;serif"/>
          <w:b w:val="false"/>
          <w:sz w:val="24"/>
        </w:rPr>
        <w:t>This consulting services agreement, dated effective as of January 1, 2020 (such agreement as amended, modified or waived from time to time, the “</w:t>
      </w:r>
      <w:r>
        <w:rPr>
          <w:rFonts w:ascii="Times New Roman;serif" w:hAnsi="Times New Roman;serif"/>
          <w:b w:val="false"/>
          <w:sz w:val="24"/>
          <w:u w:val="single"/>
        </w:rPr>
        <w:t>Agreement</w:t>
      </w:r>
      <w:r>
        <w:rPr>
          <w:rFonts w:ascii="Times New Roman" w:hAnsi="Times New Roman"/>
          <w:sz w:val="20"/>
        </w:rPr>
        <w:t>”</w:t>
      </w:r>
      <w:r>
        <w:rPr>
          <w:rFonts w:ascii="Times New Roman;serif" w:hAnsi="Times New Roman;serif"/>
          <w:b w:val="false"/>
          <w:sz w:val="24"/>
        </w:rPr>
        <w:t>), is entered into by and between inRegen (formerly RegenMed (Cayman) Ltd.), a Cayman Islands exempt company (the “</w:t>
      </w:r>
      <w:r>
        <w:rPr>
          <w:rFonts w:ascii="Times New Roman;serif" w:hAnsi="Times New Roman;serif"/>
          <w:b w:val="false"/>
          <w:sz w:val="24"/>
          <w:u w:val="single"/>
        </w:rPr>
        <w:t>Company</w:t>
      </w:r>
      <w:r>
        <w:rPr>
          <w:rFonts w:ascii="Times New Roman" w:hAnsi="Times New Roman"/>
          <w:sz w:val="20"/>
        </w:rPr>
        <w:t>”</w:t>
      </w:r>
      <w:r>
        <w:rPr>
          <w:rFonts w:ascii="Times New Roman;serif" w:hAnsi="Times New Roman;serif"/>
          <w:b w:val="false"/>
          <w:sz w:val="24"/>
        </w:rPr>
        <w:t>) and Nefro Health, an Irish partnership, as the service provider (together with its successors and assigns in such capacity, the “</w:t>
      </w:r>
      <w:r>
        <w:rPr>
          <w:rFonts w:ascii="Times New Roman;serif" w:hAnsi="Times New Roman;serif"/>
          <w:b w:val="false"/>
          <w:sz w:val="24"/>
          <w:u w:val="single"/>
        </w:rPr>
        <w:t>Service Provider</w:t>
      </w:r>
      <w:r>
        <w:rPr>
          <w:rFonts w:ascii="Times New Roman" w:hAnsi="Times New Roman"/>
          <w:sz w:val="20"/>
        </w:rPr>
        <w:t>”</w:t>
      </w:r>
      <w:r>
        <w:rPr>
          <w:rFonts w:ascii="Times New Roman;serif" w:hAnsi="Times New Roman;serif"/>
          <w:b w:val="false"/>
          <w:sz w:val="24"/>
        </w:rPr>
        <w:t>).</w:t>
      </w:r>
    </w:p>
    <w:p>
      <w:pPr>
        <w:pStyle w:val="TextBody"/>
        <w:spacing w:before="6" w:after="0"/>
        <w:jc w:val="left"/>
        <w:rPr/>
      </w:pPr>
      <w:r>
        <w:rPr/>
        <w:t> </w:t>
      </w:r>
    </w:p>
    <w:p>
      <w:pPr>
        <w:pStyle w:val="TextBody"/>
        <w:spacing w:before="0" w:after="0"/>
        <w:jc w:val="center"/>
        <w:rPr>
          <w:rFonts w:ascii="Times New Roman;serif" w:hAnsi="Times New Roman;serif"/>
          <w:b/>
          <w:sz w:val="24"/>
        </w:rPr>
      </w:pPr>
      <w:r>
        <w:rPr>
          <w:rFonts w:ascii="Times New Roman;serif" w:hAnsi="Times New Roman;serif"/>
          <w:b/>
          <w:sz w:val="24"/>
        </w:rPr>
        <w:t>RECITALS</w:t>
      </w:r>
    </w:p>
    <w:p>
      <w:pPr>
        <w:pStyle w:val="TextBody"/>
        <w:spacing w:before="233" w:after="0"/>
        <w:jc w:val="both"/>
        <w:rPr>
          <w:rFonts w:ascii="Times New Roman;serif" w:hAnsi="Times New Roman;serif"/>
          <w:b w:val="false"/>
          <w:sz w:val="24"/>
        </w:rPr>
      </w:pPr>
      <w:r>
        <w:rPr>
          <w:rFonts w:ascii="Times New Roman;serif" w:hAnsi="Times New Roman;serif"/>
          <w:b w:val="false"/>
          <w:sz w:val="24"/>
        </w:rPr>
        <w:t>WHEREAS, the Company is engaged in developing a Breakthrough Autologous Cell Therapy by arresting and restoring renal function to delay or prevent ESRD. The therapy improves quality of life in CKD/ESRD patients without the need for dialysis or transplants requiring immunosuppression;</w:t>
      </w:r>
    </w:p>
    <w:p>
      <w:pPr>
        <w:pStyle w:val="TextBody"/>
        <w:spacing w:before="229" w:after="0"/>
        <w:jc w:val="both"/>
        <w:rPr>
          <w:rFonts w:ascii="Times New Roman;serif" w:hAnsi="Times New Roman;serif"/>
          <w:b w:val="false"/>
          <w:sz w:val="24"/>
        </w:rPr>
      </w:pPr>
      <w:r>
        <w:rPr>
          <w:rFonts w:ascii="Times New Roman;serif" w:hAnsi="Times New Roman;serif"/>
          <w:b w:val="false"/>
          <w:sz w:val="24"/>
        </w:rPr>
        <w:t>WHEREAS, in connection with such business, the Company wishes to engage the Service Provider to provide certain services described herein, which the parties acknowledge will be primarily performed by Pablo Legorreta;</w:t>
      </w:r>
    </w:p>
    <w:p>
      <w:pPr>
        <w:pStyle w:val="TextBody"/>
        <w:spacing w:before="4"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WHEREAS, the Service Provider has agreed to provide the services described herein upon the terms and conditions set forth herein; and</w:t>
      </w:r>
    </w:p>
    <w:p>
      <w:pPr>
        <w:pStyle w:val="TextBody"/>
        <w:spacing w:before="4" w:after="0"/>
        <w:jc w:val="left"/>
        <w:rPr/>
      </w:pPr>
      <w:r>
        <w:rPr/>
        <w:t> </w:t>
      </w:r>
    </w:p>
    <w:p>
      <w:pPr>
        <w:pStyle w:val="TextBody"/>
        <w:spacing w:before="1" w:after="0"/>
        <w:jc w:val="both"/>
        <w:rPr>
          <w:rFonts w:ascii="Times New Roman;serif" w:hAnsi="Times New Roman;serif"/>
          <w:b w:val="false"/>
          <w:sz w:val="24"/>
        </w:rPr>
      </w:pPr>
      <w:r>
        <w:rPr>
          <w:rFonts w:ascii="Times New Roman;serif" w:hAnsi="Times New Roman;serif"/>
          <w:b w:val="false"/>
          <w:sz w:val="24"/>
        </w:rPr>
        <w:t>NOW, THEREFORE, in consideration of the foregoing recitals, and the receipt of good and valuable consideration, the receipt and sufficiency of which is hereby acknowledged, the parties hereto, intending to be legally bound, hereby agree as follows.</w:t>
      </w:r>
    </w:p>
    <w:p>
      <w:pPr>
        <w:pStyle w:val="TextBody"/>
        <w:spacing w:before="229" w:after="0"/>
        <w:jc w:val="both"/>
        <w:rPr>
          <w:rFonts w:ascii="Times New Roman" w:hAnsi="Times New Roman"/>
          <w:sz w:val="20"/>
        </w:rPr>
      </w:pPr>
      <w:r>
        <w:rPr>
          <w:rFonts w:ascii="Times New Roman;serif" w:hAnsi="Times New Roman;serif"/>
          <w:b w:val="false"/>
          <w:sz w:val="24"/>
        </w:rPr>
        <w:t xml:space="preserve">Section 1. </w:t>
      </w:r>
      <w:r>
        <w:rPr>
          <w:rFonts w:ascii="Times New Roman;serif" w:hAnsi="Times New Roman;serif"/>
          <w:b w:val="false"/>
          <w:sz w:val="24"/>
          <w:u w:val="single"/>
        </w:rPr>
        <w:t>Definitions</w:t>
      </w:r>
      <w:r>
        <w:rPr>
          <w:rFonts w:ascii="Times New Roman;serif" w:hAnsi="Times New Roman;serif"/>
          <w:b w:val="false"/>
          <w:sz w:val="24"/>
        </w:rPr>
        <w:t>. As used in this Agreement (including its exhibits, schedules and annexes), the following terms shall have the meanings set forth below.</w:t>
      </w:r>
    </w:p>
    <w:p>
      <w:pPr>
        <w:pStyle w:val="TextBody"/>
        <w:spacing w:before="223" w:after="0"/>
        <w:jc w:val="both"/>
        <w:rPr/>
      </w:pPr>
      <w:r>
        <w:rPr/>
        <w:t>“</w:t>
      </w:r>
      <w:r>
        <w:rPr>
          <w:rFonts w:ascii="Times New Roman;serif" w:hAnsi="Times New Roman;serif"/>
          <w:b w:val="false"/>
          <w:sz w:val="24"/>
          <w:u w:val="single"/>
        </w:rPr>
        <w:t>Affiliate</w:t>
      </w:r>
      <w:r>
        <w:rPr>
          <w:rFonts w:ascii="Times New Roman" w:hAnsi="Times New Roman"/>
          <w:sz w:val="20"/>
        </w:rPr>
        <w:t xml:space="preserve">” </w:t>
      </w:r>
      <w:r>
        <w:rPr>
          <w:rFonts w:ascii="Times New Roman;serif" w:hAnsi="Times New Roman;serif"/>
          <w:b w:val="false"/>
          <w:sz w:val="24"/>
        </w:rPr>
        <w:t>(including its derivatives and similar terms) shall mean, when used with respect to any Person, any other Person that, directly or indirectly, through one or more intermediaries, Controls, is Controlled by, or is under common Control with, such Person in question. For the avoidance of doubt, the Service Provider shall not be deemed to be an Affiliate of the Company for purposes of this Agreement.</w:t>
      </w:r>
    </w:p>
    <w:p>
      <w:pPr>
        <w:pStyle w:val="TextBody"/>
        <w:spacing w:before="14" w:after="0"/>
        <w:jc w:val="both"/>
        <w:rPr/>
      </w:pPr>
      <w:r>
        <w:rPr/>
        <w:t>“</w:t>
      </w:r>
      <w:r>
        <w:rPr>
          <w:rFonts w:ascii="Times New Roman;serif" w:hAnsi="Times New Roman;serif"/>
          <w:b w:val="false"/>
          <w:sz w:val="24"/>
          <w:u w:val="single"/>
        </w:rPr>
        <w:t>Agreement</w:t>
      </w:r>
      <w:r>
        <w:rPr>
          <w:rFonts w:ascii="Times New Roman" w:hAnsi="Times New Roman"/>
          <w:sz w:val="20"/>
        </w:rPr>
        <w:t xml:space="preserve">” </w:t>
      </w:r>
      <w:r>
        <w:rPr>
          <w:rFonts w:ascii="Times New Roman;serif" w:hAnsi="Times New Roman;serif"/>
          <w:b w:val="false"/>
          <w:sz w:val="24"/>
        </w:rPr>
        <w:t>shall have the meaning specified in the introductory paragraph hereof. “</w:t>
      </w:r>
      <w:r>
        <w:rPr>
          <w:rFonts w:ascii="Times New Roman;serif" w:hAnsi="Times New Roman;serif"/>
          <w:b w:val="false"/>
          <w:sz w:val="24"/>
          <w:u w:val="single"/>
        </w:rPr>
        <w:t>Applicable Law</w:t>
      </w:r>
      <w:r>
        <w:rPr>
          <w:rFonts w:ascii="Times New Roman" w:hAnsi="Times New Roman"/>
          <w:sz w:val="20"/>
        </w:rPr>
        <w:t xml:space="preserve">” </w:t>
      </w:r>
      <w:r>
        <w:rPr>
          <w:rFonts w:ascii="Times New Roman;serif" w:hAnsi="Times New Roman;serif"/>
          <w:b w:val="false"/>
          <w:sz w:val="24"/>
        </w:rPr>
        <w:t>shall mean, in relation to any Person, transaction or event, all applicable</w:t>
      </w:r>
    </w:p>
    <w:p>
      <w:pPr>
        <w:pStyle w:val="TextBody"/>
        <w:spacing w:before="1" w:after="0"/>
        <w:jc w:val="both"/>
        <w:rPr>
          <w:rFonts w:ascii="Times New Roman;serif" w:hAnsi="Times New Roman;serif"/>
          <w:b w:val="false"/>
          <w:sz w:val="24"/>
        </w:rPr>
      </w:pPr>
      <w:r>
        <w:rPr>
          <w:rFonts w:ascii="Times New Roman;serif" w:hAnsi="Times New Roman;serif"/>
          <w:b w:val="false"/>
          <w:sz w:val="24"/>
        </w:rPr>
        <w:t>provisions of laws, statutes, rules, ordinances, regulations, official directives, published guidelines or policies, bylaws, standards and codes of practice of, and the terms of all judgments, orders, permits, authorizations, approvals, grants, licenses, consents, injunctions, awards, determinations and decrees enacted, made, granted or issued by, any Governmental Authority applicable to such Person, transaction or event.</w:t>
      </w:r>
    </w:p>
    <w:p>
      <w:pPr>
        <w:pStyle w:val="TextBody"/>
        <w:spacing w:before="7" w:after="0"/>
        <w:jc w:val="left"/>
        <w:rPr/>
      </w:pPr>
      <w:r>
        <w:rPr/>
        <w:t> </w:t>
      </w:r>
    </w:p>
    <w:p>
      <w:pPr>
        <w:pStyle w:val="TextBody"/>
        <w:spacing w:before="1" w:after="0"/>
        <w:jc w:val="left"/>
        <w:rPr/>
      </w:pPr>
      <w:r>
        <w:rPr/>
        <w:t>“</w:t>
      </w:r>
      <w:r>
        <w:rPr>
          <w:rFonts w:ascii="Times New Roman;serif" w:hAnsi="Times New Roman;serif"/>
          <w:b w:val="false"/>
          <w:sz w:val="24"/>
          <w:u w:val="single"/>
        </w:rPr>
        <w:t>Business Day</w:t>
      </w:r>
      <w:r>
        <w:rPr>
          <w:rFonts w:ascii="Times New Roman" w:hAnsi="Times New Roman"/>
          <w:sz w:val="20"/>
        </w:rPr>
        <w:t xml:space="preserve">” </w:t>
      </w:r>
      <w:r>
        <w:rPr>
          <w:rFonts w:ascii="Times New Roman;serif" w:hAnsi="Times New Roman;serif"/>
          <w:b w:val="false"/>
          <w:sz w:val="24"/>
        </w:rPr>
        <w:t>means a day on which commercial banks are open for business in the cities of New York, New York, Dublin, Ireland, and George Town, Cayman Islands.</w:t>
      </w:r>
    </w:p>
    <w:p>
      <w:pPr>
        <w:pStyle w:val="TextBody"/>
        <w:spacing w:before="228" w:after="0"/>
        <w:jc w:val="both"/>
        <w:rPr/>
      </w:pPr>
      <w:r>
        <w:rPr/>
        <w:t>“</w:t>
      </w:r>
      <w:r>
        <w:rPr>
          <w:rFonts w:ascii="Times New Roman;serif" w:hAnsi="Times New Roman;serif"/>
          <w:b w:val="false"/>
          <w:sz w:val="24"/>
          <w:u w:val="single"/>
        </w:rPr>
        <w:t>Claim</w:t>
      </w:r>
      <w:r>
        <w:rPr>
          <w:rFonts w:ascii="Times New Roman" w:hAnsi="Times New Roman"/>
          <w:sz w:val="20"/>
        </w:rPr>
        <w:t xml:space="preserve">” </w:t>
      </w:r>
      <w:r>
        <w:rPr>
          <w:rFonts w:ascii="Times New Roman;serif" w:hAnsi="Times New Roman;serif"/>
          <w:b w:val="false"/>
          <w:sz w:val="24"/>
        </w:rPr>
        <w:t xml:space="preserve">shall have the meaning specified in </w:t>
      </w:r>
      <w:r>
        <w:rPr>
          <w:rFonts w:ascii="Times New Roman;serif" w:hAnsi="Times New Roman;serif"/>
          <w:b w:val="false"/>
          <w:sz w:val="24"/>
          <w:u w:val="single"/>
        </w:rPr>
        <w:t>Section 8(b)</w:t>
      </w:r>
      <w:r>
        <w:rPr>
          <w:rFonts w:ascii="Times New Roman;serif" w:hAnsi="Times New Roman;serif"/>
          <w:b w:val="false"/>
          <w:sz w:val="24"/>
        </w:rPr>
        <w:t>.</w:t>
      </w:r>
    </w:p>
    <w:p>
      <w:pPr>
        <w:pStyle w:val="TextBody"/>
        <w:spacing w:before="0" w:after="0"/>
        <w:jc w:val="both"/>
        <w:rPr/>
      </w:pPr>
      <w:r>
        <w:rPr/>
        <w:t> </w:t>
      </w:r>
    </w:p>
    <w:p>
      <w:pPr>
        <w:pStyle w:val="HorizontalLine"/>
        <w:rPr/>
      </w:pPr>
      <w:r>
        <w:rPr/>
      </w:r>
    </w:p>
    <w:p>
      <w:pPr>
        <w:pStyle w:val="TextBody"/>
        <w:spacing w:before="61" w:after="0"/>
        <w:jc w:val="both"/>
        <w:rPr/>
      </w:pPr>
      <w:r>
        <w:rPr/>
        <w:t>“</w:t>
      </w:r>
      <w:r>
        <w:rPr>
          <w:rFonts w:ascii="Times New Roman;serif" w:hAnsi="Times New Roman;serif"/>
          <w:b w:val="false"/>
          <w:sz w:val="24"/>
          <w:u w:val="single"/>
        </w:rPr>
        <w:t>Company</w:t>
      </w:r>
      <w:r>
        <w:rPr>
          <w:rFonts w:ascii="Times New Roman" w:hAnsi="Times New Roman"/>
          <w:sz w:val="20"/>
        </w:rPr>
        <w:t xml:space="preserve">” </w:t>
      </w:r>
      <w:r>
        <w:rPr>
          <w:rFonts w:ascii="Times New Roman;serif" w:hAnsi="Times New Roman;serif"/>
          <w:b w:val="false"/>
          <w:sz w:val="24"/>
        </w:rPr>
        <w:t>shall have the meaning specified in the introductory paragraph hereof. “</w:t>
      </w:r>
      <w:r>
        <w:rPr>
          <w:rFonts w:ascii="Times New Roman;serif" w:hAnsi="Times New Roman;serif"/>
          <w:b w:val="false"/>
          <w:sz w:val="24"/>
          <w:u w:val="single"/>
        </w:rPr>
        <w:t>Confidential Information</w:t>
      </w:r>
      <w:r>
        <w:rPr>
          <w:rFonts w:ascii="Times New Roman" w:hAnsi="Times New Roman"/>
          <w:sz w:val="20"/>
        </w:rPr>
        <w:t xml:space="preserve">” </w:t>
      </w:r>
      <w:r>
        <w:rPr>
          <w:rFonts w:ascii="Times New Roman;serif" w:hAnsi="Times New Roman;serif"/>
          <w:b w:val="false"/>
          <w:sz w:val="24"/>
        </w:rPr>
        <w:t xml:space="preserve">shall have the meaning specified in </w:t>
      </w:r>
      <w:r>
        <w:rPr>
          <w:rFonts w:ascii="Times New Roman;serif" w:hAnsi="Times New Roman;serif"/>
          <w:b w:val="false"/>
          <w:sz w:val="24"/>
          <w:u w:val="single"/>
        </w:rPr>
        <w:t>Section 13(a)</w:t>
      </w:r>
      <w:r>
        <w:rPr>
          <w:rFonts w:ascii="Times New Roman;serif" w:hAnsi="Times New Roman;serif"/>
          <w:b w:val="false"/>
          <w:sz w:val="24"/>
        </w:rPr>
        <w:t>.</w:t>
      </w:r>
    </w:p>
    <w:p>
      <w:pPr>
        <w:pStyle w:val="TextBody"/>
        <w:spacing w:before="1" w:after="0"/>
        <w:jc w:val="both"/>
        <w:rPr/>
      </w:pPr>
      <w:r>
        <w:rPr/>
        <w:t>“</w:t>
      </w:r>
      <w:r>
        <w:rPr>
          <w:rFonts w:ascii="Times New Roman;serif" w:hAnsi="Times New Roman;serif"/>
          <w:b w:val="false"/>
          <w:sz w:val="24"/>
          <w:u w:val="single"/>
        </w:rPr>
        <w:t>Control</w:t>
      </w:r>
      <w:r>
        <w:rPr>
          <w:rFonts w:ascii="Times New Roman" w:hAnsi="Times New Roman"/>
          <w:sz w:val="20"/>
        </w:rPr>
        <w:t xml:space="preserve">” </w:t>
      </w:r>
      <w:r>
        <w:rPr>
          <w:rFonts w:ascii="Times New Roman;serif" w:hAnsi="Times New Roman;serif"/>
          <w:b w:val="false"/>
          <w:sz w:val="24"/>
        </w:rPr>
        <w:t>(including its derivatives and similar terms) shall mean possessing, directly or indirectly, the power to direct or cause the direction of the management and policies of any such relevant Person by ownership of voting interest, by contract or otherwise.</w:t>
      </w:r>
    </w:p>
    <w:p>
      <w:pPr>
        <w:pStyle w:val="TextBody"/>
        <w:spacing w:before="229" w:after="0"/>
        <w:jc w:val="both"/>
        <w:rPr/>
      </w:pPr>
      <w:r>
        <w:rPr/>
        <w:t>“</w:t>
      </w:r>
      <w:r>
        <w:rPr>
          <w:rFonts w:ascii="Times New Roman;serif" w:hAnsi="Times New Roman;serif"/>
          <w:b w:val="false"/>
          <w:sz w:val="24"/>
          <w:u w:val="single"/>
        </w:rPr>
        <w:t>Covered Losses</w:t>
      </w:r>
      <w:r>
        <w:rPr>
          <w:rFonts w:ascii="Times New Roman" w:hAnsi="Times New Roman"/>
          <w:sz w:val="20"/>
        </w:rPr>
        <w:t xml:space="preserve">” </w:t>
      </w:r>
      <w:r>
        <w:rPr>
          <w:rFonts w:ascii="Times New Roman;serif" w:hAnsi="Times New Roman;serif"/>
          <w:b w:val="false"/>
          <w:sz w:val="24"/>
        </w:rPr>
        <w:t>shall mean any and all losses, claims, liabilities, damages, expenses or costs (including any claim, judgment, award, settlement, legal and other professional fees and disbursements, and other costs or expenses) incurred by or asserted against any Covered Person, whether or not matured or unmatured or whether or not asserted or brought due to contractual or other restrictions, joint or several.</w:t>
      </w:r>
    </w:p>
    <w:p>
      <w:pPr>
        <w:pStyle w:val="TextBody"/>
        <w:spacing w:before="1" w:after="0"/>
        <w:jc w:val="left"/>
        <w:rPr/>
      </w:pPr>
      <w:r>
        <w:rPr/>
        <w:t> </w:t>
      </w:r>
    </w:p>
    <w:p>
      <w:pPr>
        <w:pStyle w:val="TextBody"/>
        <w:spacing w:before="0" w:after="0"/>
        <w:jc w:val="both"/>
        <w:rPr/>
      </w:pPr>
      <w:r>
        <w:rPr/>
        <w:t>“</w:t>
      </w:r>
      <w:r>
        <w:rPr>
          <w:rFonts w:ascii="Times New Roman;serif" w:hAnsi="Times New Roman;serif"/>
          <w:b w:val="false"/>
          <w:sz w:val="24"/>
          <w:u w:val="single"/>
        </w:rPr>
        <w:t>Covered Person</w:t>
      </w:r>
      <w:r>
        <w:rPr>
          <w:rFonts w:ascii="Times New Roman" w:hAnsi="Times New Roman"/>
          <w:sz w:val="20"/>
        </w:rPr>
        <w:t xml:space="preserve">” </w:t>
      </w:r>
      <w:r>
        <w:rPr>
          <w:rFonts w:ascii="Times New Roman;serif" w:hAnsi="Times New Roman;serif"/>
          <w:b w:val="false"/>
          <w:sz w:val="24"/>
        </w:rPr>
        <w:t>shall mean each of the Service Provider, its Affiliates and its and their respective Representatives.</w:t>
      </w:r>
    </w:p>
    <w:p>
      <w:pPr>
        <w:pStyle w:val="TextBody"/>
        <w:spacing w:before="5" w:after="0"/>
        <w:jc w:val="left"/>
        <w:rPr/>
      </w:pPr>
      <w:r>
        <w:rPr/>
        <w:t> </w:t>
      </w:r>
    </w:p>
    <w:p>
      <w:pPr>
        <w:pStyle w:val="TextBody"/>
        <w:spacing w:before="0" w:after="0"/>
        <w:jc w:val="both"/>
        <w:rPr/>
      </w:pPr>
      <w:r>
        <w:rPr/>
        <w:t>“</w:t>
      </w:r>
      <w:r>
        <w:rPr>
          <w:rFonts w:ascii="Times New Roman;serif" w:hAnsi="Times New Roman;serif"/>
          <w:b w:val="false"/>
          <w:sz w:val="24"/>
          <w:u w:val="single"/>
        </w:rPr>
        <w:t>Governmental Authority</w:t>
      </w:r>
      <w:r>
        <w:rPr>
          <w:rFonts w:ascii="Times New Roman" w:hAnsi="Times New Roman"/>
          <w:sz w:val="20"/>
        </w:rPr>
        <w:t xml:space="preserve">” </w:t>
      </w:r>
      <w:r>
        <w:rPr>
          <w:rFonts w:ascii="Times New Roman;serif" w:hAnsi="Times New Roman;serif"/>
          <w:b w:val="false"/>
          <w:sz w:val="24"/>
        </w:rPr>
        <w:t>shall mean (i) any government or quasi-governmental authority or political subdivision thereof, national, state, county, municipal or regional, whether U.S. or non- U.S.; (ii) any agency, regulator, arbitrator, board, body, branch, bureau, commission, corporation, department, master, mediator, panel, referee, system or instrumentality of any such government, political subdivision or other government or quasi-government entity, whether non-U.S. or U.S.; and (iii) any court, whether U.S. or non-U.S.</w:t>
      </w:r>
    </w:p>
    <w:p>
      <w:pPr>
        <w:pStyle w:val="TextBody"/>
        <w:spacing w:before="3" w:after="0"/>
        <w:jc w:val="left"/>
        <w:rPr/>
      </w:pPr>
      <w:r>
        <w:rPr/>
        <w:t> </w:t>
      </w:r>
    </w:p>
    <w:p>
      <w:pPr>
        <w:pStyle w:val="TextBody"/>
        <w:spacing w:before="0" w:after="0"/>
        <w:jc w:val="both"/>
        <w:rPr/>
      </w:pPr>
      <w:r>
        <w:rPr/>
        <w:t>“</w:t>
      </w:r>
      <w:r>
        <w:rPr>
          <w:rFonts w:ascii="Times New Roman;serif" w:hAnsi="Times New Roman;serif"/>
          <w:b w:val="false"/>
          <w:sz w:val="24"/>
          <w:u w:val="single"/>
        </w:rPr>
        <w:t>Initial Term</w:t>
      </w:r>
      <w:r>
        <w:rPr>
          <w:rFonts w:ascii="Times New Roman" w:hAnsi="Times New Roman"/>
          <w:sz w:val="20"/>
        </w:rPr>
        <w:t xml:space="preserve">” </w:t>
      </w:r>
      <w:r>
        <w:rPr>
          <w:rFonts w:ascii="Times New Roman;serif" w:hAnsi="Times New Roman;serif"/>
          <w:b w:val="false"/>
          <w:sz w:val="24"/>
        </w:rPr>
        <w:t xml:space="preserve">shall have the meaning specified in </w:t>
      </w:r>
      <w:r>
        <w:rPr>
          <w:rFonts w:ascii="Times New Roman;serif" w:hAnsi="Times New Roman;serif"/>
          <w:b w:val="false"/>
          <w:sz w:val="24"/>
          <w:u w:val="single"/>
        </w:rPr>
        <w:t>Section 9(a)</w:t>
      </w:r>
      <w:r>
        <w:rPr>
          <w:rFonts w:ascii="Times New Roman;serif" w:hAnsi="Times New Roman;serif"/>
          <w:b w:val="false"/>
          <w:sz w:val="24"/>
        </w:rPr>
        <w:t>.</w:t>
      </w:r>
    </w:p>
    <w:p>
      <w:pPr>
        <w:pStyle w:val="TextBody"/>
        <w:spacing w:before="233" w:after="0"/>
        <w:jc w:val="both"/>
        <w:rPr/>
      </w:pPr>
      <w:r>
        <w:rPr/>
        <w:t>“</w:t>
      </w:r>
      <w:r>
        <w:rPr>
          <w:rFonts w:ascii="Times New Roman;serif" w:hAnsi="Times New Roman;serif"/>
          <w:b w:val="false"/>
          <w:sz w:val="24"/>
          <w:u w:val="single"/>
        </w:rPr>
        <w:t>Material Adverse Effect</w:t>
      </w:r>
      <w:r>
        <w:rPr>
          <w:rFonts w:ascii="Times New Roman" w:hAnsi="Times New Roman"/>
          <w:sz w:val="20"/>
        </w:rPr>
        <w:t xml:space="preserve">” </w:t>
      </w:r>
      <w:r>
        <w:rPr>
          <w:rFonts w:ascii="Times New Roman;serif" w:hAnsi="Times New Roman;serif"/>
          <w:b w:val="false"/>
          <w:sz w:val="24"/>
        </w:rPr>
        <w:t>shall mean any event or circumstance that has a material adverse effect on (i) the business, operations, assets or financial condition of the Company or the Service Provider and its Affiliates, as applicable, taken as a whole; (ii) the validity or enforceability of this Agreement; or (iii) the performance by the Company or the Service Provider, as applicable, of its obligations under this Agreement.</w:t>
      </w:r>
    </w:p>
    <w:p>
      <w:pPr>
        <w:pStyle w:val="TextBody"/>
        <w:spacing w:before="1" w:after="0"/>
        <w:jc w:val="left"/>
        <w:rPr/>
      </w:pPr>
      <w:r>
        <w:rPr/>
        <w:t> </w:t>
      </w:r>
    </w:p>
    <w:p>
      <w:pPr>
        <w:pStyle w:val="TextBody"/>
        <w:spacing w:before="0" w:after="0"/>
        <w:jc w:val="both"/>
        <w:rPr/>
      </w:pPr>
      <w:r>
        <w:rPr/>
        <w:t>“</w:t>
      </w:r>
      <w:r>
        <w:rPr>
          <w:rFonts w:ascii="Times New Roman;serif" w:hAnsi="Times New Roman;serif"/>
          <w:b w:val="false"/>
          <w:sz w:val="24"/>
          <w:u w:val="single"/>
        </w:rPr>
        <w:t>Organizational Document</w:t>
      </w:r>
      <w:r>
        <w:rPr>
          <w:rFonts w:ascii="Times New Roman" w:hAnsi="Times New Roman"/>
          <w:sz w:val="20"/>
        </w:rPr>
        <w:t xml:space="preserve">” </w:t>
      </w:r>
      <w:r>
        <w:rPr>
          <w:rFonts w:ascii="Times New Roman;serif" w:hAnsi="Times New Roman;serif"/>
          <w:b w:val="false"/>
          <w:sz w:val="24"/>
        </w:rPr>
        <w:t>shall mean, with respect to any Person, (i) if a corporation, the memorandum and articles of association or the certificate of incorporation and the bylaws; (ii) if a general partnership, any agreement and any statement of partnership; (iii) if a limited partnership, the limited partnership agreement and the certificate of limited partnership; (iv) if a limited liability company, the certificate or articles of organization and operating agreement; (v) if a limited liability partnership, the members’ agreement and the certificate of incorporation; (vi) any other charter or similar document adopted or filed in connection with the creation, formation or organization of a Person; (vii) all equityholders’ agreements, voting agreements, voting trust agreements, joint venture agreements, or other agreements or documents relating to the organization, management or operation of any Person, or relating to the rights, duties and obligations of the equityholders of any Person; and (viii) any amendment, modification, restatement or supplement to any of the foregoing.</w:t>
      </w:r>
    </w:p>
    <w:p>
      <w:pPr>
        <w:pStyle w:val="TextBody"/>
        <w:spacing w:before="10" w:after="0"/>
        <w:jc w:val="left"/>
        <w:rPr/>
      </w:pPr>
      <w:r>
        <w:rPr/>
        <w:t> </w:t>
      </w:r>
    </w:p>
    <w:p>
      <w:pPr>
        <w:pStyle w:val="TextBody"/>
        <w:spacing w:before="0" w:after="0"/>
        <w:jc w:val="both"/>
        <w:rPr/>
      </w:pPr>
      <w:r>
        <w:rPr/>
        <w:t>“</w:t>
      </w:r>
      <w:r>
        <w:rPr>
          <w:rFonts w:ascii="Times New Roman;serif" w:hAnsi="Times New Roman;serif"/>
          <w:b w:val="false"/>
          <w:sz w:val="24"/>
          <w:u w:val="single"/>
        </w:rPr>
        <w:t>Person</w:t>
      </w:r>
      <w:r>
        <w:rPr>
          <w:rFonts w:ascii="Times New Roman" w:hAnsi="Times New Roman"/>
          <w:sz w:val="20"/>
        </w:rPr>
        <w:t xml:space="preserve">” </w:t>
      </w:r>
      <w:r>
        <w:rPr>
          <w:rFonts w:ascii="Times New Roman;serif" w:hAnsi="Times New Roman;serif"/>
          <w:b w:val="false"/>
          <w:sz w:val="24"/>
        </w:rPr>
        <w:t>shall mean a corporation, an association, a partnership (general or limited), a limited liability company, an exempted company, an exempted limited partnership, a limited liability partnership, a business trust, an organization, an estate, a custodian, a joint venture, a</w:t>
      </w:r>
    </w:p>
    <w:p>
      <w:pPr>
        <w:pStyle w:val="TextBody"/>
        <w:spacing w:before="0" w:after="0"/>
        <w:jc w:val="both"/>
        <w:rPr/>
      </w:pPr>
      <w:r>
        <w:rPr/>
        <w:t> </w:t>
      </w:r>
    </w:p>
    <w:p>
      <w:pPr>
        <w:pStyle w:val="TextBody"/>
        <w:spacing w:before="0" w:after="0"/>
        <w:jc w:val="left"/>
        <w:rPr/>
      </w:pPr>
      <w:r>
        <w:rPr/>
        <w:t> </w:t>
      </w:r>
    </w:p>
    <w:p>
      <w:pPr>
        <w:pStyle w:val="TextBody"/>
        <w:spacing w:before="10" w:after="0"/>
        <w:jc w:val="left"/>
        <w:rPr>
          <w:rFonts w:ascii="Times New Roman;serif" w:hAnsi="Times New Roman;serif"/>
          <w:b w:val="false"/>
          <w:sz w:val="24"/>
        </w:rPr>
      </w:pPr>
      <w:r>
        <w:rPr>
          <w:rFonts w:ascii="Times New Roman;serif" w:hAnsi="Times New Roman;serif"/>
          <w:b w:val="false"/>
          <w:sz w:val="24"/>
        </w:rPr>
        <w:t>2</w:t>
      </w:r>
    </w:p>
    <w:p>
      <w:pPr>
        <w:pStyle w:val="HorizontalLine"/>
        <w:rPr/>
      </w:pPr>
      <w:r>
        <w:rPr/>
      </w:r>
    </w:p>
    <w:p>
      <w:pPr>
        <w:pStyle w:val="TextBody"/>
        <w:spacing w:before="76" w:after="0"/>
        <w:jc w:val="both"/>
        <w:rPr>
          <w:rFonts w:ascii="Times New Roman;serif" w:hAnsi="Times New Roman;serif"/>
          <w:b w:val="false"/>
          <w:sz w:val="24"/>
        </w:rPr>
      </w:pPr>
      <w:r>
        <w:rPr>
          <w:rFonts w:ascii="Times New Roman;serif" w:hAnsi="Times New Roman;serif"/>
          <w:b w:val="false"/>
          <w:sz w:val="24"/>
        </w:rPr>
        <w:t>nominee, a proprietorship or any other legal entity, a natural person, a government or political subdivision thereof or a Governmental Authority.</w:t>
      </w:r>
    </w:p>
    <w:p>
      <w:pPr>
        <w:pStyle w:val="TextBody"/>
        <w:spacing w:before="10" w:after="0"/>
        <w:jc w:val="left"/>
        <w:rPr/>
      </w:pPr>
      <w:r>
        <w:rPr/>
        <w:t> </w:t>
      </w:r>
    </w:p>
    <w:p>
      <w:pPr>
        <w:pStyle w:val="TextBody"/>
        <w:spacing w:before="0" w:after="0"/>
        <w:jc w:val="both"/>
        <w:rPr/>
      </w:pPr>
      <w:r>
        <w:rPr/>
        <w:t>“</w:t>
      </w:r>
      <w:r>
        <w:rPr>
          <w:rFonts w:ascii="Times New Roman;serif" w:hAnsi="Times New Roman;serif"/>
          <w:b w:val="false"/>
          <w:sz w:val="24"/>
          <w:u w:val="single"/>
        </w:rPr>
        <w:t>Proceedings</w:t>
      </w:r>
      <w:r>
        <w:rPr>
          <w:rFonts w:ascii="Times New Roman" w:hAnsi="Times New Roman"/>
          <w:sz w:val="20"/>
        </w:rPr>
        <w:t xml:space="preserve">” </w:t>
      </w:r>
      <w:r>
        <w:rPr>
          <w:rFonts w:ascii="Times New Roman;serif" w:hAnsi="Times New Roman;serif"/>
          <w:b w:val="false"/>
          <w:sz w:val="24"/>
        </w:rPr>
        <w:t xml:space="preserve">shall have the meaning specified in </w:t>
      </w:r>
      <w:r>
        <w:rPr>
          <w:rFonts w:ascii="Times New Roman;serif" w:hAnsi="Times New Roman;serif"/>
          <w:b w:val="false"/>
          <w:sz w:val="24"/>
          <w:u w:val="single"/>
        </w:rPr>
        <w:t>Section 15(b)</w:t>
      </w:r>
      <w:r>
        <w:rPr>
          <w:rFonts w:ascii="Times New Roman;serif" w:hAnsi="Times New Roman;serif"/>
          <w:b w:val="false"/>
          <w:sz w:val="24"/>
        </w:rPr>
        <w:t>. “</w:t>
      </w:r>
      <w:r>
        <w:rPr>
          <w:rFonts w:ascii="Times New Roman;serif" w:hAnsi="Times New Roman;serif"/>
          <w:b w:val="false"/>
          <w:sz w:val="24"/>
          <w:u w:val="single"/>
        </w:rPr>
        <w:t>Renewal Term</w:t>
      </w:r>
      <w:r>
        <w:rPr>
          <w:rFonts w:ascii="Times New Roman" w:hAnsi="Times New Roman"/>
          <w:sz w:val="20"/>
        </w:rPr>
        <w:t xml:space="preserve">” </w:t>
      </w:r>
      <w:r>
        <w:rPr>
          <w:rFonts w:ascii="Times New Roman;serif" w:hAnsi="Times New Roman;serif"/>
          <w:b w:val="false"/>
          <w:sz w:val="24"/>
        </w:rPr>
        <w:t xml:space="preserve">shall have the meaning specified in </w:t>
      </w:r>
      <w:r>
        <w:rPr>
          <w:rFonts w:ascii="Times New Roman;serif" w:hAnsi="Times New Roman;serif"/>
          <w:b w:val="false"/>
          <w:sz w:val="24"/>
          <w:u w:val="single"/>
        </w:rPr>
        <w:t>Section 9(a)</w:t>
      </w:r>
      <w:r>
        <w:rPr>
          <w:rFonts w:ascii="Times New Roman;serif" w:hAnsi="Times New Roman;serif"/>
          <w:b w:val="false"/>
          <w:sz w:val="24"/>
        </w:rPr>
        <w:t>.</w:t>
      </w:r>
    </w:p>
    <w:p>
      <w:pPr>
        <w:pStyle w:val="TextBody"/>
        <w:spacing w:before="0" w:after="0"/>
        <w:jc w:val="both"/>
        <w:rPr/>
      </w:pPr>
      <w:r>
        <w:rPr/>
        <w:t>“</w:t>
      </w:r>
      <w:r>
        <w:rPr>
          <w:rFonts w:ascii="Times New Roman;serif" w:hAnsi="Times New Roman;serif"/>
          <w:b w:val="false"/>
          <w:sz w:val="24"/>
          <w:u w:val="single"/>
        </w:rPr>
        <w:t>Representatives</w:t>
      </w:r>
      <w:r>
        <w:rPr>
          <w:rFonts w:ascii="Times New Roman" w:hAnsi="Times New Roman"/>
          <w:sz w:val="20"/>
        </w:rPr>
        <w:t xml:space="preserve">” </w:t>
      </w:r>
      <w:r>
        <w:rPr>
          <w:rFonts w:ascii="Times New Roman;serif" w:hAnsi="Times New Roman;serif"/>
          <w:b w:val="false"/>
          <w:sz w:val="24"/>
        </w:rPr>
        <w:t>shall mean, when used with respect to any Person, such Person’s Affiliates, and its and their respective current or former partners, directors, members, direct or indirect equity owners, officers, principals, managers, employees, agents, consultants, advisors or representatives. For the avoidance of doubt, the Service Provider shall not be deemed to be a Representative of the Company for purposes of this Agreement.</w:t>
      </w:r>
    </w:p>
    <w:p>
      <w:pPr>
        <w:pStyle w:val="TextBody"/>
        <w:spacing w:before="9" w:after="0"/>
        <w:jc w:val="both"/>
        <w:rPr/>
      </w:pPr>
      <w:r>
        <w:rPr/>
        <w:t>“</w:t>
      </w:r>
      <w:r>
        <w:rPr>
          <w:rFonts w:ascii="Times New Roman;serif" w:hAnsi="Times New Roman;serif"/>
          <w:b w:val="false"/>
          <w:sz w:val="24"/>
          <w:u w:val="single"/>
        </w:rPr>
        <w:t>Service Provider</w:t>
      </w:r>
      <w:r>
        <w:rPr>
          <w:rFonts w:ascii="Times New Roman" w:hAnsi="Times New Roman"/>
          <w:sz w:val="20"/>
        </w:rPr>
        <w:t xml:space="preserve">” </w:t>
      </w:r>
      <w:r>
        <w:rPr>
          <w:rFonts w:ascii="Times New Roman;serif" w:hAnsi="Times New Roman;serif"/>
          <w:b w:val="false"/>
          <w:sz w:val="24"/>
        </w:rPr>
        <w:t>shall have the meaning specified in the introductory paragraph hereof. “</w:t>
      </w:r>
      <w:r>
        <w:rPr>
          <w:rFonts w:ascii="Times New Roman;serif" w:hAnsi="Times New Roman;serif"/>
          <w:b w:val="false"/>
          <w:sz w:val="24"/>
          <w:u w:val="single"/>
        </w:rPr>
        <w:t>Service Provider Expenses</w:t>
      </w:r>
      <w:r>
        <w:rPr>
          <w:rFonts w:ascii="Times New Roman" w:hAnsi="Times New Roman"/>
          <w:sz w:val="20"/>
        </w:rPr>
        <w:t xml:space="preserve">” </w:t>
      </w:r>
      <w:r>
        <w:rPr>
          <w:rFonts w:ascii="Times New Roman;serif" w:hAnsi="Times New Roman;serif"/>
          <w:b w:val="false"/>
          <w:sz w:val="24"/>
        </w:rPr>
        <w:t>shall mean any and all out-of-pocket costs and expenses</w:t>
      </w:r>
    </w:p>
    <w:p>
      <w:pPr>
        <w:pStyle w:val="TextBody"/>
        <w:spacing w:before="1" w:after="0"/>
        <w:jc w:val="both"/>
        <w:rPr>
          <w:rFonts w:ascii="Times New Roman" w:hAnsi="Times New Roman"/>
          <w:sz w:val="20"/>
        </w:rPr>
      </w:pPr>
      <w:r>
        <w:rPr>
          <w:rFonts w:ascii="Times New Roman;serif" w:hAnsi="Times New Roman;serif"/>
          <w:b w:val="false"/>
          <w:sz w:val="24"/>
        </w:rPr>
        <w:t xml:space="preserve">related in any way to the activities of the Service Provider, its Affiliates or any of its and their respective Representatives under this Agreement; </w:t>
      </w:r>
      <w:r>
        <w:rPr>
          <w:rFonts w:ascii="Times New Roman;serif" w:hAnsi="Times New Roman;serif"/>
          <w:b w:val="false"/>
          <w:i/>
          <w:sz w:val="24"/>
        </w:rPr>
        <w:t>provided</w:t>
      </w:r>
      <w:r>
        <w:rPr>
          <w:rFonts w:ascii="Times New Roman;serif" w:hAnsi="Times New Roman;serif"/>
          <w:b w:val="false"/>
          <w:sz w:val="24"/>
        </w:rPr>
        <w:t xml:space="preserve">, </w:t>
      </w:r>
      <w:r>
        <w:rPr>
          <w:rFonts w:ascii="Times New Roman;serif" w:hAnsi="Times New Roman;serif"/>
          <w:b w:val="false"/>
          <w:i/>
          <w:sz w:val="24"/>
        </w:rPr>
        <w:t xml:space="preserve">however, </w:t>
      </w:r>
      <w:r>
        <w:rPr>
          <w:rFonts w:ascii="Times New Roman;serif" w:hAnsi="Times New Roman;serif"/>
          <w:b w:val="false"/>
          <w:sz w:val="24"/>
        </w:rPr>
        <w:t>that Service Provider Expenses shall not include general administrative and overhead costs and expenses incurred by the Service Provider, its Affiliates or any of its and their respective Representatives (including all employee wages, benefits, bonuses, severance payments and employment taxes (including social security taxes and unemployment taxes)).</w:t>
      </w:r>
    </w:p>
    <w:p>
      <w:pPr>
        <w:pStyle w:val="TextBody"/>
        <w:spacing w:before="228" w:after="0"/>
        <w:jc w:val="both"/>
        <w:rPr/>
      </w:pPr>
      <w:r>
        <w:rPr/>
        <w:t>“</w:t>
      </w:r>
      <w:r>
        <w:rPr>
          <w:rFonts w:ascii="Times New Roman;serif" w:hAnsi="Times New Roman;serif"/>
          <w:b w:val="false"/>
          <w:sz w:val="24"/>
          <w:u w:val="single"/>
        </w:rPr>
        <w:t>Service Provider Fee</w:t>
      </w:r>
      <w:r>
        <w:rPr>
          <w:rFonts w:ascii="Times New Roman" w:hAnsi="Times New Roman"/>
          <w:sz w:val="20"/>
        </w:rPr>
        <w:t xml:space="preserve">” </w:t>
      </w:r>
      <w:r>
        <w:rPr>
          <w:rFonts w:ascii="Times New Roman;serif" w:hAnsi="Times New Roman;serif"/>
          <w:b w:val="false"/>
          <w:sz w:val="24"/>
        </w:rPr>
        <w:t xml:space="preserve">shall have the meaning specified in </w:t>
      </w:r>
      <w:r>
        <w:rPr>
          <w:rFonts w:ascii="Times New Roman;serif" w:hAnsi="Times New Roman;serif"/>
          <w:b w:val="false"/>
          <w:sz w:val="24"/>
          <w:u w:val="single"/>
        </w:rPr>
        <w:t>Section 7(a)</w:t>
      </w:r>
      <w:r>
        <w:rPr>
          <w:rFonts w:ascii="Times New Roman;serif" w:hAnsi="Times New Roman;serif"/>
          <w:b w:val="false"/>
          <w:sz w:val="24"/>
        </w:rPr>
        <w:t>. “</w:t>
      </w:r>
      <w:r>
        <w:rPr>
          <w:rFonts w:ascii="Times New Roman;serif" w:hAnsi="Times New Roman;serif"/>
          <w:b w:val="false"/>
          <w:sz w:val="24"/>
          <w:u w:val="single"/>
        </w:rPr>
        <w:t>Services</w:t>
      </w:r>
      <w:r>
        <w:rPr>
          <w:rFonts w:ascii="Times New Roman" w:hAnsi="Times New Roman"/>
          <w:sz w:val="20"/>
        </w:rPr>
        <w:t xml:space="preserve">” </w:t>
      </w:r>
      <w:r>
        <w:rPr>
          <w:rFonts w:ascii="Times New Roman;serif" w:hAnsi="Times New Roman;serif"/>
          <w:b w:val="false"/>
          <w:sz w:val="24"/>
        </w:rPr>
        <w:t xml:space="preserve">shall have the meaning specified in </w:t>
      </w:r>
      <w:r>
        <w:rPr>
          <w:rFonts w:ascii="Times New Roman;serif" w:hAnsi="Times New Roman;serif"/>
          <w:b w:val="false"/>
          <w:sz w:val="24"/>
          <w:u w:val="single"/>
        </w:rPr>
        <w:t>Section 3(a)</w:t>
      </w:r>
      <w:r>
        <w:rPr>
          <w:rFonts w:ascii="Times New Roman;serif" w:hAnsi="Times New Roman;serif"/>
          <w:b w:val="false"/>
          <w:sz w:val="24"/>
        </w:rPr>
        <w:t>.</w:t>
      </w:r>
    </w:p>
    <w:p>
      <w:pPr>
        <w:pStyle w:val="TextBody"/>
        <w:spacing w:before="0" w:after="0"/>
        <w:jc w:val="both"/>
        <w:rPr/>
      </w:pPr>
      <w:r>
        <w:rPr/>
        <w:t>“</w:t>
      </w:r>
      <w:r>
        <w:rPr>
          <w:rFonts w:ascii="Times New Roman;serif" w:hAnsi="Times New Roman;serif"/>
          <w:b w:val="false"/>
          <w:sz w:val="24"/>
          <w:u w:val="single"/>
        </w:rPr>
        <w:t>Subsidiary</w:t>
      </w:r>
      <w:r>
        <w:rPr>
          <w:rFonts w:ascii="Times New Roman" w:hAnsi="Times New Roman"/>
          <w:sz w:val="20"/>
        </w:rPr>
        <w:t xml:space="preserve">” </w:t>
      </w:r>
      <w:r>
        <w:rPr>
          <w:rFonts w:ascii="Times New Roman;serif" w:hAnsi="Times New Roman;serif"/>
          <w:b w:val="false"/>
          <w:sz w:val="24"/>
        </w:rPr>
        <w:t>shall mean, with respect to a Person, a corporation, partnership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w:t>
      </w:r>
    </w:p>
    <w:p>
      <w:pPr>
        <w:pStyle w:val="TextBody"/>
        <w:spacing w:before="214" w:after="0"/>
        <w:jc w:val="both"/>
        <w:rPr>
          <w:rFonts w:ascii="Times New Roman" w:hAnsi="Times New Roman"/>
          <w:sz w:val="20"/>
        </w:rPr>
      </w:pPr>
      <w:r>
        <w:rPr>
          <w:rFonts w:ascii="Times New Roman;serif" w:hAnsi="Times New Roman;serif"/>
          <w:b w:val="false"/>
          <w:sz w:val="24"/>
        </w:rPr>
        <w:t xml:space="preserve">Section 2. </w:t>
      </w:r>
      <w:r>
        <w:rPr>
          <w:rFonts w:ascii="Times New Roman;serif" w:hAnsi="Times New Roman;serif"/>
          <w:b w:val="false"/>
          <w:sz w:val="24"/>
          <w:u w:val="single"/>
        </w:rPr>
        <w:t>Interpretation</w:t>
      </w:r>
      <w:r>
        <w:rPr>
          <w:rFonts w:ascii="Times New Roman;serif" w:hAnsi="Times New Roman;serif"/>
          <w:b w:val="false"/>
          <w:sz w:val="24"/>
        </w:rPr>
        <w:t xml:space="preserve">. Unless otherwise specified therein, all terms defined in this Agreement have the meanings as so defined herein when used in any certificate, report or other document made or delivered pursuant hereto or thereto: (i) each term defined in the singular form in </w:t>
      </w:r>
      <w:r>
        <w:rPr>
          <w:rFonts w:ascii="Times New Roman;serif" w:hAnsi="Times New Roman;serif"/>
          <w:b w:val="false"/>
          <w:sz w:val="24"/>
          <w:u w:val="single"/>
        </w:rPr>
        <w:t>Section 1</w:t>
      </w:r>
      <w:r>
        <w:rPr>
          <w:rFonts w:ascii="Times New Roman" w:hAnsi="Times New Roman"/>
          <w:sz w:val="20"/>
        </w:rPr>
        <w:t xml:space="preserve"> </w:t>
      </w:r>
      <w:r>
        <w:rPr>
          <w:rFonts w:ascii="Times New Roman;serif" w:hAnsi="Times New Roman;serif"/>
          <w:b w:val="false"/>
          <w:sz w:val="24"/>
        </w:rPr>
        <w:t xml:space="preserve">or elsewhere herein shall mean the plural thereof when the plural form of such term is used herein or any other certificate, report or other document made or delivered pursuant hereto or thereto, and each term defined in the plural form in </w:t>
      </w:r>
      <w:r>
        <w:rPr>
          <w:rFonts w:ascii="Times New Roman;serif" w:hAnsi="Times New Roman;serif"/>
          <w:b w:val="false"/>
          <w:sz w:val="24"/>
          <w:u w:val="single"/>
        </w:rPr>
        <w:t>Section 1</w:t>
      </w:r>
      <w:r>
        <w:rPr>
          <w:rFonts w:ascii="Times New Roman" w:hAnsi="Times New Roman"/>
          <w:sz w:val="20"/>
        </w:rPr>
        <w:t xml:space="preserve"> </w:t>
      </w:r>
      <w:r>
        <w:rPr>
          <w:rFonts w:ascii="Times New Roman;serif" w:hAnsi="Times New Roman;serif"/>
          <w:b w:val="false"/>
          <w:sz w:val="24"/>
        </w:rPr>
        <w:t>shall mean the singular thereof when the singular form of such term is used herein or therein; (ii) the words “hereof,” “herein,” “hereunder” and similar terms when used in this Agreement shall refer to this Agreement as a whole and not to any particular provision of this Agreement, the term “including” means “including without limitation,” and article, section, subsection, schedule and exhibit references herein are references to articles, sections, subsections, schedules and exhibits to this Agreement unless otherwise specified; (iii) unless otherwise specified, each reference to any agreement, including this Agreement, document or instrument means such agreement, document or instrument as amended, modified, waived, supplemented, restated or replaced and in effect from time to time</w:t>
      </w:r>
    </w:p>
    <w:p>
      <w:pPr>
        <w:pStyle w:val="TextBody"/>
        <w:spacing w:before="0" w:after="0"/>
        <w:jc w:val="both"/>
        <w:rPr/>
      </w:pPr>
      <w:r>
        <w:rPr/>
        <w:t> </w:t>
      </w:r>
    </w:p>
    <w:p>
      <w:pPr>
        <w:pStyle w:val="TextBody"/>
        <w:spacing w:before="0" w:after="0"/>
        <w:jc w:val="left"/>
        <w:rPr/>
      </w:pPr>
      <w:r>
        <w:rPr/>
        <w:t> </w:t>
      </w:r>
    </w:p>
    <w:p>
      <w:pPr>
        <w:pStyle w:val="TextBody"/>
        <w:spacing w:before="10" w:after="0"/>
        <w:jc w:val="left"/>
        <w:rPr>
          <w:rFonts w:ascii="Times New Roman;serif" w:hAnsi="Times New Roman;serif"/>
          <w:b w:val="false"/>
          <w:sz w:val="24"/>
        </w:rPr>
      </w:pPr>
      <w:r>
        <w:rPr>
          <w:rFonts w:ascii="Times New Roman;serif" w:hAnsi="Times New Roman;serif"/>
          <w:b w:val="false"/>
          <w:sz w:val="24"/>
        </w:rPr>
        <w:t>3</w:t>
      </w:r>
    </w:p>
    <w:p>
      <w:pPr>
        <w:pStyle w:val="HorizontalLine"/>
        <w:rPr/>
      </w:pPr>
      <w:r>
        <w:rPr/>
      </w:r>
    </w:p>
    <w:p>
      <w:pPr>
        <w:pStyle w:val="TextBody"/>
        <w:spacing w:before="76" w:after="0"/>
        <w:jc w:val="both"/>
        <w:rPr>
          <w:rFonts w:ascii="Times New Roman;serif" w:hAnsi="Times New Roman;serif"/>
          <w:b w:val="false"/>
          <w:sz w:val="24"/>
        </w:rPr>
      </w:pPr>
      <w:r>
        <w:rPr>
          <w:rFonts w:ascii="Times New Roman;serif" w:hAnsi="Times New Roman;serif"/>
          <w:b w:val="false"/>
          <w:sz w:val="24"/>
        </w:rPr>
        <w:t>in accordance with the terms thereof; (iv) any reference to any Person includes such Person’s successors and assigns but, if applicable, only if such successors and assigns are permitted hereunder; (v) any reference to any gender includes each other gender and (vi) any reference to day or days without further qualification means calendar days.</w:t>
      </w:r>
    </w:p>
    <w:p>
      <w:pPr>
        <w:pStyle w:val="TextBody"/>
        <w:spacing w:before="4"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Section 3. </w:t>
      </w:r>
      <w:r>
        <w:rPr>
          <w:rFonts w:ascii="Times New Roman;serif" w:hAnsi="Times New Roman;serif"/>
          <w:b w:val="false"/>
          <w:sz w:val="24"/>
          <w:u w:val="single"/>
        </w:rPr>
        <w:t>Appointment of Service Provider; Limited Scope of Services</w:t>
      </w:r>
      <w:r>
        <w:rPr>
          <w:rFonts w:ascii="Times New Roman;serif" w:hAnsi="Times New Roman;serif"/>
          <w:b w:val="false"/>
          <w:sz w:val="24"/>
        </w:rPr>
        <w:t>.</w:t>
      </w:r>
    </w:p>
    <w:p>
      <w:pPr>
        <w:pStyle w:val="TextBody"/>
        <w:spacing w:before="233" w:after="0"/>
        <w:jc w:val="both"/>
        <w:rPr>
          <w:rFonts w:ascii="Times New Roman" w:hAnsi="Times New Roman"/>
          <w:b w:val="false"/>
          <w:sz w:val="24"/>
        </w:rPr>
      </w:pPr>
      <w:r>
        <w:rPr>
          <w:rFonts w:ascii="Times New Roman" w:hAnsi="Times New Roman"/>
          <w:b w:val="false"/>
          <w:sz w:val="24"/>
        </w:rPr>
        <w:t>(a)</w:t>
      </w:r>
    </w:p>
    <w:p>
      <w:pPr>
        <w:pStyle w:val="TextBody"/>
        <w:spacing w:before="233" w:after="283"/>
        <w:jc w:val="both"/>
        <w:rPr/>
      </w:pPr>
      <w:r>
        <w:rPr>
          <w:rFonts w:ascii="Times New Roman;serif" w:hAnsi="Times New Roman;serif"/>
          <w:b w:val="false"/>
          <w:sz w:val="24"/>
        </w:rPr>
        <w:t xml:space="preserve">The Company hereby appoints the Service Provider to provide certain services set forth on </w:t>
      </w:r>
      <w:r>
        <w:rPr>
          <w:rFonts w:ascii="Times New Roman;serif" w:hAnsi="Times New Roman;serif"/>
          <w:b w:val="false"/>
          <w:sz w:val="24"/>
          <w:u w:val="single"/>
        </w:rPr>
        <w:t>Exhibit A</w:t>
      </w:r>
      <w:r>
        <w:rPr/>
        <w:t xml:space="preserve"> </w:t>
      </w:r>
      <w:r>
        <w:rPr>
          <w:rFonts w:ascii="Times New Roman;serif" w:hAnsi="Times New Roman;serif"/>
          <w:b w:val="false"/>
          <w:sz w:val="24"/>
        </w:rPr>
        <w:t>(collectively together with other related and incidental services requested by the Company from time to time, the “</w:t>
      </w:r>
      <w:r>
        <w:rPr>
          <w:rFonts w:ascii="Times New Roman;serif" w:hAnsi="Times New Roman;serif"/>
          <w:b w:val="false"/>
          <w:sz w:val="24"/>
          <w:u w:val="single"/>
        </w:rPr>
        <w:t>Services</w:t>
      </w:r>
      <w:r>
        <w:rPr/>
        <w:t>”</w:t>
      </w:r>
      <w:r>
        <w:rPr>
          <w:rFonts w:ascii="Times New Roman;serif" w:hAnsi="Times New Roman;serif"/>
          <w:b w:val="false"/>
          <w:sz w:val="24"/>
        </w:rPr>
        <w:t>) and other assistance as is consistent with the terms of this Agreement, and the Service Provider hereby accepts such appointment and, subject to and in accordance with the applicable terms and provisions of this Agreement, agrees to perform the Services requested of it by the Company. The Company hereby directs the Service Provider to perform the Services for the Company pursuant to the terms of this Agreement as shall be requested by the Company from time to time. The parties acknowledge that the Services will be primarily performed by Pablo Legorreta.</w:t>
      </w:r>
    </w:p>
    <w:p>
      <w:pPr>
        <w:pStyle w:val="TextBody"/>
        <w:spacing w:before="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(b)</w:t>
      </w:r>
    </w:p>
    <w:p>
      <w:pPr>
        <w:pStyle w:val="TextBody"/>
        <w:jc w:val="both"/>
        <w:rPr/>
      </w:pPr>
      <w:r>
        <w:rPr>
          <w:rFonts w:ascii="Times New Roman;serif" w:hAnsi="Times New Roman;serif"/>
          <w:b w:val="false"/>
          <w:sz w:val="24"/>
        </w:rPr>
        <w:t xml:space="preserve">The Service Provider shall devote such time to the performance of the Services contemplated hereby as the Service Provider shall deem, in its good faith discretion, reasonably necessary or appropriate; </w:t>
      </w:r>
      <w:r>
        <w:rPr>
          <w:rFonts w:ascii="Times New Roman;serif" w:hAnsi="Times New Roman;serif"/>
          <w:b w:val="false"/>
          <w:i/>
          <w:sz w:val="24"/>
        </w:rPr>
        <w:t>provided</w:t>
      </w:r>
      <w:r>
        <w:rPr>
          <w:rFonts w:ascii="Times New Roman;serif" w:hAnsi="Times New Roman;serif"/>
          <w:b w:val="false"/>
          <w:sz w:val="24"/>
        </w:rPr>
        <w:t xml:space="preserve">, </w:t>
      </w:r>
      <w:r>
        <w:rPr>
          <w:rFonts w:ascii="Times New Roman;serif" w:hAnsi="Times New Roman;serif"/>
          <w:b w:val="false"/>
          <w:i/>
          <w:sz w:val="24"/>
        </w:rPr>
        <w:t>however</w:t>
      </w:r>
      <w:r>
        <w:rPr>
          <w:rFonts w:ascii="Times New Roman;serif" w:hAnsi="Times New Roman;serif"/>
          <w:b w:val="false"/>
          <w:sz w:val="24"/>
        </w:rPr>
        <w:t>, that no minimum number of hours is or will be required to be devoted by the Service Provider on a weekly, monthly, annual or other basis. Such Services, in the Service Provider’s good faith discretion, shall be rendered in person or by telephone or other communication. For the avoidance of doubt, the Service Provider shall have no obligation to the Company as to the manner and time of rendering its Services hereunder.</w:t>
      </w:r>
    </w:p>
    <w:p>
      <w:pPr>
        <w:pStyle w:val="TextBody"/>
        <w:spacing w:before="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(c)</w:t>
      </w:r>
    </w:p>
    <w:p>
      <w:pPr>
        <w:pStyle w:val="TextBody"/>
        <w:jc w:val="both"/>
        <w:rPr>
          <w:rFonts w:ascii="Times New Roman;serif" w:hAnsi="Times New Roman;serif"/>
          <w:b w:val="false"/>
          <w:sz w:val="24"/>
        </w:rPr>
      </w:pPr>
      <w:r>
        <w:rPr>
          <w:rFonts w:ascii="Times New Roman;serif" w:hAnsi="Times New Roman;serif"/>
          <w:b w:val="false"/>
          <w:sz w:val="24"/>
        </w:rPr>
        <w:t>The Service Provider’s scope of assistance and performance of its duties hereunder is limited to the Services specifically provided for in this Agreement. The Service Provider shall not assume or be deemed to assume any rights or obligations of the Company under any other document or agreement to which the Company is a party. The Services may include advice and recommendations regarding potential future events and there can be no guarantee that such future events will occur as anticipated or at all. The Company will be responsible for determining the manner in which such advice and recommendations will be used and the Service Provider will not be liable in respect of any decisions made by the Company as a result of the Service Provider providing the Services hereunder. The Service Provider shall not have any responsibility for implementing any advice or recommendations provided for in this Agreement and will not perform any management functions or make management decisions with respect to any such advice or recommendations. Services performed by directors, partners, direct or indirect equity owners, members, managers, principals, or employees of, or consultants to, the Service Provider in their capacity as directors, partners, direct or indirect equity owners, members, managers, principals or employees of the Company shall not comprise a part of the Services.</w:t>
      </w:r>
    </w:p>
    <w:p>
      <w:pPr>
        <w:pStyle w:val="TextBody"/>
        <w:spacing w:before="8"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(d)</w:t>
      </w:r>
    </w:p>
    <w:p>
      <w:pPr>
        <w:pStyle w:val="TextBody"/>
        <w:jc w:val="both"/>
        <w:rPr/>
      </w:pPr>
      <w:r>
        <w:rPr>
          <w:rFonts w:ascii="Times New Roman;serif" w:hAnsi="Times New Roman;serif"/>
          <w:b w:val="false"/>
          <w:sz w:val="24"/>
        </w:rPr>
        <w:t xml:space="preserve">Any advice or opinions provided by the Service Provider may not be referred to publicly or disclosed to any third party (other than to the Company’s legal, tax, financial or other advisors; </w:t>
      </w:r>
      <w:r>
        <w:rPr>
          <w:rFonts w:ascii="Times New Roman;serif" w:hAnsi="Times New Roman;serif"/>
          <w:b w:val="false"/>
          <w:i/>
          <w:sz w:val="24"/>
        </w:rPr>
        <w:t>provided</w:t>
      </w:r>
      <w:r>
        <w:rPr>
          <w:rFonts w:ascii="Times New Roman;serif" w:hAnsi="Times New Roman;serif"/>
          <w:b w:val="false"/>
          <w:sz w:val="24"/>
        </w:rPr>
        <w:t>, that such advisors agree to keep such advice or opinions confidential), except in accordance with the Service Provider’s prior written consent.</w:t>
      </w:r>
    </w:p>
    <w:p>
      <w:pPr>
        <w:pStyle w:val="TextBody"/>
        <w:spacing w:before="0" w:after="0"/>
        <w:jc w:val="both"/>
        <w:rPr/>
      </w:pPr>
      <w:r>
        <w:rPr/>
        <w:t> </w:t>
      </w:r>
    </w:p>
    <w:p>
      <w:pPr>
        <w:pStyle w:val="TextBody"/>
        <w:spacing w:before="0" w:after="0"/>
        <w:jc w:val="left"/>
        <w:rPr/>
      </w:pPr>
      <w:r>
        <w:rPr/>
        <w:t> </w:t>
      </w:r>
    </w:p>
    <w:p>
      <w:pPr>
        <w:pStyle w:val="TextBody"/>
        <w:spacing w:before="10" w:after="0"/>
        <w:jc w:val="left"/>
        <w:rPr>
          <w:rFonts w:ascii="Times New Roman;serif" w:hAnsi="Times New Roman;serif"/>
          <w:b w:val="false"/>
          <w:sz w:val="24"/>
        </w:rPr>
      </w:pPr>
      <w:r>
        <w:rPr>
          <w:rFonts w:ascii="Times New Roman;serif" w:hAnsi="Times New Roman;serif"/>
          <w:b w:val="false"/>
          <w:sz w:val="24"/>
        </w:rPr>
        <w:t>4</w:t>
      </w:r>
    </w:p>
    <w:p>
      <w:pPr>
        <w:pStyle w:val="HorizontalLine"/>
        <w:rPr/>
      </w:pPr>
      <w:r>
        <w:rPr/>
      </w:r>
    </w:p>
    <w:p>
      <w:pPr>
        <w:pStyle w:val="TextBody"/>
        <w:spacing w:before="76" w:after="0"/>
        <w:jc w:val="both"/>
        <w:rPr>
          <w:rFonts w:ascii="Times New Roman" w:hAnsi="Times New Roman"/>
          <w:sz w:val="20"/>
        </w:rPr>
      </w:pPr>
      <w:r>
        <w:rPr>
          <w:rFonts w:ascii="Times New Roman;serif" w:hAnsi="Times New Roman;serif"/>
          <w:b w:val="false"/>
          <w:sz w:val="24"/>
        </w:rPr>
        <w:t xml:space="preserve">Section 4. </w:t>
      </w:r>
      <w:r>
        <w:rPr>
          <w:rFonts w:ascii="Times New Roman;serif" w:hAnsi="Times New Roman;serif"/>
          <w:b w:val="false"/>
          <w:sz w:val="24"/>
          <w:u w:val="single"/>
        </w:rPr>
        <w:t>Selection of Personnel</w:t>
      </w:r>
      <w:r>
        <w:rPr>
          <w:rFonts w:ascii="Times New Roman;serif" w:hAnsi="Times New Roman;serif"/>
          <w:b w:val="false"/>
          <w:sz w:val="24"/>
        </w:rPr>
        <w:t>. The selection and assignment of the Service Provider personnel needed to perform the Services to be provided to the Company under this Agreement will be solely determined by the Service Provider. It is understood and agreed that the Service Provider personnel performing such Services will, in the Service Provider’s good faith judgment, meet the job or position qualifications normally required for the functions to be performed by such personnel.</w:t>
      </w:r>
    </w:p>
    <w:p>
      <w:pPr>
        <w:pStyle w:val="TextBody"/>
        <w:spacing w:before="10" w:after="0"/>
        <w:jc w:val="left"/>
        <w:rPr/>
      </w:pPr>
      <w:r>
        <w:rPr/>
        <w:t> </w:t>
      </w:r>
    </w:p>
    <w:p>
      <w:pPr>
        <w:pStyle w:val="TextBody"/>
        <w:spacing w:before="1" w:after="0"/>
        <w:jc w:val="both"/>
        <w:rPr>
          <w:rFonts w:ascii="Times New Roman" w:hAnsi="Times New Roman"/>
          <w:sz w:val="20"/>
        </w:rPr>
      </w:pPr>
      <w:r>
        <w:rPr>
          <w:rFonts w:ascii="Times New Roman;serif" w:hAnsi="Times New Roman;serif"/>
          <w:b w:val="false"/>
          <w:sz w:val="24"/>
        </w:rPr>
        <w:t xml:space="preserve">Section 5. </w:t>
      </w:r>
      <w:r>
        <w:rPr>
          <w:rFonts w:ascii="Times New Roman;serif" w:hAnsi="Times New Roman;serif"/>
          <w:b w:val="false"/>
          <w:sz w:val="24"/>
          <w:u w:val="single"/>
        </w:rPr>
        <w:t>Legal and Regulatory Compliance</w:t>
      </w:r>
      <w:r>
        <w:rPr>
          <w:rFonts w:ascii="Times New Roman;serif" w:hAnsi="Times New Roman;serif"/>
          <w:b w:val="false"/>
          <w:sz w:val="24"/>
        </w:rPr>
        <w:t>. Each party undertakes to take all action as may be required to ensure that it and, in the case of the Service Provider, each of its delegates are in material compliance with and perform their obligations under this Agreement and under any laws, regulations or requirements applicable to the performance of such obligations under this Agreement.</w:t>
      </w:r>
    </w:p>
    <w:p>
      <w:pPr>
        <w:pStyle w:val="TextBody"/>
        <w:spacing w:before="7"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Section 6. </w:t>
      </w:r>
      <w:r>
        <w:rPr>
          <w:rFonts w:ascii="Times New Roman;serif" w:hAnsi="Times New Roman;serif"/>
          <w:b w:val="false"/>
          <w:sz w:val="24"/>
          <w:u w:val="single"/>
        </w:rPr>
        <w:t>Records and Accounts</w:t>
      </w:r>
      <w:r>
        <w:rPr>
          <w:rFonts w:ascii="Times New Roman;serif" w:hAnsi="Times New Roman;serif"/>
          <w:b w:val="false"/>
          <w:sz w:val="24"/>
        </w:rPr>
        <w:t>. The Service Provider shall maintain appropriate books and records relating to the Services it provides hereunder, and such books and records shall be accessible for inspection by a representative of the Company at any time during normal business hours (subject to reasonable prior notice). The Service Provider shall not destroy any books or records except in conformity with their relevant retention policies and as consistent with Applicable Law. If the Company deems it appropriate to take steps to ensure that, notwithstanding such a retention policy, books and records should be maintained (whether in anticipation of litigation or otherwise), the Company shall promptly notify the Service Provider who, on receipt of such notice, shall take reasonable steps to ensure the preservation of such books and records.</w:t>
      </w:r>
    </w:p>
    <w:p>
      <w:pPr>
        <w:pStyle w:val="TextBody"/>
        <w:spacing w:before="6"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Section 7. </w:t>
      </w:r>
      <w:r>
        <w:rPr>
          <w:rFonts w:ascii="Times New Roman;serif" w:hAnsi="Times New Roman;serif"/>
          <w:b w:val="false"/>
          <w:sz w:val="24"/>
          <w:u w:val="single"/>
        </w:rPr>
        <w:t>Fees and Expenses of Service Provider</w:t>
      </w:r>
      <w:r>
        <w:rPr>
          <w:rFonts w:ascii="Times New Roman;serif" w:hAnsi="Times New Roman;serif"/>
          <w:b w:val="false"/>
          <w:sz w:val="24"/>
        </w:rPr>
        <w:t>.</w:t>
      </w:r>
    </w:p>
    <w:p>
      <w:pPr>
        <w:pStyle w:val="TextBody"/>
        <w:spacing w:before="233" w:after="0"/>
        <w:jc w:val="both"/>
        <w:rPr>
          <w:rFonts w:ascii="Times New Roman" w:hAnsi="Times New Roman"/>
          <w:b w:val="false"/>
          <w:sz w:val="24"/>
        </w:rPr>
      </w:pPr>
      <w:r>
        <w:rPr>
          <w:rFonts w:ascii="Times New Roman" w:hAnsi="Times New Roman"/>
          <w:b w:val="false"/>
          <w:sz w:val="24"/>
        </w:rPr>
        <w:t>(a)</w:t>
      </w:r>
    </w:p>
    <w:p>
      <w:pPr>
        <w:pStyle w:val="TextBody"/>
        <w:spacing w:before="233" w:after="283"/>
        <w:jc w:val="both"/>
        <w:rPr/>
      </w:pPr>
      <w:r>
        <w:rPr>
          <w:rFonts w:ascii="Times New Roman;serif" w:hAnsi="Times New Roman;serif"/>
          <w:b w:val="false"/>
          <w:sz w:val="24"/>
        </w:rPr>
        <w:t>As consideration for the Service Provider’s provision of the Services hereunder, the Company shall pay, or cause to be paid, to the Service Provider a nonrefundable quarterly fee equal to $25,000 (the “</w:t>
      </w:r>
      <w:r>
        <w:rPr>
          <w:rFonts w:ascii="Times New Roman;serif" w:hAnsi="Times New Roman;serif"/>
          <w:b w:val="false"/>
          <w:sz w:val="24"/>
          <w:u w:val="single"/>
        </w:rPr>
        <w:t>Service Provider Fee</w:t>
      </w:r>
      <w:r>
        <w:rPr/>
        <w:t>”</w:t>
      </w:r>
      <w:r>
        <w:rPr>
          <w:rFonts w:ascii="Times New Roman;serif" w:hAnsi="Times New Roman;serif"/>
          <w:b w:val="false"/>
          <w:sz w:val="24"/>
        </w:rPr>
        <w:t>). Such Service Provider Fee shall be payable in full in advance on the first day of each calendar quarter. The first payment of the Service Provider Fee shall be made to the Service Provider on the date hereof. The Company and the Service Provider agree that the Service Provider Fees payable hereunder are absolute, unconditional and irrevocable, and shall be deemed earned when paid and, absent manifest error in the calculation or payment of the amount thereof, shall not be refundable under any circumstances.</w:t>
      </w:r>
    </w:p>
    <w:p>
      <w:pPr>
        <w:pStyle w:val="TextBody"/>
        <w:spacing w:before="3" w:after="0"/>
        <w:jc w:val="left"/>
        <w:rPr/>
      </w:pPr>
      <w:r>
        <w:rPr/>
        <w:t> </w:t>
      </w:r>
    </w:p>
    <w:p>
      <w:pPr>
        <w:pStyle w:val="TextBody"/>
        <w:spacing w:before="90" w:after="0"/>
        <w:jc w:val="both"/>
        <w:rPr>
          <w:rFonts w:ascii="Times New Roman" w:hAnsi="Times New Roman"/>
          <w:b w:val="false"/>
          <w:sz w:val="24"/>
        </w:rPr>
      </w:pPr>
      <w:r>
        <w:rPr>
          <w:rFonts w:ascii="Times New Roman" w:hAnsi="Times New Roman"/>
          <w:b w:val="false"/>
          <w:sz w:val="24"/>
        </w:rPr>
        <w:t>(b)</w:t>
      </w:r>
    </w:p>
    <w:p>
      <w:pPr>
        <w:pStyle w:val="TextBody"/>
        <w:spacing w:before="90" w:after="283"/>
        <w:jc w:val="both"/>
        <w:rPr>
          <w:rFonts w:ascii="Times New Roman;serif" w:hAnsi="Times New Roman;serif"/>
          <w:b w:val="false"/>
          <w:sz w:val="24"/>
        </w:rPr>
      </w:pPr>
      <w:r>
        <w:rPr>
          <w:rFonts w:ascii="Times New Roman;serif" w:hAnsi="Times New Roman;serif"/>
          <w:b w:val="false"/>
          <w:sz w:val="24"/>
        </w:rPr>
        <w:t>The Company shall pay all Service Provider Expenses incurred by the Service Provider, its Affiliates or any of its and their respective Representatives. Such Service Provider Expenses shall be paid not later than thirty (30) days after the receipt by the Company of itemized invoices setting forth such expenses (including reasonable supporting detail).</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(c)</w:t>
      </w:r>
    </w:p>
    <w:p>
      <w:pPr>
        <w:pStyle w:val="TextBody"/>
        <w:jc w:val="both"/>
        <w:rPr/>
      </w:pPr>
      <w:r>
        <w:rPr>
          <w:rFonts w:ascii="Times New Roman;serif" w:hAnsi="Times New Roman;serif"/>
          <w:b w:val="false"/>
          <w:sz w:val="24"/>
        </w:rPr>
        <w:t xml:space="preserve">The payments described in this </w:t>
      </w:r>
      <w:r>
        <w:rPr>
          <w:rFonts w:ascii="Times New Roman;serif" w:hAnsi="Times New Roman;serif"/>
          <w:b w:val="false"/>
          <w:sz w:val="24"/>
          <w:u w:val="single"/>
        </w:rPr>
        <w:t>Section 7</w:t>
      </w:r>
      <w:r>
        <w:rPr/>
        <w:t xml:space="preserve"> </w:t>
      </w:r>
      <w:r>
        <w:rPr>
          <w:rFonts w:ascii="Times New Roman;serif" w:hAnsi="Times New Roman;serif"/>
          <w:b w:val="false"/>
          <w:sz w:val="24"/>
        </w:rPr>
        <w:t>shall be paid in full, free of any deductions or withholdings for taxes, unless the Company is compelled by Applicable Law to make payments subject to any such taxes. In such event, the Company shall pay to the Service Provider such additional amounts as may be necessary so that the Service Provider receives a net amount equal to the full amount which would have been receivable had payment not been made subject to such taxes.</w:t>
      </w:r>
    </w:p>
    <w:p>
      <w:pPr>
        <w:pStyle w:val="TextBody"/>
        <w:spacing w:before="0" w:after="0"/>
        <w:jc w:val="both"/>
        <w:rPr/>
      </w:pPr>
      <w:r>
        <w:rPr/>
        <w:t> </w:t>
      </w:r>
    </w:p>
    <w:p>
      <w:pPr>
        <w:pStyle w:val="TextBody"/>
        <w:spacing w:before="0" w:after="0"/>
        <w:jc w:val="left"/>
        <w:rPr/>
      </w:pPr>
      <w:r>
        <w:rPr/>
        <w:t> </w:t>
      </w:r>
    </w:p>
    <w:p>
      <w:pPr>
        <w:pStyle w:val="TextBody"/>
        <w:spacing w:before="10" w:after="0"/>
        <w:jc w:val="left"/>
        <w:rPr>
          <w:rFonts w:ascii="Times New Roman;serif" w:hAnsi="Times New Roman;serif"/>
          <w:b w:val="false"/>
          <w:sz w:val="24"/>
        </w:rPr>
      </w:pPr>
      <w:r>
        <w:rPr>
          <w:rFonts w:ascii="Times New Roman;serif" w:hAnsi="Times New Roman;serif"/>
          <w:b w:val="false"/>
          <w:sz w:val="24"/>
        </w:rPr>
        <w:t>5</w:t>
      </w:r>
    </w:p>
    <w:p>
      <w:pPr>
        <w:pStyle w:val="HorizontalLine"/>
        <w:rPr/>
      </w:pPr>
      <w:r>
        <w:rPr/>
      </w:r>
    </w:p>
    <w:p>
      <w:pPr>
        <w:pStyle w:val="TextBody"/>
        <w:spacing w:before="76" w:after="0"/>
        <w:jc w:val="both"/>
        <w:rPr>
          <w:rFonts w:ascii="Times New Roman" w:hAnsi="Times New Roman"/>
          <w:b w:val="false"/>
          <w:sz w:val="24"/>
        </w:rPr>
      </w:pPr>
      <w:r>
        <w:rPr>
          <w:rFonts w:ascii="Times New Roman" w:hAnsi="Times New Roman"/>
          <w:b w:val="false"/>
          <w:sz w:val="24"/>
        </w:rPr>
        <w:t>(d)</w:t>
      </w:r>
    </w:p>
    <w:p>
      <w:pPr>
        <w:pStyle w:val="TextBody"/>
        <w:spacing w:before="76" w:after="283"/>
        <w:jc w:val="both"/>
        <w:rPr>
          <w:rFonts w:ascii="Times New Roman;serif" w:hAnsi="Times New Roman;serif"/>
          <w:b w:val="false"/>
          <w:sz w:val="24"/>
        </w:rPr>
      </w:pPr>
      <w:r>
        <w:rPr>
          <w:rFonts w:ascii="Times New Roman;serif" w:hAnsi="Times New Roman;serif"/>
          <w:b w:val="false"/>
          <w:sz w:val="24"/>
        </w:rPr>
        <w:t>All fees, expenses, or other amounts payable hereunder shall be paid in the currency of the United States of America and shall, unless the Service Provider otherwise directs the Company in writing, be made by wire transfer of immediately available funds to the bank account which the Service Provider so designates in writing.</w:t>
      </w:r>
    </w:p>
    <w:p>
      <w:pPr>
        <w:pStyle w:val="TextBody"/>
        <w:spacing w:before="9"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(e)</w:t>
      </w:r>
    </w:p>
    <w:p>
      <w:pPr>
        <w:pStyle w:val="TextBody"/>
        <w:spacing w:before="1" w:after="283"/>
        <w:jc w:val="both"/>
        <w:rPr/>
      </w:pPr>
      <w:r>
        <w:rPr>
          <w:rFonts w:ascii="Times New Roman;serif" w:hAnsi="Times New Roman;serif"/>
          <w:b w:val="false"/>
          <w:sz w:val="24"/>
        </w:rPr>
        <w:t xml:space="preserve">The provisions of this </w:t>
      </w:r>
      <w:r>
        <w:rPr>
          <w:rFonts w:ascii="Times New Roman;serif" w:hAnsi="Times New Roman;serif"/>
          <w:b w:val="false"/>
          <w:sz w:val="24"/>
          <w:u w:val="single"/>
        </w:rPr>
        <w:t>Section 7</w:t>
      </w:r>
      <w:r>
        <w:rPr/>
        <w:t xml:space="preserve"> </w:t>
      </w:r>
      <w:r>
        <w:rPr>
          <w:rFonts w:ascii="Times New Roman;serif" w:hAnsi="Times New Roman;serif"/>
          <w:b w:val="false"/>
          <w:sz w:val="24"/>
        </w:rPr>
        <w:t>shall survive the termination of this Agreement solely with respect to any fees or expense reimbursement that have accrued prior to termination hereof.</w:t>
      </w:r>
    </w:p>
    <w:p>
      <w:pPr>
        <w:pStyle w:val="TextBody"/>
        <w:spacing w:before="8" w:after="0"/>
        <w:jc w:val="left"/>
        <w:rPr/>
      </w:pPr>
      <w:r>
        <w:rPr/>
        <w:t> </w:t>
      </w:r>
    </w:p>
    <w:p>
      <w:pPr>
        <w:pStyle w:val="TextBody"/>
        <w:spacing w:before="1" w:after="0"/>
        <w:jc w:val="left"/>
        <w:rPr>
          <w:rFonts w:ascii="Times New Roman" w:hAnsi="Times New Roman"/>
          <w:sz w:val="20"/>
        </w:rPr>
      </w:pPr>
      <w:r>
        <w:rPr>
          <w:rFonts w:ascii="Times New Roman;serif" w:hAnsi="Times New Roman;serif"/>
          <w:b w:val="false"/>
          <w:sz w:val="24"/>
        </w:rPr>
        <w:t xml:space="preserve">Section 8. </w:t>
      </w:r>
      <w:r>
        <w:rPr>
          <w:rFonts w:ascii="Times New Roman;serif" w:hAnsi="Times New Roman;serif"/>
          <w:b w:val="false"/>
          <w:sz w:val="24"/>
          <w:u w:val="single"/>
        </w:rPr>
        <w:t>Indemnification</w:t>
      </w:r>
      <w:r>
        <w:rPr>
          <w:rFonts w:ascii="Times New Roman;serif" w:hAnsi="Times New Roman;serif"/>
          <w:b w:val="false"/>
          <w:sz w:val="24"/>
        </w:rPr>
        <w:t>.</w:t>
      </w:r>
    </w:p>
    <w:p>
      <w:pPr>
        <w:pStyle w:val="TextBody"/>
        <w:spacing w:before="232" w:after="0"/>
        <w:jc w:val="both"/>
        <w:rPr>
          <w:rFonts w:ascii="Times New Roman" w:hAnsi="Times New Roman"/>
          <w:b w:val="false"/>
          <w:sz w:val="24"/>
        </w:rPr>
      </w:pPr>
      <w:r>
        <w:rPr>
          <w:rFonts w:ascii="Times New Roman" w:hAnsi="Times New Roman"/>
          <w:b w:val="false"/>
          <w:sz w:val="24"/>
        </w:rPr>
        <w:t>(a)</w:t>
      </w:r>
    </w:p>
    <w:p>
      <w:pPr>
        <w:pStyle w:val="TextBody"/>
        <w:spacing w:before="232" w:after="283"/>
        <w:jc w:val="both"/>
        <w:rPr/>
      </w:pPr>
      <w:r>
        <w:rPr>
          <w:rFonts w:ascii="Times New Roman;serif" w:hAnsi="Times New Roman;serif"/>
          <w:b w:val="false"/>
          <w:sz w:val="24"/>
        </w:rPr>
        <w:t xml:space="preserve">No Covered Person shall be liable, in damages or otherwise, to the Company or any of its Affiliates, Representatives or Subsidiaries for any act or omission performed or omitted to be performed by any Covered Person pursuant to the authority granted by this Agreement, except to the extent that such act or omission results from acts or omissions of such Covered Person that constitutes willful misconduct, fraud or gross negligence; </w:t>
      </w:r>
      <w:r>
        <w:rPr>
          <w:rFonts w:ascii="Times New Roman;serif" w:hAnsi="Times New Roman;serif"/>
          <w:b w:val="false"/>
          <w:i/>
          <w:sz w:val="24"/>
        </w:rPr>
        <w:t xml:space="preserve">provided </w:t>
      </w:r>
      <w:r>
        <w:rPr>
          <w:rFonts w:ascii="Times New Roman;serif" w:hAnsi="Times New Roman;serif"/>
          <w:b w:val="false"/>
          <w:sz w:val="24"/>
        </w:rPr>
        <w:t>that,</w:t>
      </w:r>
    </w:p>
    <w:p>
      <w:pPr>
        <w:pStyle w:val="TextBody"/>
        <w:spacing w:before="3" w:after="0"/>
        <w:jc w:val="both"/>
        <w:rPr>
          <w:rFonts w:ascii="Times New Roman" w:hAnsi="Times New Roman"/>
          <w:sz w:val="20"/>
        </w:rPr>
      </w:pPr>
      <w:r>
        <w:rPr>
          <w:rFonts w:ascii="Times New Roman;serif" w:hAnsi="Times New Roman;serif"/>
          <w:b w:val="false"/>
          <w:sz w:val="24"/>
        </w:rPr>
        <w:t xml:space="preserve">(i) the Covered Persons shall not be liable under this Agreement, in the aggregate, for any amounts that exceed amounts paid to the Service Provider under this Agreement and (ii) in no event shall any Covered Person be liable for special, indirect, punitive or consequential loss or damage of any kind whatsoever (including lost profits). To the fullest extent permitted by Applicable Law, the Company shall indemnify and hold harmless each Covered Person from and against any and all Covered Losses incurred by or asserted against any Covered Person arising out of, in connection with, or as a result of any acts or omissions or alleged acts or omissions of any Covered Person’s or any other Person’s activities in connection with the performance of the Services contemplated hereunder or otherwise in connection with its obligations under this Agreement, regardless of whether a Covered Person continues to be a Covered Person at the time any such liability or expense is paid or incurred, except to the extent that such act or omission results from acts or omissions of such Covered Person that constitutes willful misconduct, fraud or gross negligence; </w:t>
      </w:r>
      <w:r>
        <w:rPr>
          <w:rFonts w:ascii="Times New Roman;serif" w:hAnsi="Times New Roman;serif"/>
          <w:b w:val="false"/>
          <w:i/>
          <w:sz w:val="24"/>
        </w:rPr>
        <w:t xml:space="preserve">provided </w:t>
      </w:r>
      <w:r>
        <w:rPr>
          <w:rFonts w:ascii="Times New Roman;serif" w:hAnsi="Times New Roman;serif"/>
          <w:b w:val="false"/>
          <w:sz w:val="24"/>
        </w:rPr>
        <w:t>that, notwithstanding the foregoing, no such indemnity shall be available with respect to any action that is solely an internal dispute among the partners or employees of a Covered Person. The termination of any action, suit, or proceeding by judgment, order, settlement or its equivalent, shall not, in and of itself, create a presumption or otherwise constitute evidence that the Covered Person acted in a manner contrary to that specified in the preceding sentence.</w:t>
      </w:r>
    </w:p>
    <w:p>
      <w:pPr>
        <w:pStyle w:val="TextBody"/>
        <w:spacing w:before="8"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(b)</w:t>
      </w:r>
    </w:p>
    <w:p>
      <w:pPr>
        <w:pStyle w:val="TextBody"/>
        <w:jc w:val="both"/>
        <w:rPr/>
      </w:pPr>
      <w:r>
        <w:rPr>
          <w:rFonts w:ascii="Times New Roman;serif" w:hAnsi="Times New Roman;serif"/>
          <w:b w:val="false"/>
          <w:sz w:val="24"/>
        </w:rPr>
        <w:t>Expenses (including reasonable attorneys’ fees and disbursements) incurred in defending any pending or threatened claim, demand, action, suit or proceeding, whether civil, criminal, administrative or investigative (each, a “</w:t>
      </w:r>
      <w:r>
        <w:rPr>
          <w:rFonts w:ascii="Times New Roman;serif" w:hAnsi="Times New Roman;serif"/>
          <w:b w:val="false"/>
          <w:sz w:val="24"/>
          <w:u w:val="single"/>
        </w:rPr>
        <w:t>Claim</w:t>
      </w:r>
      <w:r>
        <w:rPr/>
        <w:t>”</w:t>
      </w:r>
      <w:r>
        <w:rPr>
          <w:rFonts w:ascii="Times New Roman;serif" w:hAnsi="Times New Roman;serif"/>
          <w:b w:val="false"/>
          <w:sz w:val="24"/>
        </w:rPr>
        <w:t xml:space="preserve">), subject to </w:t>
      </w:r>
      <w:r>
        <w:rPr>
          <w:rFonts w:ascii="Times New Roman;serif" w:hAnsi="Times New Roman;serif"/>
          <w:b w:val="false"/>
          <w:sz w:val="24"/>
          <w:u w:val="single"/>
        </w:rPr>
        <w:t>Section 8(a)</w:t>
      </w:r>
      <w:r>
        <w:rPr/>
        <w:t xml:space="preserve"> </w:t>
      </w:r>
      <w:r>
        <w:rPr>
          <w:rFonts w:ascii="Times New Roman;serif" w:hAnsi="Times New Roman;serif"/>
          <w:b w:val="false"/>
          <w:sz w:val="24"/>
        </w:rPr>
        <w:t>shall be advanced by the Company in advance of the final disposition of such claim, demand, action, suit or proceeding upon receipt of an undertaking by or on behalf of the Covered Person to repay such amount if it shall ultimately be determined, by a court of competent jurisdiction, that the Covered Person is not entitled to be indemnified by the Company as authorized hereunder. The Covered Persons shall not be responsible for the loss of, or damage to, the Company, or any of its Affiliates, Representatives or Subsidiaries or any assets of the Company or any of its Affiliates, Representatives or Subsidiaries if such loss, damage or failure shall be caused by or be directly or indirectly due to war damage, enemy action, the act of any Governmental Authority, investment exchange or brokerage house, or due to any riot, civil commotion, rebellion, fire, lock-out, strike, power failure, computer error or failure, delay, breakdown, failure or malfunction of any external</w:t>
      </w:r>
    </w:p>
    <w:p>
      <w:pPr>
        <w:pStyle w:val="TextBody"/>
        <w:spacing w:before="0" w:after="0"/>
        <w:jc w:val="both"/>
        <w:rPr/>
      </w:pPr>
      <w:r>
        <w:rPr/>
        <w:t> </w:t>
      </w:r>
    </w:p>
    <w:p>
      <w:pPr>
        <w:pStyle w:val="TextBody"/>
        <w:spacing w:before="0" w:after="0"/>
        <w:jc w:val="left"/>
        <w:rPr/>
      </w:pPr>
      <w:r>
        <w:rPr/>
        <w:t> </w:t>
      </w:r>
    </w:p>
    <w:p>
      <w:pPr>
        <w:pStyle w:val="TextBody"/>
        <w:spacing w:before="10" w:after="0"/>
        <w:jc w:val="left"/>
        <w:rPr>
          <w:rFonts w:ascii="Times New Roman;serif" w:hAnsi="Times New Roman;serif"/>
          <w:b w:val="false"/>
          <w:sz w:val="24"/>
        </w:rPr>
      </w:pPr>
      <w:r>
        <w:rPr>
          <w:rFonts w:ascii="Times New Roman;serif" w:hAnsi="Times New Roman;serif"/>
          <w:b w:val="false"/>
          <w:sz w:val="24"/>
        </w:rPr>
        <w:t>6</w:t>
      </w:r>
    </w:p>
    <w:p>
      <w:pPr>
        <w:pStyle w:val="HorizontalLine"/>
        <w:rPr/>
      </w:pPr>
      <w:r>
        <w:rPr/>
      </w:r>
    </w:p>
    <w:p>
      <w:pPr>
        <w:pStyle w:val="TextBody"/>
        <w:spacing w:before="76" w:after="0"/>
        <w:jc w:val="both"/>
        <w:rPr>
          <w:rFonts w:ascii="Times New Roman;serif" w:hAnsi="Times New Roman;serif"/>
          <w:b w:val="false"/>
          <w:sz w:val="24"/>
        </w:rPr>
      </w:pPr>
      <w:r>
        <w:rPr>
          <w:rFonts w:ascii="Times New Roman;serif" w:hAnsi="Times New Roman;serif"/>
          <w:b w:val="false"/>
          <w:sz w:val="24"/>
        </w:rPr>
        <w:t>telecommunication or computer service or electronic transmission systems, unavailability of market prices or suspension of dealing on relevant exchanges, or other cause beyond the control of the relevant Covered Person.</w:t>
      </w:r>
    </w:p>
    <w:p>
      <w:pPr>
        <w:pStyle w:val="TextBody"/>
        <w:spacing w:before="230" w:after="0"/>
        <w:jc w:val="both"/>
        <w:rPr>
          <w:rFonts w:ascii="Times New Roman" w:hAnsi="Times New Roman"/>
          <w:b w:val="false"/>
          <w:sz w:val="24"/>
        </w:rPr>
      </w:pPr>
      <w:r>
        <w:rPr>
          <w:rFonts w:ascii="Times New Roman" w:hAnsi="Times New Roman"/>
          <w:b w:val="false"/>
          <w:sz w:val="24"/>
        </w:rPr>
        <w:t>(c)</w:t>
      </w:r>
    </w:p>
    <w:p>
      <w:pPr>
        <w:pStyle w:val="TextBody"/>
        <w:spacing w:before="230" w:after="283"/>
        <w:jc w:val="both"/>
        <w:rPr>
          <w:rFonts w:ascii="Times New Roman;serif" w:hAnsi="Times New Roman;serif"/>
          <w:b w:val="false"/>
          <w:sz w:val="24"/>
        </w:rPr>
      </w:pPr>
      <w:r>
        <w:rPr>
          <w:rFonts w:ascii="Times New Roman;serif" w:hAnsi="Times New Roman;serif"/>
          <w:b w:val="false"/>
          <w:sz w:val="24"/>
        </w:rPr>
        <w:t>In any Claim against the Company in which the Company, on the one hand, and any Covered Person, on the other hand, is, or is reasonably likely to become, a party, such Covered Person shall have the right to employ separate counsel at the expense of the Company, and to control its own defense of such Claim. The Company agrees that it will not, without the prior written consent of the applicable Covered Person, settle, compromise or consent to the entry of any judgment in any Claim relating to the matters contemplated hereby (if any Covered Person is a party thereto or has been threatened to be made a party thereto) unless such settlement, compromise or consent provides only for monetary payment for which the applicable Covered Person is entitled to indemnification under this Agreement or includes an unconditional release of the applicable Covered Person party thereto from all liability arising or that may arise out of such Claim.</w:t>
      </w:r>
    </w:p>
    <w:p>
      <w:pPr>
        <w:pStyle w:val="TextBody"/>
        <w:spacing w:before="3" w:after="0"/>
        <w:jc w:val="left"/>
        <w:rPr/>
      </w:pPr>
      <w:r>
        <w:rPr/>
        <w:t> </w:t>
      </w:r>
    </w:p>
    <w:p>
      <w:pPr>
        <w:pStyle w:val="TextBody"/>
        <w:spacing w:before="90" w:after="0"/>
        <w:jc w:val="both"/>
        <w:rPr>
          <w:rFonts w:ascii="Times New Roman" w:hAnsi="Times New Roman"/>
          <w:b w:val="false"/>
          <w:sz w:val="24"/>
        </w:rPr>
      </w:pPr>
      <w:r>
        <w:rPr>
          <w:rFonts w:ascii="Times New Roman" w:hAnsi="Times New Roman"/>
          <w:b w:val="false"/>
          <w:sz w:val="24"/>
        </w:rPr>
        <w:t>(d)</w:t>
      </w:r>
    </w:p>
    <w:p>
      <w:pPr>
        <w:pStyle w:val="TextBody"/>
        <w:spacing w:before="90" w:after="283"/>
        <w:jc w:val="both"/>
        <w:rPr>
          <w:rFonts w:ascii="Times New Roman;serif" w:hAnsi="Times New Roman;serif"/>
          <w:b w:val="false"/>
          <w:sz w:val="24"/>
        </w:rPr>
      </w:pPr>
      <w:r>
        <w:rPr>
          <w:rFonts w:ascii="Times New Roman;serif" w:hAnsi="Times New Roman;serif"/>
          <w:b w:val="false"/>
          <w:sz w:val="24"/>
        </w:rPr>
        <w:t>The rights of any Covered Person to indemnification hereunder will be in addition to any other rights any such Person may have under any other agreement to which such Covered Person is or becomes a party or is or otherwise becomes a beneficiary or under Applicable Law. The Company hereby agrees that it is the indemnitor of first resort (i.e., its obligations to any Covered Person under this Agreement are primary and any obligation of the Service Provider (or any Affiliate thereof) to provide advancement or indemnification for the same Covered Losses (including all interest, assessment and other charges paid or payable in connection with or in respect of such Covered Losses) incurred by any Covered Person are secondary, and if the Service Provider (or any Affiliate thereof) pays or causes to be paid, for any reason, any amounts otherwise indemnifiable hereunder or under any other indemnification agreement (whether pursuant to contract, bylaws, charter or otherwise) with any Covered Person, then the (A) Service Provider (or such Affiliate, as the case may be) shall be fully subrogated to all rights of the applicable Covered Person with respect to such payment and (B) Company shall reimburse the Service Provider (or such other Affiliate) for the payments actually made.</w:t>
      </w:r>
    </w:p>
    <w:p>
      <w:pPr>
        <w:pStyle w:val="TextBody"/>
        <w:spacing w:before="3" w:after="0"/>
        <w:jc w:val="left"/>
        <w:rPr/>
      </w:pPr>
      <w:r>
        <w:rPr/>
        <w:t> </w:t>
      </w:r>
    </w:p>
    <w:p>
      <w:pPr>
        <w:pStyle w:val="TextBody"/>
        <w:spacing w:before="1" w:after="0"/>
        <w:jc w:val="left"/>
        <w:rPr>
          <w:rFonts w:ascii="Times New Roman" w:hAnsi="Times New Roman"/>
          <w:sz w:val="20"/>
        </w:rPr>
      </w:pPr>
      <w:r>
        <w:rPr>
          <w:rFonts w:ascii="Times New Roman;serif" w:hAnsi="Times New Roman;serif"/>
          <w:b w:val="false"/>
          <w:sz w:val="24"/>
        </w:rPr>
        <w:t xml:space="preserve">Section 9. </w:t>
      </w:r>
      <w:r>
        <w:rPr>
          <w:rFonts w:ascii="Times New Roman;serif" w:hAnsi="Times New Roman;serif"/>
          <w:b w:val="false"/>
          <w:sz w:val="24"/>
          <w:u w:val="single"/>
        </w:rPr>
        <w:t>Term; Termination</w:t>
      </w:r>
      <w:r>
        <w:rPr>
          <w:rFonts w:ascii="Times New Roman;serif" w:hAnsi="Times New Roman;serif"/>
          <w:b w:val="false"/>
          <w:sz w:val="24"/>
        </w:rPr>
        <w:t>.</w:t>
      </w:r>
    </w:p>
    <w:p>
      <w:pPr>
        <w:pStyle w:val="TextBody"/>
        <w:spacing w:before="232" w:after="0"/>
        <w:jc w:val="both"/>
        <w:rPr>
          <w:rFonts w:ascii="Times New Roman" w:hAnsi="Times New Roman"/>
          <w:b w:val="false"/>
          <w:sz w:val="24"/>
        </w:rPr>
      </w:pPr>
      <w:r>
        <w:rPr>
          <w:rFonts w:ascii="Times New Roman" w:hAnsi="Times New Roman"/>
          <w:b w:val="false"/>
          <w:sz w:val="24"/>
        </w:rPr>
        <w:t>(a)</w:t>
      </w:r>
    </w:p>
    <w:p>
      <w:pPr>
        <w:pStyle w:val="TextBody"/>
        <w:spacing w:before="232" w:after="283"/>
        <w:jc w:val="both"/>
        <w:rPr/>
      </w:pPr>
      <w:r>
        <w:rPr>
          <w:rFonts w:ascii="Times New Roman;serif" w:hAnsi="Times New Roman;serif"/>
          <w:b w:val="false"/>
          <w:sz w:val="24"/>
        </w:rPr>
        <w:t xml:space="preserve">Unless otherwise terminated earlier in accordance with the terms of this </w:t>
      </w:r>
      <w:r>
        <w:rPr>
          <w:rFonts w:ascii="Times New Roman;serif" w:hAnsi="Times New Roman;serif"/>
          <w:b w:val="false"/>
          <w:sz w:val="24"/>
          <w:u w:val="single"/>
        </w:rPr>
        <w:t>Section 9</w:t>
      </w:r>
      <w:r>
        <w:rPr>
          <w:rFonts w:ascii="Times New Roman;serif" w:hAnsi="Times New Roman;serif"/>
          <w:b w:val="false"/>
          <w:sz w:val="24"/>
        </w:rPr>
        <w:t>, this Agreement shall remain in full force and effect from the date hereof until December 31, 2020 (such period, the “</w:t>
      </w:r>
      <w:r>
        <w:rPr>
          <w:rFonts w:ascii="Times New Roman;serif" w:hAnsi="Times New Roman;serif"/>
          <w:b w:val="false"/>
          <w:sz w:val="24"/>
          <w:u w:val="single"/>
        </w:rPr>
        <w:t>Initial Term</w:t>
      </w:r>
      <w:r>
        <w:rPr/>
        <w:t>”</w:t>
      </w:r>
      <w:r>
        <w:rPr>
          <w:rFonts w:ascii="Times New Roman;serif" w:hAnsi="Times New Roman;serif"/>
          <w:b w:val="false"/>
          <w:sz w:val="24"/>
        </w:rPr>
        <w:t>) and shall be automatically renewed for additional periods of one (1) year each (each such additional period, a “</w:t>
      </w:r>
      <w:r>
        <w:rPr>
          <w:rFonts w:ascii="Times New Roman;serif" w:hAnsi="Times New Roman;serif"/>
          <w:b w:val="false"/>
          <w:sz w:val="24"/>
          <w:u w:val="single"/>
        </w:rPr>
        <w:t>Renewal Term</w:t>
      </w:r>
      <w:r>
        <w:rPr/>
        <w:t>”</w:t>
      </w:r>
      <w:r>
        <w:rPr>
          <w:rFonts w:ascii="Times New Roman;serif" w:hAnsi="Times New Roman;serif"/>
          <w:b w:val="false"/>
          <w:sz w:val="24"/>
        </w:rPr>
        <w:t>), unless the Service Provider or the Company gives written notice of its termination of this Agreement at least ninety</w:t>
      </w:r>
    </w:p>
    <w:p>
      <w:pPr>
        <w:pStyle w:val="TextBody"/>
        <w:spacing w:before="3" w:after="0"/>
        <w:jc w:val="both"/>
        <w:rPr>
          <w:rFonts w:ascii="Times New Roman;serif" w:hAnsi="Times New Roman;serif"/>
          <w:b w:val="false"/>
          <w:sz w:val="24"/>
        </w:rPr>
      </w:pPr>
      <w:r>
        <w:rPr>
          <w:rFonts w:ascii="Times New Roman;serif" w:hAnsi="Times New Roman;serif"/>
          <w:b w:val="false"/>
          <w:sz w:val="24"/>
        </w:rPr>
        <w:t>(90) calendar days prior to the scheduled termination date, in which event this Agreement will terminate on the scheduled termination date.</w:t>
      </w:r>
    </w:p>
    <w:p>
      <w:pPr>
        <w:pStyle w:val="TextBody"/>
        <w:spacing w:before="4"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(b)</w:t>
      </w:r>
    </w:p>
    <w:p>
      <w:pPr>
        <w:pStyle w:val="TextBody"/>
        <w:spacing w:before="1" w:after="0"/>
        <w:jc w:val="both"/>
        <w:rPr/>
      </w:pPr>
      <w:r>
        <w:rPr>
          <w:rFonts w:ascii="Times New Roman;serif" w:hAnsi="Times New Roman;serif"/>
          <w:b w:val="false"/>
          <w:sz w:val="24"/>
        </w:rPr>
        <w:t xml:space="preserve">Subject to the terms of </w:t>
      </w:r>
      <w:r>
        <w:rPr>
          <w:rFonts w:ascii="Times New Roman;serif" w:hAnsi="Times New Roman;serif"/>
          <w:b w:val="false"/>
          <w:sz w:val="24"/>
          <w:u w:val="single"/>
        </w:rPr>
        <w:t>Section 9(d)</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10</w:t>
      </w:r>
      <w:r>
        <w:rPr/>
        <w:t xml:space="preserve"> </w:t>
      </w:r>
      <w:r>
        <w:rPr>
          <w:rFonts w:ascii="Times New Roman;serif" w:hAnsi="Times New Roman;serif"/>
          <w:b w:val="false"/>
          <w:sz w:val="24"/>
        </w:rPr>
        <w:t>below, either party may terminate this Agreement for any reason and at any time upon thirty (30) days prior written notice to the other party.</w:t>
      </w:r>
    </w:p>
    <w:p>
      <w:pPr>
        <w:pStyle w:val="TextBody"/>
        <w:spacing w:before="229" w:after="0"/>
        <w:jc w:val="both"/>
        <w:rPr>
          <w:rFonts w:ascii="Times New Roman" w:hAnsi="Times New Roman"/>
          <w:b w:val="false"/>
          <w:sz w:val="24"/>
        </w:rPr>
      </w:pPr>
      <w:r>
        <w:rPr>
          <w:rFonts w:ascii="Times New Roman" w:hAnsi="Times New Roman"/>
          <w:b w:val="false"/>
          <w:sz w:val="24"/>
        </w:rPr>
        <w:t>(c)</w:t>
      </w:r>
    </w:p>
    <w:p>
      <w:pPr>
        <w:pStyle w:val="TextBody"/>
        <w:spacing w:before="229" w:after="283"/>
        <w:jc w:val="both"/>
        <w:rPr>
          <w:rFonts w:ascii="Times New Roman;serif" w:hAnsi="Times New Roman;serif"/>
          <w:b w:val="false"/>
          <w:sz w:val="24"/>
        </w:rPr>
      </w:pPr>
      <w:r>
        <w:rPr>
          <w:rFonts w:ascii="Times New Roman;serif" w:hAnsi="Times New Roman;serif"/>
          <w:b w:val="false"/>
          <w:sz w:val="24"/>
        </w:rPr>
        <w:t>Each of the Company, on one hand, and the Service Provider, on the other hand, may terminate this Agreement by giving written notice of termination to the other party upon</w:t>
      </w:r>
    </w:p>
    <w:p>
      <w:pPr>
        <w:pStyle w:val="TextBody"/>
        <w:spacing w:before="0" w:after="0"/>
        <w:jc w:val="both"/>
        <w:rPr/>
      </w:pPr>
      <w:r>
        <w:rPr/>
        <w:t> </w:t>
      </w:r>
    </w:p>
    <w:p>
      <w:pPr>
        <w:pStyle w:val="TextBody"/>
        <w:spacing w:before="0" w:after="0"/>
        <w:jc w:val="left"/>
        <w:rPr/>
      </w:pPr>
      <w:r>
        <w:rPr/>
        <w:t> </w:t>
      </w:r>
    </w:p>
    <w:p>
      <w:pPr>
        <w:pStyle w:val="TextBody"/>
        <w:spacing w:before="10" w:after="0"/>
        <w:jc w:val="left"/>
        <w:rPr>
          <w:rFonts w:ascii="Times New Roman;serif" w:hAnsi="Times New Roman;serif"/>
          <w:b w:val="false"/>
          <w:sz w:val="24"/>
        </w:rPr>
      </w:pPr>
      <w:r>
        <w:rPr>
          <w:rFonts w:ascii="Times New Roman;serif" w:hAnsi="Times New Roman;serif"/>
          <w:b w:val="false"/>
          <w:sz w:val="24"/>
        </w:rPr>
        <w:t>7</w:t>
      </w:r>
    </w:p>
    <w:p>
      <w:pPr>
        <w:pStyle w:val="HorizontalLine"/>
        <w:rPr/>
      </w:pPr>
      <w:r>
        <w:rPr/>
      </w:r>
    </w:p>
    <w:p>
      <w:pPr>
        <w:pStyle w:val="TextBody"/>
        <w:spacing w:before="76" w:after="0"/>
        <w:jc w:val="both"/>
        <w:rPr>
          <w:rFonts w:ascii="Times New Roman;serif" w:hAnsi="Times New Roman;serif"/>
          <w:b w:val="false"/>
          <w:sz w:val="24"/>
        </w:rPr>
      </w:pPr>
      <w:r>
        <w:rPr>
          <w:rFonts w:ascii="Times New Roman;serif" w:hAnsi="Times New Roman;serif"/>
          <w:b w:val="false"/>
          <w:sz w:val="24"/>
        </w:rPr>
        <w:t>the occurrence of a breach by the Service Provider, on one hand, or the Company, on the other in the performance of its obligations hereunder or in respect of any provision, representation, warranty or covenant hereof, in each case, where such breach could reasonably be expected to have a Material Adverse Effect on the non-breaching party and such breach has not been cured (if curable) by the breaching party within thirty (30) days after receiving written notice thereof.</w:t>
      </w:r>
    </w:p>
    <w:p>
      <w:pPr>
        <w:pStyle w:val="TextBody"/>
        <w:spacing w:before="8"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(d)</w:t>
      </w:r>
    </w:p>
    <w:p>
      <w:pPr>
        <w:pStyle w:val="TextBody"/>
        <w:jc w:val="both"/>
        <w:rPr/>
      </w:pPr>
      <w:r>
        <w:rPr>
          <w:rFonts w:ascii="Times New Roman;serif" w:hAnsi="Times New Roman;serif"/>
          <w:b w:val="false"/>
          <w:sz w:val="24"/>
        </w:rPr>
        <w:t xml:space="preserve">If this Agreement is terminated pursuant to this </w:t>
      </w:r>
      <w:r>
        <w:rPr>
          <w:rFonts w:ascii="Times New Roman;serif" w:hAnsi="Times New Roman;serif"/>
          <w:b w:val="false"/>
          <w:sz w:val="24"/>
          <w:u w:val="single"/>
        </w:rPr>
        <w:t>Section 8</w:t>
      </w:r>
      <w:r>
        <w:rPr>
          <w:rFonts w:ascii="Times New Roman;serif" w:hAnsi="Times New Roman;serif"/>
          <w:b w:val="false"/>
          <w:sz w:val="24"/>
        </w:rPr>
        <w:t xml:space="preserve">, such termination shall be without any further liability or obligation of any party to the other, except as provided in </w:t>
      </w:r>
      <w:r>
        <w:rPr>
          <w:rFonts w:ascii="Times New Roman;serif" w:hAnsi="Times New Roman;serif"/>
          <w:b w:val="false"/>
          <w:sz w:val="24"/>
          <w:u w:val="single"/>
        </w:rPr>
        <w:t>Section 6</w:t>
      </w:r>
      <w:r>
        <w:rPr>
          <w:rFonts w:ascii="Times New Roman;serif" w:hAnsi="Times New Roman;serif"/>
          <w:b w:val="false"/>
          <w:sz w:val="24"/>
        </w:rPr>
        <w:t xml:space="preserve">, </w:t>
      </w:r>
      <w:r>
        <w:rPr>
          <w:rFonts w:ascii="Times New Roman;serif" w:hAnsi="Times New Roman;serif"/>
          <w:b w:val="false"/>
          <w:sz w:val="24"/>
          <w:u w:val="single"/>
        </w:rPr>
        <w:t>Section 7</w:t>
      </w:r>
      <w:r>
        <w:rPr>
          <w:rFonts w:ascii="Times New Roman;serif" w:hAnsi="Times New Roman;serif"/>
          <w:b w:val="false"/>
          <w:sz w:val="24"/>
        </w:rPr>
        <w:t xml:space="preserve">, </w:t>
      </w:r>
      <w:r>
        <w:rPr>
          <w:rFonts w:ascii="Times New Roman;serif" w:hAnsi="Times New Roman;serif"/>
          <w:b w:val="false"/>
          <w:sz w:val="24"/>
          <w:u w:val="single"/>
        </w:rPr>
        <w:t>Section 8</w:t>
      </w:r>
      <w:r>
        <w:rPr>
          <w:rFonts w:ascii="Times New Roman;serif" w:hAnsi="Times New Roman;serif"/>
          <w:b w:val="false"/>
          <w:sz w:val="24"/>
        </w:rPr>
        <w:t xml:space="preserve">, </w:t>
      </w:r>
      <w:r>
        <w:rPr>
          <w:rFonts w:ascii="Times New Roman;serif" w:hAnsi="Times New Roman;serif"/>
          <w:b w:val="false"/>
          <w:sz w:val="24"/>
          <w:u w:val="single"/>
        </w:rPr>
        <w:t>Section 9</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Section 10</w:t>
      </w:r>
      <w:r>
        <w:rPr>
          <w:rFonts w:ascii="Times New Roman;serif" w:hAnsi="Times New Roman;serif"/>
          <w:b w:val="false"/>
          <w:sz w:val="24"/>
        </w:rPr>
        <w:t>. The termination of this Agreement shall not release from the obligation to make payment of all amounts then or thereafter due and payable hereunder.</w:t>
      </w:r>
    </w:p>
    <w:p>
      <w:pPr>
        <w:pStyle w:val="TextBody"/>
        <w:spacing w:before="6"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Section 10. </w:t>
      </w:r>
      <w:r>
        <w:rPr>
          <w:rFonts w:ascii="Times New Roman;serif" w:hAnsi="Times New Roman;serif"/>
          <w:b w:val="false"/>
          <w:sz w:val="24"/>
          <w:u w:val="single"/>
        </w:rPr>
        <w:t>Action upon Termination</w:t>
      </w:r>
      <w:r>
        <w:rPr>
          <w:rFonts w:ascii="Times New Roman;serif" w:hAnsi="Times New Roman;serif"/>
          <w:b w:val="false"/>
          <w:sz w:val="24"/>
        </w:rPr>
        <w:t>.</w:t>
      </w:r>
    </w:p>
    <w:p>
      <w:pPr>
        <w:pStyle w:val="TextBody"/>
        <w:spacing w:before="233" w:after="0"/>
        <w:jc w:val="both"/>
        <w:rPr>
          <w:rFonts w:ascii="Times New Roman" w:hAnsi="Times New Roman"/>
          <w:b w:val="false"/>
          <w:sz w:val="24"/>
        </w:rPr>
      </w:pPr>
      <w:r>
        <w:rPr>
          <w:rFonts w:ascii="Times New Roman" w:hAnsi="Times New Roman"/>
          <w:b w:val="false"/>
          <w:sz w:val="24"/>
        </w:rPr>
        <w:t>(a)</w:t>
      </w:r>
    </w:p>
    <w:p>
      <w:pPr>
        <w:pStyle w:val="TextBody"/>
        <w:spacing w:before="233" w:after="283"/>
        <w:jc w:val="both"/>
        <w:rPr>
          <w:rFonts w:ascii="Times New Roman;serif" w:hAnsi="Times New Roman;serif"/>
          <w:b w:val="false"/>
          <w:sz w:val="24"/>
        </w:rPr>
      </w:pPr>
      <w:r>
        <w:rPr>
          <w:rFonts w:ascii="Times New Roman;serif" w:hAnsi="Times New Roman;serif"/>
          <w:b w:val="false"/>
          <w:sz w:val="24"/>
        </w:rPr>
        <w:t>Upon termination of this Agreement, the Service Provider shall forthwith deliver to the Company (and pending delivery shall hold on trust for), or such party as the Company shall direct, all books of account, papers, records, registers, correspondence and documents in the Service Provider’s possession or under its control belonging to the Company and any other security therefor, any moneys then held by the Service Provider on behalf of the Company and any other assets of the Company, in each case, which the Company received in connection with the performance of its duties hereunder and free and clear of any lien or right of set-off exercisable by the Service Provider and shall take such further action as the Company may reasonably direct. In addition, the Service Provider shall use reasonable efforts to ensure that it and any individuals within its control promptly deliver to the Company all records, documents, accounts, letters and papers within its possession or control relating to the affairs and business of the Company and any other property belonging to the Company within its possession, in each case, which documents or property the Service Provider received in connection with the performance of its duties hereunder.</w:t>
      </w:r>
    </w:p>
    <w:p>
      <w:pPr>
        <w:pStyle w:val="TextBody"/>
        <w:spacing w:before="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(b)</w:t>
      </w:r>
    </w:p>
    <w:p>
      <w:pPr>
        <w:pStyle w:val="TextBody"/>
        <w:jc w:val="both"/>
        <w:rPr/>
      </w:pPr>
      <w:r>
        <w:rPr>
          <w:rFonts w:ascii="Times New Roman;serif" w:hAnsi="Times New Roman;serif"/>
          <w:b w:val="false"/>
          <w:sz w:val="24"/>
        </w:rPr>
        <w:t xml:space="preserve">Notwithstanding such termination, (i) each party shall remain liable for its acts or omissions or breaches hereunder only to the extent set forth in </w:t>
      </w:r>
      <w:r>
        <w:rPr>
          <w:rFonts w:ascii="Times New Roman;serif" w:hAnsi="Times New Roman;serif"/>
          <w:b w:val="false"/>
          <w:sz w:val="24"/>
          <w:u w:val="single"/>
        </w:rPr>
        <w:t>Section 8</w:t>
      </w:r>
      <w:r>
        <w:rPr/>
        <w:t xml:space="preserve"> </w:t>
      </w:r>
      <w:r>
        <w:rPr>
          <w:rFonts w:ascii="Times New Roman;serif" w:hAnsi="Times New Roman;serif"/>
          <w:b w:val="false"/>
          <w:sz w:val="24"/>
        </w:rPr>
        <w:t>arising prior to and up to the date of termination; and (ii) the Service Provider shall reasonably cooperate in any proceeding arising in connection with this Agreement (excluding any such proceeding in which claims are asserted against the Service Provider) upon the offer of appropriate pre-funding, indemnifications and expense reimbursement.</w:t>
      </w:r>
    </w:p>
    <w:p>
      <w:pPr>
        <w:pStyle w:val="TextBody"/>
        <w:spacing w:before="1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Section 11. </w:t>
      </w:r>
      <w:r>
        <w:rPr>
          <w:rFonts w:ascii="Times New Roman;serif" w:hAnsi="Times New Roman;serif"/>
          <w:b w:val="false"/>
          <w:sz w:val="24"/>
          <w:u w:val="single"/>
        </w:rPr>
        <w:t>Assignment or Transfer</w:t>
      </w:r>
      <w:r>
        <w:rPr>
          <w:rFonts w:ascii="Times New Roman;serif" w:hAnsi="Times New Roman;serif"/>
          <w:b w:val="false"/>
          <w:sz w:val="24"/>
        </w:rPr>
        <w:t>. Neither the Service Provider nor the Company may assign or transfer any of their respective rights, duties or obligations under this Agreement without the written consent of the other party; provided, however, that the Service Provider may assign or transfer any of its rights, duties or obligations under this Agreement to any wholly-owned Subsidiary of the Service Provider without the consent of the Company.</w:t>
      </w:r>
    </w:p>
    <w:p>
      <w:pPr>
        <w:pStyle w:val="TextBody"/>
        <w:spacing w:before="8"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Section 12. </w:t>
      </w:r>
      <w:r>
        <w:rPr>
          <w:rFonts w:ascii="Times New Roman;serif" w:hAnsi="Times New Roman;serif"/>
          <w:b w:val="false"/>
          <w:sz w:val="24"/>
          <w:u w:val="single"/>
        </w:rPr>
        <w:t>Survival</w:t>
      </w:r>
      <w:r>
        <w:rPr>
          <w:rFonts w:ascii="Times New Roman;serif" w:hAnsi="Times New Roman;serif"/>
          <w:b w:val="false"/>
          <w:sz w:val="24"/>
        </w:rPr>
        <w:t xml:space="preserve">. </w:t>
      </w:r>
      <w:r>
        <w:rPr>
          <w:rFonts w:ascii="Times New Roman;serif" w:hAnsi="Times New Roman;serif"/>
          <w:b w:val="false"/>
          <w:sz w:val="24"/>
          <w:u w:val="single"/>
        </w:rPr>
        <w:t>Section 1</w:t>
      </w:r>
      <w:r>
        <w:rPr>
          <w:rFonts w:ascii="Times New Roman;serif" w:hAnsi="Times New Roman;serif"/>
          <w:b w:val="false"/>
          <w:sz w:val="24"/>
        </w:rPr>
        <w:t xml:space="preserve">, </w:t>
      </w:r>
      <w:r>
        <w:rPr>
          <w:rFonts w:ascii="Times New Roman;serif" w:hAnsi="Times New Roman;serif"/>
          <w:b w:val="false"/>
          <w:sz w:val="24"/>
          <w:u w:val="single"/>
        </w:rPr>
        <w:t>Section 2</w:t>
      </w:r>
      <w:r>
        <w:rPr>
          <w:rFonts w:ascii="Times New Roman;serif" w:hAnsi="Times New Roman;serif"/>
          <w:b w:val="false"/>
          <w:sz w:val="24"/>
        </w:rPr>
        <w:t xml:space="preserve">, </w:t>
      </w:r>
      <w:r>
        <w:rPr>
          <w:rFonts w:ascii="Times New Roman;serif" w:hAnsi="Times New Roman;serif"/>
          <w:b w:val="false"/>
          <w:sz w:val="24"/>
          <w:u w:val="single"/>
        </w:rPr>
        <w:t>Section 6</w:t>
      </w:r>
      <w:r>
        <w:rPr>
          <w:rFonts w:ascii="Times New Roman;serif" w:hAnsi="Times New Roman;serif"/>
          <w:b w:val="false"/>
          <w:sz w:val="24"/>
        </w:rPr>
        <w:t xml:space="preserve">, </w:t>
      </w:r>
      <w:r>
        <w:rPr>
          <w:rFonts w:ascii="Times New Roman;serif" w:hAnsi="Times New Roman;serif"/>
          <w:b w:val="false"/>
          <w:sz w:val="24"/>
          <w:u w:val="single"/>
        </w:rPr>
        <w:t>Section 7</w:t>
      </w:r>
      <w:r>
        <w:rPr>
          <w:rFonts w:ascii="Times New Roman;serif" w:hAnsi="Times New Roman;serif"/>
          <w:b w:val="false"/>
          <w:sz w:val="24"/>
        </w:rPr>
        <w:t xml:space="preserve">, </w:t>
      </w:r>
      <w:r>
        <w:rPr>
          <w:rFonts w:ascii="Times New Roman;serif" w:hAnsi="Times New Roman;serif"/>
          <w:b w:val="false"/>
          <w:sz w:val="24"/>
          <w:u w:val="single"/>
        </w:rPr>
        <w:t>Section 8</w:t>
      </w:r>
      <w:r>
        <w:rPr>
          <w:rFonts w:ascii="Times New Roman;serif" w:hAnsi="Times New Roman;serif"/>
          <w:b w:val="false"/>
          <w:sz w:val="24"/>
        </w:rPr>
        <w:t xml:space="preserve">, </w:t>
      </w:r>
      <w:r>
        <w:rPr>
          <w:rFonts w:ascii="Times New Roman;serif" w:hAnsi="Times New Roman;serif"/>
          <w:b w:val="false"/>
          <w:sz w:val="24"/>
          <w:u w:val="single"/>
        </w:rPr>
        <w:t>Section 12</w:t>
      </w:r>
      <w:r>
        <w:rPr>
          <w:rFonts w:ascii="Times New Roman;serif" w:hAnsi="Times New Roman;serif"/>
          <w:b w:val="false"/>
          <w:sz w:val="24"/>
        </w:rPr>
        <w:t xml:space="preserve">, </w:t>
      </w:r>
      <w:r>
        <w:rPr>
          <w:rFonts w:ascii="Times New Roman;serif" w:hAnsi="Times New Roman;serif"/>
          <w:b w:val="false"/>
          <w:sz w:val="24"/>
          <w:u w:val="single"/>
        </w:rPr>
        <w:t>Section 13</w:t>
      </w:r>
      <w:r>
        <w:rPr>
          <w:rFonts w:ascii="Times New Roman" w:hAnsi="Times New Roman"/>
          <w:sz w:val="20"/>
        </w:rPr>
        <w:t xml:space="preserve"> </w:t>
      </w:r>
      <w:r>
        <w:rPr>
          <w:rFonts w:ascii="Times New Roman;serif" w:hAnsi="Times New Roman;serif"/>
          <w:b w:val="false"/>
          <w:sz w:val="24"/>
        </w:rPr>
        <w:t xml:space="preserve">and </w:t>
      </w:r>
      <w:r>
        <w:rPr>
          <w:rFonts w:ascii="Times New Roman;serif" w:hAnsi="Times New Roman;serif"/>
          <w:b w:val="false"/>
          <w:sz w:val="24"/>
          <w:u w:val="single"/>
        </w:rPr>
        <w:t>Section 15</w:t>
      </w:r>
      <w:r>
        <w:rPr>
          <w:rFonts w:ascii="Times New Roman" w:hAnsi="Times New Roman"/>
          <w:sz w:val="20"/>
        </w:rPr>
        <w:t xml:space="preserve"> </w:t>
      </w:r>
      <w:r>
        <w:rPr>
          <w:rFonts w:ascii="Times New Roman;serif" w:hAnsi="Times New Roman;serif"/>
          <w:b w:val="false"/>
          <w:sz w:val="24"/>
        </w:rPr>
        <w:t xml:space="preserve">through </w:t>
      </w:r>
      <w:r>
        <w:rPr>
          <w:rFonts w:ascii="Times New Roman;serif" w:hAnsi="Times New Roman;serif"/>
          <w:b w:val="false"/>
          <w:sz w:val="24"/>
          <w:u w:val="single"/>
        </w:rPr>
        <w:t>Section 22</w:t>
      </w:r>
      <w:r>
        <w:rPr>
          <w:rFonts w:ascii="Times New Roman" w:hAnsi="Times New Roman"/>
          <w:sz w:val="20"/>
        </w:rPr>
        <w:t xml:space="preserve"> </w:t>
      </w:r>
      <w:r>
        <w:rPr>
          <w:rFonts w:ascii="Times New Roman;serif" w:hAnsi="Times New Roman;serif"/>
          <w:b w:val="false"/>
          <w:sz w:val="24"/>
        </w:rPr>
        <w:t>shall survive the termination of this Agreement and the representations and warranties of the parties hereto contained in this Agreement shall survive such termination of this Agreement and the rights and obligations of the parties hereto shall survive such termination of this Agreement to the extent (and only to the extent) that any performance is required after such termination to effectuate the intentions hereof.</w:t>
      </w:r>
    </w:p>
    <w:p>
      <w:pPr>
        <w:pStyle w:val="TextBody"/>
        <w:spacing w:before="0" w:after="0"/>
        <w:jc w:val="both"/>
        <w:rPr/>
      </w:pPr>
      <w:r>
        <w:rPr/>
        <w:t> </w:t>
      </w:r>
    </w:p>
    <w:p>
      <w:pPr>
        <w:pStyle w:val="TextBody"/>
        <w:spacing w:before="0" w:after="0"/>
        <w:jc w:val="left"/>
        <w:rPr/>
      </w:pPr>
      <w:r>
        <w:rPr/>
        <w:t> </w:t>
      </w:r>
    </w:p>
    <w:p>
      <w:pPr>
        <w:pStyle w:val="TextBody"/>
        <w:spacing w:before="10" w:after="0"/>
        <w:jc w:val="left"/>
        <w:rPr>
          <w:rFonts w:ascii="Times New Roman;serif" w:hAnsi="Times New Roman;serif"/>
          <w:b w:val="false"/>
          <w:sz w:val="24"/>
        </w:rPr>
      </w:pPr>
      <w:r>
        <w:rPr>
          <w:rFonts w:ascii="Times New Roman;serif" w:hAnsi="Times New Roman;serif"/>
          <w:b w:val="false"/>
          <w:sz w:val="24"/>
        </w:rPr>
        <w:t>8</w:t>
      </w:r>
    </w:p>
    <w:p>
      <w:pPr>
        <w:pStyle w:val="HorizontalLine"/>
        <w:rPr/>
      </w:pPr>
      <w:r>
        <w:rPr/>
      </w:r>
    </w:p>
    <w:p>
      <w:pPr>
        <w:pStyle w:val="TextBody"/>
        <w:spacing w:before="61" w:after="0"/>
        <w:jc w:val="left"/>
        <w:rPr>
          <w:rFonts w:ascii="Times New Roman" w:hAnsi="Times New Roman"/>
          <w:sz w:val="20"/>
        </w:rPr>
      </w:pPr>
      <w:r>
        <w:rPr>
          <w:rFonts w:ascii="Times New Roman;serif" w:hAnsi="Times New Roman;serif"/>
          <w:b w:val="false"/>
          <w:sz w:val="24"/>
        </w:rPr>
        <w:t xml:space="preserve">Section 13. </w:t>
      </w:r>
      <w:r>
        <w:rPr>
          <w:rFonts w:ascii="Times New Roman;serif" w:hAnsi="Times New Roman;serif"/>
          <w:b w:val="false"/>
          <w:sz w:val="24"/>
          <w:u w:val="single"/>
        </w:rPr>
        <w:t>Confidentiality</w:t>
      </w:r>
      <w:r>
        <w:rPr>
          <w:rFonts w:ascii="Times New Roman;serif" w:hAnsi="Times New Roman;serif"/>
          <w:b w:val="false"/>
          <w:sz w:val="24"/>
        </w:rPr>
        <w:t>.</w:t>
      </w:r>
    </w:p>
    <w:p>
      <w:pPr>
        <w:pStyle w:val="TextBody"/>
        <w:spacing w:before="233" w:after="0"/>
        <w:jc w:val="both"/>
        <w:rPr>
          <w:rFonts w:ascii="Times New Roman" w:hAnsi="Times New Roman"/>
          <w:b w:val="false"/>
          <w:sz w:val="24"/>
        </w:rPr>
      </w:pPr>
      <w:r>
        <w:rPr>
          <w:rFonts w:ascii="Times New Roman" w:hAnsi="Times New Roman"/>
          <w:b w:val="false"/>
          <w:sz w:val="24"/>
        </w:rPr>
        <w:t>(a)</w:t>
      </w:r>
    </w:p>
    <w:p>
      <w:pPr>
        <w:pStyle w:val="TextBody"/>
        <w:spacing w:before="233" w:after="283"/>
        <w:jc w:val="both"/>
        <w:rPr/>
      </w:pPr>
      <w:r>
        <w:rPr>
          <w:rFonts w:ascii="Times New Roman;serif" w:hAnsi="Times New Roman;serif"/>
          <w:b w:val="false"/>
          <w:sz w:val="24"/>
        </w:rPr>
        <w:t>Unless otherwise specified by the party providing such information, the parties hereto agree to keep all information received under or in connection with this Agreement confidential (“</w:t>
      </w:r>
      <w:r>
        <w:rPr>
          <w:rFonts w:ascii="Times New Roman;serif" w:hAnsi="Times New Roman;serif"/>
          <w:b w:val="false"/>
          <w:sz w:val="24"/>
          <w:u w:val="single"/>
        </w:rPr>
        <w:t>Confidential Information</w:t>
      </w:r>
      <w:r>
        <w:rPr/>
        <w:t>”</w:t>
      </w:r>
      <w:r>
        <w:rPr>
          <w:rFonts w:ascii="Times New Roman;serif" w:hAnsi="Times New Roman;serif"/>
          <w:b w:val="false"/>
          <w:sz w:val="24"/>
        </w:rPr>
        <w:t xml:space="preserve">) and not disclose such Confidential Information to any third party; </w:t>
      </w:r>
      <w:r>
        <w:rPr>
          <w:rFonts w:ascii="Times New Roman;serif" w:hAnsi="Times New Roman;serif"/>
          <w:b w:val="false"/>
          <w:i/>
          <w:sz w:val="24"/>
        </w:rPr>
        <w:t xml:space="preserve">provided </w:t>
      </w:r>
      <w:r>
        <w:rPr>
          <w:rFonts w:ascii="Times New Roman;serif" w:hAnsi="Times New Roman;serif"/>
          <w:b w:val="false"/>
          <w:sz w:val="24"/>
        </w:rPr>
        <w:t>that, (i) any Confidential Information may be disclosed by either party to its Representatives who need to know such Confidential Information in furtherance of the purposes of this Agreement; (ii) any Confidential Information may be disclosed if required by Applicable Law; and (iii) any other disclosure of the Confidential Information may be made with the prior written consent of the party providing such Confidential Information hereunder. The term “</w:t>
      </w:r>
      <w:r>
        <w:rPr>
          <w:rFonts w:ascii="Times New Roman;serif" w:hAnsi="Times New Roman;serif"/>
          <w:b w:val="false"/>
          <w:sz w:val="24"/>
          <w:u w:val="single"/>
        </w:rPr>
        <w:t>Confidential Information</w:t>
      </w:r>
      <w:r>
        <w:rPr/>
        <w:t xml:space="preserve">” </w:t>
      </w:r>
      <w:r>
        <w:rPr>
          <w:rFonts w:ascii="Times New Roman;serif" w:hAnsi="Times New Roman;serif"/>
          <w:b w:val="false"/>
          <w:sz w:val="24"/>
        </w:rPr>
        <w:t>does not include information which (A) is or becomes generally available to the public, (B) was or becomes available to either party on a non-confidential basis from a source other than the Service Provider or the Company or (C) is independently developed by the Service Provider or the Company without reference to or reliance upon any Confidential Information.</w:t>
      </w:r>
    </w:p>
    <w:p>
      <w:pPr>
        <w:pStyle w:val="TextBody"/>
        <w:spacing w:before="3" w:after="0"/>
        <w:jc w:val="left"/>
        <w:rPr/>
      </w:pPr>
      <w:r>
        <w:rPr/>
        <w:t> </w:t>
      </w:r>
    </w:p>
    <w:p>
      <w:pPr>
        <w:pStyle w:val="TextBody"/>
        <w:spacing w:before="90" w:after="0"/>
        <w:jc w:val="both"/>
        <w:rPr>
          <w:rFonts w:ascii="Times New Roman" w:hAnsi="Times New Roman"/>
          <w:b w:val="false"/>
          <w:sz w:val="24"/>
        </w:rPr>
      </w:pPr>
      <w:r>
        <w:rPr>
          <w:rFonts w:ascii="Times New Roman" w:hAnsi="Times New Roman"/>
          <w:b w:val="false"/>
          <w:sz w:val="24"/>
        </w:rPr>
        <w:t>(b)</w:t>
      </w:r>
    </w:p>
    <w:p>
      <w:pPr>
        <w:pStyle w:val="TextBody"/>
        <w:spacing w:before="90" w:after="283"/>
        <w:jc w:val="both"/>
        <w:rPr/>
      </w:pPr>
      <w:r>
        <w:rPr>
          <w:rFonts w:ascii="Times New Roman;serif" w:hAnsi="Times New Roman;serif"/>
          <w:b w:val="false"/>
          <w:sz w:val="24"/>
        </w:rPr>
        <w:t xml:space="preserve">Within thirty (30) days of the termination of this Agreement for any reason, if so requested, each party shall return to the other party all materials in whatever form containing any Confidential Information; </w:t>
      </w:r>
      <w:r>
        <w:rPr>
          <w:rFonts w:ascii="Times New Roman;serif" w:hAnsi="Times New Roman;serif"/>
          <w:b w:val="false"/>
          <w:i/>
          <w:sz w:val="24"/>
        </w:rPr>
        <w:t xml:space="preserve">provided </w:t>
      </w:r>
      <w:r>
        <w:rPr>
          <w:rFonts w:ascii="Times New Roman;serif" w:hAnsi="Times New Roman;serif"/>
          <w:b w:val="false"/>
          <w:sz w:val="24"/>
        </w:rPr>
        <w:t>that, such Confidential Information (or copies thereof) may be retained to the extent required by Applicable Law or internal record-keeping policies. The confidentiality obligations provided herein shall survive for a period of two (2) years after the date of termination of this Agreement.</w:t>
      </w:r>
    </w:p>
    <w:p>
      <w:pPr>
        <w:pStyle w:val="TextBody"/>
        <w:spacing w:before="1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Section 14. </w:t>
      </w:r>
      <w:r>
        <w:rPr>
          <w:rFonts w:ascii="Times New Roman;serif" w:hAnsi="Times New Roman;serif"/>
          <w:b w:val="false"/>
          <w:sz w:val="24"/>
          <w:u w:val="single"/>
        </w:rPr>
        <w:t>Amendments</w:t>
      </w:r>
      <w:r>
        <w:rPr>
          <w:rFonts w:ascii="Times New Roman;serif" w:hAnsi="Times New Roman;serif"/>
          <w:b w:val="false"/>
          <w:sz w:val="24"/>
        </w:rPr>
        <w:t>. This Agreement may not be modified or amended other than by an agreement in writing executed by each of the parties hereto.</w:t>
      </w:r>
    </w:p>
    <w:p>
      <w:pPr>
        <w:pStyle w:val="TextBody"/>
        <w:spacing w:before="1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Section 15. </w:t>
      </w:r>
      <w:r>
        <w:rPr>
          <w:rFonts w:ascii="Times New Roman;serif" w:hAnsi="Times New Roman;serif"/>
          <w:b w:val="false"/>
          <w:sz w:val="24"/>
          <w:u w:val="single"/>
        </w:rPr>
        <w:t>Governing Law</w:t>
      </w:r>
      <w:r>
        <w:rPr>
          <w:rFonts w:ascii="Times New Roman;serif" w:hAnsi="Times New Roman;serif"/>
          <w:b w:val="false"/>
          <w:sz w:val="24"/>
        </w:rPr>
        <w:t>.</w:t>
      </w:r>
    </w:p>
    <w:p>
      <w:pPr>
        <w:pStyle w:val="TextBody"/>
        <w:spacing w:before="233" w:after="0"/>
        <w:jc w:val="both"/>
        <w:rPr>
          <w:rFonts w:ascii="Times New Roman" w:hAnsi="Times New Roman"/>
          <w:b w:val="false"/>
          <w:sz w:val="24"/>
        </w:rPr>
      </w:pPr>
      <w:r>
        <w:rPr>
          <w:rFonts w:ascii="Times New Roman" w:hAnsi="Times New Roman"/>
          <w:b w:val="false"/>
          <w:sz w:val="24"/>
        </w:rPr>
        <w:t>(a)</w:t>
      </w:r>
    </w:p>
    <w:p>
      <w:pPr>
        <w:pStyle w:val="TextBody"/>
        <w:spacing w:before="233" w:after="283"/>
        <w:jc w:val="both"/>
        <w:rPr>
          <w:rFonts w:ascii="Times New Roman;serif" w:hAnsi="Times New Roman;serif"/>
          <w:b w:val="false"/>
          <w:sz w:val="24"/>
        </w:rPr>
      </w:pPr>
      <w:r>
        <w:rPr>
          <w:rFonts w:ascii="Times New Roman;serif" w:hAnsi="Times New Roman;serif"/>
          <w:b w:val="false"/>
          <w:sz w:val="24"/>
        </w:rPr>
        <w:t>This Agreement shall be governed by, and construed in accordance with, the laws of the State of New York. The parties unconditionally and irrevocably consent to the exclusive jurisdiction of the courts located in the State of New York and waive any objection with respect thereto, for the purpose of any action, suit or proceeding arising out of or relating to this Agreement or the transactions contemplated hereby.</w:t>
      </w:r>
    </w:p>
    <w:p>
      <w:pPr>
        <w:pStyle w:val="TextBody"/>
        <w:spacing w:before="0"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(b)</w:t>
      </w:r>
    </w:p>
    <w:p>
      <w:pPr>
        <w:pStyle w:val="TextBody"/>
        <w:spacing w:before="1" w:after="283"/>
        <w:jc w:val="both"/>
        <w:rPr/>
      </w:pPr>
      <w:r>
        <w:rPr>
          <w:rFonts w:ascii="Times New Roman;serif" w:hAnsi="Times New Roman;serif"/>
          <w:b w:val="false"/>
          <w:sz w:val="24"/>
        </w:rPr>
        <w:t>The parties hereto irrevocably agree for the benefit of each other that the state and federal courts in the State of New York, County of New York are to have exclusive jurisdiction to settle any disputes (whether contractual or non-contractual) which may arise out of or in connection with this Agreement and that accordingly any action arising out of or in connection therewith (together referred to as “</w:t>
      </w:r>
      <w:r>
        <w:rPr>
          <w:rFonts w:ascii="Times New Roman;serif" w:hAnsi="Times New Roman;serif"/>
          <w:b w:val="false"/>
          <w:sz w:val="24"/>
          <w:u w:val="single"/>
        </w:rPr>
        <w:t>Proceedings</w:t>
      </w:r>
      <w:r>
        <w:rPr/>
        <w:t>”</w:t>
      </w:r>
      <w:r>
        <w:rPr>
          <w:rFonts w:ascii="Times New Roman;serif" w:hAnsi="Times New Roman;serif"/>
          <w:b w:val="false"/>
          <w:sz w:val="24"/>
        </w:rPr>
        <w:t>) may be brought in such courts. The parties hereto irrevocably submit to the jurisdiction of such courts and waive any objection which they may have now or hereafter to the laying of the venue of any Proceedings in any such court and any claim that any Proceedings have been brought in an inconvenient forum and further irrevocably agree that a judgment in any Proceedings brought in such courts shall be conclusive and binding upon the parties hereto and may be enforced in the courts of any other jurisdiction.</w:t>
      </w:r>
    </w:p>
    <w:p>
      <w:pPr>
        <w:pStyle w:val="TextBody"/>
        <w:spacing w:before="0" w:after="0"/>
        <w:jc w:val="left"/>
        <w:rPr/>
      </w:pPr>
      <w:r>
        <w:rPr/>
        <w:t> </w:t>
      </w:r>
    </w:p>
    <w:p>
      <w:pPr>
        <w:pStyle w:val="TextBody"/>
        <w:spacing w:before="1" w:after="0"/>
        <w:jc w:val="left"/>
        <w:rPr>
          <w:rFonts w:ascii="Times New Roman" w:hAnsi="Times New Roman"/>
          <w:sz w:val="20"/>
        </w:rPr>
      </w:pPr>
      <w:r>
        <w:rPr>
          <w:rFonts w:ascii="Times New Roman;serif" w:hAnsi="Times New Roman;serif"/>
          <w:b w:val="false"/>
          <w:sz w:val="24"/>
        </w:rPr>
        <w:t xml:space="preserve">Section 16. </w:t>
      </w:r>
      <w:r>
        <w:rPr>
          <w:rFonts w:ascii="Times New Roman;serif" w:hAnsi="Times New Roman;serif"/>
          <w:b w:val="false"/>
          <w:sz w:val="24"/>
          <w:u w:val="single"/>
        </w:rPr>
        <w:t>Waiver of Jury Trial</w:t>
      </w:r>
      <w:r>
        <w:rPr>
          <w:rFonts w:ascii="Times New Roman;serif" w:hAnsi="Times New Roman;serif"/>
          <w:b w:val="false"/>
          <w:sz w:val="24"/>
        </w:rPr>
        <w:t>. EACH OF THE PARTIES HERETO HEREBY KNOWINGLY, VOLUNTARILY AND INTENTIONALLY WAIVES ANY RIGHTS IT MAY</w:t>
      </w:r>
    </w:p>
    <w:p>
      <w:pPr>
        <w:pStyle w:val="TextBody"/>
        <w:spacing w:before="0" w:after="0"/>
        <w:jc w:val="left"/>
        <w:rPr/>
      </w:pPr>
      <w:r>
        <w:rPr/>
        <w:t> </w:t>
      </w:r>
    </w:p>
    <w:p>
      <w:pPr>
        <w:pStyle w:val="TextBody"/>
        <w:spacing w:before="0" w:after="0"/>
        <w:jc w:val="left"/>
        <w:rPr/>
      </w:pPr>
      <w:r>
        <w:rPr/>
        <w:t> </w:t>
      </w:r>
    </w:p>
    <w:p>
      <w:pPr>
        <w:pStyle w:val="TextBody"/>
        <w:spacing w:before="10" w:after="0"/>
        <w:jc w:val="left"/>
        <w:rPr>
          <w:rFonts w:ascii="Times New Roman;serif" w:hAnsi="Times New Roman;serif"/>
          <w:b w:val="false"/>
          <w:sz w:val="24"/>
        </w:rPr>
      </w:pPr>
      <w:r>
        <w:rPr>
          <w:rFonts w:ascii="Times New Roman;serif" w:hAnsi="Times New Roman;serif"/>
          <w:b w:val="false"/>
          <w:sz w:val="24"/>
        </w:rPr>
        <w:t>9</w:t>
      </w:r>
    </w:p>
    <w:p>
      <w:pPr>
        <w:pStyle w:val="HorizontalLine"/>
        <w:rPr/>
      </w:pPr>
      <w:r>
        <w:rPr/>
      </w:r>
    </w:p>
    <w:p>
      <w:pPr>
        <w:pStyle w:val="TextBody"/>
        <w:spacing w:before="76" w:after="0"/>
        <w:jc w:val="both"/>
        <w:rPr>
          <w:rFonts w:ascii="Times New Roman;serif" w:hAnsi="Times New Roman;serif"/>
          <w:b w:val="false"/>
          <w:sz w:val="24"/>
        </w:rPr>
      </w:pPr>
      <w:r>
        <w:rPr>
          <w:rFonts w:ascii="Times New Roman;serif" w:hAnsi="Times New Roman;serif"/>
          <w:b w:val="false"/>
          <w:sz w:val="24"/>
        </w:rPr>
        <w:t>HAVE TO A TRIAL BY JURY IN RESPECT OF ANY LITIGATION BASED HEREON, OR ARISING OUT OF, UNDER, OR IN CONNECTION WITH, THIS AGREEMENT. EACH PARTY HERETO ACKNOWLEDGES AND AGREES THAT IT HAS RECEIVED FULL AND SUFFICIENT CONSIDERATION FOR THIS PROVISION AND THAT THIS PROVISION IS A MATERIAL INDUCEMENT FOR ITS ENTERING INTO THIS AGREEMENT.</w:t>
      </w:r>
    </w:p>
    <w:p>
      <w:pPr>
        <w:pStyle w:val="TextBody"/>
        <w:spacing w:before="8"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Section 17. </w:t>
      </w:r>
      <w:r>
        <w:rPr>
          <w:rFonts w:ascii="Times New Roman;serif" w:hAnsi="Times New Roman;serif"/>
          <w:b w:val="false"/>
          <w:sz w:val="24"/>
          <w:u w:val="single"/>
        </w:rPr>
        <w:t>Severability</w:t>
      </w:r>
      <w:r>
        <w:rPr>
          <w:rFonts w:ascii="Times New Roman;serif" w:hAnsi="Times New Roman;serif"/>
          <w:b w:val="false"/>
          <w:sz w:val="24"/>
        </w:rPr>
        <w:t>. Each provision of this Agreement shall be considered severable and if for any reason any provision which is not essential to the effectuation of the basic purposes of this Agreement is determined by a court of competent jurisdiction to be invalid or unenforceable and contrary to existing or future Applicable Law, such invalidity shall not impair the operation of or affect those provisions of this Agreement which are valid. In that case, this Agreement shall be construed to limit any term or provision so as to make it enforceable or valid within the requirements of Applicable Law, and in the event such term or provision cannot be so limited, this Agreement shall be construed to omit such invalid or unenforceable provisions.</w:t>
      </w:r>
    </w:p>
    <w:p>
      <w:pPr>
        <w:pStyle w:val="TextBody"/>
        <w:spacing w:before="1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Section 18. </w:t>
      </w:r>
      <w:r>
        <w:rPr>
          <w:rFonts w:ascii="Times New Roman;serif" w:hAnsi="Times New Roman;serif"/>
          <w:b w:val="false"/>
          <w:sz w:val="24"/>
          <w:u w:val="single"/>
        </w:rPr>
        <w:t>No Waiver</w:t>
      </w:r>
      <w:r>
        <w:rPr>
          <w:rFonts w:ascii="Times New Roman;serif" w:hAnsi="Times New Roman;serif"/>
          <w:b w:val="false"/>
          <w:sz w:val="24"/>
        </w:rPr>
        <w:t>. The performance of any condition or obligation imposed upon any party hereunder may be waived only upon the written consent of the parties hereto. Such waiver shall be limited to the terms thereof and shall not constitute a waiver of any other condition or obligation of the other party under this Agreement. Any failure by any party to this Agreement to enforce any provision shall not constitute a waiver of that or any other provision or this Agreement.</w:t>
      </w:r>
    </w:p>
    <w:p>
      <w:pPr>
        <w:pStyle w:val="TextBody"/>
        <w:spacing w:before="224" w:after="0"/>
        <w:jc w:val="both"/>
        <w:rPr>
          <w:rFonts w:ascii="Times New Roman" w:hAnsi="Times New Roman"/>
          <w:sz w:val="20"/>
        </w:rPr>
      </w:pPr>
      <w:r>
        <w:rPr>
          <w:rFonts w:ascii="Times New Roman;serif" w:hAnsi="Times New Roman;serif"/>
          <w:b w:val="false"/>
          <w:sz w:val="24"/>
        </w:rPr>
        <w:t xml:space="preserve">Section 19. </w:t>
      </w:r>
      <w:r>
        <w:rPr>
          <w:rFonts w:ascii="Times New Roman;serif" w:hAnsi="Times New Roman;serif"/>
          <w:b w:val="false"/>
          <w:sz w:val="24"/>
          <w:u w:val="single"/>
        </w:rPr>
        <w:t>Discretion; Good Faith</w:t>
      </w:r>
      <w:r>
        <w:rPr>
          <w:rFonts w:ascii="Times New Roman;serif" w:hAnsi="Times New Roman;serif"/>
          <w:b w:val="false"/>
          <w:sz w:val="24"/>
        </w:rPr>
        <w:t>. To the fullest extent permitted by Applicable Law and notwithstanding any other provision of this Agreement or in any agreement contemplated herein or applicable provisions of law or equity or otherwise, whenever in this Agreement the Service Provider or any representatives thereof is permitted or required to make a decision (i) in its “sole discretion” or “discretion” or under a grant of similar authority or latitude, the Service Provider or such other Person shall be entitled to consider only such interests and factors as it desires, including its own interests, and, to the fullest extent permitted by Applicable Law, shall have no duty or obligation to give any consideration to any interest of or factors affecting the Company or any other Person, or (ii) in its “good faith” or under another express standard, the Service Provider or such other Person shall act under such express standard and, to the fullest extent permitted by Applicable Law, shall not be subject to any other or different standard imposed by this Agreement or any other agreement contemplated herein or by relevant provisions of law or in equity or otherwise, and may exercise its discretion differently with respect to the Company. If any questions should arise with respect to the services provided hereunder that are not specifically provided for in this Agreement or the Applicable Law, or with respect to the interpretation of this Agreement, the Service Provider is hereby authorized to make a final determination with respect to any such question and to interpret this Agreement in good faith, and its determination and interpretation so made shall be final and binding on all parties.</w:t>
      </w:r>
    </w:p>
    <w:p>
      <w:pPr>
        <w:pStyle w:val="TextBody"/>
        <w:spacing w:before="1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Section 20. </w:t>
      </w:r>
      <w:r>
        <w:rPr>
          <w:rFonts w:ascii="Times New Roman;serif" w:hAnsi="Times New Roman;serif"/>
          <w:b w:val="false"/>
          <w:sz w:val="24"/>
          <w:u w:val="single"/>
        </w:rPr>
        <w:t>Counterparts; Binding Effect</w:t>
      </w:r>
      <w:r>
        <w:rPr>
          <w:rFonts w:ascii="Times New Roman;serif" w:hAnsi="Times New Roman;serif"/>
          <w:b w:val="false"/>
          <w:sz w:val="24"/>
        </w:rPr>
        <w:t>. This Agreement may be executed in any number of counterparts by facsimile or other written form of communication, each of which shall be deemed to be an original as against any party whose signature appears thereon, and all of which shall together constitute one and the same instrument. This Agreement shall become binding when one or more counterparts hereof, individually or taken together, shall bear the signatures of all of the parties reflected hereon as the signatories. In addition, to the maximum extent permitted by</w:t>
      </w:r>
    </w:p>
    <w:p>
      <w:pPr>
        <w:pStyle w:val="TextBody"/>
        <w:spacing w:before="0" w:after="0"/>
        <w:jc w:val="both"/>
        <w:rPr/>
      </w:pPr>
      <w:r>
        <w:rPr/>
        <w:t> </w:t>
      </w:r>
    </w:p>
    <w:p>
      <w:pPr>
        <w:pStyle w:val="TextBody"/>
        <w:spacing w:before="0" w:after="0"/>
        <w:jc w:val="left"/>
        <w:rPr/>
      </w:pPr>
      <w:r>
        <w:rPr/>
        <w:t> </w:t>
      </w:r>
    </w:p>
    <w:p>
      <w:pPr>
        <w:pStyle w:val="TextBody"/>
        <w:spacing w:before="10" w:after="0"/>
        <w:jc w:val="left"/>
        <w:rPr>
          <w:rFonts w:ascii="Times New Roman;serif" w:hAnsi="Times New Roman;serif"/>
          <w:b w:val="false"/>
          <w:sz w:val="24"/>
        </w:rPr>
      </w:pPr>
      <w:r>
        <w:rPr>
          <w:rFonts w:ascii="Times New Roman;serif" w:hAnsi="Times New Roman;serif"/>
          <w:b w:val="false"/>
          <w:sz w:val="24"/>
        </w:rPr>
        <w:t>10</w:t>
      </w:r>
    </w:p>
    <w:p>
      <w:pPr>
        <w:pStyle w:val="HorizontalLine"/>
        <w:rPr/>
      </w:pPr>
      <w:r>
        <w:rPr/>
      </w:r>
    </w:p>
    <w:p>
      <w:pPr>
        <w:pStyle w:val="TextBody"/>
        <w:spacing w:before="76" w:after="0"/>
        <w:jc w:val="both"/>
        <w:rPr>
          <w:rFonts w:ascii="Times New Roman;serif" w:hAnsi="Times New Roman;serif"/>
          <w:b w:val="false"/>
          <w:sz w:val="24"/>
        </w:rPr>
      </w:pPr>
      <w:r>
        <w:rPr>
          <w:rFonts w:ascii="Times New Roman;serif" w:hAnsi="Times New Roman;serif"/>
          <w:b w:val="false"/>
          <w:sz w:val="24"/>
        </w:rPr>
        <w:t>Applicable Law, a Person shall become bound in accordance with the terms of this Agreement if such Person (or a representative authorized by such Person orally, in writing or by other action) executes any other writing evidencing the intent of such Person to enter into this Agreement.</w:t>
      </w:r>
    </w:p>
    <w:p>
      <w:pPr>
        <w:pStyle w:val="TextBody"/>
        <w:spacing w:before="230" w:after="0"/>
        <w:jc w:val="both"/>
        <w:rPr>
          <w:rFonts w:ascii="Times New Roman" w:hAnsi="Times New Roman"/>
          <w:sz w:val="20"/>
        </w:rPr>
      </w:pPr>
      <w:r>
        <w:rPr>
          <w:rFonts w:ascii="Times New Roman;serif" w:hAnsi="Times New Roman;serif"/>
          <w:b w:val="false"/>
          <w:sz w:val="24"/>
        </w:rPr>
        <w:t xml:space="preserve">Section 21. </w:t>
      </w:r>
      <w:r>
        <w:rPr>
          <w:rFonts w:ascii="Times New Roman;serif" w:hAnsi="Times New Roman;serif"/>
          <w:b w:val="false"/>
          <w:sz w:val="24"/>
          <w:u w:val="single"/>
        </w:rPr>
        <w:t>No Third Party Beneficiaries</w:t>
      </w:r>
      <w:r>
        <w:rPr>
          <w:rFonts w:ascii="Times New Roman;serif" w:hAnsi="Times New Roman;serif"/>
          <w:b w:val="false"/>
          <w:sz w:val="24"/>
        </w:rPr>
        <w:t xml:space="preserve">. Except as otherwise provided herein, the provisions of this Agreement are not intended to be for the benefit of or enforceable by any third party, other than by Covered Persons pursuant to the terms of </w:t>
      </w:r>
      <w:r>
        <w:rPr>
          <w:rFonts w:ascii="Times New Roman;serif" w:hAnsi="Times New Roman;serif"/>
          <w:b w:val="false"/>
          <w:sz w:val="24"/>
          <w:u w:val="single"/>
        </w:rPr>
        <w:t>Section 8</w:t>
      </w:r>
      <w:r>
        <w:rPr>
          <w:rFonts w:ascii="Times New Roman;serif" w:hAnsi="Times New Roman;serif"/>
          <w:b w:val="false"/>
          <w:sz w:val="24"/>
        </w:rPr>
        <w:t>.</w:t>
      </w:r>
    </w:p>
    <w:p>
      <w:pPr>
        <w:pStyle w:val="TextBody"/>
        <w:spacing w:before="4"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Section 22. </w:t>
      </w:r>
      <w:r>
        <w:rPr>
          <w:rFonts w:ascii="Times New Roman;serif" w:hAnsi="Times New Roman;serif"/>
          <w:b w:val="false"/>
          <w:sz w:val="24"/>
          <w:u w:val="single"/>
        </w:rPr>
        <w:t>Relationship Generally; No Authority to Bind</w:t>
      </w:r>
      <w:r>
        <w:rPr>
          <w:rFonts w:ascii="Times New Roman;serif" w:hAnsi="Times New Roman;serif"/>
          <w:b w:val="false"/>
          <w:sz w:val="24"/>
        </w:rPr>
        <w:t>. This Agreement does not make any party the employee, partner, agent, joint venturer, or representative of any other party for any purpose whatsoever. The Service Provider shall not have any right or authority to conclude contracts in the name of the Company or otherwise to assume or to create any obligation or responsibility, express or implied, on behalf of or in the name of the Company. In fulfilling its obligations pursuant to this Agreement, the Service Provider will be acting as an independent contractor. The Service Provider shall have no authority to act for or to bind the Company while acting in its capacity as a consultant to the Company under this Agreement without the prior written consent of the Company. This Agreement shall in no way prohibit any of the Service Provider, its Affiliates, and its or their respective Representatives from engaging in other activities or performing services for its or their own account or for the account of others, including for any Person that may be in competition with any business of the Company, and the Company disclaims to the fullest extent any prohibition thereon.</w:t>
      </w:r>
    </w:p>
    <w:p>
      <w:pPr>
        <w:pStyle w:val="TextBody"/>
        <w:spacing w:before="8"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Section 23. </w:t>
      </w:r>
      <w:r>
        <w:rPr>
          <w:rFonts w:ascii="Times New Roman;serif" w:hAnsi="Times New Roman;serif"/>
          <w:b w:val="false"/>
          <w:sz w:val="24"/>
          <w:u w:val="single"/>
        </w:rPr>
        <w:t>Further Assurances</w:t>
      </w:r>
      <w:r>
        <w:rPr>
          <w:rFonts w:ascii="Times New Roman;serif" w:hAnsi="Times New Roman;serif"/>
          <w:b w:val="false"/>
          <w:sz w:val="24"/>
        </w:rPr>
        <w:t>. Each party hereto shall do and perform or cause to be done and performed all such further acts and things and shall execute and deliver all such other agreements, certificates, instruments, and documents as are required in order to carry out the provisions of this Agreement and the consummation of the transactions contemplated hereby.</w:t>
      </w:r>
    </w:p>
    <w:p>
      <w:pPr>
        <w:pStyle w:val="TextBody"/>
        <w:spacing w:before="229" w:after="0"/>
        <w:jc w:val="both"/>
        <w:rPr>
          <w:rFonts w:ascii="Times New Roman" w:hAnsi="Times New Roman"/>
          <w:sz w:val="20"/>
        </w:rPr>
      </w:pPr>
      <w:r>
        <w:rPr>
          <w:rFonts w:ascii="Times New Roman;serif" w:hAnsi="Times New Roman;serif"/>
          <w:b w:val="false"/>
          <w:sz w:val="24"/>
        </w:rPr>
        <w:t xml:space="preserve">Section 24. </w:t>
      </w:r>
      <w:r>
        <w:rPr>
          <w:rFonts w:ascii="Times New Roman;serif" w:hAnsi="Times New Roman;serif"/>
          <w:b w:val="false"/>
          <w:sz w:val="24"/>
          <w:u w:val="single"/>
        </w:rPr>
        <w:t>Headings</w:t>
      </w:r>
      <w:r>
        <w:rPr>
          <w:rFonts w:ascii="Times New Roman;serif" w:hAnsi="Times New Roman;serif"/>
          <w:b w:val="false"/>
          <w:sz w:val="24"/>
        </w:rPr>
        <w:t>. The headings of the sections of this Agreement have been inserted for convenience of reference only and shall not be deemed to be a part of this Agreement.</w:t>
      </w:r>
    </w:p>
    <w:p>
      <w:pPr>
        <w:pStyle w:val="TextBody"/>
        <w:spacing w:before="224" w:after="0"/>
        <w:jc w:val="both"/>
        <w:rPr>
          <w:rFonts w:ascii="Times New Roman" w:hAnsi="Times New Roman"/>
          <w:sz w:val="20"/>
        </w:rPr>
      </w:pPr>
      <w:r>
        <w:rPr>
          <w:rFonts w:ascii="Times New Roman;serif" w:hAnsi="Times New Roman;serif"/>
          <w:b w:val="false"/>
          <w:sz w:val="24"/>
        </w:rPr>
        <w:t xml:space="preserve">Section 25. </w:t>
      </w:r>
      <w:r>
        <w:rPr>
          <w:rFonts w:ascii="Times New Roman;serif" w:hAnsi="Times New Roman;serif"/>
          <w:b w:val="false"/>
          <w:sz w:val="24"/>
          <w:u w:val="single"/>
        </w:rPr>
        <w:t>Entire Agreement</w:t>
      </w:r>
      <w:r>
        <w:rPr>
          <w:rFonts w:ascii="Times New Roman;serif" w:hAnsi="Times New Roman;serif"/>
          <w:b w:val="false"/>
          <w:sz w:val="24"/>
        </w:rPr>
        <w:t>. This Agreement contains the entire agreement and understanding among the parties hereto with respect to the subject matter of this Agreement and supersedes all prior and contemporaneous agreements, understandings, inducements and conditions, express or implied, oral or written, of any nature whatsoever with respect to the subject matter of this Agreement. The express terms of this Agreement control and supersede any course of performance and any usage of the trade inconsistent or in conflict with any of the terms of this Agreement. In the event that any provision of any Organizational Document of any party hereto or other contract or agreement to which any party hereto is a party is inconsistent or in conflict with any provision in this Agreement, (i) the provisions of this Agreement shall govern, (ii) such Organizational Document or other contract or agreement shall be read and construed so that it is consistent and not in conflict with this Agreement and (iii) such party shall take such action as may be necessary to amend the applicable provision in such Organizational Document or other contract or agreement in order to correct such inconsistency or conflict in favor of such provision of this Agreement.</w:t>
      </w:r>
    </w:p>
    <w:p>
      <w:pPr>
        <w:pStyle w:val="TextBody"/>
        <w:spacing w:before="1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Section 26. </w:t>
      </w:r>
      <w:r>
        <w:rPr>
          <w:rFonts w:ascii="Times New Roman;serif" w:hAnsi="Times New Roman;serif"/>
          <w:b w:val="false"/>
          <w:sz w:val="24"/>
          <w:u w:val="single"/>
        </w:rPr>
        <w:t>Notices</w:t>
      </w:r>
      <w:r>
        <w:rPr>
          <w:rFonts w:ascii="Times New Roman;serif" w:hAnsi="Times New Roman;serif"/>
          <w:b w:val="false"/>
          <w:sz w:val="24"/>
        </w:rPr>
        <w:t>. All notices, requests, demands and other communications hereunder shall be in writing and shall be deemed to have been duly given if (i) to the Company,</w:t>
      </w:r>
    </w:p>
    <w:p>
      <w:pPr>
        <w:pStyle w:val="TextBody"/>
        <w:spacing w:before="0" w:after="0"/>
        <w:jc w:val="both"/>
        <w:rPr/>
      </w:pPr>
      <w:r>
        <w:rPr/>
        <w:t> </w:t>
      </w:r>
    </w:p>
    <w:p>
      <w:pPr>
        <w:pStyle w:val="TextBody"/>
        <w:spacing w:before="0" w:after="0"/>
        <w:jc w:val="left"/>
        <w:rPr/>
      </w:pPr>
      <w:r>
        <w:rPr/>
        <w:t> </w:t>
      </w:r>
    </w:p>
    <w:p>
      <w:pPr>
        <w:pStyle w:val="TextBody"/>
        <w:spacing w:before="10" w:after="0"/>
        <w:jc w:val="left"/>
        <w:rPr>
          <w:rFonts w:ascii="Times New Roman;serif" w:hAnsi="Times New Roman;serif"/>
          <w:b w:val="false"/>
          <w:sz w:val="24"/>
        </w:rPr>
      </w:pPr>
      <w:r>
        <w:rPr>
          <w:rFonts w:ascii="Times New Roman;serif" w:hAnsi="Times New Roman;serif"/>
          <w:b w:val="false"/>
          <w:sz w:val="24"/>
        </w:rPr>
        <w:t>11</w:t>
      </w:r>
    </w:p>
    <w:p>
      <w:pPr>
        <w:pStyle w:val="HorizontalLine"/>
        <w:rPr/>
      </w:pPr>
      <w:r>
        <w:rPr/>
      </w:r>
    </w:p>
    <w:p>
      <w:pPr>
        <w:pStyle w:val="TextBody"/>
        <w:spacing w:before="76" w:after="0"/>
        <w:jc w:val="both"/>
        <w:rPr>
          <w:rFonts w:ascii="Times New Roman" w:hAnsi="Times New Roman"/>
          <w:sz w:val="20"/>
        </w:rPr>
      </w:pPr>
      <w:r>
        <w:rPr>
          <w:rFonts w:ascii="Times New Roman;serif" w:hAnsi="Times New Roman;serif"/>
          <w:b w:val="false"/>
          <w:sz w:val="24"/>
        </w:rPr>
        <w:t>(A) mailed, certified or registered mail, first-class postage paid, return receipt requested, (B) sent by an internationally recognized overnight mail or courier service, (C) delivered by hand, (D) transmitted via facsimile, or (E) transmitted via email, to the Company at Tim.Bertram@inregen.com, or such other address of Company, as notified to the other parties hereto; (ii) to the Service Provider, (A) mailed, certified or registered mail, first-class postage paid, return receipt requested, (B) sent by an internationally recognized overnight mail or courier service, (C) delivered by hand, (D) transmitted via facsimile, or (E) transmitted via email, to 110 East 59th Street, Suite 3300, New York, New York 10022, jaimegomez@latinamericanpharma.com, or such other address of the Service Provider, as notified to the other parties hereto. Any notices, requests, demands and other communications hereunder shall be deemed received, unless earlier received, (1) if sent by certified or registered mail, first- class postage paid, return receipt requested, when actually received, (2) if sent by an internationally recognized mail or courier service, on the third Business Day after deposit therewith, (3) if delivered by hand, on the date of receipt, (4) if sent by facsimile transmission, on the date sent (</w:t>
      </w:r>
      <w:r>
        <w:rPr>
          <w:rFonts w:ascii="Times New Roman;serif" w:hAnsi="Times New Roman;serif"/>
          <w:b w:val="false"/>
          <w:i/>
          <w:sz w:val="24"/>
        </w:rPr>
        <w:t xml:space="preserve">provided </w:t>
      </w:r>
      <w:r>
        <w:rPr>
          <w:rFonts w:ascii="Times New Roman;serif" w:hAnsi="Times New Roman;serif"/>
          <w:b w:val="false"/>
          <w:sz w:val="24"/>
        </w:rPr>
        <w:t>that, machine confirmation is received and a confirmatory copy is sent by one of the foregoing means), or (5) if sent by email, on the date sent (</w:t>
      </w:r>
      <w:r>
        <w:rPr>
          <w:rFonts w:ascii="Times New Roman;serif" w:hAnsi="Times New Roman;serif"/>
          <w:b w:val="false"/>
          <w:i/>
          <w:sz w:val="24"/>
        </w:rPr>
        <w:t xml:space="preserve">provided </w:t>
      </w:r>
      <w:r>
        <w:rPr>
          <w:rFonts w:ascii="Times New Roman;serif" w:hAnsi="Times New Roman;serif"/>
          <w:b w:val="false"/>
          <w:sz w:val="24"/>
        </w:rPr>
        <w:t>that, a confirmatory copy is sent by one of the foregoing means).</w:t>
      </w:r>
    </w:p>
    <w:p>
      <w:pPr>
        <w:pStyle w:val="TextBody"/>
        <w:spacing w:before="0" w:after="0"/>
        <w:jc w:val="left"/>
        <w:rPr/>
      </w:pPr>
      <w:r>
        <w:rPr/>
        <w:t> </w:t>
      </w:r>
    </w:p>
    <w:p>
      <w:pPr>
        <w:pStyle w:val="TextBody"/>
        <w:spacing w:before="179" w:after="0"/>
        <w:jc w:val="center"/>
        <w:rPr>
          <w:rFonts w:ascii="Times New Roman;serif" w:hAnsi="Times New Roman;serif"/>
          <w:b w:val="false"/>
          <w:i/>
          <w:sz w:val="24"/>
        </w:rPr>
      </w:pPr>
      <w:r>
        <w:rPr>
          <w:rFonts w:ascii="Times New Roman;serif" w:hAnsi="Times New Roman;serif"/>
          <w:b w:val="false"/>
          <w:i/>
          <w:sz w:val="24"/>
        </w:rPr>
        <w:t>[The remainder of this page intentionally left blank.]</w:t>
      </w:r>
    </w:p>
    <w:p>
      <w:pPr>
        <w:pStyle w:val="TextBody"/>
        <w:spacing w:before="0" w:after="0"/>
        <w:jc w:val="center"/>
        <w:rPr/>
      </w:pPr>
      <w:r>
        <w:rPr/>
        <w:t> </w:t>
      </w:r>
    </w:p>
    <w:p>
      <w:pPr>
        <w:pStyle w:val="TextBody"/>
        <w:spacing w:before="0" w:after="0"/>
        <w:jc w:val="left"/>
        <w:rPr/>
      </w:pPr>
      <w:r>
        <w:rPr/>
        <w:t> </w:t>
      </w:r>
    </w:p>
    <w:p>
      <w:pPr>
        <w:pStyle w:val="TextBody"/>
        <w:spacing w:before="10" w:after="0"/>
        <w:jc w:val="left"/>
        <w:rPr>
          <w:rFonts w:ascii="Times New Roman;serif" w:hAnsi="Times New Roman;serif"/>
          <w:b w:val="false"/>
          <w:sz w:val="24"/>
        </w:rPr>
      </w:pPr>
      <w:r>
        <w:rPr>
          <w:rFonts w:ascii="Times New Roman;serif" w:hAnsi="Times New Roman;serif"/>
          <w:b w:val="false"/>
          <w:sz w:val="24"/>
        </w:rPr>
        <w:t>12</w:t>
      </w:r>
    </w:p>
    <w:p>
      <w:pPr>
        <w:pStyle w:val="HorizontalLine"/>
        <w:rPr/>
      </w:pPr>
      <w:r>
        <w:rPr/>
      </w:r>
    </w:p>
    <w:p>
      <w:pPr>
        <w:pStyle w:val="TextBody"/>
        <w:spacing w:before="76" w:after="0"/>
        <w:jc w:val="left"/>
        <w:rPr>
          <w:rFonts w:ascii="Times New Roman;serif" w:hAnsi="Times New Roman;serif"/>
          <w:b w:val="false"/>
          <w:sz w:val="24"/>
        </w:rPr>
      </w:pPr>
      <w:r>
        <w:rPr>
          <w:rFonts w:ascii="Times New Roman;serif" w:hAnsi="Times New Roman;serif"/>
          <w:b w:val="false"/>
          <w:sz w:val="24"/>
        </w:rPr>
        <w:t>IN WITNESS WHEREOF, each party hereto has caused this Agreement to be executed as of the date hereof by its duly authorized representative.</w:t>
      </w:r>
    </w:p>
    <w:p>
      <w:pPr>
        <w:pStyle w:val="TextBody"/>
        <w:spacing w:before="10" w:after="0"/>
        <w:jc w:val="left"/>
        <w:rPr/>
      </w:pPr>
      <w:r>
        <w:rPr/>
        <w:t> </w:t>
      </w:r>
    </w:p>
    <w:p>
      <w:pPr>
        <w:pStyle w:val="TextBody"/>
        <w:spacing w:before="0" w:after="0"/>
        <w:jc w:val="left"/>
        <w:rPr>
          <w:rFonts w:ascii="Times New Roman;serif" w:hAnsi="Times New Roman;serif"/>
          <w:b/>
          <w:sz w:val="24"/>
        </w:rPr>
      </w:pPr>
      <w:r>
        <w:rPr>
          <w:rFonts w:ascii="Times New Roman;serif" w:hAnsi="Times New Roman;serif"/>
          <w:b/>
          <w:sz w:val="24"/>
        </w:rPr>
        <w:t>NEFRO HEALTH, as the Service Provider</w:t>
      </w:r>
    </w:p>
    <w:p>
      <w:pPr>
        <w:pStyle w:val="TextBody"/>
        <w:spacing w:before="0" w:after="0"/>
        <w:jc w:val="left"/>
        <w:rPr/>
      </w:pPr>
      <w:r>
        <w:rPr/>
        <w:t> </w:t>
      </w:r>
    </w:p>
    <w:p>
      <w:pPr>
        <w:pStyle w:val="TextBody"/>
        <w:spacing w:before="0" w:after="0"/>
        <w:jc w:val="left"/>
        <w:rPr/>
      </w:pPr>
      <w:r>
        <w:rPr/>
        <w:t> </w:t>
      </w:r>
    </w:p>
    <w:p>
      <w:pPr>
        <w:pStyle w:val="TextBody"/>
        <w:spacing w:before="153" w:after="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/s/ Jaime Gomez-Sotomayor</w:t>
      </w:r>
      <w:r>
        <w:rPr>
          <w:rFonts w:ascii="Times New Roman" w:hAnsi="Times New Roman"/>
          <w:sz w:val="20"/>
        </w:rPr>
        <w:t xml:space="preserv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Name: Jaime Gomez-Sotomayor Title: Authorized Signatory</w:t>
      </w:r>
    </w:p>
    <w:p>
      <w:pPr>
        <w:pStyle w:val="TextBody"/>
        <w:spacing w:before="0" w:after="0"/>
        <w:jc w:val="left"/>
        <w:rPr/>
      </w:pPr>
      <w:r>
        <w:rPr/>
        <w:t> </w:t>
      </w:r>
    </w:p>
    <w:p>
      <w:pPr>
        <w:pStyle w:val="TextBody"/>
        <w:spacing w:before="0" w:after="0"/>
        <w:jc w:val="left"/>
        <w:rPr/>
      </w:pPr>
      <w:r>
        <w:rPr/>
        <w:t> </w:t>
      </w:r>
    </w:p>
    <w:p>
      <w:pPr>
        <w:pStyle w:val="TextBody"/>
        <w:spacing w:before="13" w:after="0"/>
        <w:jc w:val="left"/>
        <w:rPr>
          <w:rFonts w:ascii="Times New Roman;serif" w:hAnsi="Times New Roman;serif"/>
          <w:b w:val="false"/>
          <w:sz w:val="20"/>
        </w:rPr>
      </w:pPr>
      <w:r>
        <w:rPr>
          <w:rFonts w:ascii="Times New Roman;serif" w:hAnsi="Times New Roman;serif"/>
          <w:b w:val="false"/>
          <w:sz w:val="20"/>
        </w:rPr>
        <w:t>Signature Page to Services Agreement (inRegen)</w:t>
      </w:r>
    </w:p>
    <w:p>
      <w:pPr>
        <w:pStyle w:val="HorizontalLine"/>
        <w:rPr/>
      </w:pPr>
      <w:r>
        <w:rPr/>
      </w:r>
    </w:p>
    <w:p>
      <w:pPr>
        <w:pStyle w:val="TextBody"/>
        <w:spacing w:before="61" w:after="0"/>
        <w:jc w:val="left"/>
        <w:rPr>
          <w:rFonts w:ascii="Times New Roman;serif" w:hAnsi="Times New Roman;serif"/>
          <w:b/>
          <w:sz w:val="24"/>
        </w:rPr>
      </w:pPr>
      <w:r>
        <w:rPr>
          <w:rFonts w:ascii="Times New Roman;serif" w:hAnsi="Times New Roman;serif"/>
          <w:b/>
          <w:sz w:val="24"/>
        </w:rPr>
        <w:t>INREGEN, as the Company</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9"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/s/ Tim Bertram</w:t>
      </w:r>
      <w:r>
        <w:rPr>
          <w:rFonts w:ascii="Times New Roman" w:hAnsi="Times New Roman"/>
          <w:sz w:val="20"/>
        </w:rPr>
        <w:t xml:space="preserve"> </w:t>
      </w:r>
    </w:p>
    <w:p>
      <w:pPr>
        <w:pStyle w:val="TextBody"/>
        <w:spacing w:before="6" w:after="0"/>
        <w:jc w:val="left"/>
        <w:rPr/>
      </w:pPr>
      <w:r>
        <w:rPr/>
        <w:t> </w:t>
      </w:r>
    </w:p>
    <w:p>
      <w:pPr>
        <w:pStyle w:val="TextBody"/>
        <w:spacing w:before="90" w:after="0"/>
        <w:jc w:val="left"/>
        <w:rPr>
          <w:rFonts w:ascii="Times New Roman;serif" w:hAnsi="Times New Roman;serif"/>
          <w:b w:val="false"/>
          <w:sz w:val="24"/>
        </w:rPr>
      </w:pPr>
      <w:r>
        <w:rPr>
          <w:rFonts w:ascii="Times New Roman;serif" w:hAnsi="Times New Roman;serif"/>
          <w:b w:val="false"/>
          <w:sz w:val="24"/>
        </w:rPr>
        <w:t>Name: Tim Bertram</w:t>
      </w:r>
    </w:p>
    <w:p>
      <w:pPr>
        <w:pStyle w:val="TextBody"/>
        <w:spacing w:before="2" w:after="0"/>
        <w:jc w:val="left"/>
        <w:rPr>
          <w:rFonts w:ascii="Times New Roman;serif" w:hAnsi="Times New Roman;serif"/>
          <w:b w:val="false"/>
          <w:sz w:val="24"/>
        </w:rPr>
      </w:pPr>
      <w:r>
        <w:rPr>
          <w:rFonts w:ascii="Times New Roman;serif" w:hAnsi="Times New Roman;serif"/>
          <w:b w:val="false"/>
          <w:sz w:val="24"/>
        </w:rPr>
        <w:t>Title: Chief Executive Officer</w:t>
      </w:r>
    </w:p>
    <w:p>
      <w:pPr>
        <w:pStyle w:val="TextBody"/>
        <w:spacing w:before="0" w:after="0"/>
        <w:jc w:val="left"/>
        <w:rPr/>
      </w:pPr>
      <w:r>
        <w:rPr/>
        <w:t> </w:t>
      </w:r>
    </w:p>
    <w:p>
      <w:pPr>
        <w:pStyle w:val="TextBody"/>
        <w:spacing w:before="0" w:after="0"/>
        <w:jc w:val="left"/>
        <w:rPr/>
      </w:pPr>
      <w:r>
        <w:rPr/>
        <w:t> </w:t>
      </w:r>
    </w:p>
    <w:p>
      <w:pPr>
        <w:pStyle w:val="TextBody"/>
        <w:spacing w:before="13" w:after="0"/>
        <w:jc w:val="left"/>
        <w:rPr>
          <w:rFonts w:ascii="Times New Roman;serif" w:hAnsi="Times New Roman;serif"/>
          <w:b w:val="false"/>
          <w:sz w:val="20"/>
        </w:rPr>
      </w:pPr>
      <w:r>
        <w:rPr>
          <w:rFonts w:ascii="Times New Roman;serif" w:hAnsi="Times New Roman;serif"/>
          <w:b w:val="false"/>
          <w:sz w:val="20"/>
        </w:rPr>
        <w:t>Signature Page to Services Agreement (inRegen)</w:t>
      </w:r>
    </w:p>
    <w:p>
      <w:pPr>
        <w:pStyle w:val="HorizontalLine"/>
        <w:rPr/>
      </w:pPr>
      <w:r>
        <w:rPr/>
      </w:r>
    </w:p>
    <w:p>
      <w:pPr>
        <w:pStyle w:val="TextBody"/>
        <w:spacing w:before="76" w:after="0"/>
        <w:jc w:val="center"/>
        <w:rPr>
          <w:rFonts w:ascii="Times New Roman;serif" w:hAnsi="Times New Roman;serif"/>
          <w:b w:val="false"/>
          <w:sz w:val="24"/>
          <w:u w:val="single"/>
        </w:rPr>
      </w:pPr>
      <w:r>
        <w:rPr>
          <w:rFonts w:ascii="Times New Roman;serif" w:hAnsi="Times New Roman;serif"/>
          <w:b w:val="false"/>
          <w:sz w:val="24"/>
          <w:u w:val="single"/>
        </w:rPr>
        <w:t>Exhibit A</w:t>
      </w:r>
    </w:p>
    <w:p>
      <w:pPr>
        <w:pStyle w:val="TextBody"/>
        <w:spacing w:before="4" w:after="0"/>
        <w:jc w:val="left"/>
        <w:rPr/>
      </w:pPr>
      <w:r>
        <w:rPr/>
        <w:t> </w:t>
      </w:r>
    </w:p>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11" w:after="0"/>
              <w:ind w:left="0" w:right="0" w:hanging="0"/>
              <w:jc w:val="left"/>
              <w:rPr/>
            </w:pPr>
            <w:r>
              <w:rPr/>
              <w:t> </w:t>
            </w:r>
          </w:p>
          <w:p>
            <w:pPr>
              <w:pStyle w:val="TableContents"/>
              <w:spacing w:before="0" w:after="0"/>
              <w:ind w:left="0" w:right="0" w:firstLine="358"/>
              <w:jc w:val="center"/>
              <w:rPr>
                <w:rFonts w:ascii="Times New Roman;serif" w:hAnsi="Times New Roman;serif"/>
                <w:b/>
                <w:sz w:val="24"/>
              </w:rPr>
            </w:pPr>
            <w:r>
              <w:rPr>
                <w:rFonts w:ascii="Times New Roman;serif" w:hAnsi="Times New Roman;serif"/>
                <w:b/>
                <w:sz w:val="24"/>
              </w:rPr>
              <w:t>Services</w:t>
            </w:r>
          </w:p>
        </w:tc>
      </w:tr>
      <w:tr>
        <w:trPr/>
        <w:tc>
          <w:tcPr>
            <w:tcW w:w="10205"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116" w:after="0"/>
              <w:ind w:left="0" w:right="0" w:firstLine="358"/>
              <w:jc w:val="left"/>
              <w:rPr>
                <w:rFonts w:ascii="Times New Roman;serif" w:hAnsi="Times New Roman;serif"/>
                <w:b w:val="false"/>
                <w:sz w:val="24"/>
              </w:rPr>
            </w:pPr>
            <w:r>
              <w:rPr>
                <w:rFonts w:ascii="Times New Roman;serif" w:hAnsi="Times New Roman;serif"/>
                <w:b w:val="false"/>
                <w:sz w:val="24"/>
              </w:rPr>
              <w:t>1. Review safety and efficacy outcomes for USA and international Clinical Trials – 002, 003, 004, 005, 006, 007 and 008.</w:t>
            </w:r>
          </w:p>
        </w:tc>
      </w:tr>
      <w:tr>
        <w:trPr/>
        <w:tc>
          <w:tcPr>
            <w:tcW w:w="10205"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116" w:after="0"/>
              <w:ind w:left="0" w:right="0" w:firstLine="358"/>
              <w:jc w:val="left"/>
              <w:rPr>
                <w:rFonts w:ascii="Times New Roman;serif" w:hAnsi="Times New Roman;serif"/>
                <w:b w:val="false"/>
                <w:sz w:val="24"/>
              </w:rPr>
            </w:pPr>
            <w:r>
              <w:rPr>
                <w:rFonts w:ascii="Times New Roman;serif" w:hAnsi="Times New Roman;serif"/>
                <w:b w:val="false"/>
                <w:sz w:val="24"/>
              </w:rPr>
              <w:t>2. Review plans and performance of new Clinical Sites for conduct of globally regulated clinical trials in the North America and EU.</w:t>
            </w:r>
          </w:p>
        </w:tc>
      </w:tr>
      <w:tr>
        <w:trPr/>
        <w:tc>
          <w:tcPr>
            <w:tcW w:w="10205"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116" w:after="0"/>
              <w:ind w:left="0" w:right="0" w:firstLine="358"/>
              <w:jc w:val="left"/>
              <w:rPr>
                <w:rFonts w:ascii="Times New Roman;serif" w:hAnsi="Times New Roman;serif"/>
                <w:b w:val="false"/>
                <w:sz w:val="24"/>
              </w:rPr>
            </w:pPr>
            <w:r>
              <w:rPr>
                <w:rFonts w:ascii="Times New Roman;serif" w:hAnsi="Times New Roman;serif"/>
                <w:b w:val="false"/>
                <w:sz w:val="24"/>
              </w:rPr>
              <w:t>3. Advise and strategic planning of the design for new international Clinical Trials including 006, 007 and long term follow up 008.</w:t>
            </w:r>
          </w:p>
        </w:tc>
      </w:tr>
      <w:tr>
        <w:trPr/>
        <w:tc>
          <w:tcPr>
            <w:tcW w:w="10205"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116" w:after="0"/>
              <w:ind w:left="0" w:right="0" w:firstLine="358"/>
              <w:jc w:val="left"/>
              <w:rPr>
                <w:rFonts w:ascii="Times New Roman;serif" w:hAnsi="Times New Roman;serif"/>
                <w:b w:val="false"/>
                <w:sz w:val="24"/>
              </w:rPr>
            </w:pPr>
            <w:r>
              <w:rPr>
                <w:rFonts w:ascii="Times New Roman;serif" w:hAnsi="Times New Roman;serif"/>
                <w:b w:val="false"/>
                <w:sz w:val="24"/>
              </w:rPr>
              <w:t>4. Review the design and implementation of advanced cell-based cGMP manufacturing capability and capacity Expansion in North Carolina.</w:t>
            </w:r>
          </w:p>
        </w:tc>
      </w:tr>
      <w:tr>
        <w:trPr/>
        <w:tc>
          <w:tcPr>
            <w:tcW w:w="10205"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116" w:after="0"/>
              <w:ind w:left="0" w:right="0" w:firstLine="358"/>
              <w:jc w:val="left"/>
              <w:rPr>
                <w:rFonts w:ascii="Times New Roman;serif" w:hAnsi="Times New Roman;serif"/>
                <w:b w:val="false"/>
                <w:sz w:val="24"/>
              </w:rPr>
            </w:pPr>
            <w:r>
              <w:rPr>
                <w:rFonts w:ascii="Times New Roman;serif" w:hAnsi="Times New Roman;serif"/>
                <w:b w:val="false"/>
                <w:sz w:val="24"/>
              </w:rPr>
              <w:t>5. Review the design of bioprocess automation for the manufacture of cell- based advanced medicine therapeutics.</w:t>
            </w:r>
          </w:p>
        </w:tc>
      </w:tr>
      <w:tr>
        <w:trPr/>
        <w:tc>
          <w:tcPr>
            <w:tcW w:w="10205"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116" w:after="0"/>
              <w:ind w:left="0" w:right="0" w:firstLine="358"/>
              <w:jc w:val="left"/>
              <w:rPr>
                <w:rFonts w:ascii="Times New Roman;serif" w:hAnsi="Times New Roman;serif"/>
                <w:b w:val="false"/>
                <w:sz w:val="24"/>
              </w:rPr>
            </w:pPr>
            <w:r>
              <w:rPr>
                <w:rFonts w:ascii="Times New Roman;serif" w:hAnsi="Times New Roman;serif"/>
                <w:b w:val="false"/>
                <w:sz w:val="24"/>
              </w:rPr>
              <w:t>6. Provide advice in the review and development of the business policies and strategies of the Company Group, including the review and development of growth, financing, international business development, partnering and acquisition opportunities.</w:t>
            </w:r>
          </w:p>
        </w:tc>
      </w:tr>
      <w:tr>
        <w:trPr/>
        <w:tc>
          <w:tcPr>
            <w:tcW w:w="10205"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116" w:after="0"/>
              <w:ind w:left="358" w:right="194" w:hanging="0"/>
              <w:jc w:val="left"/>
              <w:rPr>
                <w:rFonts w:ascii="Times New Roman;serif" w:hAnsi="Times New Roman;serif"/>
                <w:b w:val="false"/>
                <w:sz w:val="24"/>
              </w:rPr>
            </w:pPr>
            <w:r>
              <w:rPr>
                <w:rFonts w:ascii="Times New Roman;serif" w:hAnsi="Times New Roman;serif"/>
                <w:b w:val="false"/>
                <w:sz w:val="24"/>
              </w:rPr>
              <w:t>7. Provide advice concerning vendor, supplier, and contractual relationships of the Company Group.</w:t>
            </w:r>
          </w:p>
        </w:tc>
      </w:tr>
    </w:tbl>
    <w:p>
      <w:pPr>
        <w:pStyle w:val="TextBody"/>
        <w:spacing w:before="0" w:after="0"/>
        <w:jc w:val="left"/>
        <w:rPr/>
      </w:pPr>
      <w:r>
        <w:rPr/>
        <w:t> </w:t>
      </w:r>
    </w:p>
    <w:p>
      <w:pPr>
        <w:pStyle w:val="TextBody"/>
        <w:spacing w:before="0" w:after="0"/>
        <w:jc w:val="left"/>
        <w:rPr/>
      </w:pPr>
      <w:r>
        <w:rPr/>
        <w:t> </w:t>
      </w:r>
    </w:p>
    <w:p>
      <w:pPr>
        <w:pStyle w:val="TextBody"/>
        <w:spacing w:before="13" w:after="0"/>
        <w:jc w:val="left"/>
        <w:rPr>
          <w:rFonts w:ascii="Times New Roman;serif" w:hAnsi="Times New Roman;serif"/>
          <w:b w:val="false"/>
          <w:sz w:val="20"/>
        </w:rPr>
      </w:pPr>
      <w:r>
        <w:rPr>
          <w:rFonts w:ascii="Times New Roman;serif" w:hAnsi="Times New Roman;serif"/>
          <w:b w:val="false"/>
          <w:sz w:val="20"/>
        </w:rPr>
        <w:t>Exhibit A</w:t>
      </w:r>
    </w:p>
    <w:p>
      <w:pPr>
        <w:pStyle w:val="HorizontalLine"/>
        <w:rPr/>
      </w:pPr>
      <w:r>
        <w:rPr/>
      </w:r>
      <w:r>
        <w:br w:type="page"/>
      </w:r>
    </w:p>
    <w:p>
      <w:pPr>
        <w:pStyle w:val="TextBody"/>
        <w:spacing w:before="0" w:after="0"/>
        <w:jc w:val="right"/>
        <w:rPr>
          <w:rFonts w:ascii="Times New Roman;serif" w:hAnsi="Times New Roman;serif"/>
          <w:b/>
          <w:sz w:val="22"/>
        </w:rPr>
      </w:pPr>
      <w:bookmarkStart w:id="185" w:name="prok-ex10_31.htm"/>
      <w:bookmarkStart w:id="186" w:name="ksprokex10_31"/>
      <w:bookmarkEnd w:id="185"/>
      <w:bookmarkEnd w:id="186"/>
      <w:r>
        <w:rPr>
          <w:rFonts w:ascii="Times New Roman;serif" w:hAnsi="Times New Roman;serif"/>
          <w:b/>
          <w:sz w:val="22"/>
        </w:rPr>
        <w:t>Exhibit 10.31</w:t>
      </w:r>
    </w:p>
    <w:p>
      <w:pPr>
        <w:pStyle w:val="TextBody"/>
        <w:spacing w:before="76" w:after="0"/>
        <w:jc w:val="right"/>
        <w:rPr>
          <w:rFonts w:ascii="Times New Roman;serif" w:hAnsi="Times New Roman;serif"/>
          <w:b/>
          <w:i/>
          <w:sz w:val="24"/>
        </w:rPr>
      </w:pPr>
      <w:r>
        <w:rPr>
          <w:rFonts w:ascii="Times New Roman;serif" w:hAnsi="Times New Roman;serif"/>
          <w:b/>
          <w:i/>
          <w:sz w:val="24"/>
        </w:rPr>
        <w:t>STRICTLY CONFIDENTIAL</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154" w:after="0"/>
        <w:jc w:val="center"/>
        <w:rPr>
          <w:rFonts w:ascii="Times New Roman;serif" w:hAnsi="Times New Roman;serif"/>
          <w:b/>
          <w:sz w:val="24"/>
        </w:rPr>
      </w:pPr>
      <w:r>
        <w:rPr>
          <w:rFonts w:ascii="Times New Roman;serif" w:hAnsi="Times New Roman;serif"/>
          <w:b/>
          <w:sz w:val="24"/>
        </w:rPr>
        <w:t>CONSULTING SERVICES AGREEMENT</w:t>
      </w:r>
    </w:p>
    <w:p>
      <w:pPr>
        <w:pStyle w:val="TextBody"/>
        <w:spacing w:before="0" w:after="0"/>
        <w:jc w:val="left"/>
        <w:rPr/>
      </w:pPr>
      <w:r>
        <w:rPr/>
        <w:t> </w:t>
      </w:r>
    </w:p>
    <w:p>
      <w:pPr>
        <w:pStyle w:val="TextBody"/>
        <w:spacing w:before="178" w:after="0"/>
        <w:jc w:val="center"/>
        <w:rPr>
          <w:rFonts w:ascii="Times New Roman;serif" w:hAnsi="Times New Roman;serif"/>
          <w:b w:val="false"/>
          <w:sz w:val="24"/>
        </w:rPr>
      </w:pPr>
      <w:r>
        <w:rPr>
          <w:rFonts w:ascii="Times New Roman;serif" w:hAnsi="Times New Roman;serif"/>
          <w:b w:val="false"/>
          <w:sz w:val="24"/>
        </w:rPr>
        <w:t>by and between</w:t>
      </w:r>
    </w:p>
    <w:p>
      <w:pPr>
        <w:pStyle w:val="TextBody"/>
        <w:spacing w:before="0" w:after="0"/>
        <w:jc w:val="left"/>
        <w:rPr/>
      </w:pPr>
      <w:r>
        <w:rPr/>
        <w:t> </w:t>
      </w:r>
    </w:p>
    <w:p>
      <w:pPr>
        <w:pStyle w:val="TextBody"/>
        <w:spacing w:before="184" w:after="0"/>
        <w:jc w:val="center"/>
        <w:rPr>
          <w:rFonts w:ascii="Times New Roman;serif" w:hAnsi="Times New Roman;serif"/>
          <w:b/>
          <w:sz w:val="24"/>
        </w:rPr>
      </w:pPr>
      <w:r>
        <w:rPr>
          <w:rFonts w:ascii="Times New Roman;serif" w:hAnsi="Times New Roman;serif"/>
          <w:b/>
          <w:sz w:val="24"/>
        </w:rPr>
        <w:t>TWIN CITY BIO LLC</w:t>
      </w:r>
    </w:p>
    <w:p>
      <w:pPr>
        <w:pStyle w:val="TextBody"/>
        <w:spacing w:before="2" w:after="0"/>
        <w:jc w:val="center"/>
        <w:rPr>
          <w:rFonts w:ascii="Times New Roman;serif" w:hAnsi="Times New Roman;serif"/>
          <w:b w:val="false"/>
          <w:sz w:val="24"/>
        </w:rPr>
      </w:pPr>
      <w:r>
        <w:rPr>
          <w:rFonts w:ascii="Times New Roman;serif" w:hAnsi="Times New Roman;serif"/>
          <w:b w:val="false"/>
          <w:sz w:val="24"/>
        </w:rPr>
        <w:t>as the Company</w:t>
      </w:r>
    </w:p>
    <w:p>
      <w:pPr>
        <w:pStyle w:val="TextBody"/>
        <w:spacing w:before="0" w:after="0"/>
        <w:jc w:val="left"/>
        <w:rPr/>
      </w:pPr>
      <w:r>
        <w:rPr/>
        <w:t> </w:t>
      </w:r>
    </w:p>
    <w:p>
      <w:pPr>
        <w:pStyle w:val="TextBody"/>
        <w:spacing w:before="10" w:after="0"/>
        <w:jc w:val="left"/>
        <w:rPr/>
      </w:pPr>
      <w:r>
        <w:rPr/>
        <w:t>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And</w:t>
      </w:r>
    </w:p>
    <w:p>
      <w:pPr>
        <w:pStyle w:val="TextBody"/>
        <w:spacing w:before="0" w:after="0"/>
        <w:jc w:val="left"/>
        <w:rPr/>
      </w:pPr>
      <w:r>
        <w:rPr/>
        <w:t> </w:t>
      </w:r>
    </w:p>
    <w:p>
      <w:pPr>
        <w:pStyle w:val="TextBody"/>
        <w:spacing w:before="174" w:after="0"/>
        <w:jc w:val="center"/>
        <w:rPr>
          <w:rFonts w:ascii="Times New Roman;serif" w:hAnsi="Times New Roman;serif"/>
          <w:b/>
          <w:sz w:val="24"/>
        </w:rPr>
      </w:pPr>
      <w:r>
        <w:rPr>
          <w:rFonts w:ascii="Times New Roman;serif" w:hAnsi="Times New Roman;serif"/>
          <w:b/>
          <w:sz w:val="24"/>
        </w:rPr>
        <w:t>NEFRO HEALTH,</w:t>
      </w:r>
    </w:p>
    <w:p>
      <w:pPr>
        <w:pStyle w:val="TextBody"/>
        <w:spacing w:before="7" w:after="0"/>
        <w:jc w:val="center"/>
        <w:rPr>
          <w:rFonts w:ascii="Times New Roman;serif" w:hAnsi="Times New Roman;serif"/>
          <w:b w:val="false"/>
          <w:sz w:val="24"/>
        </w:rPr>
      </w:pPr>
      <w:r>
        <w:rPr>
          <w:rFonts w:ascii="Times New Roman;serif" w:hAnsi="Times New Roman;serif"/>
          <w:b w:val="false"/>
          <w:sz w:val="24"/>
        </w:rPr>
        <w:t>as the Service Provider</w:t>
      </w:r>
    </w:p>
    <w:p>
      <w:pPr>
        <w:pStyle w:val="TextBody"/>
        <w:spacing w:before="0" w:after="0"/>
        <w:jc w:val="left"/>
        <w:rPr/>
      </w:pPr>
      <w:r>
        <w:rPr/>
        <w:t> </w:t>
      </w:r>
    </w:p>
    <w:p>
      <w:pPr>
        <w:pStyle w:val="TextBody"/>
        <w:spacing w:before="174" w:after="0"/>
        <w:jc w:val="center"/>
        <w:rPr>
          <w:rFonts w:ascii="Times New Roman;serif" w:hAnsi="Times New Roman;serif"/>
          <w:b w:val="false"/>
          <w:sz w:val="24"/>
        </w:rPr>
      </w:pPr>
      <w:r>
        <w:rPr>
          <w:rFonts w:ascii="Times New Roman;serif" w:hAnsi="Times New Roman;serif"/>
          <w:b w:val="false"/>
          <w:sz w:val="24"/>
        </w:rPr>
        <w:t>Dated effective as of January 1, 2020</w:t>
      </w:r>
    </w:p>
    <w:p>
      <w:pPr>
        <w:pStyle w:val="TextBody"/>
        <w:spacing w:before="0" w:after="0"/>
        <w:jc w:val="center"/>
        <w:rPr/>
      </w:pPr>
      <w:r>
        <w:rPr/>
        <w:t> </w:t>
      </w:r>
    </w:p>
    <w:p>
      <w:pPr>
        <w:pStyle w:val="HorizontalLine"/>
        <w:rPr/>
      </w:pPr>
      <w:r>
        <w:rPr/>
      </w:r>
    </w:p>
    <w:p>
      <w:pPr>
        <w:pStyle w:val="TextBody"/>
        <w:spacing w:before="61" w:after="0"/>
        <w:jc w:val="center"/>
        <w:rPr>
          <w:rFonts w:ascii="Times New Roman;serif" w:hAnsi="Times New Roman;serif"/>
          <w:b/>
          <w:sz w:val="24"/>
        </w:rPr>
      </w:pPr>
      <w:r>
        <w:rPr>
          <w:rFonts w:ascii="Times New Roman;serif" w:hAnsi="Times New Roman;serif"/>
          <w:b/>
          <w:sz w:val="24"/>
        </w:rPr>
        <w:t>TABLE OF CONTENTS</w:t>
      </w:r>
    </w:p>
    <w:p>
      <w:pPr>
        <w:pStyle w:val="TextBody"/>
        <w:spacing w:before="8" w:after="0"/>
        <w:jc w:val="left"/>
        <w:rPr/>
      </w:pPr>
      <w:r>
        <w:rPr/>
        <w:t> </w:t>
      </w:r>
    </w:p>
    <w:p>
      <w:pPr>
        <w:pStyle w:val="TextBody"/>
        <w:spacing w:before="0" w:after="0"/>
        <w:jc w:val="right"/>
        <w:rPr>
          <w:rFonts w:ascii="Times New Roman;serif" w:hAnsi="Times New Roman;serif"/>
          <w:b/>
          <w:sz w:val="24"/>
        </w:rPr>
      </w:pPr>
      <w:r>
        <w:rPr>
          <w:rFonts w:ascii="Times New Roman;serif" w:hAnsi="Times New Roman;serif"/>
          <w:b/>
          <w:sz w:val="24"/>
        </w:rPr>
        <w:t>Page</w:t>
      </w:r>
    </w:p>
    <w:p>
      <w:pPr>
        <w:pStyle w:val="TextBody"/>
        <w:spacing w:before="10" w:after="0"/>
        <w:jc w:val="left"/>
        <w:rPr/>
      </w:pPr>
      <w:r>
        <w:rPr/>
        <w:t> </w:t>
      </w:r>
    </w:p>
    <w:p>
      <w:pPr>
        <w:pStyle w:val="TextBody"/>
        <w:spacing w:before="90" w:after="0"/>
        <w:jc w:val="left"/>
        <w:rPr>
          <w:rFonts w:ascii="Times New Roman;serif" w:hAnsi="Times New Roman;serif"/>
          <w:b w:val="false"/>
          <w:sz w:val="24"/>
        </w:rPr>
      </w:pPr>
      <w:r>
        <w:rPr>
          <w:rFonts w:ascii="Times New Roman;serif" w:hAnsi="Times New Roman;serif"/>
          <w:b w:val="false"/>
          <w:sz w:val="24"/>
        </w:rPr>
        <w:t>Section 1. Definitions 1</w:t>
      </w:r>
    </w:p>
    <w:p>
      <w:pPr>
        <w:pStyle w:val="TextBody"/>
        <w:spacing w:before="117" w:after="0"/>
        <w:jc w:val="left"/>
        <w:rPr>
          <w:rFonts w:ascii="Times New Roman;serif" w:hAnsi="Times New Roman;serif"/>
          <w:b w:val="false"/>
          <w:sz w:val="24"/>
        </w:rPr>
      </w:pPr>
      <w:r>
        <w:rPr>
          <w:rFonts w:ascii="Times New Roman;serif" w:hAnsi="Times New Roman;serif"/>
          <w:b w:val="false"/>
          <w:sz w:val="24"/>
        </w:rPr>
        <w:t>Section 2. Interpretation 3</w:t>
      </w:r>
    </w:p>
    <w:p>
      <w:pPr>
        <w:pStyle w:val="TextBody"/>
        <w:spacing w:before="123" w:after="0"/>
        <w:jc w:val="left"/>
        <w:rPr>
          <w:rFonts w:ascii="Times New Roman;serif" w:hAnsi="Times New Roman;serif"/>
          <w:b w:val="false"/>
          <w:sz w:val="24"/>
        </w:rPr>
      </w:pPr>
      <w:r>
        <w:rPr>
          <w:rFonts w:ascii="Times New Roman;serif" w:hAnsi="Times New Roman;serif"/>
          <w:b w:val="false"/>
          <w:sz w:val="24"/>
        </w:rPr>
        <w:t>Section 3. Appointment of Service Provider; Limited Scope of Services 4</w:t>
      </w:r>
    </w:p>
    <w:p>
      <w:pPr>
        <w:pStyle w:val="TextBody"/>
        <w:spacing w:before="117" w:after="0"/>
        <w:jc w:val="left"/>
        <w:rPr>
          <w:rFonts w:ascii="Times New Roman;serif" w:hAnsi="Times New Roman;serif"/>
          <w:b w:val="false"/>
          <w:sz w:val="24"/>
        </w:rPr>
      </w:pPr>
      <w:r>
        <w:rPr>
          <w:rFonts w:ascii="Times New Roman;serif" w:hAnsi="Times New Roman;serif"/>
          <w:b w:val="false"/>
          <w:sz w:val="24"/>
        </w:rPr>
        <w:t>Section 4. Selection of Personnel 5</w:t>
      </w:r>
    </w:p>
    <w:p>
      <w:pPr>
        <w:pStyle w:val="TextBody"/>
        <w:spacing w:before="123" w:after="0"/>
        <w:jc w:val="left"/>
        <w:rPr>
          <w:rFonts w:ascii="Times New Roman;serif" w:hAnsi="Times New Roman;serif"/>
          <w:b w:val="false"/>
          <w:sz w:val="24"/>
        </w:rPr>
      </w:pPr>
      <w:r>
        <w:rPr>
          <w:rFonts w:ascii="Times New Roman;serif" w:hAnsi="Times New Roman;serif"/>
          <w:b w:val="false"/>
          <w:sz w:val="24"/>
        </w:rPr>
        <w:t>Section 5. Legal and Regulatory Compliance 5</w:t>
      </w:r>
    </w:p>
    <w:p>
      <w:pPr>
        <w:pStyle w:val="TextBody"/>
        <w:spacing w:before="117" w:after="0"/>
        <w:jc w:val="left"/>
        <w:rPr>
          <w:rFonts w:ascii="Times New Roman;serif" w:hAnsi="Times New Roman;serif"/>
          <w:b w:val="false"/>
          <w:sz w:val="24"/>
        </w:rPr>
      </w:pPr>
      <w:r>
        <w:rPr>
          <w:rFonts w:ascii="Times New Roman;serif" w:hAnsi="Times New Roman;serif"/>
          <w:b w:val="false"/>
          <w:sz w:val="24"/>
        </w:rPr>
        <w:t>Section 6. Records and Accounts 5</w:t>
      </w:r>
    </w:p>
    <w:p>
      <w:pPr>
        <w:pStyle w:val="TextBody"/>
        <w:spacing w:before="123" w:after="0"/>
        <w:jc w:val="left"/>
        <w:rPr>
          <w:rFonts w:ascii="Times New Roman;serif" w:hAnsi="Times New Roman;serif"/>
          <w:b w:val="false"/>
          <w:sz w:val="24"/>
        </w:rPr>
      </w:pPr>
      <w:r>
        <w:rPr>
          <w:rFonts w:ascii="Times New Roman;serif" w:hAnsi="Times New Roman;serif"/>
          <w:b w:val="false"/>
          <w:sz w:val="24"/>
        </w:rPr>
        <w:t>Section 7. Fees and Expenses of Service Provider 5</w:t>
      </w:r>
    </w:p>
    <w:p>
      <w:pPr>
        <w:pStyle w:val="TextBody"/>
        <w:spacing w:before="117" w:after="0"/>
        <w:jc w:val="left"/>
        <w:rPr>
          <w:rFonts w:ascii="Times New Roman;serif" w:hAnsi="Times New Roman;serif"/>
          <w:b w:val="false"/>
          <w:sz w:val="24"/>
        </w:rPr>
      </w:pPr>
      <w:r>
        <w:rPr>
          <w:rFonts w:ascii="Times New Roman;serif" w:hAnsi="Times New Roman;serif"/>
          <w:b w:val="false"/>
          <w:sz w:val="24"/>
        </w:rPr>
        <w:t>Section 8. Indemnification 6</w:t>
      </w:r>
    </w:p>
    <w:p>
      <w:pPr>
        <w:pStyle w:val="TextBody"/>
        <w:spacing w:before="123" w:after="0"/>
        <w:jc w:val="left"/>
        <w:rPr>
          <w:rFonts w:ascii="Times New Roman;serif" w:hAnsi="Times New Roman;serif"/>
          <w:b w:val="false"/>
          <w:sz w:val="24"/>
        </w:rPr>
      </w:pPr>
      <w:r>
        <w:rPr>
          <w:rFonts w:ascii="Times New Roman;serif" w:hAnsi="Times New Roman;serif"/>
          <w:b w:val="false"/>
          <w:sz w:val="24"/>
        </w:rPr>
        <w:t>Section 9. Term; Termination 7</w:t>
      </w:r>
    </w:p>
    <w:p>
      <w:pPr>
        <w:pStyle w:val="TextBody"/>
        <w:spacing w:before="117" w:after="0"/>
        <w:jc w:val="left"/>
        <w:rPr>
          <w:rFonts w:ascii="Times New Roman;serif" w:hAnsi="Times New Roman;serif"/>
          <w:b w:val="false"/>
          <w:sz w:val="24"/>
        </w:rPr>
      </w:pPr>
      <w:r>
        <w:rPr>
          <w:rFonts w:ascii="Times New Roman;serif" w:hAnsi="Times New Roman;serif"/>
          <w:b w:val="false"/>
          <w:sz w:val="24"/>
        </w:rPr>
        <w:t>Section 10. Action upon Termination 8</w:t>
      </w:r>
    </w:p>
    <w:p>
      <w:pPr>
        <w:pStyle w:val="TextBody"/>
        <w:spacing w:before="123" w:after="0"/>
        <w:jc w:val="left"/>
        <w:rPr>
          <w:rFonts w:ascii="Times New Roman;serif" w:hAnsi="Times New Roman;serif"/>
          <w:b w:val="false"/>
          <w:sz w:val="24"/>
        </w:rPr>
      </w:pPr>
      <w:r>
        <w:rPr>
          <w:rFonts w:ascii="Times New Roman;serif" w:hAnsi="Times New Roman;serif"/>
          <w:b w:val="false"/>
          <w:sz w:val="24"/>
        </w:rPr>
        <w:t>Section 11. Assignment or Transfer 8</w:t>
      </w:r>
    </w:p>
    <w:p>
      <w:pPr>
        <w:pStyle w:val="TextBody"/>
        <w:spacing w:before="117" w:after="0"/>
        <w:jc w:val="left"/>
        <w:rPr>
          <w:rFonts w:ascii="Times New Roman;serif" w:hAnsi="Times New Roman;serif"/>
          <w:b w:val="false"/>
          <w:sz w:val="24"/>
        </w:rPr>
      </w:pPr>
      <w:r>
        <w:rPr>
          <w:rFonts w:ascii="Times New Roman;serif" w:hAnsi="Times New Roman;serif"/>
          <w:b w:val="false"/>
          <w:sz w:val="24"/>
        </w:rPr>
        <w:t>Section 12. Survival 8</w:t>
      </w:r>
    </w:p>
    <w:p>
      <w:pPr>
        <w:pStyle w:val="TextBody"/>
        <w:spacing w:before="123" w:after="0"/>
        <w:jc w:val="left"/>
        <w:rPr>
          <w:rFonts w:ascii="Times New Roman;serif" w:hAnsi="Times New Roman;serif"/>
          <w:b w:val="false"/>
          <w:sz w:val="24"/>
        </w:rPr>
      </w:pPr>
      <w:r>
        <w:rPr>
          <w:rFonts w:ascii="Times New Roman;serif" w:hAnsi="Times New Roman;serif"/>
          <w:b w:val="false"/>
          <w:sz w:val="24"/>
        </w:rPr>
        <w:t>Section 13. Confidentiality 9</w:t>
      </w:r>
    </w:p>
    <w:p>
      <w:pPr>
        <w:pStyle w:val="TextBody"/>
        <w:spacing w:before="117" w:after="0"/>
        <w:jc w:val="left"/>
        <w:rPr>
          <w:rFonts w:ascii="Times New Roman;serif" w:hAnsi="Times New Roman;serif"/>
          <w:b w:val="false"/>
          <w:sz w:val="24"/>
        </w:rPr>
      </w:pPr>
      <w:r>
        <w:rPr>
          <w:rFonts w:ascii="Times New Roman;serif" w:hAnsi="Times New Roman;serif"/>
          <w:b w:val="false"/>
          <w:sz w:val="24"/>
        </w:rPr>
        <w:t>Section 14. Amendments 9</w:t>
      </w:r>
    </w:p>
    <w:p>
      <w:pPr>
        <w:pStyle w:val="TextBody"/>
        <w:spacing w:before="123" w:after="0"/>
        <w:jc w:val="left"/>
        <w:rPr>
          <w:rFonts w:ascii="Times New Roman;serif" w:hAnsi="Times New Roman;serif"/>
          <w:b w:val="false"/>
          <w:sz w:val="24"/>
        </w:rPr>
      </w:pPr>
      <w:r>
        <w:rPr>
          <w:rFonts w:ascii="Times New Roman;serif" w:hAnsi="Times New Roman;serif"/>
          <w:b w:val="false"/>
          <w:sz w:val="24"/>
        </w:rPr>
        <w:t>Section 15. Governing Law 9</w:t>
      </w:r>
    </w:p>
    <w:p>
      <w:pPr>
        <w:pStyle w:val="TextBody"/>
        <w:spacing w:before="117" w:after="0"/>
        <w:jc w:val="left"/>
        <w:rPr>
          <w:rFonts w:ascii="Times New Roman;serif" w:hAnsi="Times New Roman;serif"/>
          <w:b w:val="false"/>
          <w:sz w:val="24"/>
        </w:rPr>
      </w:pPr>
      <w:r>
        <w:rPr>
          <w:rFonts w:ascii="Times New Roman;serif" w:hAnsi="Times New Roman;serif"/>
          <w:b w:val="false"/>
          <w:sz w:val="24"/>
        </w:rPr>
        <w:t>Section 16. Waiver of Jury Trial 9</w:t>
      </w:r>
    </w:p>
    <w:p>
      <w:pPr>
        <w:pStyle w:val="TextBody"/>
        <w:spacing w:before="123" w:after="0"/>
        <w:jc w:val="left"/>
        <w:rPr>
          <w:rFonts w:ascii="Times New Roman;serif" w:hAnsi="Times New Roman;serif"/>
          <w:b w:val="false"/>
          <w:sz w:val="24"/>
        </w:rPr>
      </w:pPr>
      <w:r>
        <w:rPr>
          <w:rFonts w:ascii="Times New Roman;serif" w:hAnsi="Times New Roman;serif"/>
          <w:b w:val="false"/>
          <w:sz w:val="24"/>
        </w:rPr>
        <w:t>Section 17. Severability 10</w:t>
      </w:r>
    </w:p>
    <w:p>
      <w:pPr>
        <w:pStyle w:val="TextBody"/>
        <w:spacing w:before="118" w:after="0"/>
        <w:jc w:val="left"/>
        <w:rPr>
          <w:rFonts w:ascii="Times New Roman;serif" w:hAnsi="Times New Roman;serif"/>
          <w:b w:val="false"/>
          <w:sz w:val="24"/>
        </w:rPr>
      </w:pPr>
      <w:r>
        <w:rPr>
          <w:rFonts w:ascii="Times New Roman;serif" w:hAnsi="Times New Roman;serif"/>
          <w:b w:val="false"/>
          <w:sz w:val="24"/>
        </w:rPr>
        <w:t>Section 18. No Waiver 10</w:t>
      </w:r>
    </w:p>
    <w:p>
      <w:pPr>
        <w:pStyle w:val="TextBody"/>
        <w:spacing w:before="122" w:after="0"/>
        <w:jc w:val="left"/>
        <w:rPr>
          <w:rFonts w:ascii="Times New Roman;serif" w:hAnsi="Times New Roman;serif"/>
          <w:b w:val="false"/>
          <w:sz w:val="24"/>
        </w:rPr>
      </w:pPr>
      <w:r>
        <w:rPr>
          <w:rFonts w:ascii="Times New Roman;serif" w:hAnsi="Times New Roman;serif"/>
          <w:b w:val="false"/>
          <w:sz w:val="24"/>
        </w:rPr>
        <w:t>Section 19. Discretion; Good Faith 10</w:t>
      </w:r>
    </w:p>
    <w:p>
      <w:pPr>
        <w:pStyle w:val="TextBody"/>
        <w:spacing w:before="118" w:after="0"/>
        <w:jc w:val="left"/>
        <w:rPr>
          <w:rFonts w:ascii="Times New Roman;serif" w:hAnsi="Times New Roman;serif"/>
          <w:b w:val="false"/>
          <w:sz w:val="24"/>
        </w:rPr>
      </w:pPr>
      <w:r>
        <w:rPr>
          <w:rFonts w:ascii="Times New Roman;serif" w:hAnsi="Times New Roman;serif"/>
          <w:b w:val="false"/>
          <w:sz w:val="24"/>
        </w:rPr>
        <w:t>Section 20. Counterparts; Binding Effect 10</w:t>
      </w:r>
    </w:p>
    <w:p>
      <w:pPr>
        <w:pStyle w:val="TextBody"/>
        <w:spacing w:before="122" w:after="0"/>
        <w:jc w:val="left"/>
        <w:rPr>
          <w:rFonts w:ascii="Times New Roman;serif" w:hAnsi="Times New Roman;serif"/>
          <w:b w:val="false"/>
          <w:sz w:val="24"/>
        </w:rPr>
      </w:pPr>
      <w:r>
        <w:rPr>
          <w:rFonts w:ascii="Times New Roman;serif" w:hAnsi="Times New Roman;serif"/>
          <w:b w:val="false"/>
          <w:sz w:val="24"/>
        </w:rPr>
        <w:t>Section 21. No Third Party Beneficiaries 11</w:t>
      </w:r>
    </w:p>
    <w:p>
      <w:pPr>
        <w:pStyle w:val="TextBody"/>
        <w:spacing w:before="118" w:after="0"/>
        <w:jc w:val="left"/>
        <w:rPr>
          <w:rFonts w:ascii="Times New Roman;serif" w:hAnsi="Times New Roman;serif"/>
          <w:b w:val="false"/>
          <w:sz w:val="24"/>
        </w:rPr>
      </w:pPr>
      <w:r>
        <w:rPr>
          <w:rFonts w:ascii="Times New Roman;serif" w:hAnsi="Times New Roman;serif"/>
          <w:b w:val="false"/>
          <w:sz w:val="24"/>
        </w:rPr>
        <w:t>Section 22. Relationship Generally; No Authority to Bind 11</w:t>
      </w:r>
    </w:p>
    <w:p>
      <w:pPr>
        <w:pStyle w:val="TextBody"/>
        <w:spacing w:before="122" w:after="0"/>
        <w:jc w:val="left"/>
        <w:rPr>
          <w:rFonts w:ascii="Times New Roman;serif" w:hAnsi="Times New Roman;serif"/>
          <w:b w:val="false"/>
          <w:sz w:val="24"/>
        </w:rPr>
      </w:pPr>
      <w:r>
        <w:rPr>
          <w:rFonts w:ascii="Times New Roman;serif" w:hAnsi="Times New Roman;serif"/>
          <w:b w:val="false"/>
          <w:sz w:val="24"/>
        </w:rPr>
        <w:t>Section 23. Further Assurances 11</w:t>
      </w:r>
    </w:p>
    <w:p>
      <w:pPr>
        <w:pStyle w:val="TextBody"/>
        <w:spacing w:before="118" w:after="0"/>
        <w:jc w:val="left"/>
        <w:rPr>
          <w:rFonts w:ascii="Times New Roman;serif" w:hAnsi="Times New Roman;serif"/>
          <w:b w:val="false"/>
          <w:sz w:val="24"/>
        </w:rPr>
      </w:pPr>
      <w:r>
        <w:rPr>
          <w:rFonts w:ascii="Times New Roman;serif" w:hAnsi="Times New Roman;serif"/>
          <w:b w:val="false"/>
          <w:sz w:val="24"/>
        </w:rPr>
        <w:t>Section 24. Headings 11</w:t>
      </w:r>
    </w:p>
    <w:p>
      <w:pPr>
        <w:pStyle w:val="TextBody"/>
        <w:spacing w:before="122" w:after="0"/>
        <w:jc w:val="left"/>
        <w:rPr>
          <w:rFonts w:ascii="Times New Roman;serif" w:hAnsi="Times New Roman;serif"/>
          <w:b w:val="false"/>
          <w:sz w:val="24"/>
        </w:rPr>
      </w:pPr>
      <w:r>
        <w:rPr>
          <w:rFonts w:ascii="Times New Roman;serif" w:hAnsi="Times New Roman;serif"/>
          <w:b w:val="false"/>
          <w:sz w:val="24"/>
        </w:rPr>
        <w:t>Section 25. Entire Agreement 11</w:t>
      </w:r>
    </w:p>
    <w:p>
      <w:pPr>
        <w:pStyle w:val="TextBody"/>
        <w:spacing w:before="118" w:after="0"/>
        <w:jc w:val="left"/>
        <w:rPr>
          <w:rFonts w:ascii="Times New Roman;serif" w:hAnsi="Times New Roman;serif"/>
          <w:b w:val="false"/>
          <w:sz w:val="24"/>
        </w:rPr>
      </w:pPr>
      <w:r>
        <w:rPr>
          <w:rFonts w:ascii="Times New Roman;serif" w:hAnsi="Times New Roman;serif"/>
          <w:b w:val="false"/>
          <w:sz w:val="24"/>
        </w:rPr>
        <w:t>Section 26. Notices 11</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4" w:after="0"/>
        <w:jc w:val="left"/>
        <w:rPr/>
      </w:pPr>
      <w:r>
        <w:rPr/>
        <w:t> </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i</w:t>
      </w:r>
    </w:p>
    <w:p>
      <w:pPr>
        <w:pStyle w:val="TextBody"/>
        <w:spacing w:before="0" w:after="0"/>
        <w:jc w:val="center"/>
        <w:rPr/>
      </w:pPr>
      <w:r>
        <w:rPr/>
        <w:t> </w:t>
      </w:r>
    </w:p>
    <w:p>
      <w:pPr>
        <w:pStyle w:val="HorizontalLine"/>
        <w:rPr/>
      </w:pPr>
      <w:r>
        <w:rPr/>
      </w:r>
    </w:p>
    <w:p>
      <w:pPr>
        <w:pStyle w:val="TextBody"/>
        <w:spacing w:before="61" w:after="0"/>
        <w:jc w:val="center"/>
        <w:rPr>
          <w:rFonts w:ascii="Times New Roman;serif" w:hAnsi="Times New Roman;serif"/>
          <w:b/>
          <w:sz w:val="24"/>
        </w:rPr>
      </w:pPr>
      <w:r>
        <w:rPr>
          <w:rFonts w:ascii="Times New Roman;serif" w:hAnsi="Times New Roman;serif"/>
          <w:b/>
          <w:sz w:val="24"/>
        </w:rPr>
        <w:t>CONSULTING SERVICES AGREEMENT</w:t>
      </w:r>
    </w:p>
    <w:p>
      <w:pPr>
        <w:pStyle w:val="TextBody"/>
        <w:spacing w:before="233" w:after="0"/>
        <w:jc w:val="both"/>
        <w:rPr>
          <w:rFonts w:ascii="Times New Roman" w:hAnsi="Times New Roman"/>
          <w:sz w:val="20"/>
        </w:rPr>
      </w:pPr>
      <w:r>
        <w:rPr>
          <w:rFonts w:ascii="Times New Roman;serif" w:hAnsi="Times New Roman;serif"/>
          <w:b w:val="false"/>
          <w:sz w:val="24"/>
        </w:rPr>
        <w:t>This consulting services agreement, dated effective as of January 1, 2020 (such agreement as amended, modified or waived from time to time, the “</w:t>
      </w:r>
      <w:r>
        <w:rPr>
          <w:rFonts w:ascii="Times New Roman;serif" w:hAnsi="Times New Roman;serif"/>
          <w:b w:val="false"/>
          <w:sz w:val="24"/>
          <w:u w:val="single"/>
        </w:rPr>
        <w:t>Agreement</w:t>
      </w:r>
      <w:r>
        <w:rPr>
          <w:rFonts w:ascii="Times New Roman" w:hAnsi="Times New Roman"/>
          <w:sz w:val="20"/>
        </w:rPr>
        <w:t>”</w:t>
      </w:r>
      <w:r>
        <w:rPr>
          <w:rFonts w:ascii="Times New Roman;serif" w:hAnsi="Times New Roman;serif"/>
          <w:b w:val="false"/>
          <w:sz w:val="24"/>
        </w:rPr>
        <w:t>), is entered into by and between Twin City Bio LLC, a Delaware limited liability company (the “</w:t>
      </w:r>
      <w:r>
        <w:rPr>
          <w:rFonts w:ascii="Times New Roman;serif" w:hAnsi="Times New Roman;serif"/>
          <w:b w:val="false"/>
          <w:sz w:val="24"/>
          <w:u w:val="single"/>
        </w:rPr>
        <w:t>Company</w:t>
      </w:r>
      <w:r>
        <w:rPr>
          <w:rFonts w:ascii="Times New Roman" w:hAnsi="Times New Roman"/>
          <w:sz w:val="20"/>
        </w:rPr>
        <w:t>”</w:t>
      </w:r>
      <w:r>
        <w:rPr>
          <w:rFonts w:ascii="Times New Roman;serif" w:hAnsi="Times New Roman;serif"/>
          <w:b w:val="false"/>
          <w:sz w:val="24"/>
        </w:rPr>
        <w:t>) and Nefro Health, an Irish partnership, as the service provider (together with its successors and assigns in such capacity, the “</w:t>
      </w:r>
      <w:r>
        <w:rPr>
          <w:rFonts w:ascii="Times New Roman;serif" w:hAnsi="Times New Roman;serif"/>
          <w:b w:val="false"/>
          <w:sz w:val="24"/>
          <w:u w:val="single"/>
        </w:rPr>
        <w:t>Service Provider</w:t>
      </w:r>
      <w:r>
        <w:rPr>
          <w:rFonts w:ascii="Times New Roman" w:hAnsi="Times New Roman"/>
          <w:sz w:val="20"/>
        </w:rPr>
        <w:t>”</w:t>
      </w:r>
      <w:r>
        <w:rPr>
          <w:rFonts w:ascii="Times New Roman;serif" w:hAnsi="Times New Roman;serif"/>
          <w:b w:val="false"/>
          <w:sz w:val="24"/>
        </w:rPr>
        <w:t>).</w:t>
      </w:r>
    </w:p>
    <w:p>
      <w:pPr>
        <w:pStyle w:val="TextBody"/>
        <w:spacing w:before="8" w:after="0"/>
        <w:jc w:val="left"/>
        <w:rPr/>
      </w:pPr>
      <w:r>
        <w:rPr/>
        <w:t> </w:t>
      </w:r>
    </w:p>
    <w:p>
      <w:pPr>
        <w:pStyle w:val="TextBody"/>
        <w:spacing w:before="90" w:after="0"/>
        <w:jc w:val="center"/>
        <w:rPr>
          <w:rFonts w:ascii="Times New Roman;serif" w:hAnsi="Times New Roman;serif"/>
          <w:b/>
          <w:sz w:val="24"/>
        </w:rPr>
      </w:pPr>
      <w:r>
        <w:rPr>
          <w:rFonts w:ascii="Times New Roman;serif" w:hAnsi="Times New Roman;serif"/>
          <w:b/>
          <w:sz w:val="24"/>
        </w:rPr>
        <w:t>RECITALS</w:t>
      </w:r>
    </w:p>
    <w:p>
      <w:pPr>
        <w:pStyle w:val="TextBody"/>
        <w:spacing w:before="233" w:after="0"/>
        <w:jc w:val="both"/>
        <w:rPr>
          <w:rFonts w:ascii="Times New Roman;serif" w:hAnsi="Times New Roman;serif"/>
          <w:b w:val="false"/>
          <w:sz w:val="24"/>
        </w:rPr>
      </w:pPr>
      <w:r>
        <w:rPr>
          <w:rFonts w:ascii="Times New Roman;serif" w:hAnsi="Times New Roman;serif"/>
          <w:b w:val="false"/>
          <w:sz w:val="24"/>
        </w:rPr>
        <w:t>WHEREAS, the Company is engaged in developing a Breakthrough Autologous Cell Therapy by arresting and restoring renal function to delay or prevent ESRD. The therapy improves quality of life in CKD/ESRD patients without the need for dialysis or transplants requiring immunosuppression;</w:t>
      </w:r>
    </w:p>
    <w:p>
      <w:pPr>
        <w:pStyle w:val="TextBody"/>
        <w:spacing w:before="229" w:after="0"/>
        <w:jc w:val="both"/>
        <w:rPr>
          <w:rFonts w:ascii="Times New Roman;serif" w:hAnsi="Times New Roman;serif"/>
          <w:b w:val="false"/>
          <w:sz w:val="24"/>
        </w:rPr>
      </w:pPr>
      <w:r>
        <w:rPr>
          <w:rFonts w:ascii="Times New Roman;serif" w:hAnsi="Times New Roman;serif"/>
          <w:b w:val="false"/>
          <w:sz w:val="24"/>
        </w:rPr>
        <w:t>WHEREAS, in connection with such business, the Company wishes to engage the Service Provider to provide certain services described herein, which the parties acknowledge will be primarily performed by Pablo Legorreta;</w:t>
      </w:r>
    </w:p>
    <w:p>
      <w:pPr>
        <w:pStyle w:val="TextBody"/>
        <w:spacing w:before="4"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WHEREAS, the Service Provider has agreed to provide the services described herein upon the terms and conditions set forth herein; and</w:t>
      </w:r>
    </w:p>
    <w:p>
      <w:pPr>
        <w:pStyle w:val="TextBody"/>
        <w:spacing w:before="4" w:after="0"/>
        <w:jc w:val="left"/>
        <w:rPr/>
      </w:pPr>
      <w:r>
        <w:rPr/>
        <w:t> </w:t>
      </w:r>
    </w:p>
    <w:p>
      <w:pPr>
        <w:pStyle w:val="TextBody"/>
        <w:spacing w:before="1" w:after="0"/>
        <w:jc w:val="both"/>
        <w:rPr>
          <w:rFonts w:ascii="Times New Roman;serif" w:hAnsi="Times New Roman;serif"/>
          <w:b w:val="false"/>
          <w:sz w:val="24"/>
        </w:rPr>
      </w:pPr>
      <w:r>
        <w:rPr>
          <w:rFonts w:ascii="Times New Roman;serif" w:hAnsi="Times New Roman;serif"/>
          <w:b w:val="false"/>
          <w:sz w:val="24"/>
        </w:rPr>
        <w:t>NOW, THEREFORE, in consideration of the foregoing recitals, and the receipt of good and valuable consideration, the receipt and sufficiency of which is hereby acknowledged, the parties hereto, intending to be legally bound, hereby agree as follows.</w:t>
      </w:r>
    </w:p>
    <w:p>
      <w:pPr>
        <w:pStyle w:val="TextBody"/>
        <w:spacing w:before="229" w:after="0"/>
        <w:jc w:val="both"/>
        <w:rPr>
          <w:rFonts w:ascii="Times New Roman" w:hAnsi="Times New Roman"/>
          <w:sz w:val="20"/>
        </w:rPr>
      </w:pPr>
      <w:r>
        <w:rPr>
          <w:rFonts w:ascii="Times New Roman;serif" w:hAnsi="Times New Roman;serif"/>
          <w:b w:val="false"/>
          <w:sz w:val="24"/>
        </w:rPr>
        <w:t xml:space="preserve">Section 1. </w:t>
      </w:r>
      <w:r>
        <w:rPr>
          <w:rFonts w:ascii="Times New Roman;serif" w:hAnsi="Times New Roman;serif"/>
          <w:b w:val="false"/>
          <w:sz w:val="24"/>
          <w:u w:val="single"/>
        </w:rPr>
        <w:t>Definitions</w:t>
      </w:r>
      <w:r>
        <w:rPr>
          <w:rFonts w:ascii="Times New Roman;serif" w:hAnsi="Times New Roman;serif"/>
          <w:b w:val="false"/>
          <w:sz w:val="24"/>
        </w:rPr>
        <w:t>. As used in this Agreement (including its exhibits, schedules and annexes), the following terms shall have the meanings set forth below.</w:t>
      </w:r>
    </w:p>
    <w:p>
      <w:pPr>
        <w:pStyle w:val="TextBody"/>
        <w:spacing w:before="223" w:after="0"/>
        <w:jc w:val="both"/>
        <w:rPr/>
      </w:pPr>
      <w:r>
        <w:rPr/>
        <w:t>“</w:t>
      </w:r>
      <w:r>
        <w:rPr>
          <w:rFonts w:ascii="Times New Roman;serif" w:hAnsi="Times New Roman;serif"/>
          <w:b w:val="false"/>
          <w:sz w:val="24"/>
          <w:u w:val="single"/>
        </w:rPr>
        <w:t>Affiliate</w:t>
      </w:r>
      <w:r>
        <w:rPr>
          <w:rFonts w:ascii="Times New Roman" w:hAnsi="Times New Roman"/>
          <w:sz w:val="20"/>
        </w:rPr>
        <w:t xml:space="preserve">” </w:t>
      </w:r>
      <w:r>
        <w:rPr>
          <w:rFonts w:ascii="Times New Roman;serif" w:hAnsi="Times New Roman;serif"/>
          <w:b w:val="false"/>
          <w:sz w:val="24"/>
        </w:rPr>
        <w:t>(including its derivatives and similar terms) shall mean, when used with respect to any Person, any other Person that, directly or indirectly, through one or more intermediaries, Controls, is Controlled by, or is under common Control with, such Person in question. For the avoidance of doubt, the Service Provider shall not be deemed to be an Affiliate of the Company for purposes of this Agreement.</w:t>
      </w:r>
    </w:p>
    <w:p>
      <w:pPr>
        <w:pStyle w:val="TextBody"/>
        <w:spacing w:before="14" w:after="0"/>
        <w:jc w:val="both"/>
        <w:rPr/>
      </w:pPr>
      <w:r>
        <w:rPr/>
        <w:t>“</w:t>
      </w:r>
      <w:r>
        <w:rPr>
          <w:rFonts w:ascii="Times New Roman;serif" w:hAnsi="Times New Roman;serif"/>
          <w:b w:val="false"/>
          <w:sz w:val="24"/>
          <w:u w:val="single"/>
        </w:rPr>
        <w:t>Agreement</w:t>
      </w:r>
      <w:r>
        <w:rPr>
          <w:rFonts w:ascii="Times New Roman" w:hAnsi="Times New Roman"/>
          <w:sz w:val="20"/>
        </w:rPr>
        <w:t xml:space="preserve">” </w:t>
      </w:r>
      <w:r>
        <w:rPr>
          <w:rFonts w:ascii="Times New Roman;serif" w:hAnsi="Times New Roman;serif"/>
          <w:b w:val="false"/>
          <w:sz w:val="24"/>
        </w:rPr>
        <w:t>shall have the meaning specified in the introductory paragraph hereof. “</w:t>
      </w:r>
      <w:r>
        <w:rPr>
          <w:rFonts w:ascii="Times New Roman;serif" w:hAnsi="Times New Roman;serif"/>
          <w:b w:val="false"/>
          <w:sz w:val="24"/>
          <w:u w:val="single"/>
        </w:rPr>
        <w:t>Applicable Law</w:t>
      </w:r>
      <w:r>
        <w:rPr>
          <w:rFonts w:ascii="Times New Roman" w:hAnsi="Times New Roman"/>
          <w:sz w:val="20"/>
        </w:rPr>
        <w:t xml:space="preserve">” </w:t>
      </w:r>
      <w:r>
        <w:rPr>
          <w:rFonts w:ascii="Times New Roman;serif" w:hAnsi="Times New Roman;serif"/>
          <w:b w:val="false"/>
          <w:sz w:val="24"/>
        </w:rPr>
        <w:t>shall mean, in relation to any Person, transaction or event, all applicable</w:t>
      </w:r>
    </w:p>
    <w:p>
      <w:pPr>
        <w:pStyle w:val="TextBody"/>
        <w:spacing w:before="1" w:after="0"/>
        <w:jc w:val="both"/>
        <w:rPr>
          <w:rFonts w:ascii="Times New Roman;serif" w:hAnsi="Times New Roman;serif"/>
          <w:b w:val="false"/>
          <w:sz w:val="24"/>
        </w:rPr>
      </w:pPr>
      <w:r>
        <w:rPr>
          <w:rFonts w:ascii="Times New Roman;serif" w:hAnsi="Times New Roman;serif"/>
          <w:b w:val="false"/>
          <w:sz w:val="24"/>
        </w:rPr>
        <w:t>provisions of laws, statutes, rules, ordinances, regulations, official directives, published guidelines or policies, bylaws, standards and codes of practice of, and the terms of all judgments, orders, permits, authorizations, approvals, grants, licenses, consents, injunctions, awards, determinations and decrees enacted, made, granted or issued by, any Governmental Authority applicable to such Person, transaction or event.</w:t>
      </w:r>
    </w:p>
    <w:p>
      <w:pPr>
        <w:pStyle w:val="TextBody"/>
        <w:spacing w:before="7" w:after="0"/>
        <w:jc w:val="left"/>
        <w:rPr/>
      </w:pPr>
      <w:r>
        <w:rPr/>
        <w:t> </w:t>
      </w:r>
    </w:p>
    <w:p>
      <w:pPr>
        <w:pStyle w:val="TextBody"/>
        <w:spacing w:before="1" w:after="0"/>
        <w:jc w:val="left"/>
        <w:rPr/>
      </w:pPr>
      <w:r>
        <w:rPr/>
        <w:t>“</w:t>
      </w:r>
      <w:r>
        <w:rPr>
          <w:rFonts w:ascii="Times New Roman;serif" w:hAnsi="Times New Roman;serif"/>
          <w:b w:val="false"/>
          <w:sz w:val="24"/>
          <w:u w:val="single"/>
        </w:rPr>
        <w:t>Business Day</w:t>
      </w:r>
      <w:r>
        <w:rPr>
          <w:rFonts w:ascii="Times New Roman" w:hAnsi="Times New Roman"/>
          <w:sz w:val="20"/>
        </w:rPr>
        <w:t xml:space="preserve">” </w:t>
      </w:r>
      <w:r>
        <w:rPr>
          <w:rFonts w:ascii="Times New Roman;serif" w:hAnsi="Times New Roman;serif"/>
          <w:b w:val="false"/>
          <w:sz w:val="24"/>
        </w:rPr>
        <w:t>means a day on which commercial banks are open for business in the cities of New York, New York and Dublin, Ireland.</w:t>
      </w:r>
    </w:p>
    <w:p>
      <w:pPr>
        <w:pStyle w:val="TextBody"/>
        <w:spacing w:before="228" w:after="0"/>
        <w:jc w:val="both"/>
        <w:rPr/>
      </w:pPr>
      <w:r>
        <w:rPr/>
        <w:t>“</w:t>
      </w:r>
      <w:r>
        <w:rPr>
          <w:rFonts w:ascii="Times New Roman;serif" w:hAnsi="Times New Roman;serif"/>
          <w:b w:val="false"/>
          <w:sz w:val="24"/>
          <w:u w:val="single"/>
        </w:rPr>
        <w:t>Claim</w:t>
      </w:r>
      <w:r>
        <w:rPr>
          <w:rFonts w:ascii="Times New Roman" w:hAnsi="Times New Roman"/>
          <w:sz w:val="20"/>
        </w:rPr>
        <w:t xml:space="preserve">” </w:t>
      </w:r>
      <w:r>
        <w:rPr>
          <w:rFonts w:ascii="Times New Roman;serif" w:hAnsi="Times New Roman;serif"/>
          <w:b w:val="false"/>
          <w:sz w:val="24"/>
        </w:rPr>
        <w:t xml:space="preserve">shall have the meaning specified in </w:t>
      </w:r>
      <w:r>
        <w:rPr>
          <w:rFonts w:ascii="Times New Roman;serif" w:hAnsi="Times New Roman;serif"/>
          <w:b w:val="false"/>
          <w:sz w:val="24"/>
          <w:u w:val="single"/>
        </w:rPr>
        <w:t>Section 8(b)</w:t>
      </w:r>
      <w:r>
        <w:rPr>
          <w:rFonts w:ascii="Times New Roman;serif" w:hAnsi="Times New Roman;serif"/>
          <w:b w:val="false"/>
          <w:sz w:val="24"/>
        </w:rPr>
        <w:t>.</w:t>
      </w:r>
    </w:p>
    <w:p>
      <w:pPr>
        <w:pStyle w:val="TextBody"/>
        <w:spacing w:before="0" w:after="0"/>
        <w:jc w:val="both"/>
        <w:rPr/>
      </w:pPr>
      <w:r>
        <w:rPr/>
        <w:t> </w:t>
      </w:r>
    </w:p>
    <w:p>
      <w:pPr>
        <w:pStyle w:val="HorizontalLine"/>
        <w:rPr/>
      </w:pPr>
      <w:r>
        <w:rPr/>
      </w:r>
    </w:p>
    <w:p>
      <w:pPr>
        <w:pStyle w:val="TextBody"/>
        <w:spacing w:before="61" w:after="0"/>
        <w:jc w:val="both"/>
        <w:rPr/>
      </w:pPr>
      <w:r>
        <w:rPr/>
        <w:t>“</w:t>
      </w:r>
      <w:r>
        <w:rPr>
          <w:rFonts w:ascii="Times New Roman;serif" w:hAnsi="Times New Roman;serif"/>
          <w:b w:val="false"/>
          <w:sz w:val="24"/>
          <w:u w:val="single"/>
        </w:rPr>
        <w:t>Company</w:t>
      </w:r>
      <w:r>
        <w:rPr>
          <w:rFonts w:ascii="Times New Roman" w:hAnsi="Times New Roman"/>
          <w:sz w:val="20"/>
        </w:rPr>
        <w:t xml:space="preserve">” </w:t>
      </w:r>
      <w:r>
        <w:rPr>
          <w:rFonts w:ascii="Times New Roman;serif" w:hAnsi="Times New Roman;serif"/>
          <w:b w:val="false"/>
          <w:sz w:val="24"/>
        </w:rPr>
        <w:t>shall have the meaning specified in the introductory paragraph hereof. “</w:t>
      </w:r>
      <w:r>
        <w:rPr>
          <w:rFonts w:ascii="Times New Roman;serif" w:hAnsi="Times New Roman;serif"/>
          <w:b w:val="false"/>
          <w:sz w:val="24"/>
          <w:u w:val="single"/>
        </w:rPr>
        <w:t>Confidential Information</w:t>
      </w:r>
      <w:r>
        <w:rPr>
          <w:rFonts w:ascii="Times New Roman" w:hAnsi="Times New Roman"/>
          <w:sz w:val="20"/>
        </w:rPr>
        <w:t xml:space="preserve">” </w:t>
      </w:r>
      <w:r>
        <w:rPr>
          <w:rFonts w:ascii="Times New Roman;serif" w:hAnsi="Times New Roman;serif"/>
          <w:b w:val="false"/>
          <w:sz w:val="24"/>
        </w:rPr>
        <w:t xml:space="preserve">shall have the meaning specified in </w:t>
      </w:r>
      <w:r>
        <w:rPr>
          <w:rFonts w:ascii="Times New Roman;serif" w:hAnsi="Times New Roman;serif"/>
          <w:b w:val="false"/>
          <w:sz w:val="24"/>
          <w:u w:val="single"/>
        </w:rPr>
        <w:t>Section 13(a)</w:t>
      </w:r>
      <w:r>
        <w:rPr>
          <w:rFonts w:ascii="Times New Roman;serif" w:hAnsi="Times New Roman;serif"/>
          <w:b w:val="false"/>
          <w:sz w:val="24"/>
        </w:rPr>
        <w:t>.</w:t>
      </w:r>
    </w:p>
    <w:p>
      <w:pPr>
        <w:pStyle w:val="TextBody"/>
        <w:spacing w:before="1" w:after="0"/>
        <w:jc w:val="both"/>
        <w:rPr/>
      </w:pPr>
      <w:r>
        <w:rPr/>
        <w:t>“</w:t>
      </w:r>
      <w:r>
        <w:rPr>
          <w:rFonts w:ascii="Times New Roman;serif" w:hAnsi="Times New Roman;serif"/>
          <w:b w:val="false"/>
          <w:sz w:val="24"/>
          <w:u w:val="single"/>
        </w:rPr>
        <w:t>Control</w:t>
      </w:r>
      <w:r>
        <w:rPr>
          <w:rFonts w:ascii="Times New Roman" w:hAnsi="Times New Roman"/>
          <w:sz w:val="20"/>
        </w:rPr>
        <w:t xml:space="preserve">” </w:t>
      </w:r>
      <w:r>
        <w:rPr>
          <w:rFonts w:ascii="Times New Roman;serif" w:hAnsi="Times New Roman;serif"/>
          <w:b w:val="false"/>
          <w:sz w:val="24"/>
        </w:rPr>
        <w:t>(including its derivatives and similar terms) shall mean possessing, directly or indirectly, the power to direct or cause the direction of the management and policies of any such relevant Person by ownership of voting interest, by contract or otherwise.</w:t>
      </w:r>
    </w:p>
    <w:p>
      <w:pPr>
        <w:pStyle w:val="TextBody"/>
        <w:spacing w:before="229" w:after="0"/>
        <w:jc w:val="both"/>
        <w:rPr/>
      </w:pPr>
      <w:r>
        <w:rPr/>
        <w:t>“</w:t>
      </w:r>
      <w:r>
        <w:rPr>
          <w:rFonts w:ascii="Times New Roman;serif" w:hAnsi="Times New Roman;serif"/>
          <w:b w:val="false"/>
          <w:sz w:val="24"/>
          <w:u w:val="single"/>
        </w:rPr>
        <w:t>Covered Losses</w:t>
      </w:r>
      <w:r>
        <w:rPr>
          <w:rFonts w:ascii="Times New Roman" w:hAnsi="Times New Roman"/>
          <w:sz w:val="20"/>
        </w:rPr>
        <w:t xml:space="preserve">” </w:t>
      </w:r>
      <w:r>
        <w:rPr>
          <w:rFonts w:ascii="Times New Roman;serif" w:hAnsi="Times New Roman;serif"/>
          <w:b w:val="false"/>
          <w:sz w:val="24"/>
        </w:rPr>
        <w:t>shall mean any and all losses, claims, liabilities, damages, expenses or costs (including any claim, judgment, award, settlement, legal and other professional fees and disbursements, and other costs or expenses) incurred by or asserted against any Covered Person, whether or not matured or unmatured or whether or not asserted or brought due to contractual or other restrictions, joint or several.</w:t>
      </w:r>
    </w:p>
    <w:p>
      <w:pPr>
        <w:pStyle w:val="TextBody"/>
        <w:spacing w:before="1" w:after="0"/>
        <w:jc w:val="left"/>
        <w:rPr/>
      </w:pPr>
      <w:r>
        <w:rPr/>
        <w:t> </w:t>
      </w:r>
    </w:p>
    <w:p>
      <w:pPr>
        <w:pStyle w:val="TextBody"/>
        <w:spacing w:before="0" w:after="0"/>
        <w:jc w:val="both"/>
        <w:rPr/>
      </w:pPr>
      <w:r>
        <w:rPr/>
        <w:t>“</w:t>
      </w:r>
      <w:r>
        <w:rPr>
          <w:rFonts w:ascii="Times New Roman;serif" w:hAnsi="Times New Roman;serif"/>
          <w:b w:val="false"/>
          <w:sz w:val="24"/>
          <w:u w:val="single"/>
        </w:rPr>
        <w:t>Covered Person</w:t>
      </w:r>
      <w:r>
        <w:rPr>
          <w:rFonts w:ascii="Times New Roman" w:hAnsi="Times New Roman"/>
          <w:sz w:val="20"/>
        </w:rPr>
        <w:t xml:space="preserve">” </w:t>
      </w:r>
      <w:r>
        <w:rPr>
          <w:rFonts w:ascii="Times New Roman;serif" w:hAnsi="Times New Roman;serif"/>
          <w:b w:val="false"/>
          <w:sz w:val="24"/>
        </w:rPr>
        <w:t>shall mean each of the Service Provider, its Affiliates and its and their respective Representatives.</w:t>
      </w:r>
    </w:p>
    <w:p>
      <w:pPr>
        <w:pStyle w:val="TextBody"/>
        <w:spacing w:before="5" w:after="0"/>
        <w:jc w:val="left"/>
        <w:rPr/>
      </w:pPr>
      <w:r>
        <w:rPr/>
        <w:t> </w:t>
      </w:r>
    </w:p>
    <w:p>
      <w:pPr>
        <w:pStyle w:val="TextBody"/>
        <w:spacing w:before="0" w:after="0"/>
        <w:jc w:val="both"/>
        <w:rPr/>
      </w:pPr>
      <w:r>
        <w:rPr/>
        <w:t>“</w:t>
      </w:r>
      <w:r>
        <w:rPr>
          <w:rFonts w:ascii="Times New Roman;serif" w:hAnsi="Times New Roman;serif"/>
          <w:b w:val="false"/>
          <w:sz w:val="24"/>
          <w:u w:val="single"/>
        </w:rPr>
        <w:t>Governmental Authority</w:t>
      </w:r>
      <w:r>
        <w:rPr>
          <w:rFonts w:ascii="Times New Roman" w:hAnsi="Times New Roman"/>
          <w:sz w:val="20"/>
        </w:rPr>
        <w:t xml:space="preserve">” </w:t>
      </w:r>
      <w:r>
        <w:rPr>
          <w:rFonts w:ascii="Times New Roman;serif" w:hAnsi="Times New Roman;serif"/>
          <w:b w:val="false"/>
          <w:sz w:val="24"/>
        </w:rPr>
        <w:t>shall mean (i) any government or quasi-governmental authority or political subdivision thereof, national, state, county, municipal or regional, whether U.S. or non- U.S.; (ii) any agency, regulator, arbitrator, board, body, branch, bureau, commission, corporation, department, master, mediator, panel, referee, system or instrumentality of any such government, political subdivision or other government or quasi-government entity, whether non-U.S. or U.S.; and (iii) any court, whether U.S. or non-U.S.</w:t>
      </w:r>
    </w:p>
    <w:p>
      <w:pPr>
        <w:pStyle w:val="TextBody"/>
        <w:spacing w:before="3" w:after="0"/>
        <w:jc w:val="left"/>
        <w:rPr/>
      </w:pPr>
      <w:r>
        <w:rPr/>
        <w:t> </w:t>
      </w:r>
    </w:p>
    <w:p>
      <w:pPr>
        <w:pStyle w:val="TextBody"/>
        <w:spacing w:before="0" w:after="0"/>
        <w:jc w:val="both"/>
        <w:rPr/>
      </w:pPr>
      <w:r>
        <w:rPr/>
        <w:t>“</w:t>
      </w:r>
      <w:r>
        <w:rPr>
          <w:rFonts w:ascii="Times New Roman;serif" w:hAnsi="Times New Roman;serif"/>
          <w:b w:val="false"/>
          <w:sz w:val="24"/>
          <w:u w:val="single"/>
        </w:rPr>
        <w:t>Initial Term</w:t>
      </w:r>
      <w:r>
        <w:rPr>
          <w:rFonts w:ascii="Times New Roman" w:hAnsi="Times New Roman"/>
          <w:sz w:val="20"/>
        </w:rPr>
        <w:t xml:space="preserve">” </w:t>
      </w:r>
      <w:r>
        <w:rPr>
          <w:rFonts w:ascii="Times New Roman;serif" w:hAnsi="Times New Roman;serif"/>
          <w:b w:val="false"/>
          <w:sz w:val="24"/>
        </w:rPr>
        <w:t xml:space="preserve">shall have the meaning specified in </w:t>
      </w:r>
      <w:r>
        <w:rPr>
          <w:rFonts w:ascii="Times New Roman;serif" w:hAnsi="Times New Roman;serif"/>
          <w:b w:val="false"/>
          <w:sz w:val="24"/>
          <w:u w:val="single"/>
        </w:rPr>
        <w:t>Section 9(a)</w:t>
      </w:r>
      <w:r>
        <w:rPr>
          <w:rFonts w:ascii="Times New Roman;serif" w:hAnsi="Times New Roman;serif"/>
          <w:b w:val="false"/>
          <w:sz w:val="24"/>
        </w:rPr>
        <w:t>.</w:t>
      </w:r>
    </w:p>
    <w:p>
      <w:pPr>
        <w:pStyle w:val="TextBody"/>
        <w:spacing w:before="233" w:after="0"/>
        <w:jc w:val="both"/>
        <w:rPr/>
      </w:pPr>
      <w:r>
        <w:rPr/>
        <w:t>“</w:t>
      </w:r>
      <w:r>
        <w:rPr>
          <w:rFonts w:ascii="Times New Roman;serif" w:hAnsi="Times New Roman;serif"/>
          <w:b w:val="false"/>
          <w:sz w:val="24"/>
          <w:u w:val="single"/>
        </w:rPr>
        <w:t>Material Adverse Effect</w:t>
      </w:r>
      <w:r>
        <w:rPr>
          <w:rFonts w:ascii="Times New Roman" w:hAnsi="Times New Roman"/>
          <w:sz w:val="20"/>
        </w:rPr>
        <w:t xml:space="preserve">” </w:t>
      </w:r>
      <w:r>
        <w:rPr>
          <w:rFonts w:ascii="Times New Roman;serif" w:hAnsi="Times New Roman;serif"/>
          <w:b w:val="false"/>
          <w:sz w:val="24"/>
        </w:rPr>
        <w:t>shall mean any event or circumstance that has a material adverse effect on (i) the business, operations, assets or financial condition of the Company or the Service Provider and its Affiliates, as applicable, taken as a whole; (ii) the validity or enforceability of this Agreement; or (iii) the performance by the Company or the Service Provider, as applicable, of its obligations under this Agreement.</w:t>
      </w:r>
    </w:p>
    <w:p>
      <w:pPr>
        <w:pStyle w:val="TextBody"/>
        <w:spacing w:before="1" w:after="0"/>
        <w:jc w:val="left"/>
        <w:rPr/>
      </w:pPr>
      <w:r>
        <w:rPr/>
        <w:t> </w:t>
      </w:r>
    </w:p>
    <w:p>
      <w:pPr>
        <w:pStyle w:val="TextBody"/>
        <w:spacing w:before="0" w:after="0"/>
        <w:jc w:val="both"/>
        <w:rPr/>
      </w:pPr>
      <w:r>
        <w:rPr/>
        <w:t>“</w:t>
      </w:r>
      <w:r>
        <w:rPr>
          <w:rFonts w:ascii="Times New Roman;serif" w:hAnsi="Times New Roman;serif"/>
          <w:b w:val="false"/>
          <w:sz w:val="24"/>
          <w:u w:val="single"/>
        </w:rPr>
        <w:t>Organizational Document</w:t>
      </w:r>
      <w:r>
        <w:rPr>
          <w:rFonts w:ascii="Times New Roman" w:hAnsi="Times New Roman"/>
          <w:sz w:val="20"/>
        </w:rPr>
        <w:t xml:space="preserve">” </w:t>
      </w:r>
      <w:r>
        <w:rPr>
          <w:rFonts w:ascii="Times New Roman;serif" w:hAnsi="Times New Roman;serif"/>
          <w:b w:val="false"/>
          <w:sz w:val="24"/>
        </w:rPr>
        <w:t>shall mean, with respect to any Person, (i) if a corporation, the memorandum and articles of association or the certificate of incorporation and the bylaws; (ii) if a general partnership, any agreement and any statement of partnership; (iii) if a limited partnership, the limited partnership agreement and the certificate of limited partnership; (iv) if a limited liability company, the certificate or articles of organization and operating agreement; (v) if a limited liability partnership, the members’ agreement and the certificate of incorporation; (vi) any other charter or similar document adopted or filed in connection with the creation, formation or organization of a Person; (vii) all equityholders’ agreements, voting agreements, voting trust agreements, joint venture agreements, or other agreements or documents relating to the organization, management or operation of any Person, or relating to the rights, duties and obligations of the equityholders of any Person; and (viii) any amendment, modification, restatement or supplement to any of the foregoing.</w:t>
      </w:r>
    </w:p>
    <w:p>
      <w:pPr>
        <w:pStyle w:val="TextBody"/>
        <w:spacing w:before="10" w:after="0"/>
        <w:jc w:val="left"/>
        <w:rPr/>
      </w:pPr>
      <w:r>
        <w:rPr/>
        <w:t> </w:t>
      </w:r>
    </w:p>
    <w:p>
      <w:pPr>
        <w:pStyle w:val="TextBody"/>
        <w:spacing w:before="0" w:after="0"/>
        <w:jc w:val="both"/>
        <w:rPr/>
      </w:pPr>
      <w:r>
        <w:rPr/>
        <w:t>“</w:t>
      </w:r>
      <w:r>
        <w:rPr>
          <w:rFonts w:ascii="Times New Roman;serif" w:hAnsi="Times New Roman;serif"/>
          <w:b w:val="false"/>
          <w:sz w:val="24"/>
          <w:u w:val="single"/>
        </w:rPr>
        <w:t>Person</w:t>
      </w:r>
      <w:r>
        <w:rPr>
          <w:rFonts w:ascii="Times New Roman" w:hAnsi="Times New Roman"/>
          <w:sz w:val="20"/>
        </w:rPr>
        <w:t xml:space="preserve">” </w:t>
      </w:r>
      <w:r>
        <w:rPr>
          <w:rFonts w:ascii="Times New Roman;serif" w:hAnsi="Times New Roman;serif"/>
          <w:b w:val="false"/>
          <w:sz w:val="24"/>
        </w:rPr>
        <w:t>shall mean a corporation, an association, a partnership (general or limited), a limited liability company, an exempted company, an exempted limited partnership, a limited liability partnership, a business trust, an organization, an estate, a custodian, a joint venture, a</w:t>
      </w:r>
    </w:p>
    <w:p>
      <w:pPr>
        <w:pStyle w:val="TextBody"/>
        <w:spacing w:before="0" w:after="0"/>
        <w:jc w:val="both"/>
        <w:rPr/>
      </w:pPr>
      <w:r>
        <w:rPr/>
        <w:t> </w:t>
      </w:r>
    </w:p>
    <w:p>
      <w:pPr>
        <w:pStyle w:val="TextBody"/>
        <w:spacing w:before="0" w:after="0"/>
        <w:jc w:val="left"/>
        <w:rPr/>
      </w:pPr>
      <w:r>
        <w:rPr/>
        <w:t> </w:t>
      </w:r>
    </w:p>
    <w:p>
      <w:pPr>
        <w:pStyle w:val="TextBody"/>
        <w:spacing w:before="10" w:after="0"/>
        <w:jc w:val="left"/>
        <w:rPr>
          <w:rFonts w:ascii="Times New Roman;serif" w:hAnsi="Times New Roman;serif"/>
          <w:b w:val="false"/>
          <w:sz w:val="24"/>
        </w:rPr>
      </w:pPr>
      <w:r>
        <w:rPr>
          <w:rFonts w:ascii="Times New Roman;serif" w:hAnsi="Times New Roman;serif"/>
          <w:b w:val="false"/>
          <w:sz w:val="24"/>
        </w:rPr>
        <w:t>2</w:t>
      </w:r>
    </w:p>
    <w:p>
      <w:pPr>
        <w:pStyle w:val="HorizontalLine"/>
        <w:rPr/>
      </w:pPr>
      <w:r>
        <w:rPr/>
      </w:r>
    </w:p>
    <w:p>
      <w:pPr>
        <w:pStyle w:val="TextBody"/>
        <w:spacing w:before="76" w:after="0"/>
        <w:jc w:val="both"/>
        <w:rPr>
          <w:rFonts w:ascii="Times New Roman;serif" w:hAnsi="Times New Roman;serif"/>
          <w:b w:val="false"/>
          <w:sz w:val="24"/>
        </w:rPr>
      </w:pPr>
      <w:r>
        <w:rPr>
          <w:rFonts w:ascii="Times New Roman;serif" w:hAnsi="Times New Roman;serif"/>
          <w:b w:val="false"/>
          <w:sz w:val="24"/>
        </w:rPr>
        <w:t>nominee, a proprietorship or any other legal entity, a natural person, a government or political subdivision thereof or a Governmental Authority.</w:t>
      </w:r>
    </w:p>
    <w:p>
      <w:pPr>
        <w:pStyle w:val="TextBody"/>
        <w:spacing w:before="10" w:after="0"/>
        <w:jc w:val="left"/>
        <w:rPr/>
      </w:pPr>
      <w:r>
        <w:rPr/>
        <w:t> </w:t>
      </w:r>
    </w:p>
    <w:p>
      <w:pPr>
        <w:pStyle w:val="TextBody"/>
        <w:spacing w:before="0" w:after="0"/>
        <w:jc w:val="both"/>
        <w:rPr/>
      </w:pPr>
      <w:r>
        <w:rPr/>
        <w:t>“</w:t>
      </w:r>
      <w:r>
        <w:rPr>
          <w:rFonts w:ascii="Times New Roman;serif" w:hAnsi="Times New Roman;serif"/>
          <w:b w:val="false"/>
          <w:sz w:val="24"/>
          <w:u w:val="single"/>
        </w:rPr>
        <w:t>Proceedings</w:t>
      </w:r>
      <w:r>
        <w:rPr>
          <w:rFonts w:ascii="Times New Roman" w:hAnsi="Times New Roman"/>
          <w:sz w:val="20"/>
        </w:rPr>
        <w:t xml:space="preserve">” </w:t>
      </w:r>
      <w:r>
        <w:rPr>
          <w:rFonts w:ascii="Times New Roman;serif" w:hAnsi="Times New Roman;serif"/>
          <w:b w:val="false"/>
          <w:sz w:val="24"/>
        </w:rPr>
        <w:t xml:space="preserve">shall have the meaning specified in </w:t>
      </w:r>
      <w:r>
        <w:rPr>
          <w:rFonts w:ascii="Times New Roman;serif" w:hAnsi="Times New Roman;serif"/>
          <w:b w:val="false"/>
          <w:sz w:val="24"/>
          <w:u w:val="single"/>
        </w:rPr>
        <w:t>Section 15(b)</w:t>
      </w:r>
      <w:r>
        <w:rPr>
          <w:rFonts w:ascii="Times New Roman;serif" w:hAnsi="Times New Roman;serif"/>
          <w:b w:val="false"/>
          <w:sz w:val="24"/>
        </w:rPr>
        <w:t>. “</w:t>
      </w:r>
      <w:r>
        <w:rPr>
          <w:rFonts w:ascii="Times New Roman;serif" w:hAnsi="Times New Roman;serif"/>
          <w:b w:val="false"/>
          <w:sz w:val="24"/>
          <w:u w:val="single"/>
        </w:rPr>
        <w:t>Renewal Term</w:t>
      </w:r>
      <w:r>
        <w:rPr>
          <w:rFonts w:ascii="Times New Roman" w:hAnsi="Times New Roman"/>
          <w:sz w:val="20"/>
        </w:rPr>
        <w:t xml:space="preserve">” </w:t>
      </w:r>
      <w:r>
        <w:rPr>
          <w:rFonts w:ascii="Times New Roman;serif" w:hAnsi="Times New Roman;serif"/>
          <w:b w:val="false"/>
          <w:sz w:val="24"/>
        </w:rPr>
        <w:t xml:space="preserve">shall have the meaning specified in </w:t>
      </w:r>
      <w:r>
        <w:rPr>
          <w:rFonts w:ascii="Times New Roman;serif" w:hAnsi="Times New Roman;serif"/>
          <w:b w:val="false"/>
          <w:sz w:val="24"/>
          <w:u w:val="single"/>
        </w:rPr>
        <w:t>Section 9(a)</w:t>
      </w:r>
      <w:r>
        <w:rPr>
          <w:rFonts w:ascii="Times New Roman;serif" w:hAnsi="Times New Roman;serif"/>
          <w:b w:val="false"/>
          <w:sz w:val="24"/>
        </w:rPr>
        <w:t>.</w:t>
      </w:r>
    </w:p>
    <w:p>
      <w:pPr>
        <w:pStyle w:val="TextBody"/>
        <w:spacing w:before="0" w:after="0"/>
        <w:jc w:val="both"/>
        <w:rPr/>
      </w:pPr>
      <w:r>
        <w:rPr/>
        <w:t>“</w:t>
      </w:r>
      <w:r>
        <w:rPr>
          <w:rFonts w:ascii="Times New Roman;serif" w:hAnsi="Times New Roman;serif"/>
          <w:b w:val="false"/>
          <w:sz w:val="24"/>
          <w:u w:val="single"/>
        </w:rPr>
        <w:t>Representatives</w:t>
      </w:r>
      <w:r>
        <w:rPr>
          <w:rFonts w:ascii="Times New Roman" w:hAnsi="Times New Roman"/>
          <w:sz w:val="20"/>
        </w:rPr>
        <w:t xml:space="preserve">” </w:t>
      </w:r>
      <w:r>
        <w:rPr>
          <w:rFonts w:ascii="Times New Roman;serif" w:hAnsi="Times New Roman;serif"/>
          <w:b w:val="false"/>
          <w:sz w:val="24"/>
        </w:rPr>
        <w:t>shall mean, when used with respect to any Person, such Person’s Affiliates, and its and their respective current or former partners, directors, members, direct or indirect equity owners, officers, principals, managers, employees, agents, consultants, advisors or representatives. For the avoidance of doubt, the Service Provider shall not be deemed to be a Representative of the Company for purposes of this Agreement.</w:t>
      </w:r>
    </w:p>
    <w:p>
      <w:pPr>
        <w:pStyle w:val="TextBody"/>
        <w:spacing w:before="9" w:after="0"/>
        <w:jc w:val="both"/>
        <w:rPr/>
      </w:pPr>
      <w:r>
        <w:rPr/>
        <w:t>“</w:t>
      </w:r>
      <w:r>
        <w:rPr>
          <w:rFonts w:ascii="Times New Roman;serif" w:hAnsi="Times New Roman;serif"/>
          <w:b w:val="false"/>
          <w:sz w:val="24"/>
          <w:u w:val="single"/>
        </w:rPr>
        <w:t>Service Provider</w:t>
      </w:r>
      <w:r>
        <w:rPr>
          <w:rFonts w:ascii="Times New Roman" w:hAnsi="Times New Roman"/>
          <w:sz w:val="20"/>
        </w:rPr>
        <w:t xml:space="preserve">” </w:t>
      </w:r>
      <w:r>
        <w:rPr>
          <w:rFonts w:ascii="Times New Roman;serif" w:hAnsi="Times New Roman;serif"/>
          <w:b w:val="false"/>
          <w:sz w:val="24"/>
        </w:rPr>
        <w:t>shall have the meaning specified in the introductory paragraph hereof. “</w:t>
      </w:r>
      <w:r>
        <w:rPr>
          <w:rFonts w:ascii="Times New Roman;serif" w:hAnsi="Times New Roman;serif"/>
          <w:b w:val="false"/>
          <w:sz w:val="24"/>
          <w:u w:val="single"/>
        </w:rPr>
        <w:t>Service Provider Expenses</w:t>
      </w:r>
      <w:r>
        <w:rPr>
          <w:rFonts w:ascii="Times New Roman" w:hAnsi="Times New Roman"/>
          <w:sz w:val="20"/>
        </w:rPr>
        <w:t xml:space="preserve">” </w:t>
      </w:r>
      <w:r>
        <w:rPr>
          <w:rFonts w:ascii="Times New Roman;serif" w:hAnsi="Times New Roman;serif"/>
          <w:b w:val="false"/>
          <w:sz w:val="24"/>
        </w:rPr>
        <w:t>shall mean any and all out-of-pocket costs and expenses</w:t>
      </w:r>
    </w:p>
    <w:p>
      <w:pPr>
        <w:pStyle w:val="TextBody"/>
        <w:spacing w:before="1" w:after="0"/>
        <w:jc w:val="both"/>
        <w:rPr>
          <w:rFonts w:ascii="Times New Roman" w:hAnsi="Times New Roman"/>
          <w:sz w:val="20"/>
        </w:rPr>
      </w:pPr>
      <w:r>
        <w:rPr>
          <w:rFonts w:ascii="Times New Roman;serif" w:hAnsi="Times New Roman;serif"/>
          <w:b w:val="false"/>
          <w:sz w:val="24"/>
        </w:rPr>
        <w:t xml:space="preserve">related in any way to the activities of the Service Provider, its Affiliates or any of its and their respective Representatives under this Agreement; </w:t>
      </w:r>
      <w:r>
        <w:rPr>
          <w:rFonts w:ascii="Times New Roman;serif" w:hAnsi="Times New Roman;serif"/>
          <w:b w:val="false"/>
          <w:i/>
          <w:sz w:val="24"/>
        </w:rPr>
        <w:t>provided</w:t>
      </w:r>
      <w:r>
        <w:rPr>
          <w:rFonts w:ascii="Times New Roman;serif" w:hAnsi="Times New Roman;serif"/>
          <w:b w:val="false"/>
          <w:sz w:val="24"/>
        </w:rPr>
        <w:t xml:space="preserve">, </w:t>
      </w:r>
      <w:r>
        <w:rPr>
          <w:rFonts w:ascii="Times New Roman;serif" w:hAnsi="Times New Roman;serif"/>
          <w:b w:val="false"/>
          <w:i/>
          <w:sz w:val="24"/>
        </w:rPr>
        <w:t xml:space="preserve">however, </w:t>
      </w:r>
      <w:r>
        <w:rPr>
          <w:rFonts w:ascii="Times New Roman;serif" w:hAnsi="Times New Roman;serif"/>
          <w:b w:val="false"/>
          <w:sz w:val="24"/>
        </w:rPr>
        <w:t>that Service Provider Expenses shall not include general administrative and overhead costs and expenses incurred by the Service Provider, its Affiliates or any of its and their respective Representatives (including all employee wages, benefits, bonuses, severance payments and employment taxes (including social security taxes and unemployment taxes)).</w:t>
      </w:r>
    </w:p>
    <w:p>
      <w:pPr>
        <w:pStyle w:val="TextBody"/>
        <w:spacing w:before="228" w:after="0"/>
        <w:jc w:val="both"/>
        <w:rPr/>
      </w:pPr>
      <w:r>
        <w:rPr/>
        <w:t>“</w:t>
      </w:r>
      <w:r>
        <w:rPr>
          <w:rFonts w:ascii="Times New Roman;serif" w:hAnsi="Times New Roman;serif"/>
          <w:b w:val="false"/>
          <w:sz w:val="24"/>
          <w:u w:val="single"/>
        </w:rPr>
        <w:t>Service Provider Fee</w:t>
      </w:r>
      <w:r>
        <w:rPr>
          <w:rFonts w:ascii="Times New Roman" w:hAnsi="Times New Roman"/>
          <w:sz w:val="20"/>
        </w:rPr>
        <w:t xml:space="preserve">” </w:t>
      </w:r>
      <w:r>
        <w:rPr>
          <w:rFonts w:ascii="Times New Roman;serif" w:hAnsi="Times New Roman;serif"/>
          <w:b w:val="false"/>
          <w:sz w:val="24"/>
        </w:rPr>
        <w:t xml:space="preserve">shall have the meaning specified in </w:t>
      </w:r>
      <w:r>
        <w:rPr>
          <w:rFonts w:ascii="Times New Roman;serif" w:hAnsi="Times New Roman;serif"/>
          <w:b w:val="false"/>
          <w:sz w:val="24"/>
          <w:u w:val="single"/>
        </w:rPr>
        <w:t>Section 7(a)</w:t>
      </w:r>
      <w:r>
        <w:rPr>
          <w:rFonts w:ascii="Times New Roman;serif" w:hAnsi="Times New Roman;serif"/>
          <w:b w:val="false"/>
          <w:sz w:val="24"/>
        </w:rPr>
        <w:t>. “</w:t>
      </w:r>
      <w:r>
        <w:rPr>
          <w:rFonts w:ascii="Times New Roman;serif" w:hAnsi="Times New Roman;serif"/>
          <w:b w:val="false"/>
          <w:sz w:val="24"/>
          <w:u w:val="single"/>
        </w:rPr>
        <w:t>Services</w:t>
      </w:r>
      <w:r>
        <w:rPr>
          <w:rFonts w:ascii="Times New Roman" w:hAnsi="Times New Roman"/>
          <w:sz w:val="20"/>
        </w:rPr>
        <w:t xml:space="preserve">” </w:t>
      </w:r>
      <w:r>
        <w:rPr>
          <w:rFonts w:ascii="Times New Roman;serif" w:hAnsi="Times New Roman;serif"/>
          <w:b w:val="false"/>
          <w:sz w:val="24"/>
        </w:rPr>
        <w:t xml:space="preserve">shall have the meaning specified in </w:t>
      </w:r>
      <w:r>
        <w:rPr>
          <w:rFonts w:ascii="Times New Roman;serif" w:hAnsi="Times New Roman;serif"/>
          <w:b w:val="false"/>
          <w:sz w:val="24"/>
          <w:u w:val="single"/>
        </w:rPr>
        <w:t>Section 3(a)</w:t>
      </w:r>
      <w:r>
        <w:rPr>
          <w:rFonts w:ascii="Times New Roman;serif" w:hAnsi="Times New Roman;serif"/>
          <w:b w:val="false"/>
          <w:sz w:val="24"/>
        </w:rPr>
        <w:t>.</w:t>
      </w:r>
    </w:p>
    <w:p>
      <w:pPr>
        <w:pStyle w:val="TextBody"/>
        <w:spacing w:before="0" w:after="0"/>
        <w:jc w:val="both"/>
        <w:rPr/>
      </w:pPr>
      <w:r>
        <w:rPr/>
        <w:t>“</w:t>
      </w:r>
      <w:r>
        <w:rPr>
          <w:rFonts w:ascii="Times New Roman;serif" w:hAnsi="Times New Roman;serif"/>
          <w:b w:val="false"/>
          <w:sz w:val="24"/>
          <w:u w:val="single"/>
        </w:rPr>
        <w:t>Subsidiary</w:t>
      </w:r>
      <w:r>
        <w:rPr>
          <w:rFonts w:ascii="Times New Roman" w:hAnsi="Times New Roman"/>
          <w:sz w:val="20"/>
        </w:rPr>
        <w:t xml:space="preserve">” </w:t>
      </w:r>
      <w:r>
        <w:rPr>
          <w:rFonts w:ascii="Times New Roman;serif" w:hAnsi="Times New Roman;serif"/>
          <w:b w:val="false"/>
          <w:sz w:val="24"/>
        </w:rPr>
        <w:t>shall mean, with respect to a Person, a corporation, partnership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w:t>
      </w:r>
    </w:p>
    <w:p>
      <w:pPr>
        <w:pStyle w:val="TextBody"/>
        <w:spacing w:before="214" w:after="0"/>
        <w:jc w:val="both"/>
        <w:rPr>
          <w:rFonts w:ascii="Times New Roman" w:hAnsi="Times New Roman"/>
          <w:sz w:val="20"/>
        </w:rPr>
      </w:pPr>
      <w:r>
        <w:rPr>
          <w:rFonts w:ascii="Times New Roman;serif" w:hAnsi="Times New Roman;serif"/>
          <w:b w:val="false"/>
          <w:sz w:val="24"/>
        </w:rPr>
        <w:t xml:space="preserve">Section 2. </w:t>
      </w:r>
      <w:r>
        <w:rPr>
          <w:rFonts w:ascii="Times New Roman;serif" w:hAnsi="Times New Roman;serif"/>
          <w:b w:val="false"/>
          <w:sz w:val="24"/>
          <w:u w:val="single"/>
        </w:rPr>
        <w:t>Interpretation</w:t>
      </w:r>
      <w:r>
        <w:rPr>
          <w:rFonts w:ascii="Times New Roman;serif" w:hAnsi="Times New Roman;serif"/>
          <w:b w:val="false"/>
          <w:sz w:val="24"/>
        </w:rPr>
        <w:t xml:space="preserve">. Unless otherwise specified therein, all terms defined in this Agreement have the meanings as so defined herein when used in any certificate, report or other document made or delivered pursuant hereto or thereto: (i) each term defined in the singular form in </w:t>
      </w:r>
      <w:r>
        <w:rPr>
          <w:rFonts w:ascii="Times New Roman;serif" w:hAnsi="Times New Roman;serif"/>
          <w:b w:val="false"/>
          <w:sz w:val="24"/>
          <w:u w:val="single"/>
        </w:rPr>
        <w:t>Section 1</w:t>
      </w:r>
      <w:r>
        <w:rPr>
          <w:rFonts w:ascii="Times New Roman" w:hAnsi="Times New Roman"/>
          <w:sz w:val="20"/>
        </w:rPr>
        <w:t xml:space="preserve"> </w:t>
      </w:r>
      <w:r>
        <w:rPr>
          <w:rFonts w:ascii="Times New Roman;serif" w:hAnsi="Times New Roman;serif"/>
          <w:b w:val="false"/>
          <w:sz w:val="24"/>
        </w:rPr>
        <w:t xml:space="preserve">or elsewhere herein shall mean the plural thereof when the plural form of such term is used herein or any other certificate, report or other document made or delivered pursuant hereto or thereto, and each term defined in the plural form in </w:t>
      </w:r>
      <w:r>
        <w:rPr>
          <w:rFonts w:ascii="Times New Roman;serif" w:hAnsi="Times New Roman;serif"/>
          <w:b w:val="false"/>
          <w:sz w:val="24"/>
          <w:u w:val="single"/>
        </w:rPr>
        <w:t>Section 1</w:t>
      </w:r>
      <w:r>
        <w:rPr>
          <w:rFonts w:ascii="Times New Roman" w:hAnsi="Times New Roman"/>
          <w:sz w:val="20"/>
        </w:rPr>
        <w:t xml:space="preserve"> </w:t>
      </w:r>
      <w:r>
        <w:rPr>
          <w:rFonts w:ascii="Times New Roman;serif" w:hAnsi="Times New Roman;serif"/>
          <w:b w:val="false"/>
          <w:sz w:val="24"/>
        </w:rPr>
        <w:t>shall mean the singular thereof when the singular form of such term is used herein or therein; (ii) the words “hereof,” “herein,” “hereunder” and similar terms when used in this Agreement shall refer to this Agreement as a whole and not to any particular provision of this Agreement, the term “including” means “including without limitation,” and article, section, subsection, schedule and exhibit references herein are references to articles, sections, subsections, schedules and exhibits to this Agreement unless otherwise specified; (iii) unless otherwise specified, each reference to any agreement, including this Agreement, document or instrument means such agreement, document or instrument as amended, modified, waived, supplemented, restated or replaced and in effect from time to time</w:t>
      </w:r>
    </w:p>
    <w:p>
      <w:pPr>
        <w:pStyle w:val="TextBody"/>
        <w:spacing w:before="0" w:after="0"/>
        <w:jc w:val="both"/>
        <w:rPr/>
      </w:pPr>
      <w:r>
        <w:rPr/>
        <w:t> </w:t>
      </w:r>
    </w:p>
    <w:p>
      <w:pPr>
        <w:pStyle w:val="TextBody"/>
        <w:spacing w:before="0" w:after="0"/>
        <w:jc w:val="left"/>
        <w:rPr/>
      </w:pPr>
      <w:r>
        <w:rPr/>
        <w:t> </w:t>
      </w:r>
    </w:p>
    <w:p>
      <w:pPr>
        <w:pStyle w:val="TextBody"/>
        <w:spacing w:before="10" w:after="0"/>
        <w:jc w:val="left"/>
        <w:rPr>
          <w:rFonts w:ascii="Times New Roman;serif" w:hAnsi="Times New Roman;serif"/>
          <w:b w:val="false"/>
          <w:sz w:val="24"/>
        </w:rPr>
      </w:pPr>
      <w:r>
        <w:rPr>
          <w:rFonts w:ascii="Times New Roman;serif" w:hAnsi="Times New Roman;serif"/>
          <w:b w:val="false"/>
          <w:sz w:val="24"/>
        </w:rPr>
        <w:t>3</w:t>
      </w:r>
    </w:p>
    <w:p>
      <w:pPr>
        <w:pStyle w:val="HorizontalLine"/>
        <w:rPr/>
      </w:pPr>
      <w:r>
        <w:rPr/>
      </w:r>
    </w:p>
    <w:p>
      <w:pPr>
        <w:pStyle w:val="TextBody"/>
        <w:spacing w:before="76" w:after="0"/>
        <w:jc w:val="both"/>
        <w:rPr>
          <w:rFonts w:ascii="Times New Roman;serif" w:hAnsi="Times New Roman;serif"/>
          <w:b w:val="false"/>
          <w:sz w:val="24"/>
        </w:rPr>
      </w:pPr>
      <w:r>
        <w:rPr>
          <w:rFonts w:ascii="Times New Roman;serif" w:hAnsi="Times New Roman;serif"/>
          <w:b w:val="false"/>
          <w:sz w:val="24"/>
        </w:rPr>
        <w:t>in accordance with the terms thereof; (iv) any reference to any Person includes such Person’s successors and assigns but, if applicable, only if such successors and assigns are permitted hereunder; (v) any reference to any gender includes each other gender and (vi) any reference to day or days without further qualification means calendar days.</w:t>
      </w:r>
    </w:p>
    <w:p>
      <w:pPr>
        <w:pStyle w:val="TextBody"/>
        <w:spacing w:before="4"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Section 3. </w:t>
      </w:r>
      <w:r>
        <w:rPr>
          <w:rFonts w:ascii="Times New Roman;serif" w:hAnsi="Times New Roman;serif"/>
          <w:b w:val="false"/>
          <w:sz w:val="24"/>
          <w:u w:val="single"/>
        </w:rPr>
        <w:t>Appointment of Service Provider; Limited Scope of Services</w:t>
      </w:r>
      <w:r>
        <w:rPr>
          <w:rFonts w:ascii="Times New Roman;serif" w:hAnsi="Times New Roman;serif"/>
          <w:b w:val="false"/>
          <w:sz w:val="24"/>
        </w:rPr>
        <w:t>.</w:t>
      </w:r>
    </w:p>
    <w:p>
      <w:pPr>
        <w:pStyle w:val="TextBody"/>
        <w:spacing w:before="233" w:after="0"/>
        <w:jc w:val="both"/>
        <w:rPr>
          <w:rFonts w:ascii="Times New Roman" w:hAnsi="Times New Roman"/>
          <w:b w:val="false"/>
          <w:sz w:val="24"/>
        </w:rPr>
      </w:pPr>
      <w:r>
        <w:rPr>
          <w:rFonts w:ascii="Times New Roman" w:hAnsi="Times New Roman"/>
          <w:b w:val="false"/>
          <w:sz w:val="24"/>
        </w:rPr>
        <w:t>(a)</w:t>
      </w:r>
    </w:p>
    <w:p>
      <w:pPr>
        <w:pStyle w:val="TextBody"/>
        <w:spacing w:before="233" w:after="283"/>
        <w:jc w:val="both"/>
        <w:rPr/>
      </w:pPr>
      <w:r>
        <w:rPr>
          <w:rFonts w:ascii="Times New Roman;serif" w:hAnsi="Times New Roman;serif"/>
          <w:b w:val="false"/>
          <w:sz w:val="24"/>
        </w:rPr>
        <w:t xml:space="preserve">The Company hereby appoints the Service Provider to provide certain services set forth on </w:t>
      </w:r>
      <w:r>
        <w:rPr>
          <w:rFonts w:ascii="Times New Roman;serif" w:hAnsi="Times New Roman;serif"/>
          <w:b w:val="false"/>
          <w:sz w:val="24"/>
          <w:u w:val="single"/>
        </w:rPr>
        <w:t>Exhibit A</w:t>
      </w:r>
      <w:r>
        <w:rPr/>
        <w:t xml:space="preserve"> </w:t>
      </w:r>
      <w:r>
        <w:rPr>
          <w:rFonts w:ascii="Times New Roman;serif" w:hAnsi="Times New Roman;serif"/>
          <w:b w:val="false"/>
          <w:sz w:val="24"/>
        </w:rPr>
        <w:t>(collectively together with other related and incidental services requested by the Company from time to time, the “</w:t>
      </w:r>
      <w:r>
        <w:rPr>
          <w:rFonts w:ascii="Times New Roman;serif" w:hAnsi="Times New Roman;serif"/>
          <w:b w:val="false"/>
          <w:sz w:val="24"/>
          <w:u w:val="single"/>
        </w:rPr>
        <w:t>Services</w:t>
      </w:r>
      <w:r>
        <w:rPr/>
        <w:t>”</w:t>
      </w:r>
      <w:r>
        <w:rPr>
          <w:rFonts w:ascii="Times New Roman;serif" w:hAnsi="Times New Roman;serif"/>
          <w:b w:val="false"/>
          <w:sz w:val="24"/>
        </w:rPr>
        <w:t>) and other assistance as is consistent with the terms of this Agreement, and the Service Provider hereby accepts such appointment and, subject to and in accordance with the applicable terms and provisions of this Agreement, agrees to perform the Services requested of it by the Company. The Company hereby directs the Service Provider to perform the Services for the Company pursuant to the terms of this Agreement as shall be requested by the Company from time to time. The parties acknowledge that the Services will be primarily performed by Pablo Legorreta.</w:t>
      </w:r>
    </w:p>
    <w:p>
      <w:pPr>
        <w:pStyle w:val="TextBody"/>
        <w:spacing w:before="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(b)</w:t>
      </w:r>
    </w:p>
    <w:p>
      <w:pPr>
        <w:pStyle w:val="TextBody"/>
        <w:jc w:val="both"/>
        <w:rPr/>
      </w:pPr>
      <w:r>
        <w:rPr>
          <w:rFonts w:ascii="Times New Roman;serif" w:hAnsi="Times New Roman;serif"/>
          <w:b w:val="false"/>
          <w:sz w:val="24"/>
        </w:rPr>
        <w:t xml:space="preserve">The Service Provider shall devote such time to the performance of the Services contemplated hereby as the Service Provider shall deem, in its good faith discretion, reasonably necessary or appropriate; </w:t>
      </w:r>
      <w:r>
        <w:rPr>
          <w:rFonts w:ascii="Times New Roman;serif" w:hAnsi="Times New Roman;serif"/>
          <w:b w:val="false"/>
          <w:i/>
          <w:sz w:val="24"/>
        </w:rPr>
        <w:t>provided</w:t>
      </w:r>
      <w:r>
        <w:rPr>
          <w:rFonts w:ascii="Times New Roman;serif" w:hAnsi="Times New Roman;serif"/>
          <w:b w:val="false"/>
          <w:sz w:val="24"/>
        </w:rPr>
        <w:t xml:space="preserve">, </w:t>
      </w:r>
      <w:r>
        <w:rPr>
          <w:rFonts w:ascii="Times New Roman;serif" w:hAnsi="Times New Roman;serif"/>
          <w:b w:val="false"/>
          <w:i/>
          <w:sz w:val="24"/>
        </w:rPr>
        <w:t>however</w:t>
      </w:r>
      <w:r>
        <w:rPr>
          <w:rFonts w:ascii="Times New Roman;serif" w:hAnsi="Times New Roman;serif"/>
          <w:b w:val="false"/>
          <w:sz w:val="24"/>
        </w:rPr>
        <w:t>, that no minimum number of hours is or will be required to be devoted by the Service Provider on a weekly, monthly, annual or other basis. Such Services, in the Service Provider’s good faith discretion, shall be rendered in person or by telephone or other communication. For the avoidance of doubt, the Service Provider shall have no obligation to the Company as to the manner and time of rendering its Services hereunder.</w:t>
      </w:r>
    </w:p>
    <w:p>
      <w:pPr>
        <w:pStyle w:val="TextBody"/>
        <w:spacing w:before="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(c)</w:t>
      </w:r>
    </w:p>
    <w:p>
      <w:pPr>
        <w:pStyle w:val="TextBody"/>
        <w:jc w:val="both"/>
        <w:rPr>
          <w:rFonts w:ascii="Times New Roman;serif" w:hAnsi="Times New Roman;serif"/>
          <w:b w:val="false"/>
          <w:sz w:val="24"/>
        </w:rPr>
      </w:pPr>
      <w:r>
        <w:rPr>
          <w:rFonts w:ascii="Times New Roman;serif" w:hAnsi="Times New Roman;serif"/>
          <w:b w:val="false"/>
          <w:sz w:val="24"/>
        </w:rPr>
        <w:t>The Service Provider’s scope of assistance and performance of its duties hereunder is limited to the Services specifically provided for in this Agreement. The Service Provider shall not assume or be deemed to assume any rights or obligations of the Company under any other document or agreement to which the Company is a party. The Services may include advice and recommendations regarding potential future events and there can be no guarantee that such future events will occur as anticipated or at all. The Company will be responsible for determining the manner in which such advice and recommendations will be used and the Service Provider will not be liable in respect of any decisions made by the Company as a result of the Service Provider providing the Services hereunder. The Service Provider shall not have any responsibility for implementing any advice or recommendations provided for in this Agreement and will not perform any management functions or make management decisions with respect to any such advice or recommendations. Services performed by directors, partners, direct or indirect equity owners, members, managers, principals, or employees of, or consultants to, the Service Provider in their capacity as directors, partners, direct or indirect equity owners, members, managers, principals or employees of the Company shall not comprise a part of the Services.</w:t>
      </w:r>
    </w:p>
    <w:p>
      <w:pPr>
        <w:pStyle w:val="TextBody"/>
        <w:spacing w:before="8"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(d)</w:t>
      </w:r>
    </w:p>
    <w:p>
      <w:pPr>
        <w:pStyle w:val="TextBody"/>
        <w:jc w:val="both"/>
        <w:rPr/>
      </w:pPr>
      <w:r>
        <w:rPr>
          <w:rFonts w:ascii="Times New Roman;serif" w:hAnsi="Times New Roman;serif"/>
          <w:b w:val="false"/>
          <w:sz w:val="24"/>
        </w:rPr>
        <w:t xml:space="preserve">Any advice or opinions provided by the Service Provider may not be referred to publicly or disclosed to any third party (other than to the Company’s legal, tax, financial or other advisors; </w:t>
      </w:r>
      <w:r>
        <w:rPr>
          <w:rFonts w:ascii="Times New Roman;serif" w:hAnsi="Times New Roman;serif"/>
          <w:b w:val="false"/>
          <w:i/>
          <w:sz w:val="24"/>
        </w:rPr>
        <w:t>provided</w:t>
      </w:r>
      <w:r>
        <w:rPr>
          <w:rFonts w:ascii="Times New Roman;serif" w:hAnsi="Times New Roman;serif"/>
          <w:b w:val="false"/>
          <w:sz w:val="24"/>
        </w:rPr>
        <w:t>, that such advisors agree to keep such advice or opinions confidential), except in accordance with the Service Provider’s prior written consent.</w:t>
      </w:r>
    </w:p>
    <w:p>
      <w:pPr>
        <w:pStyle w:val="TextBody"/>
        <w:spacing w:before="0" w:after="0"/>
        <w:jc w:val="both"/>
        <w:rPr/>
      </w:pPr>
      <w:r>
        <w:rPr/>
        <w:t> </w:t>
      </w:r>
    </w:p>
    <w:p>
      <w:pPr>
        <w:pStyle w:val="TextBody"/>
        <w:spacing w:before="0" w:after="0"/>
        <w:jc w:val="left"/>
        <w:rPr/>
      </w:pPr>
      <w:r>
        <w:rPr/>
        <w:t> </w:t>
      </w:r>
    </w:p>
    <w:p>
      <w:pPr>
        <w:pStyle w:val="TextBody"/>
        <w:spacing w:before="10" w:after="0"/>
        <w:jc w:val="left"/>
        <w:rPr>
          <w:rFonts w:ascii="Times New Roman;serif" w:hAnsi="Times New Roman;serif"/>
          <w:b w:val="false"/>
          <w:sz w:val="24"/>
        </w:rPr>
      </w:pPr>
      <w:r>
        <w:rPr>
          <w:rFonts w:ascii="Times New Roman;serif" w:hAnsi="Times New Roman;serif"/>
          <w:b w:val="false"/>
          <w:sz w:val="24"/>
        </w:rPr>
        <w:t>4</w:t>
      </w:r>
    </w:p>
    <w:p>
      <w:pPr>
        <w:pStyle w:val="HorizontalLine"/>
        <w:rPr/>
      </w:pPr>
      <w:r>
        <w:rPr/>
      </w:r>
    </w:p>
    <w:p>
      <w:pPr>
        <w:pStyle w:val="TextBody"/>
        <w:spacing w:before="76" w:after="0"/>
        <w:jc w:val="both"/>
        <w:rPr>
          <w:rFonts w:ascii="Times New Roman" w:hAnsi="Times New Roman"/>
          <w:sz w:val="20"/>
        </w:rPr>
      </w:pPr>
      <w:r>
        <w:rPr>
          <w:rFonts w:ascii="Times New Roman;serif" w:hAnsi="Times New Roman;serif"/>
          <w:b w:val="false"/>
          <w:sz w:val="24"/>
        </w:rPr>
        <w:t xml:space="preserve">Section 4. </w:t>
      </w:r>
      <w:r>
        <w:rPr>
          <w:rFonts w:ascii="Times New Roman;serif" w:hAnsi="Times New Roman;serif"/>
          <w:b w:val="false"/>
          <w:sz w:val="24"/>
          <w:u w:val="single"/>
        </w:rPr>
        <w:t>Selection of Personnel</w:t>
      </w:r>
      <w:r>
        <w:rPr>
          <w:rFonts w:ascii="Times New Roman;serif" w:hAnsi="Times New Roman;serif"/>
          <w:b w:val="false"/>
          <w:sz w:val="24"/>
        </w:rPr>
        <w:t>. The selection and assignment of the Service Provider personnel needed to perform the Services to be provided to the Company under this Agreement will be solely determined by the Service Provider. It is understood and agreed that the Service Provider personnel performing such Services will, in the Service Provider’s good faith judgment, meet the job or position qualifications normally required for the functions to be performed by such personnel.</w:t>
      </w:r>
    </w:p>
    <w:p>
      <w:pPr>
        <w:pStyle w:val="TextBody"/>
        <w:spacing w:before="10" w:after="0"/>
        <w:jc w:val="left"/>
        <w:rPr/>
      </w:pPr>
      <w:r>
        <w:rPr/>
        <w:t> </w:t>
      </w:r>
    </w:p>
    <w:p>
      <w:pPr>
        <w:pStyle w:val="TextBody"/>
        <w:spacing w:before="1" w:after="0"/>
        <w:jc w:val="both"/>
        <w:rPr>
          <w:rFonts w:ascii="Times New Roman" w:hAnsi="Times New Roman"/>
          <w:sz w:val="20"/>
        </w:rPr>
      </w:pPr>
      <w:r>
        <w:rPr>
          <w:rFonts w:ascii="Times New Roman;serif" w:hAnsi="Times New Roman;serif"/>
          <w:b w:val="false"/>
          <w:sz w:val="24"/>
        </w:rPr>
        <w:t xml:space="preserve">Section 5. </w:t>
      </w:r>
      <w:r>
        <w:rPr>
          <w:rFonts w:ascii="Times New Roman;serif" w:hAnsi="Times New Roman;serif"/>
          <w:b w:val="false"/>
          <w:sz w:val="24"/>
          <w:u w:val="single"/>
        </w:rPr>
        <w:t>Legal and Regulatory Compliance</w:t>
      </w:r>
      <w:r>
        <w:rPr>
          <w:rFonts w:ascii="Times New Roman;serif" w:hAnsi="Times New Roman;serif"/>
          <w:b w:val="false"/>
          <w:sz w:val="24"/>
        </w:rPr>
        <w:t>. Each party undertakes to take all action as may be required to ensure that it and, in the case of the Service Provider, each of its delegates are in material compliance with and perform their obligations under this Agreement and under any laws, regulations or requirements applicable to the performance of such obligations under this Agreement.</w:t>
      </w:r>
    </w:p>
    <w:p>
      <w:pPr>
        <w:pStyle w:val="TextBody"/>
        <w:spacing w:before="7"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Section 6. </w:t>
      </w:r>
      <w:r>
        <w:rPr>
          <w:rFonts w:ascii="Times New Roman;serif" w:hAnsi="Times New Roman;serif"/>
          <w:b w:val="false"/>
          <w:sz w:val="24"/>
          <w:u w:val="single"/>
        </w:rPr>
        <w:t>Records and Accounts</w:t>
      </w:r>
      <w:r>
        <w:rPr>
          <w:rFonts w:ascii="Times New Roman;serif" w:hAnsi="Times New Roman;serif"/>
          <w:b w:val="false"/>
          <w:sz w:val="24"/>
        </w:rPr>
        <w:t>. The Service Provider shall maintain appropriate books and records relating to the Services it provides hereunder, and such books and records shall be accessible for inspection by a representative of the Company at any time during normal business hours (subject to reasonable prior notice). The Service Provider shall not destroy any books or records except in conformity with their relevant retention policies and as consistent with Applicable Law. If the Company deems it appropriate to take steps to ensure that, notwithstanding such a retention policy, books and records should be maintained (whether in anticipation of litigation or otherwise), the Company shall promptly notify the Service Provider who, on receipt of such notice, shall take reasonable steps to ensure the preservation of such books and records.</w:t>
      </w:r>
    </w:p>
    <w:p>
      <w:pPr>
        <w:pStyle w:val="TextBody"/>
        <w:spacing w:before="6"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Section 7. </w:t>
      </w:r>
      <w:r>
        <w:rPr>
          <w:rFonts w:ascii="Times New Roman;serif" w:hAnsi="Times New Roman;serif"/>
          <w:b w:val="false"/>
          <w:sz w:val="24"/>
          <w:u w:val="single"/>
        </w:rPr>
        <w:t>Fees and Expenses of Service Provider</w:t>
      </w:r>
      <w:r>
        <w:rPr>
          <w:rFonts w:ascii="Times New Roman;serif" w:hAnsi="Times New Roman;serif"/>
          <w:b w:val="false"/>
          <w:sz w:val="24"/>
        </w:rPr>
        <w:t>.</w:t>
      </w:r>
    </w:p>
    <w:p>
      <w:pPr>
        <w:pStyle w:val="TextBody"/>
        <w:spacing w:before="233" w:after="0"/>
        <w:jc w:val="both"/>
        <w:rPr>
          <w:rFonts w:ascii="Times New Roman" w:hAnsi="Times New Roman"/>
          <w:b w:val="false"/>
          <w:sz w:val="24"/>
        </w:rPr>
      </w:pPr>
      <w:r>
        <w:rPr>
          <w:rFonts w:ascii="Times New Roman" w:hAnsi="Times New Roman"/>
          <w:b w:val="false"/>
          <w:sz w:val="24"/>
        </w:rPr>
        <w:t>(a)</w:t>
      </w:r>
    </w:p>
    <w:p>
      <w:pPr>
        <w:pStyle w:val="TextBody"/>
        <w:spacing w:before="233" w:after="283"/>
        <w:jc w:val="both"/>
        <w:rPr/>
      </w:pPr>
      <w:r>
        <w:rPr>
          <w:rFonts w:ascii="Times New Roman;serif" w:hAnsi="Times New Roman;serif"/>
          <w:b w:val="false"/>
          <w:sz w:val="24"/>
        </w:rPr>
        <w:t>As consideration for the Service Provider’s provision of the Services hereunder, the Company shall pay, or cause to be paid, to the Service Provider a nonrefundable quarterly fee equal to $25,000 (the “</w:t>
      </w:r>
      <w:r>
        <w:rPr>
          <w:rFonts w:ascii="Times New Roman;serif" w:hAnsi="Times New Roman;serif"/>
          <w:b w:val="false"/>
          <w:sz w:val="24"/>
          <w:u w:val="single"/>
        </w:rPr>
        <w:t>Service Provider Fee</w:t>
      </w:r>
      <w:r>
        <w:rPr/>
        <w:t>”</w:t>
      </w:r>
      <w:r>
        <w:rPr>
          <w:rFonts w:ascii="Times New Roman;serif" w:hAnsi="Times New Roman;serif"/>
          <w:b w:val="false"/>
          <w:sz w:val="24"/>
        </w:rPr>
        <w:t>). Such Service Provider Fee shall be payable in full in advance on the first day of each calendar quarter. The first payment of the Service Provider Fee shall be made to the Service Provider on the date hereof. The Company and the Service Provider agree that the Service Provider Fees payable hereunder are absolute, unconditional and irrevocable, and shall be deemed earned when paid and, absent manifest error in the calculation or payment of the amount thereof, shall not be refundable under any circumstances.</w:t>
      </w:r>
    </w:p>
    <w:p>
      <w:pPr>
        <w:pStyle w:val="TextBody"/>
        <w:spacing w:before="3" w:after="0"/>
        <w:jc w:val="left"/>
        <w:rPr/>
      </w:pPr>
      <w:r>
        <w:rPr/>
        <w:t> </w:t>
      </w:r>
    </w:p>
    <w:p>
      <w:pPr>
        <w:pStyle w:val="TextBody"/>
        <w:spacing w:before="90" w:after="0"/>
        <w:jc w:val="both"/>
        <w:rPr>
          <w:rFonts w:ascii="Times New Roman" w:hAnsi="Times New Roman"/>
          <w:b w:val="false"/>
          <w:sz w:val="24"/>
        </w:rPr>
      </w:pPr>
      <w:r>
        <w:rPr>
          <w:rFonts w:ascii="Times New Roman" w:hAnsi="Times New Roman"/>
          <w:b w:val="false"/>
          <w:sz w:val="24"/>
        </w:rPr>
        <w:t>(b)</w:t>
      </w:r>
    </w:p>
    <w:p>
      <w:pPr>
        <w:pStyle w:val="TextBody"/>
        <w:spacing w:before="90" w:after="283"/>
        <w:jc w:val="both"/>
        <w:rPr>
          <w:rFonts w:ascii="Times New Roman;serif" w:hAnsi="Times New Roman;serif"/>
          <w:b w:val="false"/>
          <w:sz w:val="24"/>
        </w:rPr>
      </w:pPr>
      <w:r>
        <w:rPr>
          <w:rFonts w:ascii="Times New Roman;serif" w:hAnsi="Times New Roman;serif"/>
          <w:b w:val="false"/>
          <w:sz w:val="24"/>
        </w:rPr>
        <w:t>The Company shall pay all Service Provider Expenses incurred by the Service Provider, its Affiliates or any of its and their respective Representatives. Such Service Provider Expenses shall be paid not later than thirty (30) days after the receipt by the Company of itemized invoices setting forth such expenses (including reasonable supporting detail).</w:t>
      </w:r>
    </w:p>
    <w:p>
      <w:pPr>
        <w:pStyle w:val="TextBody"/>
        <w:spacing w:before="1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(c)</w:t>
      </w:r>
    </w:p>
    <w:p>
      <w:pPr>
        <w:pStyle w:val="TextBody"/>
        <w:jc w:val="both"/>
        <w:rPr/>
      </w:pPr>
      <w:r>
        <w:rPr>
          <w:rFonts w:ascii="Times New Roman;serif" w:hAnsi="Times New Roman;serif"/>
          <w:b w:val="false"/>
          <w:sz w:val="24"/>
        </w:rPr>
        <w:t xml:space="preserve">The payments described in this </w:t>
      </w:r>
      <w:r>
        <w:rPr>
          <w:rFonts w:ascii="Times New Roman;serif" w:hAnsi="Times New Roman;serif"/>
          <w:b w:val="false"/>
          <w:sz w:val="24"/>
          <w:u w:val="single"/>
        </w:rPr>
        <w:t>Section 7</w:t>
      </w:r>
      <w:r>
        <w:rPr/>
        <w:t xml:space="preserve"> </w:t>
      </w:r>
      <w:r>
        <w:rPr>
          <w:rFonts w:ascii="Times New Roman;serif" w:hAnsi="Times New Roman;serif"/>
          <w:b w:val="false"/>
          <w:sz w:val="24"/>
        </w:rPr>
        <w:t>shall be paid in full, free of any deductions or withholdings for taxes, unless the Company is compelled by Applicable Law to make payments subject to any such taxes. In such event, the Company shall pay to the Service Provider such additional amounts as may be necessary so that the Service Provider receives a net amount equal to the full amount which would have been receivable had payment not been made subject to such taxes.</w:t>
      </w:r>
    </w:p>
    <w:p>
      <w:pPr>
        <w:pStyle w:val="TextBody"/>
        <w:spacing w:before="0" w:after="0"/>
        <w:jc w:val="both"/>
        <w:rPr/>
      </w:pPr>
      <w:r>
        <w:rPr/>
        <w:t> </w:t>
      </w:r>
    </w:p>
    <w:p>
      <w:pPr>
        <w:pStyle w:val="TextBody"/>
        <w:spacing w:before="0" w:after="0"/>
        <w:jc w:val="left"/>
        <w:rPr/>
      </w:pPr>
      <w:r>
        <w:rPr/>
        <w:t> </w:t>
      </w:r>
    </w:p>
    <w:p>
      <w:pPr>
        <w:pStyle w:val="TextBody"/>
        <w:spacing w:before="10" w:after="0"/>
        <w:jc w:val="left"/>
        <w:rPr>
          <w:rFonts w:ascii="Times New Roman;serif" w:hAnsi="Times New Roman;serif"/>
          <w:b w:val="false"/>
          <w:sz w:val="24"/>
        </w:rPr>
      </w:pPr>
      <w:r>
        <w:rPr>
          <w:rFonts w:ascii="Times New Roman;serif" w:hAnsi="Times New Roman;serif"/>
          <w:b w:val="false"/>
          <w:sz w:val="24"/>
        </w:rPr>
        <w:t>5</w:t>
      </w:r>
    </w:p>
    <w:p>
      <w:pPr>
        <w:pStyle w:val="HorizontalLine"/>
        <w:rPr/>
      </w:pPr>
      <w:r>
        <w:rPr/>
      </w:r>
    </w:p>
    <w:p>
      <w:pPr>
        <w:pStyle w:val="TextBody"/>
        <w:spacing w:before="76" w:after="0"/>
        <w:jc w:val="both"/>
        <w:rPr>
          <w:rFonts w:ascii="Times New Roman" w:hAnsi="Times New Roman"/>
          <w:b w:val="false"/>
          <w:sz w:val="24"/>
        </w:rPr>
      </w:pPr>
      <w:r>
        <w:rPr>
          <w:rFonts w:ascii="Times New Roman" w:hAnsi="Times New Roman"/>
          <w:b w:val="false"/>
          <w:sz w:val="24"/>
        </w:rPr>
        <w:t>(d)</w:t>
      </w:r>
    </w:p>
    <w:p>
      <w:pPr>
        <w:pStyle w:val="TextBody"/>
        <w:spacing w:before="76" w:after="283"/>
        <w:jc w:val="both"/>
        <w:rPr>
          <w:rFonts w:ascii="Times New Roman;serif" w:hAnsi="Times New Roman;serif"/>
          <w:b w:val="false"/>
          <w:sz w:val="24"/>
        </w:rPr>
      </w:pPr>
      <w:r>
        <w:rPr>
          <w:rFonts w:ascii="Times New Roman;serif" w:hAnsi="Times New Roman;serif"/>
          <w:b w:val="false"/>
          <w:sz w:val="24"/>
        </w:rPr>
        <w:t>All fees, expenses, or other amounts payable hereunder shall be paid in the currency of the United States of America and shall, unless the Service Provider otherwise directs the Company in writing, be made by wire transfer of immediately available funds to the bank account which the Service Provider so designates in writing.</w:t>
      </w:r>
    </w:p>
    <w:p>
      <w:pPr>
        <w:pStyle w:val="TextBody"/>
        <w:spacing w:before="9"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(e)</w:t>
      </w:r>
    </w:p>
    <w:p>
      <w:pPr>
        <w:pStyle w:val="TextBody"/>
        <w:spacing w:before="1" w:after="283"/>
        <w:jc w:val="both"/>
        <w:rPr/>
      </w:pPr>
      <w:r>
        <w:rPr>
          <w:rFonts w:ascii="Times New Roman;serif" w:hAnsi="Times New Roman;serif"/>
          <w:b w:val="false"/>
          <w:sz w:val="24"/>
        </w:rPr>
        <w:t xml:space="preserve">The provisions of this </w:t>
      </w:r>
      <w:r>
        <w:rPr>
          <w:rFonts w:ascii="Times New Roman;serif" w:hAnsi="Times New Roman;serif"/>
          <w:b w:val="false"/>
          <w:sz w:val="24"/>
          <w:u w:val="single"/>
        </w:rPr>
        <w:t>Section 7</w:t>
      </w:r>
      <w:r>
        <w:rPr/>
        <w:t xml:space="preserve"> </w:t>
      </w:r>
      <w:r>
        <w:rPr>
          <w:rFonts w:ascii="Times New Roman;serif" w:hAnsi="Times New Roman;serif"/>
          <w:b w:val="false"/>
          <w:sz w:val="24"/>
        </w:rPr>
        <w:t>shall survive the termination of this Agreement solely with respect to any fees or expense reimbursement that have accrued prior to termination hereof.</w:t>
      </w:r>
    </w:p>
    <w:p>
      <w:pPr>
        <w:pStyle w:val="TextBody"/>
        <w:spacing w:before="8" w:after="0"/>
        <w:jc w:val="left"/>
        <w:rPr/>
      </w:pPr>
      <w:r>
        <w:rPr/>
        <w:t> </w:t>
      </w:r>
    </w:p>
    <w:p>
      <w:pPr>
        <w:pStyle w:val="TextBody"/>
        <w:spacing w:before="1" w:after="0"/>
        <w:jc w:val="left"/>
        <w:rPr>
          <w:rFonts w:ascii="Times New Roman" w:hAnsi="Times New Roman"/>
          <w:sz w:val="20"/>
        </w:rPr>
      </w:pPr>
      <w:r>
        <w:rPr>
          <w:rFonts w:ascii="Times New Roman;serif" w:hAnsi="Times New Roman;serif"/>
          <w:b w:val="false"/>
          <w:sz w:val="24"/>
        </w:rPr>
        <w:t xml:space="preserve">Section 8. </w:t>
      </w:r>
      <w:r>
        <w:rPr>
          <w:rFonts w:ascii="Times New Roman;serif" w:hAnsi="Times New Roman;serif"/>
          <w:b w:val="false"/>
          <w:sz w:val="24"/>
          <w:u w:val="single"/>
        </w:rPr>
        <w:t>Indemnification</w:t>
      </w:r>
      <w:r>
        <w:rPr>
          <w:rFonts w:ascii="Times New Roman;serif" w:hAnsi="Times New Roman;serif"/>
          <w:b w:val="false"/>
          <w:sz w:val="24"/>
        </w:rPr>
        <w:t>.</w:t>
      </w:r>
    </w:p>
    <w:p>
      <w:pPr>
        <w:pStyle w:val="TextBody"/>
        <w:spacing w:before="232" w:after="0"/>
        <w:jc w:val="both"/>
        <w:rPr>
          <w:rFonts w:ascii="Times New Roman" w:hAnsi="Times New Roman"/>
          <w:b w:val="false"/>
          <w:sz w:val="24"/>
        </w:rPr>
      </w:pPr>
      <w:r>
        <w:rPr>
          <w:rFonts w:ascii="Times New Roman" w:hAnsi="Times New Roman"/>
          <w:b w:val="false"/>
          <w:sz w:val="24"/>
        </w:rPr>
        <w:t>(a)</w:t>
      </w:r>
    </w:p>
    <w:p>
      <w:pPr>
        <w:pStyle w:val="TextBody"/>
        <w:spacing w:before="232" w:after="283"/>
        <w:jc w:val="both"/>
        <w:rPr/>
      </w:pPr>
      <w:r>
        <w:rPr>
          <w:rFonts w:ascii="Times New Roman;serif" w:hAnsi="Times New Roman;serif"/>
          <w:b w:val="false"/>
          <w:sz w:val="24"/>
        </w:rPr>
        <w:t xml:space="preserve">No Covered Person shall be liable, in damages or otherwise, to the Company or any of its Affiliates, Representatives or Subsidiaries for any act or omission performed or omitted to be performed by any Covered Person pursuant to the authority granted by this Agreement, except to the extent that such act or omission results from acts or omissions of such Covered Person that constitutes willful misconduct, fraud or gross negligence; </w:t>
      </w:r>
      <w:r>
        <w:rPr>
          <w:rFonts w:ascii="Times New Roman;serif" w:hAnsi="Times New Roman;serif"/>
          <w:b w:val="false"/>
          <w:i/>
          <w:sz w:val="24"/>
        </w:rPr>
        <w:t xml:space="preserve">provided </w:t>
      </w:r>
      <w:r>
        <w:rPr>
          <w:rFonts w:ascii="Times New Roman;serif" w:hAnsi="Times New Roman;serif"/>
          <w:b w:val="false"/>
          <w:sz w:val="24"/>
        </w:rPr>
        <w:t>that,</w:t>
      </w:r>
    </w:p>
    <w:p>
      <w:pPr>
        <w:pStyle w:val="TextBody"/>
        <w:spacing w:before="3" w:after="0"/>
        <w:jc w:val="both"/>
        <w:rPr>
          <w:rFonts w:ascii="Times New Roman" w:hAnsi="Times New Roman"/>
          <w:sz w:val="20"/>
        </w:rPr>
      </w:pPr>
      <w:r>
        <w:rPr>
          <w:rFonts w:ascii="Times New Roman;serif" w:hAnsi="Times New Roman;serif"/>
          <w:b w:val="false"/>
          <w:sz w:val="24"/>
        </w:rPr>
        <w:t xml:space="preserve">(i) the Covered Persons shall not be liable under this Agreement, in the aggregate, for any amounts that exceed amounts paid to the Service Provider under this Agreement and (ii) in no event shall any Covered Person be liable for special, indirect, punitive or consequential loss or damage of any kind whatsoever (including lost profits). To the fullest extent permitted by Applicable Law, the Company shall indemnify and hold harmless each Covered Person from and against any and all Covered Losses incurred by or asserted against any Covered Person arising out of, in connection with, or as a result of any acts or omissions or alleged acts or omissions of any Covered Person’s or any other Person’s activities in connection with the performance of the Services contemplated hereunder or otherwise in connection with its obligations under this Agreement, regardless of whether a Covered Person continues to be a Covered Person at the time any such liability or expense is paid or incurred, except to the extent that such act or omission results from acts or omissions of such Covered Person that constitutes willful misconduct, fraud or gross negligence; </w:t>
      </w:r>
      <w:r>
        <w:rPr>
          <w:rFonts w:ascii="Times New Roman;serif" w:hAnsi="Times New Roman;serif"/>
          <w:b w:val="false"/>
          <w:i/>
          <w:sz w:val="24"/>
        </w:rPr>
        <w:t xml:space="preserve">provided </w:t>
      </w:r>
      <w:r>
        <w:rPr>
          <w:rFonts w:ascii="Times New Roman;serif" w:hAnsi="Times New Roman;serif"/>
          <w:b w:val="false"/>
          <w:sz w:val="24"/>
        </w:rPr>
        <w:t>that, notwithstanding the foregoing, no such indemnity shall be available with respect to any action that is solely an internal dispute among the partners or employees of a Covered Person. The termination of any action, suit, or proceeding by judgment, order, settlement or its equivalent, shall not, in and of itself, create a presumption or otherwise constitute evidence that the Covered Person acted in a manner contrary to that specified in the preceding sentence.</w:t>
      </w:r>
    </w:p>
    <w:p>
      <w:pPr>
        <w:pStyle w:val="TextBody"/>
        <w:spacing w:before="8"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(b)</w:t>
      </w:r>
    </w:p>
    <w:p>
      <w:pPr>
        <w:pStyle w:val="TextBody"/>
        <w:jc w:val="both"/>
        <w:rPr/>
      </w:pPr>
      <w:r>
        <w:rPr>
          <w:rFonts w:ascii="Times New Roman;serif" w:hAnsi="Times New Roman;serif"/>
          <w:b w:val="false"/>
          <w:sz w:val="24"/>
        </w:rPr>
        <w:t>Expenses (including reasonable attorneys’ fees and disbursements) incurred in defending any pending or threatened claim, demand, action, suit or proceeding, whether civil, criminal, administrative or investigative (each, a “</w:t>
      </w:r>
      <w:r>
        <w:rPr>
          <w:rFonts w:ascii="Times New Roman;serif" w:hAnsi="Times New Roman;serif"/>
          <w:b w:val="false"/>
          <w:sz w:val="24"/>
          <w:u w:val="single"/>
        </w:rPr>
        <w:t>Claim</w:t>
      </w:r>
      <w:r>
        <w:rPr/>
        <w:t>”</w:t>
      </w:r>
      <w:r>
        <w:rPr>
          <w:rFonts w:ascii="Times New Roman;serif" w:hAnsi="Times New Roman;serif"/>
          <w:b w:val="false"/>
          <w:sz w:val="24"/>
        </w:rPr>
        <w:t xml:space="preserve">), subject to </w:t>
      </w:r>
      <w:r>
        <w:rPr>
          <w:rFonts w:ascii="Times New Roman;serif" w:hAnsi="Times New Roman;serif"/>
          <w:b w:val="false"/>
          <w:sz w:val="24"/>
          <w:u w:val="single"/>
        </w:rPr>
        <w:t>Section 8(a)</w:t>
      </w:r>
      <w:r>
        <w:rPr/>
        <w:t xml:space="preserve"> </w:t>
      </w:r>
      <w:r>
        <w:rPr>
          <w:rFonts w:ascii="Times New Roman;serif" w:hAnsi="Times New Roman;serif"/>
          <w:b w:val="false"/>
          <w:sz w:val="24"/>
        </w:rPr>
        <w:t>shall be advanced by the Company in advance of the final disposition of such claim, demand, action, suit or proceeding upon receipt of an undertaking by or on behalf of the Covered Person to repay such amount if it shall ultimately be determined, by a court of competent jurisdiction, that the Covered Person is not entitled to be indemnified by the Company as authorized hereunder. The Covered Persons shall not be responsible for the loss of, or damage to, the Company, or any of its Affiliates, Representatives or Subsidiaries or any assets of the Company or any of its Affiliates, Representatives or Subsidiaries if such loss, damage or failure shall be caused by or be directly or indirectly due to war damage, enemy action, the act of any Governmental Authority, investment exchange or brokerage house, or due to any riot, civil commotion, rebellion, fire, lock-out, strike, power failure, computer error or failure, delay, breakdown, failure or malfunction of any external</w:t>
      </w:r>
    </w:p>
    <w:p>
      <w:pPr>
        <w:pStyle w:val="TextBody"/>
        <w:spacing w:before="0" w:after="0"/>
        <w:jc w:val="both"/>
        <w:rPr/>
      </w:pPr>
      <w:r>
        <w:rPr/>
        <w:t> </w:t>
      </w:r>
    </w:p>
    <w:p>
      <w:pPr>
        <w:pStyle w:val="TextBody"/>
        <w:spacing w:before="0" w:after="0"/>
        <w:jc w:val="left"/>
        <w:rPr/>
      </w:pPr>
      <w:r>
        <w:rPr/>
        <w:t> </w:t>
      </w:r>
    </w:p>
    <w:p>
      <w:pPr>
        <w:pStyle w:val="TextBody"/>
        <w:spacing w:before="10" w:after="0"/>
        <w:jc w:val="left"/>
        <w:rPr>
          <w:rFonts w:ascii="Times New Roman;serif" w:hAnsi="Times New Roman;serif"/>
          <w:b w:val="false"/>
          <w:sz w:val="24"/>
        </w:rPr>
      </w:pPr>
      <w:r>
        <w:rPr>
          <w:rFonts w:ascii="Times New Roman;serif" w:hAnsi="Times New Roman;serif"/>
          <w:b w:val="false"/>
          <w:sz w:val="24"/>
        </w:rPr>
        <w:t>6</w:t>
      </w:r>
    </w:p>
    <w:p>
      <w:pPr>
        <w:pStyle w:val="HorizontalLine"/>
        <w:rPr/>
      </w:pPr>
      <w:r>
        <w:rPr/>
      </w:r>
    </w:p>
    <w:p>
      <w:pPr>
        <w:pStyle w:val="TextBody"/>
        <w:spacing w:before="76" w:after="0"/>
        <w:jc w:val="both"/>
        <w:rPr>
          <w:rFonts w:ascii="Times New Roman;serif" w:hAnsi="Times New Roman;serif"/>
          <w:b w:val="false"/>
          <w:sz w:val="24"/>
        </w:rPr>
      </w:pPr>
      <w:r>
        <w:rPr>
          <w:rFonts w:ascii="Times New Roman;serif" w:hAnsi="Times New Roman;serif"/>
          <w:b w:val="false"/>
          <w:sz w:val="24"/>
        </w:rPr>
        <w:t>telecommunication or computer service or electronic transmission systems, unavailability of market prices or suspension of dealing on relevant exchanges, or other cause beyond the control of the relevant Covered Person.</w:t>
      </w:r>
    </w:p>
    <w:p>
      <w:pPr>
        <w:pStyle w:val="TextBody"/>
        <w:spacing w:before="230" w:after="0"/>
        <w:jc w:val="both"/>
        <w:rPr>
          <w:rFonts w:ascii="Times New Roman" w:hAnsi="Times New Roman"/>
          <w:b w:val="false"/>
          <w:sz w:val="24"/>
        </w:rPr>
      </w:pPr>
      <w:r>
        <w:rPr>
          <w:rFonts w:ascii="Times New Roman" w:hAnsi="Times New Roman"/>
          <w:b w:val="false"/>
          <w:sz w:val="24"/>
        </w:rPr>
        <w:t>(c)</w:t>
      </w:r>
    </w:p>
    <w:p>
      <w:pPr>
        <w:pStyle w:val="TextBody"/>
        <w:spacing w:before="230" w:after="283"/>
        <w:jc w:val="both"/>
        <w:rPr>
          <w:rFonts w:ascii="Times New Roman;serif" w:hAnsi="Times New Roman;serif"/>
          <w:b w:val="false"/>
          <w:sz w:val="24"/>
        </w:rPr>
      </w:pPr>
      <w:r>
        <w:rPr>
          <w:rFonts w:ascii="Times New Roman;serif" w:hAnsi="Times New Roman;serif"/>
          <w:b w:val="false"/>
          <w:sz w:val="24"/>
        </w:rPr>
        <w:t>In any Claim against the Company in which the Company, on the one hand, and any Covered Person, on the other hand, is, or is reasonably likely to become, a party, such Covered Person shall have the right to employ separate counsel at the expense of the Company, and to control its own defense of such Claim. The Company agrees that it will not, without the prior written consent of the applicable Covered Person, settle, compromise or consent to the entry of any judgment in any Claim relating to the matters contemplated hereby (if any Covered Person is a party thereto or has been threatened to be made a party thereto) unless such settlement, compromise or consent provides only for monetary payment for which the applicable Covered Person is entitled to indemnification under this Agreement or includes an unconditional release of the applicable Covered Person party thereto from all liability arising or that may arise out of such Claim.</w:t>
      </w:r>
    </w:p>
    <w:p>
      <w:pPr>
        <w:pStyle w:val="TextBody"/>
        <w:spacing w:before="3" w:after="0"/>
        <w:jc w:val="left"/>
        <w:rPr/>
      </w:pPr>
      <w:r>
        <w:rPr/>
        <w:t> </w:t>
      </w:r>
    </w:p>
    <w:p>
      <w:pPr>
        <w:pStyle w:val="TextBody"/>
        <w:spacing w:before="90" w:after="0"/>
        <w:jc w:val="both"/>
        <w:rPr>
          <w:rFonts w:ascii="Times New Roman" w:hAnsi="Times New Roman"/>
          <w:b w:val="false"/>
          <w:sz w:val="24"/>
        </w:rPr>
      </w:pPr>
      <w:r>
        <w:rPr>
          <w:rFonts w:ascii="Times New Roman" w:hAnsi="Times New Roman"/>
          <w:b w:val="false"/>
          <w:sz w:val="24"/>
        </w:rPr>
        <w:t>(d)</w:t>
      </w:r>
    </w:p>
    <w:p>
      <w:pPr>
        <w:pStyle w:val="TextBody"/>
        <w:spacing w:before="90" w:after="283"/>
        <w:jc w:val="both"/>
        <w:rPr>
          <w:rFonts w:ascii="Times New Roman;serif" w:hAnsi="Times New Roman;serif"/>
          <w:b w:val="false"/>
          <w:sz w:val="24"/>
        </w:rPr>
      </w:pPr>
      <w:r>
        <w:rPr>
          <w:rFonts w:ascii="Times New Roman;serif" w:hAnsi="Times New Roman;serif"/>
          <w:b w:val="false"/>
          <w:sz w:val="24"/>
        </w:rPr>
        <w:t>The rights of any Covered Person to indemnification hereunder will be in addition to any other rights any such Person may have under any other agreement to which such Covered Person is or becomes a party or is or otherwise becomes a beneficiary or under Applicable Law. The Company hereby agrees that it is the indemnitor of first resort (i.e., its obligations to any Covered Person under this Agreement are primary and any obligation of the Service Provider (or any Affiliate thereof) to provide advancement or indemnification for the same Covered Losses (including all interest, assessment and other charges paid or payable in connection with or in respect of such Covered Losses) incurred by any Covered Person are secondary, and if the Service Provider (or any Affiliate thereof) pays or causes to be paid, for any reason, any amounts otherwise indemnifiable hereunder or under any other indemnification agreement (whether pursuant to contract, bylaws, charter or otherwise) with any Covered Person, then the (A) Service Provider (or such Affiliate, as the case may be) shall be fully subrogated to all rights of the applicable Covered Person with respect to such payment and (B) Company shall reimburse the Service Provider (or such other Affiliate) for the payments actually made.</w:t>
      </w:r>
    </w:p>
    <w:p>
      <w:pPr>
        <w:pStyle w:val="TextBody"/>
        <w:spacing w:before="3" w:after="0"/>
        <w:jc w:val="left"/>
        <w:rPr/>
      </w:pPr>
      <w:r>
        <w:rPr/>
        <w:t> </w:t>
      </w:r>
    </w:p>
    <w:p>
      <w:pPr>
        <w:pStyle w:val="TextBody"/>
        <w:spacing w:before="1" w:after="0"/>
        <w:jc w:val="left"/>
        <w:rPr>
          <w:rFonts w:ascii="Times New Roman" w:hAnsi="Times New Roman"/>
          <w:sz w:val="20"/>
        </w:rPr>
      </w:pPr>
      <w:r>
        <w:rPr>
          <w:rFonts w:ascii="Times New Roman;serif" w:hAnsi="Times New Roman;serif"/>
          <w:b w:val="false"/>
          <w:sz w:val="24"/>
        </w:rPr>
        <w:t xml:space="preserve">Section 9. </w:t>
      </w:r>
      <w:r>
        <w:rPr>
          <w:rFonts w:ascii="Times New Roman;serif" w:hAnsi="Times New Roman;serif"/>
          <w:b w:val="false"/>
          <w:sz w:val="24"/>
          <w:u w:val="single"/>
        </w:rPr>
        <w:t>Term; Termination</w:t>
      </w:r>
      <w:r>
        <w:rPr>
          <w:rFonts w:ascii="Times New Roman;serif" w:hAnsi="Times New Roman;serif"/>
          <w:b w:val="false"/>
          <w:sz w:val="24"/>
        </w:rPr>
        <w:t>.</w:t>
      </w:r>
    </w:p>
    <w:p>
      <w:pPr>
        <w:pStyle w:val="TextBody"/>
        <w:spacing w:before="232" w:after="0"/>
        <w:jc w:val="both"/>
        <w:rPr>
          <w:rFonts w:ascii="Times New Roman" w:hAnsi="Times New Roman"/>
          <w:b w:val="false"/>
          <w:sz w:val="24"/>
        </w:rPr>
      </w:pPr>
      <w:r>
        <w:rPr>
          <w:rFonts w:ascii="Times New Roman" w:hAnsi="Times New Roman"/>
          <w:b w:val="false"/>
          <w:sz w:val="24"/>
        </w:rPr>
        <w:t>(a)</w:t>
      </w:r>
    </w:p>
    <w:p>
      <w:pPr>
        <w:pStyle w:val="TextBody"/>
        <w:spacing w:before="232" w:after="283"/>
        <w:jc w:val="both"/>
        <w:rPr/>
      </w:pPr>
      <w:r>
        <w:rPr>
          <w:rFonts w:ascii="Times New Roman;serif" w:hAnsi="Times New Roman;serif"/>
          <w:b w:val="false"/>
          <w:sz w:val="24"/>
        </w:rPr>
        <w:t xml:space="preserve">Unless otherwise terminated earlier in accordance with the terms of this </w:t>
      </w:r>
      <w:r>
        <w:rPr>
          <w:rFonts w:ascii="Times New Roman;serif" w:hAnsi="Times New Roman;serif"/>
          <w:b w:val="false"/>
          <w:sz w:val="24"/>
          <w:u w:val="single"/>
        </w:rPr>
        <w:t>Section 9</w:t>
      </w:r>
      <w:r>
        <w:rPr>
          <w:rFonts w:ascii="Times New Roman;serif" w:hAnsi="Times New Roman;serif"/>
          <w:b w:val="false"/>
          <w:sz w:val="24"/>
        </w:rPr>
        <w:t>, this Agreement shall remain in full force and effect from the date hereof until December 31, 2020 (such period, the “</w:t>
      </w:r>
      <w:r>
        <w:rPr>
          <w:rFonts w:ascii="Times New Roman;serif" w:hAnsi="Times New Roman;serif"/>
          <w:b w:val="false"/>
          <w:sz w:val="24"/>
          <w:u w:val="single"/>
        </w:rPr>
        <w:t>Initial Term</w:t>
      </w:r>
      <w:r>
        <w:rPr/>
        <w:t>”</w:t>
      </w:r>
      <w:r>
        <w:rPr>
          <w:rFonts w:ascii="Times New Roman;serif" w:hAnsi="Times New Roman;serif"/>
          <w:b w:val="false"/>
          <w:sz w:val="24"/>
        </w:rPr>
        <w:t>) and shall be automatically renewed for additional periods of one (1) year each (each such additional period, a “</w:t>
      </w:r>
      <w:r>
        <w:rPr>
          <w:rFonts w:ascii="Times New Roman;serif" w:hAnsi="Times New Roman;serif"/>
          <w:b w:val="false"/>
          <w:sz w:val="24"/>
          <w:u w:val="single"/>
        </w:rPr>
        <w:t>Renewal Term</w:t>
      </w:r>
      <w:r>
        <w:rPr/>
        <w:t>”</w:t>
      </w:r>
      <w:r>
        <w:rPr>
          <w:rFonts w:ascii="Times New Roman;serif" w:hAnsi="Times New Roman;serif"/>
          <w:b w:val="false"/>
          <w:sz w:val="24"/>
        </w:rPr>
        <w:t>), unless the Service Provider or the Company gives written notice of its termination of this Agreement at least ninety</w:t>
      </w:r>
    </w:p>
    <w:p>
      <w:pPr>
        <w:pStyle w:val="TextBody"/>
        <w:spacing w:before="3" w:after="0"/>
        <w:jc w:val="both"/>
        <w:rPr>
          <w:rFonts w:ascii="Times New Roman;serif" w:hAnsi="Times New Roman;serif"/>
          <w:b w:val="false"/>
          <w:sz w:val="24"/>
        </w:rPr>
      </w:pPr>
      <w:r>
        <w:rPr>
          <w:rFonts w:ascii="Times New Roman;serif" w:hAnsi="Times New Roman;serif"/>
          <w:b w:val="false"/>
          <w:sz w:val="24"/>
        </w:rPr>
        <w:t>(90) calendar days prior to the scheduled termination date, in which event this Agreement will terminate on the scheduled termination date.</w:t>
      </w:r>
    </w:p>
    <w:p>
      <w:pPr>
        <w:pStyle w:val="TextBody"/>
        <w:spacing w:before="4"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(b)</w:t>
      </w:r>
    </w:p>
    <w:p>
      <w:pPr>
        <w:pStyle w:val="TextBody"/>
        <w:spacing w:before="1" w:after="0"/>
        <w:jc w:val="both"/>
        <w:rPr/>
      </w:pPr>
      <w:r>
        <w:rPr>
          <w:rFonts w:ascii="Times New Roman;serif" w:hAnsi="Times New Roman;serif"/>
          <w:b w:val="false"/>
          <w:sz w:val="24"/>
        </w:rPr>
        <w:t xml:space="preserve">Subject to the terms of </w:t>
      </w:r>
      <w:r>
        <w:rPr>
          <w:rFonts w:ascii="Times New Roman;serif" w:hAnsi="Times New Roman;serif"/>
          <w:b w:val="false"/>
          <w:sz w:val="24"/>
          <w:u w:val="single"/>
        </w:rPr>
        <w:t>Section 9(d)</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10</w:t>
      </w:r>
      <w:r>
        <w:rPr/>
        <w:t xml:space="preserve"> </w:t>
      </w:r>
      <w:r>
        <w:rPr>
          <w:rFonts w:ascii="Times New Roman;serif" w:hAnsi="Times New Roman;serif"/>
          <w:b w:val="false"/>
          <w:sz w:val="24"/>
        </w:rPr>
        <w:t>below, either party may terminate this Agreement for any reason and at any time upon thirty (30) days prior written notice to the other party.</w:t>
      </w:r>
    </w:p>
    <w:p>
      <w:pPr>
        <w:pStyle w:val="TextBody"/>
        <w:spacing w:before="229" w:after="0"/>
        <w:jc w:val="both"/>
        <w:rPr>
          <w:rFonts w:ascii="Times New Roman" w:hAnsi="Times New Roman"/>
          <w:b w:val="false"/>
          <w:sz w:val="24"/>
        </w:rPr>
      </w:pPr>
      <w:r>
        <w:rPr>
          <w:rFonts w:ascii="Times New Roman" w:hAnsi="Times New Roman"/>
          <w:b w:val="false"/>
          <w:sz w:val="24"/>
        </w:rPr>
        <w:t>(c)</w:t>
      </w:r>
    </w:p>
    <w:p>
      <w:pPr>
        <w:pStyle w:val="TextBody"/>
        <w:spacing w:before="229" w:after="283"/>
        <w:jc w:val="both"/>
        <w:rPr>
          <w:rFonts w:ascii="Times New Roman;serif" w:hAnsi="Times New Roman;serif"/>
          <w:b w:val="false"/>
          <w:sz w:val="24"/>
        </w:rPr>
      </w:pPr>
      <w:r>
        <w:rPr>
          <w:rFonts w:ascii="Times New Roman;serif" w:hAnsi="Times New Roman;serif"/>
          <w:b w:val="false"/>
          <w:sz w:val="24"/>
        </w:rPr>
        <w:t>Each of the Company, on one hand, and the Service Provider, on the other hand, may terminate this Agreement by giving written notice of termination to the other party upon</w:t>
      </w:r>
    </w:p>
    <w:p>
      <w:pPr>
        <w:pStyle w:val="TextBody"/>
        <w:spacing w:before="0" w:after="0"/>
        <w:jc w:val="both"/>
        <w:rPr/>
      </w:pPr>
      <w:r>
        <w:rPr/>
        <w:t> </w:t>
      </w:r>
    </w:p>
    <w:p>
      <w:pPr>
        <w:pStyle w:val="TextBody"/>
        <w:spacing w:before="0" w:after="0"/>
        <w:jc w:val="left"/>
        <w:rPr/>
      </w:pPr>
      <w:r>
        <w:rPr/>
        <w:t> </w:t>
      </w:r>
    </w:p>
    <w:p>
      <w:pPr>
        <w:pStyle w:val="TextBody"/>
        <w:spacing w:before="10" w:after="0"/>
        <w:jc w:val="left"/>
        <w:rPr>
          <w:rFonts w:ascii="Times New Roman;serif" w:hAnsi="Times New Roman;serif"/>
          <w:b w:val="false"/>
          <w:sz w:val="24"/>
        </w:rPr>
      </w:pPr>
      <w:r>
        <w:rPr>
          <w:rFonts w:ascii="Times New Roman;serif" w:hAnsi="Times New Roman;serif"/>
          <w:b w:val="false"/>
          <w:sz w:val="24"/>
        </w:rPr>
        <w:t>7</w:t>
      </w:r>
    </w:p>
    <w:p>
      <w:pPr>
        <w:pStyle w:val="HorizontalLine"/>
        <w:rPr/>
      </w:pPr>
      <w:r>
        <w:rPr/>
      </w:r>
    </w:p>
    <w:p>
      <w:pPr>
        <w:pStyle w:val="TextBody"/>
        <w:spacing w:before="76" w:after="0"/>
        <w:jc w:val="both"/>
        <w:rPr>
          <w:rFonts w:ascii="Times New Roman;serif" w:hAnsi="Times New Roman;serif"/>
          <w:b w:val="false"/>
          <w:sz w:val="24"/>
        </w:rPr>
      </w:pPr>
      <w:r>
        <w:rPr>
          <w:rFonts w:ascii="Times New Roman;serif" w:hAnsi="Times New Roman;serif"/>
          <w:b w:val="false"/>
          <w:sz w:val="24"/>
        </w:rPr>
        <w:t>the occurrence of a breach by the Service Provider, on one hand, or the Company, on the other in the performance of its obligations hereunder or in respect of any provision, representation, warranty or covenant hereof, in each case, where such breach could reasonably be expected to have a Material Adverse Effect on the non-breaching party and such breach has not been cured (if curable) by the breaching party within thirty (30) days after receiving written notice thereof.</w:t>
      </w:r>
    </w:p>
    <w:p>
      <w:pPr>
        <w:pStyle w:val="TextBody"/>
        <w:spacing w:before="8"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(d)</w:t>
      </w:r>
    </w:p>
    <w:p>
      <w:pPr>
        <w:pStyle w:val="TextBody"/>
        <w:jc w:val="both"/>
        <w:rPr/>
      </w:pPr>
      <w:r>
        <w:rPr>
          <w:rFonts w:ascii="Times New Roman;serif" w:hAnsi="Times New Roman;serif"/>
          <w:b w:val="false"/>
          <w:sz w:val="24"/>
        </w:rPr>
        <w:t xml:space="preserve">If this Agreement is terminated pursuant to this </w:t>
      </w:r>
      <w:r>
        <w:rPr>
          <w:rFonts w:ascii="Times New Roman;serif" w:hAnsi="Times New Roman;serif"/>
          <w:b w:val="false"/>
          <w:sz w:val="24"/>
          <w:u w:val="single"/>
        </w:rPr>
        <w:t>Section 8</w:t>
      </w:r>
      <w:r>
        <w:rPr>
          <w:rFonts w:ascii="Times New Roman;serif" w:hAnsi="Times New Roman;serif"/>
          <w:b w:val="false"/>
          <w:sz w:val="24"/>
        </w:rPr>
        <w:t xml:space="preserve">, such termination shall be without any further liability or obligation of any party to the other, except as provided in </w:t>
      </w:r>
      <w:r>
        <w:rPr>
          <w:rFonts w:ascii="Times New Roman;serif" w:hAnsi="Times New Roman;serif"/>
          <w:b w:val="false"/>
          <w:sz w:val="24"/>
          <w:u w:val="single"/>
        </w:rPr>
        <w:t>Section 6</w:t>
      </w:r>
      <w:r>
        <w:rPr>
          <w:rFonts w:ascii="Times New Roman;serif" w:hAnsi="Times New Roman;serif"/>
          <w:b w:val="false"/>
          <w:sz w:val="24"/>
        </w:rPr>
        <w:t xml:space="preserve">, </w:t>
      </w:r>
      <w:r>
        <w:rPr>
          <w:rFonts w:ascii="Times New Roman;serif" w:hAnsi="Times New Roman;serif"/>
          <w:b w:val="false"/>
          <w:sz w:val="24"/>
          <w:u w:val="single"/>
        </w:rPr>
        <w:t>Section 7</w:t>
      </w:r>
      <w:r>
        <w:rPr>
          <w:rFonts w:ascii="Times New Roman;serif" w:hAnsi="Times New Roman;serif"/>
          <w:b w:val="false"/>
          <w:sz w:val="24"/>
        </w:rPr>
        <w:t xml:space="preserve">, </w:t>
      </w:r>
      <w:r>
        <w:rPr>
          <w:rFonts w:ascii="Times New Roman;serif" w:hAnsi="Times New Roman;serif"/>
          <w:b w:val="false"/>
          <w:sz w:val="24"/>
          <w:u w:val="single"/>
        </w:rPr>
        <w:t>Section 8</w:t>
      </w:r>
      <w:r>
        <w:rPr>
          <w:rFonts w:ascii="Times New Roman;serif" w:hAnsi="Times New Roman;serif"/>
          <w:b w:val="false"/>
          <w:sz w:val="24"/>
        </w:rPr>
        <w:t xml:space="preserve">, </w:t>
      </w:r>
      <w:r>
        <w:rPr>
          <w:rFonts w:ascii="Times New Roman;serif" w:hAnsi="Times New Roman;serif"/>
          <w:b w:val="false"/>
          <w:sz w:val="24"/>
          <w:u w:val="single"/>
        </w:rPr>
        <w:t>Section 9</w:t>
      </w:r>
      <w:r>
        <w:rPr/>
        <w:t xml:space="preserve"> </w:t>
      </w:r>
      <w:r>
        <w:rPr>
          <w:rFonts w:ascii="Times New Roman;serif" w:hAnsi="Times New Roman;serif"/>
          <w:b w:val="false"/>
          <w:sz w:val="24"/>
        </w:rPr>
        <w:t xml:space="preserve">and </w:t>
      </w:r>
      <w:r>
        <w:rPr>
          <w:rFonts w:ascii="Times New Roman;serif" w:hAnsi="Times New Roman;serif"/>
          <w:b w:val="false"/>
          <w:sz w:val="24"/>
          <w:u w:val="single"/>
        </w:rPr>
        <w:t>Section 10</w:t>
      </w:r>
      <w:r>
        <w:rPr>
          <w:rFonts w:ascii="Times New Roman;serif" w:hAnsi="Times New Roman;serif"/>
          <w:b w:val="false"/>
          <w:sz w:val="24"/>
        </w:rPr>
        <w:t>. The termination of this Agreement shall not release from the obligation to make payment of all amounts then or thereafter due and payable hereunder.</w:t>
      </w:r>
    </w:p>
    <w:p>
      <w:pPr>
        <w:pStyle w:val="TextBody"/>
        <w:spacing w:before="6"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Section 10. </w:t>
      </w:r>
      <w:r>
        <w:rPr>
          <w:rFonts w:ascii="Times New Roman;serif" w:hAnsi="Times New Roman;serif"/>
          <w:b w:val="false"/>
          <w:sz w:val="24"/>
          <w:u w:val="single"/>
        </w:rPr>
        <w:t>Action upon Termination</w:t>
      </w:r>
      <w:r>
        <w:rPr>
          <w:rFonts w:ascii="Times New Roman;serif" w:hAnsi="Times New Roman;serif"/>
          <w:b w:val="false"/>
          <w:sz w:val="24"/>
        </w:rPr>
        <w:t>.</w:t>
      </w:r>
    </w:p>
    <w:p>
      <w:pPr>
        <w:pStyle w:val="TextBody"/>
        <w:spacing w:before="233" w:after="0"/>
        <w:jc w:val="both"/>
        <w:rPr>
          <w:rFonts w:ascii="Times New Roman" w:hAnsi="Times New Roman"/>
          <w:b w:val="false"/>
          <w:sz w:val="24"/>
        </w:rPr>
      </w:pPr>
      <w:r>
        <w:rPr>
          <w:rFonts w:ascii="Times New Roman" w:hAnsi="Times New Roman"/>
          <w:b w:val="false"/>
          <w:sz w:val="24"/>
        </w:rPr>
        <w:t>(a)</w:t>
      </w:r>
    </w:p>
    <w:p>
      <w:pPr>
        <w:pStyle w:val="TextBody"/>
        <w:spacing w:before="233" w:after="283"/>
        <w:jc w:val="both"/>
        <w:rPr>
          <w:rFonts w:ascii="Times New Roman;serif" w:hAnsi="Times New Roman;serif"/>
          <w:b w:val="false"/>
          <w:sz w:val="24"/>
        </w:rPr>
      </w:pPr>
      <w:r>
        <w:rPr>
          <w:rFonts w:ascii="Times New Roman;serif" w:hAnsi="Times New Roman;serif"/>
          <w:b w:val="false"/>
          <w:sz w:val="24"/>
        </w:rPr>
        <w:t>Upon termination of this Agreement, the Service Provider shall forthwith deliver to the Company (and pending delivery shall hold on trust for), or such party as the Company shall direct, all books of account, papers, records, registers, correspondence and documents in the Service Provider’s possession or under its control belonging to the Company and any other security therefor, any moneys then held by the Service Provider on behalf of the Company and any other assets of the Company, in each case, which the Company received in connection with the performance of its duties hereunder and free and clear of any lien or right of set-off exercisable by the Service Provider and shall take such further action as the Company may reasonably direct. In addition, the Service Provider shall use reasonable efforts to ensure that it and any individuals within its control promptly deliver to the Company all records, documents, accounts, letters and papers within its possession or control relating to the affairs and business of the Company and any other property belonging to the Company within its possession, in each case, which documents or property the Service Provider received in connection with the performance of its duties hereunder.</w:t>
      </w:r>
    </w:p>
    <w:p>
      <w:pPr>
        <w:pStyle w:val="TextBody"/>
        <w:spacing w:before="1"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(b)</w:t>
      </w:r>
    </w:p>
    <w:p>
      <w:pPr>
        <w:pStyle w:val="TextBody"/>
        <w:jc w:val="both"/>
        <w:rPr/>
      </w:pPr>
      <w:r>
        <w:rPr>
          <w:rFonts w:ascii="Times New Roman;serif" w:hAnsi="Times New Roman;serif"/>
          <w:b w:val="false"/>
          <w:sz w:val="24"/>
        </w:rPr>
        <w:t xml:space="preserve">Notwithstanding such termination, (i) each party shall remain liable for its acts or omissions or breaches hereunder only to the extent set forth in </w:t>
      </w:r>
      <w:r>
        <w:rPr>
          <w:rFonts w:ascii="Times New Roman;serif" w:hAnsi="Times New Roman;serif"/>
          <w:b w:val="false"/>
          <w:sz w:val="24"/>
          <w:u w:val="single"/>
        </w:rPr>
        <w:t>Section 8</w:t>
      </w:r>
      <w:r>
        <w:rPr/>
        <w:t xml:space="preserve"> </w:t>
      </w:r>
      <w:r>
        <w:rPr>
          <w:rFonts w:ascii="Times New Roman;serif" w:hAnsi="Times New Roman;serif"/>
          <w:b w:val="false"/>
          <w:sz w:val="24"/>
        </w:rPr>
        <w:t>arising prior to and up to the date of termination; and (ii) the Service Provider shall reasonably cooperate in any proceeding arising in connection with this Agreement (excluding any such proceeding in which claims are asserted against the Service Provider) upon the offer of appropriate pre-funding, indemnifications and expense reimbursement.</w:t>
      </w:r>
    </w:p>
    <w:p>
      <w:pPr>
        <w:pStyle w:val="TextBody"/>
        <w:spacing w:before="1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Section 11. </w:t>
      </w:r>
      <w:r>
        <w:rPr>
          <w:rFonts w:ascii="Times New Roman;serif" w:hAnsi="Times New Roman;serif"/>
          <w:b w:val="false"/>
          <w:sz w:val="24"/>
          <w:u w:val="single"/>
        </w:rPr>
        <w:t>Assignment or Transfer</w:t>
      </w:r>
      <w:r>
        <w:rPr>
          <w:rFonts w:ascii="Times New Roman;serif" w:hAnsi="Times New Roman;serif"/>
          <w:b w:val="false"/>
          <w:sz w:val="24"/>
        </w:rPr>
        <w:t>. Neither the Service Provider nor the Company may assign or transfer any of their respective rights, duties or obligations under this Agreement without the written consent of the other party; provided, however, that the Service Provider may assign or transfer any of its rights, duties or obligations under this Agreement to any wholly-owned Subsidiary of the Service Provider without the consent of the Company.</w:t>
      </w:r>
    </w:p>
    <w:p>
      <w:pPr>
        <w:pStyle w:val="TextBody"/>
        <w:spacing w:before="8"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Section 12. </w:t>
      </w:r>
      <w:r>
        <w:rPr>
          <w:rFonts w:ascii="Times New Roman;serif" w:hAnsi="Times New Roman;serif"/>
          <w:b w:val="false"/>
          <w:sz w:val="24"/>
          <w:u w:val="single"/>
        </w:rPr>
        <w:t>Survival</w:t>
      </w:r>
      <w:r>
        <w:rPr>
          <w:rFonts w:ascii="Times New Roman;serif" w:hAnsi="Times New Roman;serif"/>
          <w:b w:val="false"/>
          <w:sz w:val="24"/>
        </w:rPr>
        <w:t xml:space="preserve">. </w:t>
      </w:r>
      <w:r>
        <w:rPr>
          <w:rFonts w:ascii="Times New Roman;serif" w:hAnsi="Times New Roman;serif"/>
          <w:b w:val="false"/>
          <w:sz w:val="24"/>
          <w:u w:val="single"/>
        </w:rPr>
        <w:t>Section 1</w:t>
      </w:r>
      <w:r>
        <w:rPr>
          <w:rFonts w:ascii="Times New Roman;serif" w:hAnsi="Times New Roman;serif"/>
          <w:b w:val="false"/>
          <w:sz w:val="24"/>
        </w:rPr>
        <w:t xml:space="preserve">, </w:t>
      </w:r>
      <w:r>
        <w:rPr>
          <w:rFonts w:ascii="Times New Roman;serif" w:hAnsi="Times New Roman;serif"/>
          <w:b w:val="false"/>
          <w:sz w:val="24"/>
          <w:u w:val="single"/>
        </w:rPr>
        <w:t>Section 2</w:t>
      </w:r>
      <w:r>
        <w:rPr>
          <w:rFonts w:ascii="Times New Roman;serif" w:hAnsi="Times New Roman;serif"/>
          <w:b w:val="false"/>
          <w:sz w:val="24"/>
        </w:rPr>
        <w:t xml:space="preserve">, </w:t>
      </w:r>
      <w:r>
        <w:rPr>
          <w:rFonts w:ascii="Times New Roman;serif" w:hAnsi="Times New Roman;serif"/>
          <w:b w:val="false"/>
          <w:sz w:val="24"/>
          <w:u w:val="single"/>
        </w:rPr>
        <w:t>Section 6</w:t>
      </w:r>
      <w:r>
        <w:rPr>
          <w:rFonts w:ascii="Times New Roman;serif" w:hAnsi="Times New Roman;serif"/>
          <w:b w:val="false"/>
          <w:sz w:val="24"/>
        </w:rPr>
        <w:t xml:space="preserve">, </w:t>
      </w:r>
      <w:r>
        <w:rPr>
          <w:rFonts w:ascii="Times New Roman;serif" w:hAnsi="Times New Roman;serif"/>
          <w:b w:val="false"/>
          <w:sz w:val="24"/>
          <w:u w:val="single"/>
        </w:rPr>
        <w:t>Section 7</w:t>
      </w:r>
      <w:r>
        <w:rPr>
          <w:rFonts w:ascii="Times New Roman;serif" w:hAnsi="Times New Roman;serif"/>
          <w:b w:val="false"/>
          <w:sz w:val="24"/>
        </w:rPr>
        <w:t xml:space="preserve">, </w:t>
      </w:r>
      <w:r>
        <w:rPr>
          <w:rFonts w:ascii="Times New Roman;serif" w:hAnsi="Times New Roman;serif"/>
          <w:b w:val="false"/>
          <w:sz w:val="24"/>
          <w:u w:val="single"/>
        </w:rPr>
        <w:t>Section 8</w:t>
      </w:r>
      <w:r>
        <w:rPr>
          <w:rFonts w:ascii="Times New Roman;serif" w:hAnsi="Times New Roman;serif"/>
          <w:b w:val="false"/>
          <w:sz w:val="24"/>
        </w:rPr>
        <w:t xml:space="preserve">, </w:t>
      </w:r>
      <w:r>
        <w:rPr>
          <w:rFonts w:ascii="Times New Roman;serif" w:hAnsi="Times New Roman;serif"/>
          <w:b w:val="false"/>
          <w:sz w:val="24"/>
          <w:u w:val="single"/>
        </w:rPr>
        <w:t>Section 12</w:t>
      </w:r>
      <w:r>
        <w:rPr>
          <w:rFonts w:ascii="Times New Roman;serif" w:hAnsi="Times New Roman;serif"/>
          <w:b w:val="false"/>
          <w:sz w:val="24"/>
        </w:rPr>
        <w:t xml:space="preserve">, </w:t>
      </w:r>
      <w:r>
        <w:rPr>
          <w:rFonts w:ascii="Times New Roman;serif" w:hAnsi="Times New Roman;serif"/>
          <w:b w:val="false"/>
          <w:sz w:val="24"/>
          <w:u w:val="single"/>
        </w:rPr>
        <w:t>Section 13</w:t>
      </w:r>
      <w:r>
        <w:rPr>
          <w:rFonts w:ascii="Times New Roman" w:hAnsi="Times New Roman"/>
          <w:sz w:val="20"/>
        </w:rPr>
        <w:t xml:space="preserve"> </w:t>
      </w:r>
      <w:r>
        <w:rPr>
          <w:rFonts w:ascii="Times New Roman;serif" w:hAnsi="Times New Roman;serif"/>
          <w:b w:val="false"/>
          <w:sz w:val="24"/>
        </w:rPr>
        <w:t xml:space="preserve">and </w:t>
      </w:r>
      <w:r>
        <w:rPr>
          <w:rFonts w:ascii="Times New Roman;serif" w:hAnsi="Times New Roman;serif"/>
          <w:b w:val="false"/>
          <w:sz w:val="24"/>
          <w:u w:val="single"/>
        </w:rPr>
        <w:t>Section 15</w:t>
      </w:r>
      <w:r>
        <w:rPr>
          <w:rFonts w:ascii="Times New Roman" w:hAnsi="Times New Roman"/>
          <w:sz w:val="20"/>
        </w:rPr>
        <w:t xml:space="preserve"> </w:t>
      </w:r>
      <w:r>
        <w:rPr>
          <w:rFonts w:ascii="Times New Roman;serif" w:hAnsi="Times New Roman;serif"/>
          <w:b w:val="false"/>
          <w:sz w:val="24"/>
        </w:rPr>
        <w:t xml:space="preserve">through </w:t>
      </w:r>
      <w:r>
        <w:rPr>
          <w:rFonts w:ascii="Times New Roman;serif" w:hAnsi="Times New Roman;serif"/>
          <w:b w:val="false"/>
          <w:sz w:val="24"/>
          <w:u w:val="single"/>
        </w:rPr>
        <w:t>Section 22</w:t>
      </w:r>
      <w:r>
        <w:rPr>
          <w:rFonts w:ascii="Times New Roman" w:hAnsi="Times New Roman"/>
          <w:sz w:val="20"/>
        </w:rPr>
        <w:t xml:space="preserve"> </w:t>
      </w:r>
      <w:r>
        <w:rPr>
          <w:rFonts w:ascii="Times New Roman;serif" w:hAnsi="Times New Roman;serif"/>
          <w:b w:val="false"/>
          <w:sz w:val="24"/>
        </w:rPr>
        <w:t>shall survive the termination of this Agreement and the representations and warranties of the parties hereto contained in this Agreement shall survive such termination of this Agreement and the rights and obligations of the parties hereto shall survive such termination of this Agreement to the extent (and only to the extent) that any performance is required after such termination to effectuate the intentions hereof.</w:t>
      </w:r>
    </w:p>
    <w:p>
      <w:pPr>
        <w:pStyle w:val="TextBody"/>
        <w:spacing w:before="0" w:after="0"/>
        <w:jc w:val="both"/>
        <w:rPr/>
      </w:pPr>
      <w:r>
        <w:rPr/>
        <w:t> </w:t>
      </w:r>
    </w:p>
    <w:p>
      <w:pPr>
        <w:pStyle w:val="TextBody"/>
        <w:spacing w:before="0" w:after="0"/>
        <w:jc w:val="left"/>
        <w:rPr/>
      </w:pPr>
      <w:r>
        <w:rPr/>
        <w:t> </w:t>
      </w:r>
    </w:p>
    <w:p>
      <w:pPr>
        <w:pStyle w:val="TextBody"/>
        <w:spacing w:before="10" w:after="0"/>
        <w:jc w:val="left"/>
        <w:rPr>
          <w:rFonts w:ascii="Times New Roman;serif" w:hAnsi="Times New Roman;serif"/>
          <w:b w:val="false"/>
          <w:sz w:val="24"/>
        </w:rPr>
      </w:pPr>
      <w:r>
        <w:rPr>
          <w:rFonts w:ascii="Times New Roman;serif" w:hAnsi="Times New Roman;serif"/>
          <w:b w:val="false"/>
          <w:sz w:val="24"/>
        </w:rPr>
        <w:t>8</w:t>
      </w:r>
    </w:p>
    <w:p>
      <w:pPr>
        <w:pStyle w:val="HorizontalLine"/>
        <w:rPr/>
      </w:pPr>
      <w:r>
        <w:rPr/>
      </w:r>
    </w:p>
    <w:p>
      <w:pPr>
        <w:pStyle w:val="TextBody"/>
        <w:spacing w:before="61" w:after="0"/>
        <w:jc w:val="left"/>
        <w:rPr>
          <w:rFonts w:ascii="Times New Roman" w:hAnsi="Times New Roman"/>
          <w:sz w:val="20"/>
        </w:rPr>
      </w:pPr>
      <w:r>
        <w:rPr>
          <w:rFonts w:ascii="Times New Roman;serif" w:hAnsi="Times New Roman;serif"/>
          <w:b w:val="false"/>
          <w:sz w:val="24"/>
        </w:rPr>
        <w:t xml:space="preserve">Section 13. </w:t>
      </w:r>
      <w:r>
        <w:rPr>
          <w:rFonts w:ascii="Times New Roman;serif" w:hAnsi="Times New Roman;serif"/>
          <w:b w:val="false"/>
          <w:sz w:val="24"/>
          <w:u w:val="single"/>
        </w:rPr>
        <w:t>Confidentiality</w:t>
      </w:r>
      <w:r>
        <w:rPr>
          <w:rFonts w:ascii="Times New Roman;serif" w:hAnsi="Times New Roman;serif"/>
          <w:b w:val="false"/>
          <w:sz w:val="24"/>
        </w:rPr>
        <w:t>.</w:t>
      </w:r>
    </w:p>
    <w:p>
      <w:pPr>
        <w:pStyle w:val="TextBody"/>
        <w:spacing w:before="233" w:after="0"/>
        <w:jc w:val="both"/>
        <w:rPr>
          <w:rFonts w:ascii="Times New Roman" w:hAnsi="Times New Roman"/>
          <w:b w:val="false"/>
          <w:sz w:val="24"/>
        </w:rPr>
      </w:pPr>
      <w:r>
        <w:rPr>
          <w:rFonts w:ascii="Times New Roman" w:hAnsi="Times New Roman"/>
          <w:b w:val="false"/>
          <w:sz w:val="24"/>
        </w:rPr>
        <w:t>(a)</w:t>
      </w:r>
    </w:p>
    <w:p>
      <w:pPr>
        <w:pStyle w:val="TextBody"/>
        <w:spacing w:before="233" w:after="283"/>
        <w:jc w:val="both"/>
        <w:rPr/>
      </w:pPr>
      <w:r>
        <w:rPr>
          <w:rFonts w:ascii="Times New Roman;serif" w:hAnsi="Times New Roman;serif"/>
          <w:b w:val="false"/>
          <w:sz w:val="24"/>
        </w:rPr>
        <w:t>Unless otherwise specified by the party providing such information, the parties hereto agree to keep all information received under or in connection with this Agreement confidential (“</w:t>
      </w:r>
      <w:r>
        <w:rPr>
          <w:rFonts w:ascii="Times New Roman;serif" w:hAnsi="Times New Roman;serif"/>
          <w:b w:val="false"/>
          <w:sz w:val="24"/>
          <w:u w:val="single"/>
        </w:rPr>
        <w:t>Confidential Information</w:t>
      </w:r>
      <w:r>
        <w:rPr/>
        <w:t>”</w:t>
      </w:r>
      <w:r>
        <w:rPr>
          <w:rFonts w:ascii="Times New Roman;serif" w:hAnsi="Times New Roman;serif"/>
          <w:b w:val="false"/>
          <w:sz w:val="24"/>
        </w:rPr>
        <w:t xml:space="preserve">) and not disclose such Confidential Information to any third party; </w:t>
      </w:r>
      <w:r>
        <w:rPr>
          <w:rFonts w:ascii="Times New Roman;serif" w:hAnsi="Times New Roman;serif"/>
          <w:b w:val="false"/>
          <w:i/>
          <w:sz w:val="24"/>
        </w:rPr>
        <w:t xml:space="preserve">provided </w:t>
      </w:r>
      <w:r>
        <w:rPr>
          <w:rFonts w:ascii="Times New Roman;serif" w:hAnsi="Times New Roman;serif"/>
          <w:b w:val="false"/>
          <w:sz w:val="24"/>
        </w:rPr>
        <w:t>that, (i) any Confidential Information may be disclosed by either party to its Representatives who need to know such Confidential Information in furtherance of the purposes of this Agreement; (ii) any Confidential Information may be disclosed if required by Applicable Law; and (iii) any other disclosure of the Confidential Information may be made with the prior written consent of the party providing such Confidential Information hereunder. The term “</w:t>
      </w:r>
      <w:r>
        <w:rPr>
          <w:rFonts w:ascii="Times New Roman;serif" w:hAnsi="Times New Roman;serif"/>
          <w:b w:val="false"/>
          <w:sz w:val="24"/>
          <w:u w:val="single"/>
        </w:rPr>
        <w:t>Confidential Information</w:t>
      </w:r>
      <w:r>
        <w:rPr/>
        <w:t xml:space="preserve">” </w:t>
      </w:r>
      <w:r>
        <w:rPr>
          <w:rFonts w:ascii="Times New Roman;serif" w:hAnsi="Times New Roman;serif"/>
          <w:b w:val="false"/>
          <w:sz w:val="24"/>
        </w:rPr>
        <w:t>does not include information which (A) is or becomes generally available to the public, (B) was or becomes available to either party on a non-confidential basis from a source other than the Service Provider or the Company or (C) is independently developed by the Service Provider or the Company without reference to or reliance upon any Confidential Information.</w:t>
      </w:r>
    </w:p>
    <w:p>
      <w:pPr>
        <w:pStyle w:val="TextBody"/>
        <w:spacing w:before="3" w:after="0"/>
        <w:jc w:val="left"/>
        <w:rPr/>
      </w:pPr>
      <w:r>
        <w:rPr/>
        <w:t> </w:t>
      </w:r>
    </w:p>
    <w:p>
      <w:pPr>
        <w:pStyle w:val="TextBody"/>
        <w:spacing w:before="90" w:after="0"/>
        <w:jc w:val="both"/>
        <w:rPr>
          <w:rFonts w:ascii="Times New Roman" w:hAnsi="Times New Roman"/>
          <w:b w:val="false"/>
          <w:sz w:val="24"/>
        </w:rPr>
      </w:pPr>
      <w:r>
        <w:rPr>
          <w:rFonts w:ascii="Times New Roman" w:hAnsi="Times New Roman"/>
          <w:b w:val="false"/>
          <w:sz w:val="24"/>
        </w:rPr>
        <w:t>(b)</w:t>
      </w:r>
    </w:p>
    <w:p>
      <w:pPr>
        <w:pStyle w:val="TextBody"/>
        <w:spacing w:before="90" w:after="283"/>
        <w:jc w:val="both"/>
        <w:rPr/>
      </w:pPr>
      <w:r>
        <w:rPr>
          <w:rFonts w:ascii="Times New Roman;serif" w:hAnsi="Times New Roman;serif"/>
          <w:b w:val="false"/>
          <w:sz w:val="24"/>
        </w:rPr>
        <w:t xml:space="preserve">Within thirty (30) days of the termination of this Agreement for any reason, if so requested, each party shall return to the other party all materials in whatever form containing any Confidential Information; </w:t>
      </w:r>
      <w:r>
        <w:rPr>
          <w:rFonts w:ascii="Times New Roman;serif" w:hAnsi="Times New Roman;serif"/>
          <w:b w:val="false"/>
          <w:i/>
          <w:sz w:val="24"/>
        </w:rPr>
        <w:t xml:space="preserve">provided </w:t>
      </w:r>
      <w:r>
        <w:rPr>
          <w:rFonts w:ascii="Times New Roman;serif" w:hAnsi="Times New Roman;serif"/>
          <w:b w:val="false"/>
          <w:sz w:val="24"/>
        </w:rPr>
        <w:t>that, such Confidential Information (or copies thereof) may be retained to the extent required by Applicable Law or internal record-keeping policies. The confidentiality obligations provided herein shall survive for a period of two (2) years after the date of termination of this Agreement.</w:t>
      </w:r>
    </w:p>
    <w:p>
      <w:pPr>
        <w:pStyle w:val="TextBody"/>
        <w:spacing w:before="1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Section 14. </w:t>
      </w:r>
      <w:r>
        <w:rPr>
          <w:rFonts w:ascii="Times New Roman;serif" w:hAnsi="Times New Roman;serif"/>
          <w:b w:val="false"/>
          <w:sz w:val="24"/>
          <w:u w:val="single"/>
        </w:rPr>
        <w:t>Amendments</w:t>
      </w:r>
      <w:r>
        <w:rPr>
          <w:rFonts w:ascii="Times New Roman;serif" w:hAnsi="Times New Roman;serif"/>
          <w:b w:val="false"/>
          <w:sz w:val="24"/>
        </w:rPr>
        <w:t>. This Agreement may not be modified or amended other than by an agreement in writing executed by each of the parties hereto.</w:t>
      </w:r>
    </w:p>
    <w:p>
      <w:pPr>
        <w:pStyle w:val="TextBody"/>
        <w:spacing w:before="1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Section 15. </w:t>
      </w:r>
      <w:r>
        <w:rPr>
          <w:rFonts w:ascii="Times New Roman;serif" w:hAnsi="Times New Roman;serif"/>
          <w:b w:val="false"/>
          <w:sz w:val="24"/>
          <w:u w:val="single"/>
        </w:rPr>
        <w:t>Governing Law</w:t>
      </w:r>
      <w:r>
        <w:rPr>
          <w:rFonts w:ascii="Times New Roman;serif" w:hAnsi="Times New Roman;serif"/>
          <w:b w:val="false"/>
          <w:sz w:val="24"/>
        </w:rPr>
        <w:t>.</w:t>
      </w:r>
    </w:p>
    <w:p>
      <w:pPr>
        <w:pStyle w:val="TextBody"/>
        <w:spacing w:before="233" w:after="0"/>
        <w:jc w:val="both"/>
        <w:rPr>
          <w:rFonts w:ascii="Times New Roman" w:hAnsi="Times New Roman"/>
          <w:b w:val="false"/>
          <w:sz w:val="24"/>
        </w:rPr>
      </w:pPr>
      <w:r>
        <w:rPr>
          <w:rFonts w:ascii="Times New Roman" w:hAnsi="Times New Roman"/>
          <w:b w:val="false"/>
          <w:sz w:val="24"/>
        </w:rPr>
        <w:t>(a)</w:t>
      </w:r>
    </w:p>
    <w:p>
      <w:pPr>
        <w:pStyle w:val="TextBody"/>
        <w:spacing w:before="233" w:after="283"/>
        <w:jc w:val="both"/>
        <w:rPr>
          <w:rFonts w:ascii="Times New Roman;serif" w:hAnsi="Times New Roman;serif"/>
          <w:b w:val="false"/>
          <w:sz w:val="24"/>
        </w:rPr>
      </w:pPr>
      <w:r>
        <w:rPr>
          <w:rFonts w:ascii="Times New Roman;serif" w:hAnsi="Times New Roman;serif"/>
          <w:b w:val="false"/>
          <w:sz w:val="24"/>
        </w:rPr>
        <w:t>This Agreement shall be governed by, and construed in accordance with, the laws of the State of New York. The parties unconditionally and irrevocably consent to the exclusive jurisdiction of the courts located in the State of New York and waive any objection with respect thereto, for the purpose of any action, suit or proceeding arising out of or relating to this Agreement or the transactions contemplated hereby.</w:t>
      </w:r>
    </w:p>
    <w:p>
      <w:pPr>
        <w:pStyle w:val="TextBody"/>
        <w:spacing w:before="0" w:after="0"/>
        <w:jc w:val="left"/>
        <w:rPr/>
      </w:pPr>
      <w:r>
        <w:rPr/>
        <w:t> </w:t>
      </w:r>
    </w:p>
    <w:p>
      <w:pPr>
        <w:pStyle w:val="TextBody"/>
        <w:spacing w:before="1" w:after="0"/>
        <w:jc w:val="both"/>
        <w:rPr>
          <w:rFonts w:ascii="Times New Roman" w:hAnsi="Times New Roman"/>
          <w:b w:val="false"/>
          <w:sz w:val="24"/>
        </w:rPr>
      </w:pPr>
      <w:r>
        <w:rPr>
          <w:rFonts w:ascii="Times New Roman" w:hAnsi="Times New Roman"/>
          <w:b w:val="false"/>
          <w:sz w:val="24"/>
        </w:rPr>
        <w:t>(b)</w:t>
      </w:r>
    </w:p>
    <w:p>
      <w:pPr>
        <w:pStyle w:val="TextBody"/>
        <w:spacing w:before="1" w:after="283"/>
        <w:jc w:val="both"/>
        <w:rPr/>
      </w:pPr>
      <w:r>
        <w:rPr>
          <w:rFonts w:ascii="Times New Roman;serif" w:hAnsi="Times New Roman;serif"/>
          <w:b w:val="false"/>
          <w:sz w:val="24"/>
        </w:rPr>
        <w:t>The parties hereto irrevocably agree for the benefit of each other that the state and federal courts in the State of New York, County of New York are to have exclusive jurisdiction to settle any disputes (whether contractual or non-contractual) which may arise out of or in connection with this Agreement and that accordingly any action arising out of or in connection therewith (together referred to as “</w:t>
      </w:r>
      <w:r>
        <w:rPr>
          <w:rFonts w:ascii="Times New Roman;serif" w:hAnsi="Times New Roman;serif"/>
          <w:b w:val="false"/>
          <w:sz w:val="24"/>
          <w:u w:val="single"/>
        </w:rPr>
        <w:t>Proceedings</w:t>
      </w:r>
      <w:r>
        <w:rPr/>
        <w:t>”</w:t>
      </w:r>
      <w:r>
        <w:rPr>
          <w:rFonts w:ascii="Times New Roman;serif" w:hAnsi="Times New Roman;serif"/>
          <w:b w:val="false"/>
          <w:sz w:val="24"/>
        </w:rPr>
        <w:t>) may be brought in such courts. The parties hereto irrevocably submit to the jurisdiction of such courts and waive any objection which they may have now or hereafter to the laying of the venue of any Proceedings in any such court and any claim that any Proceedings have been brought in an inconvenient forum and further irrevocably agree that a judgment in any Proceedings brought in such courts shall be conclusive and binding upon the parties hereto and may be enforced in the courts of any other jurisdiction.</w:t>
      </w:r>
    </w:p>
    <w:p>
      <w:pPr>
        <w:pStyle w:val="TextBody"/>
        <w:spacing w:before="0" w:after="0"/>
        <w:jc w:val="left"/>
        <w:rPr/>
      </w:pPr>
      <w:r>
        <w:rPr/>
        <w:t> </w:t>
      </w:r>
    </w:p>
    <w:p>
      <w:pPr>
        <w:pStyle w:val="TextBody"/>
        <w:spacing w:before="1" w:after="0"/>
        <w:jc w:val="left"/>
        <w:rPr>
          <w:rFonts w:ascii="Times New Roman" w:hAnsi="Times New Roman"/>
          <w:sz w:val="20"/>
        </w:rPr>
      </w:pPr>
      <w:r>
        <w:rPr>
          <w:rFonts w:ascii="Times New Roman;serif" w:hAnsi="Times New Roman;serif"/>
          <w:b w:val="false"/>
          <w:sz w:val="24"/>
        </w:rPr>
        <w:t xml:space="preserve">Section 16. </w:t>
      </w:r>
      <w:r>
        <w:rPr>
          <w:rFonts w:ascii="Times New Roman;serif" w:hAnsi="Times New Roman;serif"/>
          <w:b w:val="false"/>
          <w:sz w:val="24"/>
          <w:u w:val="single"/>
        </w:rPr>
        <w:t>Waiver of Jury Trial</w:t>
      </w:r>
      <w:r>
        <w:rPr>
          <w:rFonts w:ascii="Times New Roman;serif" w:hAnsi="Times New Roman;serif"/>
          <w:b w:val="false"/>
          <w:sz w:val="24"/>
        </w:rPr>
        <w:t>. EACH OF THE PARTIES HERETO HEREBY KNOWINGLY, VOLUNTARILY AND INTENTIONALLY WAIVES ANY RIGHTS IT MAY</w:t>
      </w:r>
    </w:p>
    <w:p>
      <w:pPr>
        <w:pStyle w:val="TextBody"/>
        <w:spacing w:before="0" w:after="0"/>
        <w:jc w:val="left"/>
        <w:rPr/>
      </w:pPr>
      <w:r>
        <w:rPr/>
        <w:t> </w:t>
      </w:r>
    </w:p>
    <w:p>
      <w:pPr>
        <w:pStyle w:val="TextBody"/>
        <w:spacing w:before="0" w:after="0"/>
        <w:jc w:val="left"/>
        <w:rPr/>
      </w:pPr>
      <w:r>
        <w:rPr/>
        <w:t> </w:t>
      </w:r>
    </w:p>
    <w:p>
      <w:pPr>
        <w:pStyle w:val="TextBody"/>
        <w:spacing w:before="10" w:after="0"/>
        <w:jc w:val="left"/>
        <w:rPr>
          <w:rFonts w:ascii="Times New Roman;serif" w:hAnsi="Times New Roman;serif"/>
          <w:b w:val="false"/>
          <w:sz w:val="24"/>
        </w:rPr>
      </w:pPr>
      <w:r>
        <w:rPr>
          <w:rFonts w:ascii="Times New Roman;serif" w:hAnsi="Times New Roman;serif"/>
          <w:b w:val="false"/>
          <w:sz w:val="24"/>
        </w:rPr>
        <w:t>9</w:t>
      </w:r>
    </w:p>
    <w:p>
      <w:pPr>
        <w:pStyle w:val="HorizontalLine"/>
        <w:rPr/>
      </w:pPr>
      <w:r>
        <w:rPr/>
      </w:r>
    </w:p>
    <w:p>
      <w:pPr>
        <w:pStyle w:val="TextBody"/>
        <w:spacing w:before="76" w:after="0"/>
        <w:jc w:val="both"/>
        <w:rPr>
          <w:rFonts w:ascii="Times New Roman;serif" w:hAnsi="Times New Roman;serif"/>
          <w:b w:val="false"/>
          <w:sz w:val="24"/>
        </w:rPr>
      </w:pPr>
      <w:r>
        <w:rPr>
          <w:rFonts w:ascii="Times New Roman;serif" w:hAnsi="Times New Roman;serif"/>
          <w:b w:val="false"/>
          <w:sz w:val="24"/>
        </w:rPr>
        <w:t>HAVE TO A TRIAL BY JURY IN RESPECT OF ANY LITIGATION BASED HEREON, OR ARISING OUT OF, UNDER, OR IN CONNECTION WITH, THIS AGREEMENT. EACH PARTY HERETO ACKNOWLEDGES AND AGREES THAT IT HAS RECEIVED FULL AND SUFFICIENT CONSIDERATION FOR THIS PROVISION AND THAT THIS PROVISION IS A MATERIAL INDUCEMENT FOR ITS ENTERING INTO THIS AGREEMENT.</w:t>
      </w:r>
    </w:p>
    <w:p>
      <w:pPr>
        <w:pStyle w:val="TextBody"/>
        <w:spacing w:before="8"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Section 17. </w:t>
      </w:r>
      <w:r>
        <w:rPr>
          <w:rFonts w:ascii="Times New Roman;serif" w:hAnsi="Times New Roman;serif"/>
          <w:b w:val="false"/>
          <w:sz w:val="24"/>
          <w:u w:val="single"/>
        </w:rPr>
        <w:t>Severability</w:t>
      </w:r>
      <w:r>
        <w:rPr>
          <w:rFonts w:ascii="Times New Roman;serif" w:hAnsi="Times New Roman;serif"/>
          <w:b w:val="false"/>
          <w:sz w:val="24"/>
        </w:rPr>
        <w:t>. Each provision of this Agreement shall be considered severable and if for any reason any provision which is not essential to the effectuation of the basic purposes of this Agreement is determined by a court of competent jurisdiction to be invalid or unenforceable and contrary to existing or future Applicable Law, such invalidity shall not impair the operation of or affect those provisions of this Agreement which are valid. In that case, this Agreement shall be construed to limit any term or provision so as to make it enforceable or valid within the requirements of Applicable Law, and in the event such term or provision cannot be so limited, this Agreement shall be construed to omit such invalid or unenforceable provisions.</w:t>
      </w:r>
    </w:p>
    <w:p>
      <w:pPr>
        <w:pStyle w:val="TextBody"/>
        <w:spacing w:before="1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Section 18. </w:t>
      </w:r>
      <w:r>
        <w:rPr>
          <w:rFonts w:ascii="Times New Roman;serif" w:hAnsi="Times New Roman;serif"/>
          <w:b w:val="false"/>
          <w:sz w:val="24"/>
          <w:u w:val="single"/>
        </w:rPr>
        <w:t>No Waiver</w:t>
      </w:r>
      <w:r>
        <w:rPr>
          <w:rFonts w:ascii="Times New Roman;serif" w:hAnsi="Times New Roman;serif"/>
          <w:b w:val="false"/>
          <w:sz w:val="24"/>
        </w:rPr>
        <w:t>. The performance of any condition or obligation imposed upon any party hereunder may be waived only upon the written consent of the parties hereto. Such waiver shall be limited to the terms thereof and shall not constitute a waiver of any other condition or obligation of the other party under this Agreement. Any failure by any party to this Agreement to enforce any provision shall not constitute a waiver of that or any other provision or this Agreement.</w:t>
      </w:r>
    </w:p>
    <w:p>
      <w:pPr>
        <w:pStyle w:val="TextBody"/>
        <w:spacing w:before="224" w:after="0"/>
        <w:jc w:val="both"/>
        <w:rPr>
          <w:rFonts w:ascii="Times New Roman" w:hAnsi="Times New Roman"/>
          <w:sz w:val="20"/>
        </w:rPr>
      </w:pPr>
      <w:r>
        <w:rPr>
          <w:rFonts w:ascii="Times New Roman;serif" w:hAnsi="Times New Roman;serif"/>
          <w:b w:val="false"/>
          <w:sz w:val="24"/>
        </w:rPr>
        <w:t xml:space="preserve">Section 19. </w:t>
      </w:r>
      <w:r>
        <w:rPr>
          <w:rFonts w:ascii="Times New Roman;serif" w:hAnsi="Times New Roman;serif"/>
          <w:b w:val="false"/>
          <w:sz w:val="24"/>
          <w:u w:val="single"/>
        </w:rPr>
        <w:t>Discretion; Good Faith</w:t>
      </w:r>
      <w:r>
        <w:rPr>
          <w:rFonts w:ascii="Times New Roman;serif" w:hAnsi="Times New Roman;serif"/>
          <w:b w:val="false"/>
          <w:sz w:val="24"/>
        </w:rPr>
        <w:t>. To the fullest extent permitted by Applicable Law and notwithstanding any other provision of this Agreement or in any agreement contemplated herein or applicable provisions of law or equity or otherwise, whenever in this Agreement the Service Provider or any representatives thereof is permitted or required to make a decision (i) in its “sole discretion” or “discretion” or under a grant of similar authority or latitude, the Service Provider or such other Person shall be entitled to consider only such interests and factors as it desires, including its own interests, and, to the fullest extent permitted by Applicable Law, shall have no duty or obligation to give any consideration to any interest of or factors affecting the Company or any other Person, or (ii) in its “good faith” or under another express standard, the Service Provider or such other Person shall act under such express standard and, to the fullest extent permitted by Applicable Law, shall not be subject to any other or different standard imposed by this Agreement or any other agreement contemplated herein or by relevant provisions of law or in equity or otherwise, and may exercise its discretion differently with respect to the Company. If any questions should arise with respect to the services provided hereunder that are not specifically provided for in this Agreement or the Applicable Law, or with respect to the interpretation of this Agreement, the Service Provider is hereby authorized to make a final determination with respect to any such question and to interpret this Agreement in good faith, and its determination and interpretation so made shall be final and binding on all parties.</w:t>
      </w:r>
    </w:p>
    <w:p>
      <w:pPr>
        <w:pStyle w:val="TextBody"/>
        <w:spacing w:before="1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Section 20. </w:t>
      </w:r>
      <w:r>
        <w:rPr>
          <w:rFonts w:ascii="Times New Roman;serif" w:hAnsi="Times New Roman;serif"/>
          <w:b w:val="false"/>
          <w:sz w:val="24"/>
          <w:u w:val="single"/>
        </w:rPr>
        <w:t>Counterparts; Binding Effect</w:t>
      </w:r>
      <w:r>
        <w:rPr>
          <w:rFonts w:ascii="Times New Roman;serif" w:hAnsi="Times New Roman;serif"/>
          <w:b w:val="false"/>
          <w:sz w:val="24"/>
        </w:rPr>
        <w:t>. This Agreement may be executed in any number of counterparts by facsimile or other written form of communication, each of which shall be deemed to be an original as against any party whose signature appears thereon, and all of which shall together constitute one and the same instrument. This Agreement shall become binding when one or more counterparts hereof, individually or taken together, shall bear the signatures of all of the parties reflected hereon as the signatories. In addition, to the maximum extent permitted by</w:t>
      </w:r>
    </w:p>
    <w:p>
      <w:pPr>
        <w:pStyle w:val="TextBody"/>
        <w:spacing w:before="0" w:after="0"/>
        <w:jc w:val="both"/>
        <w:rPr/>
      </w:pPr>
      <w:r>
        <w:rPr/>
        <w:t> </w:t>
      </w:r>
    </w:p>
    <w:p>
      <w:pPr>
        <w:pStyle w:val="TextBody"/>
        <w:spacing w:before="0" w:after="0"/>
        <w:jc w:val="left"/>
        <w:rPr/>
      </w:pPr>
      <w:r>
        <w:rPr/>
        <w:t> </w:t>
      </w:r>
    </w:p>
    <w:p>
      <w:pPr>
        <w:pStyle w:val="TextBody"/>
        <w:spacing w:before="10" w:after="0"/>
        <w:jc w:val="left"/>
        <w:rPr>
          <w:rFonts w:ascii="Times New Roman;serif" w:hAnsi="Times New Roman;serif"/>
          <w:b w:val="false"/>
          <w:sz w:val="24"/>
        </w:rPr>
      </w:pPr>
      <w:r>
        <w:rPr>
          <w:rFonts w:ascii="Times New Roman;serif" w:hAnsi="Times New Roman;serif"/>
          <w:b w:val="false"/>
          <w:sz w:val="24"/>
        </w:rPr>
        <w:t>10</w:t>
      </w:r>
    </w:p>
    <w:p>
      <w:pPr>
        <w:pStyle w:val="HorizontalLine"/>
        <w:rPr/>
      </w:pPr>
      <w:r>
        <w:rPr/>
      </w:r>
    </w:p>
    <w:p>
      <w:pPr>
        <w:pStyle w:val="TextBody"/>
        <w:spacing w:before="76" w:after="0"/>
        <w:jc w:val="both"/>
        <w:rPr>
          <w:rFonts w:ascii="Times New Roman;serif" w:hAnsi="Times New Roman;serif"/>
          <w:b w:val="false"/>
          <w:sz w:val="24"/>
        </w:rPr>
      </w:pPr>
      <w:r>
        <w:rPr>
          <w:rFonts w:ascii="Times New Roman;serif" w:hAnsi="Times New Roman;serif"/>
          <w:b w:val="false"/>
          <w:sz w:val="24"/>
        </w:rPr>
        <w:t>Applicable Law, a Person shall become bound in accordance with the terms of this Agreement if such Person (or a representative authorized by such Person orally, in writing or by other action) executes any other writing evidencing the intent of such Person to enter into this Agreement.</w:t>
      </w:r>
    </w:p>
    <w:p>
      <w:pPr>
        <w:pStyle w:val="TextBody"/>
        <w:spacing w:before="230" w:after="0"/>
        <w:jc w:val="both"/>
        <w:rPr>
          <w:rFonts w:ascii="Times New Roman" w:hAnsi="Times New Roman"/>
          <w:sz w:val="20"/>
        </w:rPr>
      </w:pPr>
      <w:r>
        <w:rPr>
          <w:rFonts w:ascii="Times New Roman;serif" w:hAnsi="Times New Roman;serif"/>
          <w:b w:val="false"/>
          <w:sz w:val="24"/>
        </w:rPr>
        <w:t xml:space="preserve">Section 21. </w:t>
      </w:r>
      <w:r>
        <w:rPr>
          <w:rFonts w:ascii="Times New Roman;serif" w:hAnsi="Times New Roman;serif"/>
          <w:b w:val="false"/>
          <w:sz w:val="24"/>
          <w:u w:val="single"/>
        </w:rPr>
        <w:t>No Third Party Beneficiaries</w:t>
      </w:r>
      <w:r>
        <w:rPr>
          <w:rFonts w:ascii="Times New Roman;serif" w:hAnsi="Times New Roman;serif"/>
          <w:b w:val="false"/>
          <w:sz w:val="24"/>
        </w:rPr>
        <w:t xml:space="preserve">. Except as otherwise provided herein, the provisions of this Agreement are not intended to be for the benefit of or enforceable by any third party, other than by Covered Persons pursuant to the terms of </w:t>
      </w:r>
      <w:r>
        <w:rPr>
          <w:rFonts w:ascii="Times New Roman;serif" w:hAnsi="Times New Roman;serif"/>
          <w:b w:val="false"/>
          <w:sz w:val="24"/>
          <w:u w:val="single"/>
        </w:rPr>
        <w:t>Section 8</w:t>
      </w:r>
      <w:r>
        <w:rPr>
          <w:rFonts w:ascii="Times New Roman;serif" w:hAnsi="Times New Roman;serif"/>
          <w:b w:val="false"/>
          <w:sz w:val="24"/>
        </w:rPr>
        <w:t>.</w:t>
      </w:r>
    </w:p>
    <w:p>
      <w:pPr>
        <w:pStyle w:val="TextBody"/>
        <w:spacing w:before="4"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Section 22. </w:t>
      </w:r>
      <w:r>
        <w:rPr>
          <w:rFonts w:ascii="Times New Roman;serif" w:hAnsi="Times New Roman;serif"/>
          <w:b w:val="false"/>
          <w:sz w:val="24"/>
          <w:u w:val="single"/>
        </w:rPr>
        <w:t>Relationship Generally; No Authority to Bind</w:t>
      </w:r>
      <w:r>
        <w:rPr>
          <w:rFonts w:ascii="Times New Roman;serif" w:hAnsi="Times New Roman;serif"/>
          <w:b w:val="false"/>
          <w:sz w:val="24"/>
        </w:rPr>
        <w:t>. This Agreement does not make any party the employee, partner, agent, joint venturer, or representative of any other party for any purpose whatsoever. The Service Provider shall not have any right or authority to conclude contracts in the name of the Company or otherwise to assume or to create any obligation or responsibility, express or implied, on behalf of or in the name of the Company. In fulfilling its obligations pursuant to this Agreement, the Service Provider will be acting as an independent contractor. The Service Provider shall have no authority to act for or to bind the Company while acting in its capacity as a consultant to the Company under this Agreement without the prior written consent of the Company. This Agreement shall in no way prohibit any of the Service Provider, its Affiliates, and its or their respective Representatives from engaging in other activities or performing services for its or their own account or for the account of others, including for any Person that may be in competition with any business of the Company, and the Company disclaims to the fullest extent any prohibition thereon.</w:t>
      </w:r>
    </w:p>
    <w:p>
      <w:pPr>
        <w:pStyle w:val="TextBody"/>
        <w:spacing w:before="8"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Section 23. </w:t>
      </w:r>
      <w:r>
        <w:rPr>
          <w:rFonts w:ascii="Times New Roman;serif" w:hAnsi="Times New Roman;serif"/>
          <w:b w:val="false"/>
          <w:sz w:val="24"/>
          <w:u w:val="single"/>
        </w:rPr>
        <w:t>Further Assurances</w:t>
      </w:r>
      <w:r>
        <w:rPr>
          <w:rFonts w:ascii="Times New Roman;serif" w:hAnsi="Times New Roman;serif"/>
          <w:b w:val="false"/>
          <w:sz w:val="24"/>
        </w:rPr>
        <w:t>. Each party hereto shall do and perform or cause to be done and performed all such further acts and things and shall execute and deliver all such other agreements, certificates, instruments, and documents as are required in order to carry out the provisions of this Agreement and the consummation of the transactions contemplated hereby.</w:t>
      </w:r>
    </w:p>
    <w:p>
      <w:pPr>
        <w:pStyle w:val="TextBody"/>
        <w:spacing w:before="229" w:after="0"/>
        <w:jc w:val="both"/>
        <w:rPr>
          <w:rFonts w:ascii="Times New Roman" w:hAnsi="Times New Roman"/>
          <w:sz w:val="20"/>
        </w:rPr>
      </w:pPr>
      <w:r>
        <w:rPr>
          <w:rFonts w:ascii="Times New Roman;serif" w:hAnsi="Times New Roman;serif"/>
          <w:b w:val="false"/>
          <w:sz w:val="24"/>
        </w:rPr>
        <w:t xml:space="preserve">Section 24. </w:t>
      </w:r>
      <w:r>
        <w:rPr>
          <w:rFonts w:ascii="Times New Roman;serif" w:hAnsi="Times New Roman;serif"/>
          <w:b w:val="false"/>
          <w:sz w:val="24"/>
          <w:u w:val="single"/>
        </w:rPr>
        <w:t>Headings</w:t>
      </w:r>
      <w:r>
        <w:rPr>
          <w:rFonts w:ascii="Times New Roman;serif" w:hAnsi="Times New Roman;serif"/>
          <w:b w:val="false"/>
          <w:sz w:val="24"/>
        </w:rPr>
        <w:t>. The headings of the sections of this Agreement have been inserted for convenience of reference only and shall not be deemed to be a part of this Agreement.</w:t>
      </w:r>
    </w:p>
    <w:p>
      <w:pPr>
        <w:pStyle w:val="TextBody"/>
        <w:spacing w:before="224" w:after="0"/>
        <w:jc w:val="both"/>
        <w:rPr>
          <w:rFonts w:ascii="Times New Roman" w:hAnsi="Times New Roman"/>
          <w:sz w:val="20"/>
        </w:rPr>
      </w:pPr>
      <w:r>
        <w:rPr>
          <w:rFonts w:ascii="Times New Roman;serif" w:hAnsi="Times New Roman;serif"/>
          <w:b w:val="false"/>
          <w:sz w:val="24"/>
        </w:rPr>
        <w:t xml:space="preserve">Section 25. </w:t>
      </w:r>
      <w:r>
        <w:rPr>
          <w:rFonts w:ascii="Times New Roman;serif" w:hAnsi="Times New Roman;serif"/>
          <w:b w:val="false"/>
          <w:sz w:val="24"/>
          <w:u w:val="single"/>
        </w:rPr>
        <w:t>Entire Agreement</w:t>
      </w:r>
      <w:r>
        <w:rPr>
          <w:rFonts w:ascii="Times New Roman;serif" w:hAnsi="Times New Roman;serif"/>
          <w:b w:val="false"/>
          <w:sz w:val="24"/>
        </w:rPr>
        <w:t>. This Agreement contains the entire agreement and understanding among the parties hereto with respect to the subject matter of this Agreement and supersedes all prior and contemporaneous agreements, understandings, inducements and conditions, express or implied, oral or written, of any nature whatsoever with respect to the subject matter of this Agreement. The express terms of this Agreement control and supersede any course of performance and any usage of the trade inconsistent or in conflict with any of the terms of this Agreement. In the event that any provision of any Organizational Document of any party hereto or other contract or agreement to which any party hereto is a party is inconsistent or in conflict with any provision in this Agreement, (i) the provisions of this Agreement shall govern, (ii) such Organizational Document or other contract or agreement shall be read and construed so that it is consistent and not in conflict with this Agreement and (iii) such party shall take such action as may be necessary to amend the applicable provision in such Organizational Document or other contract or agreement in order to correct such inconsistency or conflict in favor of such provision of this Agreement.</w:t>
      </w:r>
    </w:p>
    <w:p>
      <w:pPr>
        <w:pStyle w:val="TextBody"/>
        <w:spacing w:before="1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Section 26. </w:t>
      </w:r>
      <w:r>
        <w:rPr>
          <w:rFonts w:ascii="Times New Roman;serif" w:hAnsi="Times New Roman;serif"/>
          <w:b w:val="false"/>
          <w:sz w:val="24"/>
          <w:u w:val="single"/>
        </w:rPr>
        <w:t>Notices</w:t>
      </w:r>
      <w:r>
        <w:rPr>
          <w:rFonts w:ascii="Times New Roman;serif" w:hAnsi="Times New Roman;serif"/>
          <w:b w:val="false"/>
          <w:sz w:val="24"/>
        </w:rPr>
        <w:t>. All notices, requests, demands and other communications hereunder shall be in writing and shall be deemed to have been duly given if (i) to the Company,</w:t>
      </w:r>
    </w:p>
    <w:p>
      <w:pPr>
        <w:pStyle w:val="TextBody"/>
        <w:spacing w:before="0" w:after="0"/>
        <w:jc w:val="both"/>
        <w:rPr/>
      </w:pPr>
      <w:r>
        <w:rPr/>
        <w:t> </w:t>
      </w:r>
    </w:p>
    <w:p>
      <w:pPr>
        <w:pStyle w:val="TextBody"/>
        <w:spacing w:before="0" w:after="0"/>
        <w:jc w:val="left"/>
        <w:rPr/>
      </w:pPr>
      <w:r>
        <w:rPr/>
        <w:t> </w:t>
      </w:r>
    </w:p>
    <w:p>
      <w:pPr>
        <w:pStyle w:val="TextBody"/>
        <w:spacing w:before="10" w:after="0"/>
        <w:jc w:val="left"/>
        <w:rPr>
          <w:rFonts w:ascii="Times New Roman;serif" w:hAnsi="Times New Roman;serif"/>
          <w:b w:val="false"/>
          <w:sz w:val="24"/>
        </w:rPr>
      </w:pPr>
      <w:r>
        <w:rPr>
          <w:rFonts w:ascii="Times New Roman;serif" w:hAnsi="Times New Roman;serif"/>
          <w:b w:val="false"/>
          <w:sz w:val="24"/>
        </w:rPr>
        <w:t>11</w:t>
      </w:r>
    </w:p>
    <w:p>
      <w:pPr>
        <w:pStyle w:val="HorizontalLine"/>
        <w:rPr/>
      </w:pPr>
      <w:r>
        <w:rPr/>
      </w:r>
    </w:p>
    <w:p>
      <w:pPr>
        <w:pStyle w:val="TextBody"/>
        <w:spacing w:before="76" w:after="0"/>
        <w:jc w:val="both"/>
        <w:rPr>
          <w:rFonts w:ascii="Times New Roman" w:hAnsi="Times New Roman"/>
          <w:sz w:val="20"/>
        </w:rPr>
      </w:pPr>
      <w:r>
        <w:rPr>
          <w:rFonts w:ascii="Times New Roman;serif" w:hAnsi="Times New Roman;serif"/>
          <w:b w:val="false"/>
          <w:sz w:val="24"/>
        </w:rPr>
        <w:t>(A) mailed, certified or registered mail, first-class postage paid, return receipt requested, (B) sent by an internationally recognized overnight mail or courier service, (C) delivered by hand, (D) transmitted via facsimile, or (E) transmitted via email, to the Company at tim.bertram@twincitybio.com, or such other address of Company, as notified to the other parties hereto; (ii) to the Service Provider, (A) mailed, certified or registered mail, first-class postage paid, return receipt requested, (B) sent by an internationally recognized overnight mail or courier service, (C) delivered by hand, (D) transmitted via facsimile, or (E) transmitted via email, to 110 East 59th Street, Suite 3300, New York, New York 10022, jaimegomez@latinamericanpharma.com, or such other address of the Service Provider, as notified to the other parties hereto. Any notices, requests, demands and other communications hereunder shall be deemed received, unless earlier received, (1) if sent by certified or registered mail, first- class postage paid, return receipt requested, when actually received, (2) if sent by an internationally recognized mail or courier service, on the third Business Day after deposit therewith, (3) if delivered by hand, on the date of receipt, (4) if sent by facsimile transmission, on the date sent (</w:t>
      </w:r>
      <w:r>
        <w:rPr>
          <w:rFonts w:ascii="Times New Roman;serif" w:hAnsi="Times New Roman;serif"/>
          <w:b w:val="false"/>
          <w:i/>
          <w:sz w:val="24"/>
        </w:rPr>
        <w:t xml:space="preserve">provided </w:t>
      </w:r>
      <w:r>
        <w:rPr>
          <w:rFonts w:ascii="Times New Roman;serif" w:hAnsi="Times New Roman;serif"/>
          <w:b w:val="false"/>
          <w:sz w:val="24"/>
        </w:rPr>
        <w:t>that, machine confirmation is received and a confirmatory copy is sent by one of the foregoing means), or (5) if sent by email, on the date sent (</w:t>
      </w:r>
      <w:r>
        <w:rPr>
          <w:rFonts w:ascii="Times New Roman;serif" w:hAnsi="Times New Roman;serif"/>
          <w:b w:val="false"/>
          <w:i/>
          <w:sz w:val="24"/>
        </w:rPr>
        <w:t xml:space="preserve">provided </w:t>
      </w:r>
      <w:r>
        <w:rPr>
          <w:rFonts w:ascii="Times New Roman;serif" w:hAnsi="Times New Roman;serif"/>
          <w:b w:val="false"/>
          <w:sz w:val="24"/>
        </w:rPr>
        <w:t>that, a confirmatory copy is sent by one of the foregoing means).</w:t>
      </w:r>
    </w:p>
    <w:p>
      <w:pPr>
        <w:pStyle w:val="TextBody"/>
        <w:spacing w:before="0" w:after="0"/>
        <w:jc w:val="left"/>
        <w:rPr/>
      </w:pPr>
      <w:r>
        <w:rPr/>
        <w:t> </w:t>
      </w:r>
    </w:p>
    <w:p>
      <w:pPr>
        <w:pStyle w:val="TextBody"/>
        <w:spacing w:before="179" w:after="0"/>
        <w:jc w:val="center"/>
        <w:rPr>
          <w:rFonts w:ascii="Times New Roman;serif" w:hAnsi="Times New Roman;serif"/>
          <w:b w:val="false"/>
          <w:i/>
          <w:sz w:val="24"/>
        </w:rPr>
      </w:pPr>
      <w:r>
        <w:rPr>
          <w:rFonts w:ascii="Times New Roman;serif" w:hAnsi="Times New Roman;serif"/>
          <w:b w:val="false"/>
          <w:i/>
          <w:sz w:val="24"/>
        </w:rPr>
        <w:t>[The remainder of this page intentionally left blank.]</w:t>
      </w:r>
    </w:p>
    <w:p>
      <w:pPr>
        <w:pStyle w:val="TextBody"/>
        <w:spacing w:before="0" w:after="0"/>
        <w:jc w:val="center"/>
        <w:rPr/>
      </w:pPr>
      <w:r>
        <w:rPr/>
        <w:t> </w:t>
      </w:r>
    </w:p>
    <w:p>
      <w:pPr>
        <w:pStyle w:val="TextBody"/>
        <w:spacing w:before="0" w:after="0"/>
        <w:jc w:val="left"/>
        <w:rPr/>
      </w:pPr>
      <w:r>
        <w:rPr/>
        <w:t> </w:t>
      </w:r>
    </w:p>
    <w:p>
      <w:pPr>
        <w:pStyle w:val="TextBody"/>
        <w:spacing w:before="10" w:after="0"/>
        <w:jc w:val="left"/>
        <w:rPr>
          <w:rFonts w:ascii="Times New Roman;serif" w:hAnsi="Times New Roman;serif"/>
          <w:b w:val="false"/>
          <w:sz w:val="24"/>
        </w:rPr>
      </w:pPr>
      <w:r>
        <w:rPr>
          <w:rFonts w:ascii="Times New Roman;serif" w:hAnsi="Times New Roman;serif"/>
          <w:b w:val="false"/>
          <w:sz w:val="24"/>
        </w:rPr>
        <w:t>12</w:t>
      </w:r>
    </w:p>
    <w:p>
      <w:pPr>
        <w:pStyle w:val="HorizontalLine"/>
        <w:rPr/>
      </w:pPr>
      <w:r>
        <w:rPr/>
      </w:r>
    </w:p>
    <w:p>
      <w:pPr>
        <w:pStyle w:val="TextBody"/>
        <w:spacing w:before="76" w:after="0"/>
        <w:jc w:val="left"/>
        <w:rPr>
          <w:rFonts w:ascii="Times New Roman;serif" w:hAnsi="Times New Roman;serif"/>
          <w:b w:val="false"/>
          <w:sz w:val="24"/>
        </w:rPr>
      </w:pPr>
      <w:r>
        <w:rPr>
          <w:rFonts w:ascii="Times New Roman;serif" w:hAnsi="Times New Roman;serif"/>
          <w:b w:val="false"/>
          <w:sz w:val="24"/>
        </w:rPr>
        <w:t>IN WITNESS WHEREOF, each party hereto has caused this Agreement to be executed as of the date hereof by its duly authorized representative.</w:t>
      </w:r>
    </w:p>
    <w:p>
      <w:pPr>
        <w:pStyle w:val="TextBody"/>
        <w:spacing w:before="10" w:after="0"/>
        <w:jc w:val="left"/>
        <w:rPr/>
      </w:pPr>
      <w:r>
        <w:rPr/>
        <w:t> </w:t>
      </w:r>
    </w:p>
    <w:p>
      <w:pPr>
        <w:pStyle w:val="TextBody"/>
        <w:spacing w:before="0" w:after="0"/>
        <w:jc w:val="left"/>
        <w:rPr>
          <w:rFonts w:ascii="Times New Roman;serif" w:hAnsi="Times New Roman;serif"/>
          <w:b/>
          <w:sz w:val="24"/>
        </w:rPr>
      </w:pPr>
      <w:r>
        <w:rPr>
          <w:rFonts w:ascii="Times New Roman;serif" w:hAnsi="Times New Roman;serif"/>
          <w:b/>
          <w:sz w:val="24"/>
        </w:rPr>
        <w:t>NEFRO HEALTH, as the Service Provider</w:t>
      </w:r>
    </w:p>
    <w:p>
      <w:pPr>
        <w:pStyle w:val="TextBody"/>
        <w:spacing w:before="0" w:after="0"/>
        <w:jc w:val="left"/>
        <w:rPr/>
      </w:pPr>
      <w:r>
        <w:rPr/>
        <w:t> </w:t>
      </w:r>
    </w:p>
    <w:p>
      <w:pPr>
        <w:pStyle w:val="TextBody"/>
        <w:spacing w:before="0" w:after="0"/>
        <w:jc w:val="left"/>
        <w:rPr/>
      </w:pPr>
      <w:r>
        <w:rPr/>
        <w:t> </w:t>
      </w:r>
    </w:p>
    <w:p>
      <w:pPr>
        <w:pStyle w:val="TextBody"/>
        <w:spacing w:before="153" w:after="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/s/ Jaime Gomez-Sotomayor</w:t>
      </w:r>
      <w:r>
        <w:rPr>
          <w:rFonts w:ascii="Times New Roman" w:hAnsi="Times New Roman"/>
          <w:sz w:val="20"/>
        </w:rPr>
        <w:t xml:space="preserve"> </w:t>
      </w:r>
    </w:p>
    <w:p>
      <w:pPr>
        <w:pStyle w:val="TextBody"/>
        <w:spacing w:before="153" w:after="0"/>
        <w:jc w:val="left"/>
        <w:rPr>
          <w:rFonts w:ascii="Times New Roman;serif" w:hAnsi="Times New Roman;serif"/>
          <w:b w:val="false"/>
          <w:sz w:val="24"/>
        </w:rPr>
      </w:pPr>
      <w:r>
        <w:rPr>
          <w:rFonts w:ascii="Times New Roman;serif" w:hAnsi="Times New Roman;serif"/>
          <w:b w:val="false"/>
          <w:sz w:val="24"/>
        </w:rPr>
        <w:t>Name: Jaime Gomez-Sotomayor Title: Authorized Signatory</w:t>
      </w:r>
    </w:p>
    <w:p>
      <w:pPr>
        <w:pStyle w:val="TextBody"/>
        <w:spacing w:before="0" w:after="0"/>
        <w:jc w:val="left"/>
        <w:rPr/>
      </w:pPr>
      <w:r>
        <w:rPr/>
        <w:t> </w:t>
      </w:r>
    </w:p>
    <w:p>
      <w:pPr>
        <w:pStyle w:val="TextBody"/>
        <w:spacing w:before="0" w:after="0"/>
        <w:jc w:val="left"/>
        <w:rPr/>
      </w:pPr>
      <w:r>
        <w:rPr/>
        <w:t> </w:t>
      </w:r>
    </w:p>
    <w:p>
      <w:pPr>
        <w:pStyle w:val="TextBody"/>
        <w:spacing w:before="13" w:after="0"/>
        <w:jc w:val="left"/>
        <w:rPr>
          <w:rFonts w:ascii="Times New Roman;serif" w:hAnsi="Times New Roman;serif"/>
          <w:b w:val="false"/>
          <w:sz w:val="20"/>
        </w:rPr>
      </w:pPr>
      <w:r>
        <w:rPr>
          <w:rFonts w:ascii="Times New Roman;serif" w:hAnsi="Times New Roman;serif"/>
          <w:b w:val="false"/>
          <w:sz w:val="20"/>
        </w:rPr>
        <w:t>Signature Page to Services Agreement (Twin City Bio LLC)</w:t>
      </w:r>
    </w:p>
    <w:p>
      <w:pPr>
        <w:pStyle w:val="HorizontalLine"/>
        <w:rPr/>
      </w:pPr>
      <w:r>
        <w:rPr/>
      </w:r>
    </w:p>
    <w:p>
      <w:pPr>
        <w:pStyle w:val="TextBody"/>
        <w:spacing w:before="61" w:after="0"/>
        <w:jc w:val="left"/>
        <w:rPr>
          <w:rFonts w:ascii="Times New Roman;serif" w:hAnsi="Times New Roman;serif"/>
          <w:b/>
          <w:sz w:val="24"/>
        </w:rPr>
      </w:pPr>
      <w:r>
        <w:rPr>
          <w:rFonts w:ascii="Times New Roman;serif" w:hAnsi="Times New Roman;serif"/>
          <w:b/>
          <w:sz w:val="24"/>
        </w:rPr>
        <w:t>TWIN CITY BIO LLC, as the Company</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6"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/s/ Tim Bertram</w:t>
      </w:r>
      <w:r>
        <w:rPr>
          <w:rFonts w:ascii="Times New Roman" w:hAnsi="Times New Roman"/>
          <w:sz w:val="20"/>
        </w:rPr>
        <w:t xml:space="preserve"> </w:t>
      </w:r>
    </w:p>
    <w:p>
      <w:pPr>
        <w:pStyle w:val="TextBody"/>
        <w:spacing w:before="207" w:after="0"/>
        <w:jc w:val="left"/>
        <w:rPr>
          <w:rFonts w:ascii="Times New Roman;serif" w:hAnsi="Times New Roman;serif"/>
          <w:b w:val="false"/>
          <w:sz w:val="24"/>
        </w:rPr>
      </w:pPr>
      <w:r>
        <w:rPr>
          <w:rFonts w:ascii="Times New Roman;serif" w:hAnsi="Times New Roman;serif"/>
          <w:b w:val="false"/>
          <w:sz w:val="24"/>
        </w:rPr>
        <w:t>Name: Tim Bertram</w:t>
      </w:r>
    </w:p>
    <w:p>
      <w:pPr>
        <w:pStyle w:val="TextBody"/>
        <w:spacing w:before="2" w:after="0"/>
        <w:jc w:val="left"/>
        <w:rPr>
          <w:rFonts w:ascii="Times New Roman;serif" w:hAnsi="Times New Roman;serif"/>
          <w:b w:val="false"/>
          <w:sz w:val="24"/>
        </w:rPr>
      </w:pPr>
      <w:r>
        <w:rPr>
          <w:rFonts w:ascii="Times New Roman;serif" w:hAnsi="Times New Roman;serif"/>
          <w:b w:val="false"/>
          <w:sz w:val="24"/>
        </w:rPr>
        <w:t>Title: Chief Executive Officer</w:t>
      </w:r>
    </w:p>
    <w:p>
      <w:pPr>
        <w:pStyle w:val="TextBody"/>
        <w:spacing w:before="0" w:after="0"/>
        <w:jc w:val="left"/>
        <w:rPr/>
      </w:pPr>
      <w:r>
        <w:rPr/>
        <w:t> </w:t>
      </w:r>
    </w:p>
    <w:p>
      <w:pPr>
        <w:pStyle w:val="TextBody"/>
        <w:spacing w:before="0" w:after="0"/>
        <w:jc w:val="left"/>
        <w:rPr/>
      </w:pPr>
      <w:r>
        <w:rPr/>
        <w:t> </w:t>
      </w:r>
    </w:p>
    <w:p>
      <w:pPr>
        <w:pStyle w:val="TextBody"/>
        <w:spacing w:before="13" w:after="0"/>
        <w:jc w:val="left"/>
        <w:rPr>
          <w:rFonts w:ascii="Times New Roman;serif" w:hAnsi="Times New Roman;serif"/>
          <w:b w:val="false"/>
          <w:sz w:val="20"/>
        </w:rPr>
      </w:pPr>
      <w:r>
        <w:rPr>
          <w:rFonts w:ascii="Times New Roman;serif" w:hAnsi="Times New Roman;serif"/>
          <w:b w:val="false"/>
          <w:sz w:val="20"/>
        </w:rPr>
        <w:t>Signature Page to Services Agreement (Twin City Bio LLC)</w:t>
      </w:r>
    </w:p>
    <w:p>
      <w:pPr>
        <w:pStyle w:val="HorizontalLine"/>
        <w:rPr/>
      </w:pPr>
      <w:r>
        <w:rPr/>
      </w:r>
    </w:p>
    <w:p>
      <w:pPr>
        <w:pStyle w:val="TextBody"/>
        <w:spacing w:before="76" w:after="0"/>
        <w:jc w:val="center"/>
        <w:rPr>
          <w:rFonts w:ascii="Times New Roman;serif" w:hAnsi="Times New Roman;serif"/>
          <w:b w:val="false"/>
          <w:sz w:val="24"/>
          <w:u w:val="single"/>
        </w:rPr>
      </w:pPr>
      <w:r>
        <w:rPr>
          <w:rFonts w:ascii="Times New Roman;serif" w:hAnsi="Times New Roman;serif"/>
          <w:b w:val="false"/>
          <w:sz w:val="24"/>
          <w:u w:val="single"/>
        </w:rPr>
        <w:t>Exhibit A</w:t>
      </w:r>
    </w:p>
    <w:p>
      <w:pPr>
        <w:pStyle w:val="TextBody"/>
        <w:spacing w:before="4" w:after="0"/>
        <w:jc w:val="left"/>
        <w:rPr/>
      </w:pPr>
      <w:r>
        <w:rPr/>
        <w:t> </w:t>
      </w:r>
    </w:p>
    <w:tbl>
      <w:tblPr>
        <w:tblW w:w="10205" w:type="dxa"/>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11" w:after="0"/>
              <w:ind w:left="0" w:right="0" w:hanging="0"/>
              <w:jc w:val="left"/>
              <w:rPr/>
            </w:pPr>
            <w:r>
              <w:rPr/>
              <w:t> </w:t>
            </w:r>
          </w:p>
          <w:p>
            <w:pPr>
              <w:pStyle w:val="TableContents"/>
              <w:spacing w:before="0" w:after="0"/>
              <w:ind w:left="0" w:right="0" w:firstLine="358"/>
              <w:jc w:val="center"/>
              <w:rPr>
                <w:rFonts w:ascii="Times New Roman;serif" w:hAnsi="Times New Roman;serif"/>
                <w:b/>
                <w:sz w:val="24"/>
              </w:rPr>
            </w:pPr>
            <w:r>
              <w:rPr>
                <w:rFonts w:ascii="Times New Roman;serif" w:hAnsi="Times New Roman;serif"/>
                <w:b/>
                <w:sz w:val="24"/>
              </w:rPr>
              <w:t>Services</w:t>
            </w:r>
          </w:p>
        </w:tc>
      </w:tr>
      <w:tr>
        <w:trPr/>
        <w:tc>
          <w:tcPr>
            <w:tcW w:w="10205"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116" w:after="0"/>
              <w:ind w:left="0" w:right="0" w:firstLine="358"/>
              <w:jc w:val="left"/>
              <w:rPr>
                <w:rFonts w:ascii="Times New Roman;serif" w:hAnsi="Times New Roman;serif"/>
                <w:b w:val="false"/>
                <w:sz w:val="24"/>
              </w:rPr>
            </w:pPr>
            <w:r>
              <w:rPr>
                <w:rFonts w:ascii="Times New Roman;serif" w:hAnsi="Times New Roman;serif"/>
                <w:b w:val="false"/>
                <w:sz w:val="24"/>
              </w:rPr>
              <w:t>1. Review safety and efficacy outcomes for USA and international Clinical Trials – 002, 003, 004, 005, 006, 007 and 008.</w:t>
            </w:r>
          </w:p>
        </w:tc>
      </w:tr>
      <w:tr>
        <w:trPr/>
        <w:tc>
          <w:tcPr>
            <w:tcW w:w="10205"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116" w:after="0"/>
              <w:ind w:left="0" w:right="0" w:firstLine="358"/>
              <w:jc w:val="left"/>
              <w:rPr>
                <w:rFonts w:ascii="Times New Roman;serif" w:hAnsi="Times New Roman;serif"/>
                <w:b w:val="false"/>
                <w:sz w:val="24"/>
              </w:rPr>
            </w:pPr>
            <w:r>
              <w:rPr>
                <w:rFonts w:ascii="Times New Roman;serif" w:hAnsi="Times New Roman;serif"/>
                <w:b w:val="false"/>
                <w:sz w:val="24"/>
              </w:rPr>
              <w:t>2. Review plans and performance of new Clinical Sites for conduct of globally regulated clinical trials in the North America and EU.</w:t>
            </w:r>
          </w:p>
        </w:tc>
      </w:tr>
      <w:tr>
        <w:trPr/>
        <w:tc>
          <w:tcPr>
            <w:tcW w:w="10205"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116" w:after="0"/>
              <w:ind w:left="0" w:right="0" w:firstLine="358"/>
              <w:jc w:val="left"/>
              <w:rPr>
                <w:rFonts w:ascii="Times New Roman;serif" w:hAnsi="Times New Roman;serif"/>
                <w:b w:val="false"/>
                <w:sz w:val="24"/>
              </w:rPr>
            </w:pPr>
            <w:r>
              <w:rPr>
                <w:rFonts w:ascii="Times New Roman;serif" w:hAnsi="Times New Roman;serif"/>
                <w:b w:val="false"/>
                <w:sz w:val="24"/>
              </w:rPr>
              <w:t>3. Advise and strategic planning of the design for new international Clinical Trials including 006, 007 and long term follow up 008.</w:t>
            </w:r>
          </w:p>
        </w:tc>
      </w:tr>
      <w:tr>
        <w:trPr/>
        <w:tc>
          <w:tcPr>
            <w:tcW w:w="10205"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116" w:after="0"/>
              <w:ind w:left="0" w:right="0" w:firstLine="358"/>
              <w:jc w:val="left"/>
              <w:rPr>
                <w:rFonts w:ascii="Times New Roman;serif" w:hAnsi="Times New Roman;serif"/>
                <w:b w:val="false"/>
                <w:sz w:val="24"/>
              </w:rPr>
            </w:pPr>
            <w:r>
              <w:rPr>
                <w:rFonts w:ascii="Times New Roman;serif" w:hAnsi="Times New Roman;serif"/>
                <w:b w:val="false"/>
                <w:sz w:val="24"/>
              </w:rPr>
              <w:t>4. Review the design and implementation of advanced cell-based cGMP manufacturing capability and capacity Expansion in North Carolina.</w:t>
            </w:r>
          </w:p>
        </w:tc>
      </w:tr>
      <w:tr>
        <w:trPr/>
        <w:tc>
          <w:tcPr>
            <w:tcW w:w="10205"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116" w:after="0"/>
              <w:ind w:left="0" w:right="0" w:firstLine="358"/>
              <w:jc w:val="left"/>
              <w:rPr>
                <w:rFonts w:ascii="Times New Roman;serif" w:hAnsi="Times New Roman;serif"/>
                <w:b w:val="false"/>
                <w:sz w:val="24"/>
              </w:rPr>
            </w:pPr>
            <w:r>
              <w:rPr>
                <w:rFonts w:ascii="Times New Roman;serif" w:hAnsi="Times New Roman;serif"/>
                <w:b w:val="false"/>
                <w:sz w:val="24"/>
              </w:rPr>
              <w:t>5. Review the design of bioprocess automation for the manufacture of cell- based advanced medicine therapeutics.</w:t>
            </w:r>
          </w:p>
        </w:tc>
      </w:tr>
      <w:tr>
        <w:trPr/>
        <w:tc>
          <w:tcPr>
            <w:tcW w:w="10205"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116" w:after="0"/>
              <w:ind w:left="0" w:right="0" w:firstLine="358"/>
              <w:jc w:val="left"/>
              <w:rPr>
                <w:rFonts w:ascii="Times New Roman;serif" w:hAnsi="Times New Roman;serif"/>
                <w:b w:val="false"/>
                <w:sz w:val="24"/>
              </w:rPr>
            </w:pPr>
            <w:r>
              <w:rPr>
                <w:rFonts w:ascii="Times New Roman;serif" w:hAnsi="Times New Roman;serif"/>
                <w:b w:val="false"/>
                <w:sz w:val="24"/>
              </w:rPr>
              <w:t>6. Provide advice in the review and development of the business policies and strategies of the Company Group, including the review and development of growth, financing, international business development, partnering and acquisition opportunities.</w:t>
            </w:r>
          </w:p>
        </w:tc>
      </w:tr>
      <w:tr>
        <w:trPr/>
        <w:tc>
          <w:tcPr>
            <w:tcW w:w="10205"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116" w:after="0"/>
              <w:ind w:left="358" w:right="194" w:hanging="0"/>
              <w:jc w:val="left"/>
              <w:rPr>
                <w:rFonts w:ascii="Times New Roman;serif" w:hAnsi="Times New Roman;serif"/>
                <w:b w:val="false"/>
                <w:sz w:val="24"/>
              </w:rPr>
            </w:pPr>
            <w:r>
              <w:rPr>
                <w:rFonts w:ascii="Times New Roman;serif" w:hAnsi="Times New Roman;serif"/>
                <w:b w:val="false"/>
                <w:sz w:val="24"/>
              </w:rPr>
              <w:t>7. Provide advice concerning vendor, supplier, and contractual relationships of the Company Group.</w:t>
            </w:r>
          </w:p>
        </w:tc>
      </w:tr>
    </w:tbl>
    <w:p>
      <w:pPr>
        <w:pStyle w:val="TextBody"/>
        <w:spacing w:before="0" w:after="0"/>
        <w:jc w:val="left"/>
        <w:rPr/>
      </w:pPr>
      <w:r>
        <w:rPr/>
        <w:t> </w:t>
      </w:r>
    </w:p>
    <w:p>
      <w:pPr>
        <w:pStyle w:val="TextBody"/>
        <w:spacing w:before="0" w:after="0"/>
        <w:jc w:val="left"/>
        <w:rPr/>
      </w:pPr>
      <w:r>
        <w:rPr/>
        <w:t> </w:t>
      </w:r>
    </w:p>
    <w:p>
      <w:pPr>
        <w:pStyle w:val="TextBody"/>
        <w:spacing w:before="13" w:after="0"/>
        <w:jc w:val="left"/>
        <w:rPr>
          <w:rFonts w:ascii="Times New Roman;serif" w:hAnsi="Times New Roman;serif"/>
          <w:b w:val="false"/>
          <w:sz w:val="20"/>
        </w:rPr>
      </w:pPr>
      <w:r>
        <w:rPr>
          <w:rFonts w:ascii="Times New Roman;serif" w:hAnsi="Times New Roman;serif"/>
          <w:b w:val="false"/>
          <w:sz w:val="20"/>
        </w:rPr>
        <w:t>Exhibit A</w:t>
      </w:r>
    </w:p>
    <w:p>
      <w:pPr>
        <w:pStyle w:val="HorizontalLine"/>
        <w:rPr/>
      </w:pPr>
      <w:r>
        <w:rPr/>
      </w:r>
      <w:r>
        <w:br w:type="page"/>
      </w:r>
    </w:p>
    <w:p>
      <w:pPr>
        <w:pStyle w:val="TextBody"/>
        <w:spacing w:before="0" w:after="0"/>
        <w:jc w:val="right"/>
        <w:rPr>
          <w:rFonts w:ascii="Times New Roman;serif" w:hAnsi="Times New Roman;serif"/>
          <w:b/>
          <w:sz w:val="20"/>
        </w:rPr>
      </w:pPr>
      <w:bookmarkStart w:id="187" w:name="prok-ex21_1.htm"/>
      <w:bookmarkStart w:id="188" w:name="ksprokex21_1"/>
      <w:bookmarkEnd w:id="187"/>
      <w:bookmarkEnd w:id="188"/>
      <w:r>
        <w:rPr>
          <w:rFonts w:ascii="Times New Roman;serif" w:hAnsi="Times New Roman;serif"/>
          <w:b/>
          <w:sz w:val="20"/>
        </w:rPr>
        <w:t>Exhibit 21.1</w:t>
      </w:r>
    </w:p>
    <w:p>
      <w:pPr>
        <w:pStyle w:val="TextBody"/>
        <w:spacing w:before="240" w:after="0"/>
        <w:jc w:val="center"/>
        <w:rPr>
          <w:rFonts w:ascii="Times New Roman;serif" w:hAnsi="Times New Roman;serif"/>
          <w:b/>
          <w:sz w:val="20"/>
          <w:u w:val="single"/>
        </w:rPr>
      </w:pPr>
      <w:r>
        <w:rPr>
          <w:rFonts w:ascii="Times New Roman;serif" w:hAnsi="Times New Roman;serif"/>
          <w:b/>
          <w:sz w:val="20"/>
          <w:u w:val="single"/>
        </w:rPr>
        <w:t>Subsidiaries of the Registrant</w:t>
      </w:r>
    </w:p>
    <w:p>
      <w:pPr>
        <w:pStyle w:val="TextBody"/>
        <w:spacing w:before="0" w:after="0"/>
        <w:jc w:val="left"/>
        <w:rPr/>
      </w:pPr>
      <w:r>
        <w:rPr/>
        <w:t> </w:t>
      </w:r>
    </w:p>
    <w:tbl>
      <w:tblPr>
        <w:tblW w:w="5278" w:type="dxa"/>
        <w:jc w:val="left"/>
        <w:tblInd w:w="0" w:type="dxa"/>
        <w:tblCellMar>
          <w:top w:w="28" w:type="dxa"/>
          <w:left w:w="28" w:type="dxa"/>
          <w:bottom w:w="28" w:type="dxa"/>
          <w:right w:w="28" w:type="dxa"/>
        </w:tblCellMar>
      </w:tblPr>
      <w:tblGrid>
        <w:gridCol w:w="3691"/>
        <w:gridCol w:w="146"/>
        <w:gridCol w:w="1441"/>
      </w:tblGrid>
      <w:tr>
        <w:trPr/>
        <w:tc>
          <w:tcPr>
            <w:tcW w:w="3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3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1" w:type="dxa"/>
            <w:tcBorders/>
            <w:shd w:fill="auto" w:val="clear"/>
            <w:vAlign w:val="center"/>
          </w:tcPr>
          <w:p>
            <w:pPr>
              <w:pStyle w:val="TableContents"/>
              <w:spacing w:before="0" w:after="0"/>
              <w:ind w:left="0" w:right="0" w:hanging="0"/>
              <w:jc w:val="left"/>
              <w:rPr/>
            </w:pPr>
            <w:r>
              <w:rPr/>
              <w:t> </w:t>
            </w:r>
          </w:p>
        </w:tc>
      </w:tr>
      <w:tr>
        <w:trPr/>
        <w:tc>
          <w:tcPr>
            <w:tcW w:w="3691" w:type="dxa"/>
            <w:tcBorders/>
            <w:shd w:fill="auto" w:val="clear"/>
            <w:vAlign w:val="center"/>
          </w:tcPr>
          <w:p>
            <w:pPr>
              <w:pStyle w:val="TableContents"/>
              <w:pBdr>
                <w:bottom w:val="single" w:sz="8" w:space="1" w:color="000000"/>
              </w:pBdr>
              <w:spacing w:before="0" w:after="0"/>
              <w:ind w:left="0" w:right="0" w:hanging="0"/>
              <w:jc w:val="left"/>
              <w:rPr>
                <w:rFonts w:ascii="Times New Roman;serif" w:hAnsi="Times New Roman;serif"/>
                <w:b/>
                <w:sz w:val="16"/>
              </w:rPr>
            </w:pPr>
            <w:r>
              <w:rPr>
                <w:rFonts w:ascii="Times New Roman;serif" w:hAnsi="Times New Roman;serif"/>
                <w:b/>
                <w:sz w:val="16"/>
              </w:rPr>
              <w:t>Entity Name</w:t>
            </w:r>
          </w:p>
        </w:tc>
        <w:tc>
          <w:tcPr>
            <w:tcW w:w="146" w:type="dxa"/>
            <w:tcBorders/>
            <w:shd w:fill="auto" w:val="clear"/>
            <w:vAlign w:val="center"/>
          </w:tcPr>
          <w:p>
            <w:pPr>
              <w:pStyle w:val="TableContents"/>
              <w:spacing w:before="0" w:after="0"/>
              <w:ind w:left="0" w:right="0" w:hanging="0"/>
              <w:jc w:val="left"/>
              <w:rPr/>
            </w:pPr>
            <w:r>
              <w:rPr/>
              <w:t> </w:t>
            </w:r>
          </w:p>
        </w:tc>
        <w:tc>
          <w:tcPr>
            <w:tcW w:w="144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Jurisdiction of</w:t>
              <w:br/>
              <w:t>Organization</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ProKidney Corp. GP Limited</w:t>
            </w:r>
          </w:p>
        </w:tc>
        <w:tc>
          <w:tcPr>
            <w:tcW w:w="146" w:type="dxa"/>
            <w:tcBorders/>
            <w:shd w:fill="auto" w:val="clear"/>
            <w:vAlign w:val="center"/>
          </w:tcPr>
          <w:p>
            <w:pPr>
              <w:pStyle w:val="TableContents"/>
              <w:spacing w:before="0" w:after="0"/>
              <w:ind w:left="0" w:right="0" w:hanging="0"/>
              <w:jc w:val="left"/>
              <w:rPr/>
            </w:pPr>
            <w:r>
              <w:rPr/>
              <w:t> </w:t>
            </w:r>
          </w:p>
        </w:tc>
        <w:tc>
          <w:tcPr>
            <w:tcW w:w="14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Ireland</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ProKidney LP</w:t>
            </w:r>
          </w:p>
        </w:tc>
        <w:tc>
          <w:tcPr>
            <w:tcW w:w="146" w:type="dxa"/>
            <w:tcBorders/>
            <w:shd w:fill="auto" w:val="clear"/>
            <w:vAlign w:val="center"/>
          </w:tcPr>
          <w:p>
            <w:pPr>
              <w:pStyle w:val="TableContents"/>
              <w:spacing w:before="0" w:after="0"/>
              <w:ind w:left="0" w:right="0" w:hanging="0"/>
              <w:jc w:val="left"/>
              <w:rPr/>
            </w:pPr>
            <w:r>
              <w:rPr/>
              <w:t> </w:t>
            </w:r>
          </w:p>
        </w:tc>
        <w:tc>
          <w:tcPr>
            <w:tcW w:w="14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Ireland</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ProKidney (f/k/a RegenMed (Cayman) Ltd.)</w:t>
            </w:r>
          </w:p>
        </w:tc>
        <w:tc>
          <w:tcPr>
            <w:tcW w:w="146" w:type="dxa"/>
            <w:tcBorders/>
            <w:shd w:fill="auto" w:val="clear"/>
            <w:vAlign w:val="center"/>
          </w:tcPr>
          <w:p>
            <w:pPr>
              <w:pStyle w:val="TableContents"/>
              <w:spacing w:before="0" w:after="0"/>
              <w:ind w:left="0" w:right="0" w:hanging="0"/>
              <w:jc w:val="left"/>
              <w:rPr/>
            </w:pPr>
            <w:r>
              <w:rPr/>
              <w:t> </w:t>
            </w:r>
          </w:p>
        </w:tc>
        <w:tc>
          <w:tcPr>
            <w:tcW w:w="14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Cayman Islands</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ProKidney, LLC (f/k/a Twin City Bio LLC)</w:t>
            </w:r>
          </w:p>
        </w:tc>
        <w:tc>
          <w:tcPr>
            <w:tcW w:w="146" w:type="dxa"/>
            <w:tcBorders/>
            <w:shd w:fill="auto" w:val="clear"/>
            <w:vAlign w:val="center"/>
          </w:tcPr>
          <w:p>
            <w:pPr>
              <w:pStyle w:val="TableContents"/>
              <w:spacing w:before="0" w:after="0"/>
              <w:ind w:left="0" w:right="0" w:hanging="0"/>
              <w:jc w:val="left"/>
              <w:rPr/>
            </w:pPr>
            <w:r>
              <w:rPr/>
              <w:t> </w:t>
            </w:r>
          </w:p>
        </w:tc>
        <w:tc>
          <w:tcPr>
            <w:tcW w:w="144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Delaware</w:t>
            </w:r>
          </w:p>
        </w:tc>
      </w:tr>
    </w:tbl>
    <w:p>
      <w:pPr>
        <w:pStyle w:val="TextBody"/>
        <w:spacing w:before="0" w:after="160"/>
        <w:jc w:val="left"/>
        <w:rPr/>
      </w:pPr>
      <w:r>
        <w:rPr/>
        <w:t> </w:t>
      </w:r>
    </w:p>
    <w:p>
      <w:pPr>
        <w:pStyle w:val="HorizontalLine"/>
        <w:rPr/>
      </w:pPr>
      <w:r>
        <w:rPr/>
      </w:r>
      <w:r>
        <w:br w:type="page"/>
      </w:r>
    </w:p>
    <w:p>
      <w:pPr>
        <w:pStyle w:val="TextBody"/>
        <w:spacing w:before="0" w:after="0"/>
        <w:jc w:val="right"/>
        <w:rPr>
          <w:rFonts w:ascii="Times New Roman;serif" w:hAnsi="Times New Roman;serif"/>
          <w:b/>
          <w:sz w:val="22"/>
        </w:rPr>
      </w:pPr>
      <w:bookmarkStart w:id="189" w:name="prok-ex23_1.htm"/>
      <w:bookmarkStart w:id="190" w:name="ksprokex23_1"/>
      <w:bookmarkEnd w:id="189"/>
      <w:bookmarkEnd w:id="190"/>
      <w:r>
        <w:rPr>
          <w:rFonts w:ascii="Times New Roman;serif" w:hAnsi="Times New Roman;serif"/>
          <w:b/>
          <w:sz w:val="22"/>
        </w:rPr>
        <w:t>Exhibit 23.1</w:t>
      </w:r>
    </w:p>
    <w:p>
      <w:pPr>
        <w:pStyle w:val="TextBody"/>
        <w:spacing w:before="100" w:after="100"/>
        <w:jc w:val="center"/>
        <w:rPr>
          <w:rFonts w:ascii="Times New Roman;serif" w:hAnsi="Times New Roman;serif"/>
          <w:b/>
          <w:sz w:val="24"/>
        </w:rPr>
      </w:pPr>
      <w:r>
        <w:rPr>
          <w:rFonts w:ascii="Times New Roman;serif" w:hAnsi="Times New Roman;serif"/>
          <w:b/>
          <w:sz w:val="24"/>
        </w:rPr>
        <w:t>Consent of Independent Registered Public Accounting Firm</w:t>
      </w:r>
    </w:p>
    <w:p>
      <w:pPr>
        <w:pStyle w:val="TextBody"/>
        <w:spacing w:before="100" w:after="100"/>
        <w:jc w:val="left"/>
        <w:rPr>
          <w:rFonts w:ascii="Times New Roman" w:hAnsi="Times New Roman"/>
          <w:sz w:val="20"/>
        </w:rPr>
      </w:pPr>
      <w:r>
        <w:rPr>
          <w:rFonts w:ascii="Times New Roman;serif" w:hAnsi="Times New Roman;serif"/>
          <w:b w:val="false"/>
          <w:sz w:val="24"/>
        </w:rPr>
        <w:t>We consent to the incorporation by reference in the following Registration Statements:</w:t>
      </w:r>
      <w:r>
        <w:rPr>
          <w:rFonts w:ascii="Times New Roman" w:hAnsi="Times New Roman"/>
          <w:sz w:val="20"/>
        </w:rPr>
        <w:t xml:space="preserve"> </w:t>
      </w:r>
    </w:p>
    <w:p>
      <w:pPr>
        <w:pStyle w:val="TextBody"/>
        <w:spacing w:before="100" w:after="100"/>
        <w:jc w:val="left"/>
        <w:rPr>
          <w:rFonts w:ascii="Times New Roman" w:hAnsi="Times New Roman"/>
          <w:b w:val="false"/>
          <w:sz w:val="24"/>
        </w:rPr>
      </w:pPr>
      <w:r>
        <w:rPr>
          <w:rFonts w:ascii="Times New Roman" w:hAnsi="Times New Roman"/>
          <w:b w:val="false"/>
          <w:sz w:val="24"/>
        </w:rPr>
        <w:t>(1)</w:t>
      </w:r>
    </w:p>
    <w:p>
      <w:pPr>
        <w:pStyle w:val="TextBody"/>
        <w:spacing w:before="100" w:after="100"/>
        <w:jc w:val="left"/>
        <w:rPr>
          <w:rFonts w:ascii="Times New Roman;serif" w:hAnsi="Times New Roman;serif"/>
          <w:b w:val="false"/>
          <w:sz w:val="24"/>
        </w:rPr>
      </w:pPr>
      <w:r>
        <w:rPr>
          <w:rFonts w:ascii="Times New Roman;serif" w:hAnsi="Times New Roman;serif"/>
          <w:b w:val="false"/>
          <w:sz w:val="24"/>
        </w:rPr>
        <w:t>Registration Statement (Form S-1 No. 333-266683) of ProKidney Corp., and</w:t>
      </w:r>
    </w:p>
    <w:p>
      <w:pPr>
        <w:pStyle w:val="TextBody"/>
        <w:spacing w:before="100" w:after="100"/>
        <w:jc w:val="left"/>
        <w:rPr>
          <w:rFonts w:ascii="Times New Roman" w:hAnsi="Times New Roman"/>
          <w:b w:val="false"/>
          <w:sz w:val="24"/>
        </w:rPr>
      </w:pPr>
      <w:r>
        <w:rPr>
          <w:rFonts w:ascii="Times New Roman" w:hAnsi="Times New Roman"/>
          <w:b w:val="false"/>
          <w:sz w:val="24"/>
        </w:rPr>
        <w:t>(2)</w:t>
      </w:r>
    </w:p>
    <w:p>
      <w:pPr>
        <w:pStyle w:val="TextBody"/>
        <w:spacing w:before="100" w:after="100"/>
        <w:jc w:val="left"/>
        <w:rPr>
          <w:rFonts w:ascii="Times New Roman;serif" w:hAnsi="Times New Roman;serif"/>
          <w:b w:val="false"/>
          <w:sz w:val="24"/>
        </w:rPr>
      </w:pPr>
      <w:r>
        <w:rPr>
          <w:rFonts w:ascii="Times New Roman;serif" w:hAnsi="Times New Roman;serif"/>
          <w:b w:val="false"/>
          <w:sz w:val="24"/>
        </w:rPr>
        <w:t>Registration Statement (Form S-8 No. 333-267414) pertaining to the ProKidney Corp. 2022 Incentive Equity Plan and the ProKidney Corp. Employee Stock Purchase Plan;</w:t>
      </w:r>
    </w:p>
    <w:p>
      <w:pPr>
        <w:pStyle w:val="TextBody"/>
        <w:spacing w:before="0" w:after="0"/>
        <w:jc w:val="left"/>
        <w:rPr>
          <w:rFonts w:ascii="Times New Roman;serif" w:hAnsi="Times New Roman;serif"/>
          <w:b w:val="false"/>
          <w:sz w:val="24"/>
        </w:rPr>
      </w:pPr>
      <w:r>
        <w:rPr>
          <w:rFonts w:ascii="Times New Roman;serif" w:hAnsi="Times New Roman;serif"/>
          <w:b w:val="false"/>
          <w:sz w:val="24"/>
        </w:rPr>
        <w:t xml:space="preserve">of our report dated March 28, 2023, with respect to the consolidated financial statements of ProKidney Corp. included in this Annual Report (Form 10-K) of ProKidney Corp. for the year ended December 31, 2022. </w:t>
      </w:r>
    </w:p>
    <w:p>
      <w:pPr>
        <w:pStyle w:val="TextBody"/>
        <w:spacing w:before="100" w:after="100"/>
        <w:jc w:val="left"/>
        <w:rPr/>
      </w:pPr>
      <w:r>
        <w:rPr/>
        <w:t> </w:t>
      </w:r>
    </w:p>
    <w:p>
      <w:pPr>
        <w:pStyle w:val="TextBody"/>
        <w:spacing w:before="100" w:after="100"/>
        <w:jc w:val="left"/>
        <w:rPr>
          <w:rFonts w:ascii="Times New Roman;serif" w:hAnsi="Times New Roman;serif"/>
          <w:b w:val="false"/>
          <w:sz w:val="24"/>
        </w:rPr>
      </w:pPr>
      <w:r>
        <w:rPr>
          <w:rFonts w:ascii="Times New Roman;serif" w:hAnsi="Times New Roman;serif"/>
          <w:b w:val="false"/>
          <w:sz w:val="24"/>
        </w:rPr>
        <w:t>/s/ Ernst &amp; Young LLP</w:t>
      </w:r>
    </w:p>
    <w:p>
      <w:pPr>
        <w:pStyle w:val="TextBody"/>
        <w:spacing w:before="0" w:after="0"/>
        <w:jc w:val="left"/>
        <w:rPr>
          <w:rFonts w:ascii="Times New Roman;serif" w:hAnsi="Times New Roman;serif"/>
          <w:b w:val="false"/>
          <w:sz w:val="24"/>
        </w:rPr>
      </w:pPr>
      <w:r>
        <w:rPr>
          <w:rFonts w:ascii="Times New Roman;serif" w:hAnsi="Times New Roman;serif"/>
          <w:b w:val="false"/>
          <w:sz w:val="24"/>
        </w:rPr>
        <w:t>Raleigh, North Carolina</w:t>
      </w:r>
    </w:p>
    <w:p>
      <w:pPr>
        <w:pStyle w:val="TextBody"/>
        <w:spacing w:before="0" w:after="0"/>
        <w:jc w:val="left"/>
        <w:rPr>
          <w:rFonts w:ascii="Times New Roman;serif" w:hAnsi="Times New Roman;serif"/>
          <w:b w:val="false"/>
          <w:sz w:val="24"/>
        </w:rPr>
      </w:pPr>
      <w:r>
        <w:rPr>
          <w:rFonts w:ascii="Times New Roman;serif" w:hAnsi="Times New Roman;serif"/>
          <w:b w:val="false"/>
          <w:sz w:val="24"/>
        </w:rPr>
        <w:t>March 28, 2023</w:t>
      </w:r>
    </w:p>
    <w:p>
      <w:pPr>
        <w:pStyle w:val="TextBody"/>
        <w:spacing w:before="0" w:after="160"/>
        <w:jc w:val="left"/>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191" w:name="prok-ex31_1.htm"/>
      <w:bookmarkStart w:id="192" w:name="ksprokex31_1"/>
      <w:bookmarkEnd w:id="191"/>
      <w:bookmarkEnd w:id="192"/>
      <w:r>
        <w:rPr>
          <w:rFonts w:ascii="Times New Roman;serif" w:hAnsi="Times New Roman;serif"/>
          <w:b/>
          <w:sz w:val="20"/>
        </w:rPr>
        <w:t>Exhibit 31.1</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Timothy A. Bertram, certify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have reviewed this Annual Report on Form 10-K for the year ended December 31, 2022 of ProKidney Corp. (the “registrant”);</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rFonts w:ascii="Times New Roman" w:hAnsi="Times New Roman"/>
          <w:b w:val="false"/>
          <w:sz w:val="20"/>
        </w:rPr>
      </w:pPr>
      <w:r>
        <w:rPr>
          <w:rFonts w:ascii="Times New Roman" w:hAnsi="Times New Roman"/>
          <w:b w:val="false"/>
          <w:sz w:val="20"/>
        </w:rPr>
        <w:t>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left"/>
        <w:rPr>
          <w:rFonts w:ascii="Times New Roman" w:hAnsi="Times New Roman"/>
          <w:b w:val="false"/>
          <w:sz w:val="20"/>
        </w:rPr>
      </w:pPr>
      <w:r>
        <w:rPr>
          <w:rFonts w:ascii="Times New Roman" w:hAnsi="Times New Roman"/>
          <w:b w:val="false"/>
          <w:sz w:val="20"/>
        </w:rPr>
        <w:t>4.</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240" w:after="0"/>
        <w:jc w:val="left"/>
        <w:rPr>
          <w:rFonts w:ascii="Times New Roman" w:hAnsi="Times New Roman"/>
          <w:b w:val="false"/>
          <w:sz w:val="20"/>
        </w:rPr>
      </w:pPr>
      <w:r>
        <w:rPr>
          <w:rFonts w:ascii="Times New Roman" w:hAnsi="Times New Roman"/>
          <w:b w:val="false"/>
          <w:sz w:val="20"/>
        </w:rPr>
        <w:t>(c)</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240" w:after="0"/>
        <w:jc w:val="left"/>
        <w:rPr>
          <w:rFonts w:ascii="Times New Roman" w:hAnsi="Times New Roman"/>
          <w:b w:val="false"/>
          <w:sz w:val="20"/>
        </w:rPr>
      </w:pPr>
      <w:r>
        <w:rPr>
          <w:rFonts w:ascii="Times New Roman" w:hAnsi="Times New Roman"/>
          <w:b w:val="false"/>
          <w:sz w:val="20"/>
        </w:rPr>
        <w:t>(d)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left"/>
        <w:rPr>
          <w:rFonts w:ascii="Times New Roman" w:hAnsi="Times New Roman"/>
          <w:b w:val="false"/>
          <w:sz w:val="20"/>
        </w:rPr>
      </w:pPr>
      <w:r>
        <w:rPr>
          <w:rFonts w:ascii="Times New Roman" w:hAnsi="Times New Roman"/>
          <w:b w:val="false"/>
          <w:sz w:val="20"/>
        </w:rPr>
        <w:t>5.</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4919" w:type="dxa"/>
        <w:jc w:val="left"/>
        <w:tblInd w:w="0" w:type="dxa"/>
        <w:tblCellMar>
          <w:top w:w="28" w:type="dxa"/>
          <w:left w:w="28" w:type="dxa"/>
          <w:bottom w:w="28" w:type="dxa"/>
          <w:right w:w="28" w:type="dxa"/>
        </w:tblCellMar>
      </w:tblPr>
      <w:tblGrid>
        <w:gridCol w:w="1891"/>
        <w:gridCol w:w="146"/>
        <w:gridCol w:w="406"/>
        <w:gridCol w:w="2476"/>
      </w:tblGrid>
      <w:tr>
        <w:trPr/>
        <w:tc>
          <w:tcPr>
            <w:tcW w:w="18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476"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March 28, 2023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47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Timothy A. Bertram</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4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Timothy A. Bertram</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4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4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193" w:name="prok-ex31_2.htm"/>
      <w:bookmarkStart w:id="194" w:name="ksprokex31_2"/>
      <w:bookmarkEnd w:id="193"/>
      <w:bookmarkEnd w:id="194"/>
      <w:r>
        <w:rPr>
          <w:rFonts w:ascii="Times New Roman;serif" w:hAnsi="Times New Roman;serif"/>
          <w:b/>
          <w:sz w:val="20"/>
        </w:rPr>
        <w:t>Exhibit 31.2</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James Coulston, certify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have reviewed this Annual Report on Form 10-K for the year ended December 31, 2022 of ProKidney Corp. (the “registrant”);</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rFonts w:ascii="Times New Roman" w:hAnsi="Times New Roman"/>
          <w:b w:val="false"/>
          <w:sz w:val="20"/>
        </w:rPr>
      </w:pPr>
      <w:r>
        <w:rPr>
          <w:rFonts w:ascii="Times New Roman" w:hAnsi="Times New Roman"/>
          <w:b w:val="false"/>
          <w:sz w:val="20"/>
        </w:rPr>
        <w:t>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left"/>
        <w:rPr>
          <w:rFonts w:ascii="Times New Roman" w:hAnsi="Times New Roman"/>
          <w:b w:val="false"/>
          <w:sz w:val="20"/>
        </w:rPr>
      </w:pPr>
      <w:r>
        <w:rPr>
          <w:rFonts w:ascii="Times New Roman" w:hAnsi="Times New Roman"/>
          <w:b w:val="false"/>
          <w:sz w:val="20"/>
        </w:rPr>
        <w:t>4.</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240" w:after="0"/>
        <w:jc w:val="left"/>
        <w:rPr>
          <w:rFonts w:ascii="Times New Roman" w:hAnsi="Times New Roman"/>
          <w:b w:val="false"/>
          <w:sz w:val="20"/>
        </w:rPr>
      </w:pPr>
      <w:r>
        <w:rPr>
          <w:rFonts w:ascii="Times New Roman" w:hAnsi="Times New Roman"/>
          <w:b w:val="false"/>
          <w:sz w:val="20"/>
        </w:rPr>
        <w:t>(c)</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240" w:after="0"/>
        <w:jc w:val="left"/>
        <w:rPr>
          <w:rFonts w:ascii="Times New Roman" w:hAnsi="Times New Roman"/>
          <w:b w:val="false"/>
          <w:sz w:val="20"/>
        </w:rPr>
      </w:pPr>
      <w:r>
        <w:rPr>
          <w:rFonts w:ascii="Times New Roman" w:hAnsi="Times New Roman"/>
          <w:b w:val="false"/>
          <w:sz w:val="20"/>
        </w:rPr>
        <w:t>(d)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left"/>
        <w:rPr>
          <w:rFonts w:ascii="Times New Roman" w:hAnsi="Times New Roman"/>
          <w:b w:val="false"/>
          <w:sz w:val="20"/>
        </w:rPr>
      </w:pPr>
      <w:r>
        <w:rPr>
          <w:rFonts w:ascii="Times New Roman" w:hAnsi="Times New Roman"/>
          <w:b w:val="false"/>
          <w:sz w:val="20"/>
        </w:rPr>
        <w:t>5.</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6209" w:type="dxa"/>
        <w:jc w:val="left"/>
        <w:tblInd w:w="0" w:type="dxa"/>
        <w:tblCellMar>
          <w:top w:w="28" w:type="dxa"/>
          <w:left w:w="28" w:type="dxa"/>
          <w:bottom w:w="28" w:type="dxa"/>
          <w:right w:w="28" w:type="dxa"/>
        </w:tblCellMar>
      </w:tblPr>
      <w:tblGrid>
        <w:gridCol w:w="1891"/>
        <w:gridCol w:w="146"/>
        <w:gridCol w:w="406"/>
        <w:gridCol w:w="3766"/>
      </w:tblGrid>
      <w:tr>
        <w:trPr/>
        <w:tc>
          <w:tcPr>
            <w:tcW w:w="18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766"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March 28, 2023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6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James Coulston</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James Coulston</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195" w:name="prok-ex32_1.htm"/>
      <w:bookmarkStart w:id="196" w:name="ksprokex32_1"/>
      <w:bookmarkEnd w:id="195"/>
      <w:bookmarkEnd w:id="196"/>
      <w:r>
        <w:rPr>
          <w:rFonts w:ascii="Times New Roman;serif" w:hAnsi="Times New Roman;serif"/>
          <w:b/>
          <w:sz w:val="20"/>
        </w:rPr>
        <w:t>Exhibit 32.1</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section 906 of the Sarbanes-Oxley Act of 2002 (subsections (a) and (b) of section 1350, chapter 63 of title 18, United States Code), the undersigned officer of ProKidney Corp., an exempted company registered under the laws of the Cayman Islands (the “Company”) does hereby certify, to such officer’s knowledge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Annual Report for the year ended December 31, 2022 (the “Form 10-K”) fully complies with the requirements of section 13(a) or 15(d) of the Securities Exchange Act of 1934; and</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The information contained in the Form 10-K fairly presents, in all material respects, the financial condition and result of operations of the Company.</w:t>
      </w:r>
    </w:p>
    <w:p>
      <w:pPr>
        <w:pStyle w:val="TextBody"/>
        <w:spacing w:before="0" w:after="0"/>
        <w:jc w:val="left"/>
        <w:rPr/>
      </w:pPr>
      <w:r>
        <w:rPr/>
        <w:t> </w:t>
      </w:r>
    </w:p>
    <w:tbl>
      <w:tblPr>
        <w:tblW w:w="4919" w:type="dxa"/>
        <w:jc w:val="left"/>
        <w:tblInd w:w="0" w:type="dxa"/>
        <w:tblCellMar>
          <w:top w:w="28" w:type="dxa"/>
          <w:left w:w="28" w:type="dxa"/>
          <w:bottom w:w="28" w:type="dxa"/>
          <w:right w:w="28" w:type="dxa"/>
        </w:tblCellMar>
      </w:tblPr>
      <w:tblGrid>
        <w:gridCol w:w="1891"/>
        <w:gridCol w:w="146"/>
        <w:gridCol w:w="406"/>
        <w:gridCol w:w="2476"/>
      </w:tblGrid>
      <w:tr>
        <w:trPr/>
        <w:tc>
          <w:tcPr>
            <w:tcW w:w="18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476"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March 28, 2023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47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Timothy A. Bertram</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4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Timothy A. Bertram</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4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4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197" w:name="prok-ex32_2.htm"/>
      <w:bookmarkStart w:id="198" w:name="ksprokex32_2"/>
      <w:bookmarkEnd w:id="197"/>
      <w:bookmarkEnd w:id="198"/>
      <w:r>
        <w:rPr>
          <w:rFonts w:ascii="Times New Roman;serif" w:hAnsi="Times New Roman;serif"/>
          <w:b/>
          <w:sz w:val="20"/>
        </w:rPr>
        <w:t>Exhibit 32.2</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section 906 of the Sarbanes-Oxley Act of 2002 (subsections (a) and (b) of section 1350, chapter 63 of title 18, United States Code), the undersigned officer of ProKidney Corp., an exempted company registered under the laws of the Cayman Islands (the “Company”) does hereby certify, to such officer’s knowledge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Annual Report for the year ended December 31, 2022 (the “Form 10-K”) fully complies with the requirements of section 13(a) or 15(d) of the Securities Exchange Act of 1934; and</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The information contained in the Form 10-K fairly presents, in all material respects, the financial condition and result of operations of the Company.</w:t>
      </w:r>
    </w:p>
    <w:p>
      <w:pPr>
        <w:pStyle w:val="TextBody"/>
        <w:spacing w:before="0" w:after="0"/>
        <w:jc w:val="left"/>
        <w:rPr/>
      </w:pPr>
      <w:r>
        <w:rPr/>
        <w:t> </w:t>
      </w:r>
    </w:p>
    <w:tbl>
      <w:tblPr>
        <w:tblW w:w="6209" w:type="dxa"/>
        <w:jc w:val="left"/>
        <w:tblInd w:w="0" w:type="dxa"/>
        <w:tblCellMar>
          <w:top w:w="28" w:type="dxa"/>
          <w:left w:w="28" w:type="dxa"/>
          <w:bottom w:w="28" w:type="dxa"/>
          <w:right w:w="28" w:type="dxa"/>
        </w:tblCellMar>
      </w:tblPr>
      <w:tblGrid>
        <w:gridCol w:w="1891"/>
        <w:gridCol w:w="146"/>
        <w:gridCol w:w="406"/>
        <w:gridCol w:w="3766"/>
      </w:tblGrid>
      <w:tr>
        <w:trPr/>
        <w:tc>
          <w:tcPr>
            <w:tcW w:w="18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766"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March 28, 2023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6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James Coulston</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James Coulston</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18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spacing w:before="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1850270/000119312522014862/d259568dex21.htm" TargetMode="External"/><Relationship Id="rId7" Type="http://schemas.openxmlformats.org/officeDocument/2006/relationships/hyperlink" Target="https://www.sec.gov/Archives/edgar/data/1850270/000119312522195148/d285643dex31.htm" TargetMode="External"/><Relationship Id="rId8" Type="http://schemas.openxmlformats.org/officeDocument/2006/relationships/hyperlink" Target="https://www.sec.gov/Archives/edgar/data/1850270/000119312522195148/d285643dex101.htm" TargetMode="External"/><Relationship Id="rId9" Type="http://schemas.openxmlformats.org/officeDocument/2006/relationships/hyperlink" Target="https://www.sec.gov/Archives/edgar/data/1850270/000119312522195148/d285643dex102.htm" TargetMode="External"/><Relationship Id="rId10" Type="http://schemas.openxmlformats.org/officeDocument/2006/relationships/hyperlink" Target="https://www.sec.gov/Archives/edgar/data/1850270/000119312522195148/d285643dex103.htm" TargetMode="External"/><Relationship Id="rId11" Type="http://schemas.openxmlformats.org/officeDocument/2006/relationships/hyperlink" Target="https://www.sec.gov/Archives/edgar/data/1850270/000119312522195148/d285643dex104.htm" TargetMode="External"/><Relationship Id="rId12" Type="http://schemas.openxmlformats.org/officeDocument/2006/relationships/hyperlink" Target="https://www.sec.gov/Archives/edgar/data/1850270/000119312522195148/d285643dex105.htm" TargetMode="External"/><Relationship Id="rId13" Type="http://schemas.openxmlformats.org/officeDocument/2006/relationships/hyperlink" Target="https://www.sec.gov/Archives/edgar/data/1850270/000119312522014862/d259568dex101.htm" TargetMode="External"/><Relationship Id="rId14" Type="http://schemas.openxmlformats.org/officeDocument/2006/relationships/hyperlink" Target="https://www.sec.gov/Archives/edgar/data/1850270/000119312522014862/d259568dex102.htm" TargetMode="External"/><Relationship Id="rId15" Type="http://schemas.openxmlformats.org/officeDocument/2006/relationships/hyperlink" Target="https://www.sec.gov/Archives/edgar/data/1850270/000119312522014862/d259568dex103.htm" TargetMode="External"/><Relationship Id="rId16" Type="http://schemas.openxmlformats.org/officeDocument/2006/relationships/hyperlink" Target="https://www.sec.gov/Archives/edgar/data/1850270/000119312522195148/d285643dex1011.htm" TargetMode="External"/><Relationship Id="rId17" Type="http://schemas.openxmlformats.org/officeDocument/2006/relationships/hyperlink" Target="https://www.sec.gov/Archives/edgar/data/1850270/000119312522195148/d285643dex1012.htm" TargetMode="External"/><Relationship Id="rId18" Type="http://schemas.openxmlformats.org/officeDocument/2006/relationships/hyperlink" Target="https://www.sec.gov/Archives/edgar/data/1850270/000119312522195148/d285643dex1013.htm" TargetMode="External"/><Relationship Id="rId19" Type="http://schemas.openxmlformats.org/officeDocument/2006/relationships/hyperlink" Target="https://www.sec.gov/Archives/edgar/data/1850270/000119312522215250/d373959dex1013.htm" TargetMode="External"/><Relationship Id="rId20" Type="http://schemas.openxmlformats.org/officeDocument/2006/relationships/hyperlink" Target="https://www.sec.gov/Archives/edgar/data/1850270/000119312522215250/d373959dex1014.htm" TargetMode="External"/><Relationship Id="rId21" Type="http://schemas.openxmlformats.org/officeDocument/2006/relationships/hyperlink" Target="https://www.sec.gov/Archives/edgar/data/1850270/000119312522215250/d373959dex1016.htm" TargetMode="External"/><Relationship Id="rId22" Type="http://schemas.openxmlformats.org/officeDocument/2006/relationships/hyperlink" Target="https://www.sec.gov/Archives/edgar/data/1850270/000119312522215250/d373959dex1017.htm" TargetMode="External"/><Relationship Id="rId23" Type="http://schemas.openxmlformats.org/officeDocument/2006/relationships/hyperlink" Target="https://www.sec.gov/Archives/edgar/data/1850270/000119312522215250/d373959dex1018.htm" TargetMode="External"/><Relationship Id="rId24" Type="http://schemas.openxmlformats.org/officeDocument/2006/relationships/hyperlink" Target="https://www.sec.gov/Archives/edgar/data/1850270/000119312522215250/d373959dex1019.htm" TargetMode="External"/><Relationship Id="rId25" Type="http://schemas.openxmlformats.org/officeDocument/2006/relationships/hyperlink" Target="https://www.sec.gov/Archives/edgar/data/1850270/000119312522215250/d373959dex1020.htm" TargetMode="External"/><Relationship Id="rId26" Type="http://schemas.openxmlformats.org/officeDocument/2006/relationships/hyperlink" Target="https://www.sec.gov/Archives/edgar/data/1850270/000119312522215250/d373959dex1021.htm" TargetMode="External"/><Relationship Id="rId27" Type="http://schemas.openxmlformats.org/officeDocument/2006/relationships/hyperlink" Target="https://www.sec.gov/Archives/edgar/data/1850270/000119312522215250/d373959dex1022.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29</Pages>
  <Words>156139</Words>
  <CharactersWithSpaces>1009481</CharactersWithSpaces>
  <Paragraphs>9735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